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36833" w:rsidRPr="006E50E2" w:rsidP="0011768B">
      <w:pPr>
        <w:bidi w:val="0"/>
        <w:jc w:val="center"/>
        <w:rPr>
          <w:rFonts w:ascii="Times New Roman" w:hAnsi="Times New Roman"/>
          <w:b/>
          <w:sz w:val="22"/>
          <w:szCs w:val="22"/>
        </w:rPr>
      </w:pPr>
      <w:r w:rsidRPr="006E50E2">
        <w:rPr>
          <w:rFonts w:ascii="Times New Roman" w:hAnsi="Times New Roman"/>
          <w:b/>
          <w:sz w:val="22"/>
          <w:szCs w:val="22"/>
        </w:rPr>
        <w:t>Obsah</w:t>
      </w:r>
    </w:p>
    <w:p w:rsidR="007B398F" w:rsidRPr="006E50E2" w:rsidP="00104746">
      <w:pPr>
        <w:bidi w:val="0"/>
        <w:spacing w:line="360" w:lineRule="auto"/>
        <w:rPr>
          <w:rFonts w:ascii="Times New Roman" w:hAnsi="Times New Roman"/>
          <w:sz w:val="22"/>
          <w:szCs w:val="22"/>
        </w:rPr>
      </w:pPr>
    </w:p>
    <w:p w:rsidR="00073C56" w:rsidRPr="005D2759">
      <w:pPr>
        <w:pStyle w:val="TOC1"/>
        <w:bidi w:val="0"/>
        <w:rPr>
          <w:rFonts w:ascii="Calibri" w:hAnsi="Calibri"/>
          <w:noProof/>
          <w:sz w:val="22"/>
          <w:szCs w:val="22"/>
        </w:rPr>
      </w:pPr>
      <w:r w:rsidRPr="009B2031" w:rsidR="0011768B">
        <w:rPr>
          <w:rFonts w:ascii="Times New Roman" w:hAnsi="Times New Roman"/>
        </w:rPr>
        <w:fldChar w:fldCharType="begin"/>
      </w:r>
      <w:r w:rsidRPr="009B2031" w:rsidR="0011768B">
        <w:rPr>
          <w:rFonts w:ascii="Times New Roman" w:hAnsi="Times New Roman"/>
        </w:rPr>
        <w:instrText xml:space="preserve"> TOC \o "1-3" \h \z \u </w:instrText>
      </w:r>
      <w:r w:rsidRPr="009B2031" w:rsidR="0011768B">
        <w:rPr>
          <w:rFonts w:ascii="Times New Roman" w:hAnsi="Times New Roman"/>
        </w:rPr>
        <w:fldChar w:fldCharType="separate"/>
      </w:r>
      <w:hyperlink w:anchor="_Toc449622818" w:history="1">
        <w:r w:rsidRPr="000A789B">
          <w:rPr>
            <w:rStyle w:val="Hyperlink"/>
            <w:rFonts w:ascii="Times New Roman" w:hAnsi="Times New Roman"/>
            <w:noProof/>
          </w:rPr>
          <w:t>Zhrnutie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_Toc449622818 \h </w:instrText>
        </w:r>
        <w:r>
          <w:rPr>
            <w:rFonts w:ascii="Times New Roman" w:hAnsi="Times New Roman"/>
            <w:noProof/>
            <w:webHidden/>
          </w:rPr>
          <w:fldChar w:fldCharType="separate"/>
        </w:r>
        <w:r w:rsidR="00F74CD9">
          <w:rPr>
            <w:rFonts w:ascii="Times New Roman" w:hAnsi="Times New Roman"/>
            <w:noProof/>
            <w:webHidden/>
          </w:rPr>
          <w:t>2</w:t>
        </w:r>
        <w:r>
          <w:rPr>
            <w:rFonts w:ascii="Times New Roman" w:hAnsi="Times New Roman"/>
            <w:noProof/>
            <w:webHidden/>
          </w:rPr>
          <w:fldChar w:fldCharType="end"/>
        </w:r>
      </w:hyperlink>
    </w:p>
    <w:p w:rsidR="00073C56" w:rsidRPr="005D2759">
      <w:pPr>
        <w:pStyle w:val="TOC1"/>
        <w:bidi w:val="0"/>
        <w:rPr>
          <w:rFonts w:ascii="Calibri" w:hAnsi="Calibri"/>
          <w:noProof/>
          <w:sz w:val="22"/>
          <w:szCs w:val="22"/>
        </w:rPr>
      </w:pPr>
      <w:hyperlink w:anchor="_Toc449622819" w:history="1">
        <w:r w:rsidRPr="000A789B">
          <w:rPr>
            <w:rStyle w:val="Hyperlink"/>
            <w:rFonts w:ascii="Times New Roman" w:hAnsi="Times New Roman"/>
            <w:noProof/>
          </w:rPr>
          <w:t>1.</w:t>
        </w:r>
        <w:r w:rsidRPr="005D2759">
          <w:rPr>
            <w:rFonts w:ascii="Calibri" w:hAnsi="Calibri"/>
            <w:noProof/>
            <w:sz w:val="22"/>
            <w:szCs w:val="22"/>
          </w:rPr>
          <w:tab/>
        </w:r>
        <w:r w:rsidRPr="000A789B">
          <w:rPr>
            <w:rStyle w:val="Hyperlink"/>
            <w:rFonts w:ascii="Times New Roman" w:hAnsi="Times New Roman"/>
            <w:noProof/>
          </w:rPr>
          <w:t>Ekonomický rámec rozpočtového hospodárenia Slovenskej republiky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_Toc449622819 \h </w:instrText>
        </w:r>
        <w:r>
          <w:rPr>
            <w:rFonts w:ascii="Times New Roman" w:hAnsi="Times New Roman"/>
            <w:noProof/>
            <w:webHidden/>
          </w:rPr>
          <w:fldChar w:fldCharType="separate"/>
        </w:r>
        <w:r w:rsidR="00F74CD9">
          <w:rPr>
            <w:rFonts w:ascii="Times New Roman" w:hAnsi="Times New Roman"/>
            <w:noProof/>
            <w:webHidden/>
          </w:rPr>
          <w:t>3</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20" w:history="1">
        <w:r w:rsidRPr="000A789B">
          <w:rPr>
            <w:rStyle w:val="Hyperlink"/>
            <w:rFonts w:ascii="Times New Roman" w:hAnsi="Times New Roman"/>
            <w:noProof/>
          </w:rPr>
          <w:t>1.1.</w:t>
        </w:r>
        <w:r w:rsidRPr="005D2759">
          <w:rPr>
            <w:rFonts w:ascii="Calibri" w:hAnsi="Calibri"/>
            <w:noProof/>
            <w:sz w:val="22"/>
            <w:szCs w:val="22"/>
          </w:rPr>
          <w:tab/>
        </w:r>
        <w:r w:rsidRPr="000A789B">
          <w:rPr>
            <w:rStyle w:val="Hyperlink"/>
            <w:rFonts w:ascii="Times New Roman" w:hAnsi="Times New Roman"/>
            <w:noProof/>
          </w:rPr>
          <w:t>Vonkajšie ekonomické prostredie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_Toc449622820 \h </w:instrText>
        </w:r>
        <w:r>
          <w:rPr>
            <w:rFonts w:ascii="Times New Roman" w:hAnsi="Times New Roman"/>
            <w:noProof/>
            <w:webHidden/>
          </w:rPr>
          <w:fldChar w:fldCharType="separate"/>
        </w:r>
        <w:r w:rsidR="00F74CD9">
          <w:rPr>
            <w:rFonts w:ascii="Times New Roman" w:hAnsi="Times New Roman"/>
            <w:noProof/>
            <w:webHidden/>
          </w:rPr>
          <w:t>3</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21" w:history="1">
        <w:r w:rsidRPr="000A789B">
          <w:rPr>
            <w:rStyle w:val="Hyperlink"/>
            <w:rFonts w:ascii="Times New Roman" w:hAnsi="Times New Roman"/>
            <w:noProof/>
          </w:rPr>
          <w:t>1.2.</w:t>
        </w:r>
        <w:r w:rsidRPr="005D2759">
          <w:rPr>
            <w:rFonts w:ascii="Calibri" w:hAnsi="Calibri"/>
            <w:noProof/>
            <w:sz w:val="22"/>
            <w:szCs w:val="22"/>
          </w:rPr>
          <w:tab/>
        </w:r>
        <w:r w:rsidRPr="000A789B">
          <w:rPr>
            <w:rStyle w:val="Hyperlink"/>
            <w:rFonts w:ascii="Times New Roman" w:hAnsi="Times New Roman"/>
            <w:noProof/>
          </w:rPr>
          <w:t>Makroekonomický vývoj SR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_Toc449622821 \h </w:instrText>
        </w:r>
        <w:r>
          <w:rPr>
            <w:rFonts w:ascii="Times New Roman" w:hAnsi="Times New Roman"/>
            <w:noProof/>
            <w:webHidden/>
          </w:rPr>
          <w:fldChar w:fldCharType="separate"/>
        </w:r>
        <w:r w:rsidR="00F74CD9">
          <w:rPr>
            <w:rFonts w:ascii="Times New Roman" w:hAnsi="Times New Roman"/>
            <w:noProof/>
            <w:webHidden/>
          </w:rPr>
          <w:t>4</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22" w:history="1">
        <w:r w:rsidRPr="000A789B">
          <w:rPr>
            <w:rStyle w:val="Hyperlink"/>
            <w:rFonts w:ascii="Times New Roman" w:hAnsi="Times New Roman"/>
            <w:noProof/>
          </w:rPr>
          <w:t>1.2.1.</w:t>
        </w:r>
        <w:r w:rsidRPr="005D2759">
          <w:rPr>
            <w:rFonts w:ascii="Calibri" w:hAnsi="Calibri"/>
            <w:noProof/>
            <w:sz w:val="22"/>
            <w:szCs w:val="22"/>
          </w:rPr>
          <w:tab/>
        </w:r>
        <w:r w:rsidRPr="000A789B">
          <w:rPr>
            <w:rStyle w:val="Hyperlink"/>
            <w:rFonts w:ascii="Times New Roman" w:hAnsi="Times New Roman"/>
            <w:noProof/>
          </w:rPr>
          <w:t>Hrubý domáci produkt</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_Toc449622822 \h </w:instrText>
        </w:r>
        <w:r>
          <w:rPr>
            <w:rFonts w:ascii="Times New Roman" w:hAnsi="Times New Roman"/>
            <w:noProof/>
            <w:webHidden/>
          </w:rPr>
          <w:fldChar w:fldCharType="separate"/>
        </w:r>
        <w:r w:rsidR="00F74CD9">
          <w:rPr>
            <w:rFonts w:ascii="Times New Roman" w:hAnsi="Times New Roman"/>
            <w:noProof/>
            <w:webHidden/>
          </w:rPr>
          <w:t>4</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23" w:history="1">
        <w:r w:rsidRPr="000A789B">
          <w:rPr>
            <w:rStyle w:val="Hyperlink"/>
            <w:rFonts w:ascii="Times New Roman" w:hAnsi="Times New Roman"/>
            <w:noProof/>
          </w:rPr>
          <w:t>1.2.2.</w:t>
        </w:r>
        <w:r w:rsidRPr="005D2759">
          <w:rPr>
            <w:rFonts w:ascii="Calibri" w:hAnsi="Calibri"/>
            <w:noProof/>
            <w:sz w:val="22"/>
            <w:szCs w:val="22"/>
          </w:rPr>
          <w:tab/>
        </w:r>
        <w:r w:rsidRPr="000A789B">
          <w:rPr>
            <w:rStyle w:val="Hyperlink"/>
            <w:rFonts w:ascii="Times New Roman" w:hAnsi="Times New Roman"/>
            <w:noProof/>
          </w:rPr>
          <w:t>Trh práce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_Toc449622823 \h </w:instrText>
        </w:r>
        <w:r>
          <w:rPr>
            <w:rFonts w:ascii="Times New Roman" w:hAnsi="Times New Roman"/>
            <w:noProof/>
            <w:webHidden/>
          </w:rPr>
          <w:fldChar w:fldCharType="separate"/>
        </w:r>
        <w:r w:rsidR="00F74CD9">
          <w:rPr>
            <w:rFonts w:ascii="Times New Roman" w:hAnsi="Times New Roman"/>
            <w:noProof/>
            <w:webHidden/>
          </w:rPr>
          <w:t>5</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24" w:history="1">
        <w:r w:rsidRPr="000A789B">
          <w:rPr>
            <w:rStyle w:val="Hyperlink"/>
            <w:rFonts w:ascii="Times New Roman" w:hAnsi="Times New Roman"/>
            <w:noProof/>
          </w:rPr>
          <w:t>1.2.3.</w:t>
        </w:r>
        <w:r w:rsidRPr="005D2759">
          <w:rPr>
            <w:rFonts w:ascii="Calibri" w:hAnsi="Calibri"/>
            <w:noProof/>
            <w:sz w:val="22"/>
            <w:szCs w:val="22"/>
          </w:rPr>
          <w:tab/>
        </w:r>
        <w:r w:rsidRPr="000A789B">
          <w:rPr>
            <w:rStyle w:val="Hyperlink"/>
            <w:rFonts w:ascii="Times New Roman" w:hAnsi="Times New Roman"/>
            <w:noProof/>
          </w:rPr>
          <w:t>Vývoj cien</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_Toc449622824 \h </w:instrText>
        </w:r>
        <w:r>
          <w:rPr>
            <w:rFonts w:ascii="Times New Roman" w:hAnsi="Times New Roman"/>
            <w:noProof/>
            <w:webHidden/>
          </w:rPr>
          <w:fldChar w:fldCharType="separate"/>
        </w:r>
        <w:r w:rsidR="00F74CD9">
          <w:rPr>
            <w:rFonts w:ascii="Times New Roman" w:hAnsi="Times New Roman"/>
            <w:noProof/>
            <w:webHidden/>
          </w:rPr>
          <w:t>6</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25" w:history="1">
        <w:r w:rsidRPr="000A789B">
          <w:rPr>
            <w:rStyle w:val="Hyperlink"/>
            <w:rFonts w:ascii="Times New Roman" w:hAnsi="Times New Roman"/>
            <w:noProof/>
          </w:rPr>
          <w:t>1.2.4.</w:t>
        </w:r>
        <w:r w:rsidRPr="005D2759">
          <w:rPr>
            <w:rFonts w:ascii="Calibri" w:hAnsi="Calibri"/>
            <w:noProof/>
            <w:sz w:val="22"/>
            <w:szCs w:val="22"/>
          </w:rPr>
          <w:tab/>
        </w:r>
        <w:r w:rsidRPr="000A789B">
          <w:rPr>
            <w:rStyle w:val="Hyperlink"/>
            <w:rFonts w:ascii="Times New Roman" w:hAnsi="Times New Roman"/>
            <w:noProof/>
          </w:rPr>
          <w:t>Platobná bilancia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_Toc449622825 \h </w:instrText>
        </w:r>
        <w:r>
          <w:rPr>
            <w:rFonts w:ascii="Times New Roman" w:hAnsi="Times New Roman"/>
            <w:noProof/>
            <w:webHidden/>
          </w:rPr>
          <w:fldChar w:fldCharType="separate"/>
        </w:r>
        <w:r w:rsidR="00F74CD9">
          <w:rPr>
            <w:rFonts w:ascii="Times New Roman" w:hAnsi="Times New Roman"/>
            <w:noProof/>
            <w:webHidden/>
          </w:rPr>
          <w:t>6</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26" w:history="1">
        <w:r w:rsidRPr="000A789B">
          <w:rPr>
            <w:rStyle w:val="Hyperlink"/>
            <w:rFonts w:ascii="Times New Roman" w:hAnsi="Times New Roman"/>
            <w:noProof/>
          </w:rPr>
          <w:t>1.2.5.</w:t>
        </w:r>
        <w:r w:rsidRPr="005D2759">
          <w:rPr>
            <w:rFonts w:ascii="Calibri" w:hAnsi="Calibri"/>
            <w:noProof/>
            <w:sz w:val="22"/>
            <w:szCs w:val="22"/>
          </w:rPr>
          <w:tab/>
        </w:r>
        <w:r w:rsidRPr="000A789B">
          <w:rPr>
            <w:rStyle w:val="Hyperlink"/>
            <w:rFonts w:ascii="Times New Roman" w:hAnsi="Times New Roman"/>
            <w:noProof/>
          </w:rPr>
          <w:t>Porovnanie makroekonomických predpokladov rozpočtu a skutočnosti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_Toc449622826 \h </w:instrText>
        </w:r>
        <w:r>
          <w:rPr>
            <w:rFonts w:ascii="Times New Roman" w:hAnsi="Times New Roman"/>
            <w:noProof/>
            <w:webHidden/>
          </w:rPr>
          <w:fldChar w:fldCharType="separate"/>
        </w:r>
        <w:r w:rsidR="00F74CD9">
          <w:rPr>
            <w:rFonts w:ascii="Times New Roman" w:hAnsi="Times New Roman"/>
            <w:noProof/>
            <w:webHidden/>
          </w:rPr>
          <w:t>7</w:t>
        </w:r>
        <w:r>
          <w:rPr>
            <w:rFonts w:ascii="Times New Roman" w:hAnsi="Times New Roman"/>
            <w:noProof/>
            <w:webHidden/>
          </w:rPr>
          <w:fldChar w:fldCharType="end"/>
        </w:r>
      </w:hyperlink>
    </w:p>
    <w:p w:rsidR="00073C56" w:rsidRPr="005D2759">
      <w:pPr>
        <w:pStyle w:val="TOC1"/>
        <w:bidi w:val="0"/>
        <w:rPr>
          <w:rFonts w:ascii="Calibri" w:hAnsi="Calibri"/>
          <w:noProof/>
          <w:sz w:val="22"/>
          <w:szCs w:val="22"/>
        </w:rPr>
      </w:pPr>
      <w:hyperlink w:anchor="_Toc449622827" w:history="1">
        <w:r w:rsidRPr="000A789B">
          <w:rPr>
            <w:rStyle w:val="Hyperlink"/>
            <w:rFonts w:ascii="Times New Roman" w:hAnsi="Times New Roman"/>
            <w:noProof/>
          </w:rPr>
          <w:t>2.</w:t>
        </w:r>
        <w:r w:rsidRPr="005D2759">
          <w:rPr>
            <w:rFonts w:ascii="Calibri" w:hAnsi="Calibri"/>
            <w:noProof/>
            <w:sz w:val="22"/>
            <w:szCs w:val="22"/>
          </w:rPr>
          <w:tab/>
        </w:r>
        <w:r w:rsidRPr="000A789B">
          <w:rPr>
            <w:rStyle w:val="Hyperlink"/>
            <w:rFonts w:ascii="Times New Roman" w:hAnsi="Times New Roman"/>
            <w:noProof/>
          </w:rPr>
          <w:t>Hospodárenie verejnej správy v metodike ESA 2010</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_Toc449622827 \h </w:instrText>
        </w:r>
        <w:r>
          <w:rPr>
            <w:rFonts w:ascii="Times New Roman" w:hAnsi="Times New Roman"/>
            <w:noProof/>
            <w:webHidden/>
          </w:rPr>
          <w:fldChar w:fldCharType="separate"/>
        </w:r>
        <w:r w:rsidR="00F74CD9">
          <w:rPr>
            <w:rFonts w:ascii="Times New Roman" w:hAnsi="Times New Roman"/>
            <w:noProof/>
            <w:webHidden/>
          </w:rPr>
          <w:t>8</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28" w:history="1">
        <w:r w:rsidRPr="000A789B">
          <w:rPr>
            <w:rStyle w:val="Hyperlink"/>
            <w:rFonts w:ascii="Times New Roman" w:hAnsi="Times New Roman"/>
            <w:noProof/>
          </w:rPr>
          <w:t>2.1.</w:t>
        </w:r>
        <w:r w:rsidRPr="005D2759">
          <w:rPr>
            <w:rFonts w:ascii="Calibri" w:hAnsi="Calibri"/>
            <w:noProof/>
            <w:sz w:val="22"/>
            <w:szCs w:val="22"/>
          </w:rPr>
          <w:tab/>
        </w:r>
        <w:r w:rsidRPr="000A789B">
          <w:rPr>
            <w:rStyle w:val="Hyperlink"/>
            <w:rFonts w:ascii="Times New Roman" w:hAnsi="Times New Roman"/>
            <w:noProof/>
          </w:rPr>
          <w:t>Saldo verejnej správy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_Toc449622828 \h </w:instrText>
        </w:r>
        <w:r>
          <w:rPr>
            <w:rFonts w:ascii="Times New Roman" w:hAnsi="Times New Roman"/>
            <w:noProof/>
            <w:webHidden/>
          </w:rPr>
          <w:fldChar w:fldCharType="separate"/>
        </w:r>
        <w:r w:rsidR="00F74CD9">
          <w:rPr>
            <w:rFonts w:ascii="Times New Roman" w:hAnsi="Times New Roman"/>
            <w:noProof/>
            <w:webHidden/>
          </w:rPr>
          <w:t>8</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29" w:history="1">
        <w:r w:rsidRPr="000A789B">
          <w:rPr>
            <w:rStyle w:val="Hyperlink"/>
            <w:rFonts w:ascii="Times New Roman" w:hAnsi="Times New Roman"/>
            <w:noProof/>
          </w:rPr>
          <w:t>2.2.</w:t>
        </w:r>
        <w:r w:rsidRPr="005D2759">
          <w:rPr>
            <w:rFonts w:ascii="Calibri" w:hAnsi="Calibri"/>
            <w:noProof/>
            <w:sz w:val="22"/>
            <w:szCs w:val="22"/>
          </w:rPr>
          <w:tab/>
        </w:r>
        <w:r w:rsidRPr="000A789B">
          <w:rPr>
            <w:rStyle w:val="Hyperlink"/>
            <w:rFonts w:ascii="Times New Roman" w:hAnsi="Times New Roman"/>
            <w:noProof/>
          </w:rPr>
          <w:t>Dlh verejnej správy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_Toc449622829 \h </w:instrText>
        </w:r>
        <w:r>
          <w:rPr>
            <w:rFonts w:ascii="Times New Roman" w:hAnsi="Times New Roman"/>
            <w:noProof/>
            <w:webHidden/>
          </w:rPr>
          <w:fldChar w:fldCharType="separate"/>
        </w:r>
        <w:r w:rsidR="00F74CD9">
          <w:rPr>
            <w:rFonts w:ascii="Times New Roman" w:hAnsi="Times New Roman"/>
            <w:noProof/>
            <w:webHidden/>
          </w:rPr>
          <w:t>17</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30" w:history="1">
        <w:r w:rsidRPr="000A789B">
          <w:rPr>
            <w:rStyle w:val="Hyperlink"/>
            <w:rFonts w:ascii="Times New Roman" w:hAnsi="Times New Roman"/>
            <w:noProof/>
          </w:rPr>
          <w:t>2.3.</w:t>
        </w:r>
        <w:r w:rsidRPr="005D2759">
          <w:rPr>
            <w:rFonts w:ascii="Calibri" w:hAnsi="Calibri"/>
            <w:noProof/>
            <w:sz w:val="22"/>
            <w:szCs w:val="22"/>
          </w:rPr>
          <w:tab/>
        </w:r>
        <w:r w:rsidRPr="000A789B">
          <w:rPr>
            <w:rStyle w:val="Hyperlink"/>
            <w:rFonts w:ascii="Times New Roman" w:hAnsi="Times New Roman"/>
            <w:noProof/>
          </w:rPr>
          <w:t>Vybrané vplyvy na saldo a dlh verejnej správy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_Toc449622830 \h </w:instrText>
        </w:r>
        <w:r>
          <w:rPr>
            <w:rFonts w:ascii="Times New Roman" w:hAnsi="Times New Roman"/>
            <w:noProof/>
            <w:webHidden/>
          </w:rPr>
          <w:fldChar w:fldCharType="separate"/>
        </w:r>
        <w:r w:rsidR="00F74CD9">
          <w:rPr>
            <w:rFonts w:ascii="Times New Roman" w:hAnsi="Times New Roman"/>
            <w:noProof/>
            <w:webHidden/>
          </w:rPr>
          <w:t>18</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31" w:history="1">
        <w:r w:rsidRPr="000A789B">
          <w:rPr>
            <w:rStyle w:val="Hyperlink"/>
            <w:rFonts w:ascii="Times New Roman" w:hAnsi="Times New Roman"/>
            <w:noProof/>
          </w:rPr>
          <w:t>2.4.</w:t>
        </w:r>
        <w:r w:rsidRPr="005D2759">
          <w:rPr>
            <w:rFonts w:ascii="Calibri" w:hAnsi="Calibri"/>
            <w:noProof/>
            <w:sz w:val="22"/>
            <w:szCs w:val="22"/>
          </w:rPr>
          <w:tab/>
        </w:r>
        <w:r w:rsidRPr="000A789B">
          <w:rPr>
            <w:rStyle w:val="Hyperlink"/>
            <w:rFonts w:ascii="Times New Roman" w:hAnsi="Times New Roman"/>
            <w:noProof/>
          </w:rPr>
          <w:t>Porovnanie salda a dlhu verejnej správy v Európskej únii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_Toc449622831 \h </w:instrText>
        </w:r>
        <w:r>
          <w:rPr>
            <w:rFonts w:ascii="Times New Roman" w:hAnsi="Times New Roman"/>
            <w:noProof/>
            <w:webHidden/>
          </w:rPr>
          <w:fldChar w:fldCharType="separate"/>
        </w:r>
        <w:r w:rsidR="00F74CD9">
          <w:rPr>
            <w:rFonts w:ascii="Times New Roman" w:hAnsi="Times New Roman"/>
            <w:noProof/>
            <w:webHidden/>
          </w:rPr>
          <w:t>19</w:t>
        </w:r>
        <w:r>
          <w:rPr>
            <w:rFonts w:ascii="Times New Roman" w:hAnsi="Times New Roman"/>
            <w:noProof/>
            <w:webHidden/>
          </w:rPr>
          <w:fldChar w:fldCharType="end"/>
        </w:r>
      </w:hyperlink>
    </w:p>
    <w:p w:rsidR="00073C56" w:rsidRPr="005D2759">
      <w:pPr>
        <w:pStyle w:val="TOC1"/>
        <w:bidi w:val="0"/>
        <w:rPr>
          <w:rFonts w:ascii="Calibri" w:hAnsi="Calibri"/>
          <w:noProof/>
          <w:sz w:val="22"/>
          <w:szCs w:val="22"/>
        </w:rPr>
      </w:pPr>
      <w:hyperlink w:anchor="_Toc449622832" w:history="1">
        <w:r w:rsidRPr="000A789B">
          <w:rPr>
            <w:rStyle w:val="Hyperlink"/>
            <w:rFonts w:ascii="Times New Roman" w:hAnsi="Times New Roman"/>
            <w:noProof/>
          </w:rPr>
          <w:t>3.</w:t>
        </w:r>
        <w:r w:rsidRPr="005D2759">
          <w:rPr>
            <w:rFonts w:ascii="Calibri" w:hAnsi="Calibri"/>
            <w:noProof/>
            <w:sz w:val="22"/>
            <w:szCs w:val="22"/>
          </w:rPr>
          <w:tab/>
        </w:r>
        <w:r w:rsidRPr="000A789B">
          <w:rPr>
            <w:rStyle w:val="Hyperlink"/>
            <w:rFonts w:ascii="Times New Roman" w:hAnsi="Times New Roman"/>
            <w:noProof/>
          </w:rPr>
          <w:t>Hospodárenie štátneho rozpočtu na hotovostnej báze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_Toc449622832 \h </w:instrText>
        </w:r>
        <w:r>
          <w:rPr>
            <w:rFonts w:ascii="Times New Roman" w:hAnsi="Times New Roman"/>
            <w:noProof/>
            <w:webHidden/>
          </w:rPr>
          <w:fldChar w:fldCharType="separate"/>
        </w:r>
        <w:r w:rsidR="00F74CD9">
          <w:rPr>
            <w:rFonts w:ascii="Times New Roman" w:hAnsi="Times New Roman"/>
            <w:noProof/>
            <w:webHidden/>
          </w:rPr>
          <w:t>21</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33" w:history="1">
        <w:r w:rsidRPr="000A789B">
          <w:rPr>
            <w:rStyle w:val="Hyperlink"/>
            <w:rFonts w:ascii="Times New Roman" w:hAnsi="Times New Roman"/>
            <w:noProof/>
          </w:rPr>
          <w:t>3.1.</w:t>
        </w:r>
        <w:r w:rsidRPr="005D2759">
          <w:rPr>
            <w:rFonts w:ascii="Calibri" w:hAnsi="Calibri"/>
            <w:noProof/>
            <w:sz w:val="22"/>
            <w:szCs w:val="22"/>
          </w:rPr>
          <w:tab/>
        </w:r>
        <w:r w:rsidRPr="000A789B">
          <w:rPr>
            <w:rStyle w:val="Hyperlink"/>
            <w:rFonts w:ascii="Times New Roman" w:hAnsi="Times New Roman"/>
            <w:noProof/>
          </w:rPr>
          <w:t>Príjmy štátneho rozpočtu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_Toc449622833 \h </w:instrText>
        </w:r>
        <w:r>
          <w:rPr>
            <w:rFonts w:ascii="Times New Roman" w:hAnsi="Times New Roman"/>
            <w:noProof/>
            <w:webHidden/>
          </w:rPr>
          <w:fldChar w:fldCharType="separate"/>
        </w:r>
        <w:r w:rsidR="00F74CD9">
          <w:rPr>
            <w:rFonts w:ascii="Times New Roman" w:hAnsi="Times New Roman"/>
            <w:noProof/>
            <w:webHidden/>
          </w:rPr>
          <w:t>25</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34" w:history="1">
        <w:r w:rsidRPr="000A789B">
          <w:rPr>
            <w:rStyle w:val="Hyperlink"/>
            <w:rFonts w:ascii="Times New Roman" w:hAnsi="Times New Roman"/>
            <w:noProof/>
          </w:rPr>
          <w:t>3.1.1.</w:t>
        </w:r>
        <w:r w:rsidRPr="005D2759">
          <w:rPr>
            <w:rFonts w:ascii="Calibri" w:hAnsi="Calibri"/>
            <w:noProof/>
            <w:sz w:val="22"/>
            <w:szCs w:val="22"/>
          </w:rPr>
          <w:tab/>
        </w:r>
        <w:r w:rsidRPr="000A789B">
          <w:rPr>
            <w:rStyle w:val="Hyperlink"/>
            <w:rFonts w:ascii="Times New Roman" w:hAnsi="Times New Roman"/>
            <w:noProof/>
          </w:rPr>
          <w:t>Daňové príjmy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_Toc449622834 \h </w:instrText>
        </w:r>
        <w:r>
          <w:rPr>
            <w:rFonts w:ascii="Times New Roman" w:hAnsi="Times New Roman"/>
            <w:noProof/>
            <w:webHidden/>
          </w:rPr>
          <w:fldChar w:fldCharType="separate"/>
        </w:r>
        <w:r w:rsidR="00F74CD9">
          <w:rPr>
            <w:rFonts w:ascii="Times New Roman" w:hAnsi="Times New Roman"/>
            <w:noProof/>
            <w:webHidden/>
          </w:rPr>
          <w:t>25</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35" w:history="1">
        <w:r w:rsidRPr="000A789B">
          <w:rPr>
            <w:rStyle w:val="Hyperlink"/>
            <w:rFonts w:ascii="Times New Roman" w:hAnsi="Times New Roman"/>
            <w:noProof/>
          </w:rPr>
          <w:t>3.1.2.</w:t>
        </w:r>
        <w:r w:rsidRPr="005D2759">
          <w:rPr>
            <w:rFonts w:ascii="Calibri" w:hAnsi="Calibri"/>
            <w:noProof/>
            <w:sz w:val="22"/>
            <w:szCs w:val="22"/>
          </w:rPr>
          <w:tab/>
        </w:r>
        <w:r w:rsidRPr="000A789B">
          <w:rPr>
            <w:rStyle w:val="Hyperlink"/>
            <w:rFonts w:ascii="Times New Roman" w:hAnsi="Times New Roman"/>
            <w:noProof/>
          </w:rPr>
          <w:t>Nedaňové príjmy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_Toc449622835 \h </w:instrText>
        </w:r>
        <w:r>
          <w:rPr>
            <w:rFonts w:ascii="Times New Roman" w:hAnsi="Times New Roman"/>
            <w:noProof/>
            <w:webHidden/>
          </w:rPr>
          <w:fldChar w:fldCharType="separate"/>
        </w:r>
        <w:r w:rsidR="00F74CD9">
          <w:rPr>
            <w:rFonts w:ascii="Times New Roman" w:hAnsi="Times New Roman"/>
            <w:noProof/>
            <w:webHidden/>
          </w:rPr>
          <w:t>28</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36" w:history="1">
        <w:r w:rsidRPr="000A789B">
          <w:rPr>
            <w:rStyle w:val="Hyperlink"/>
            <w:rFonts w:ascii="Times New Roman" w:hAnsi="Times New Roman"/>
            <w:noProof/>
          </w:rPr>
          <w:t>3.1.3.</w:t>
        </w:r>
        <w:r w:rsidRPr="005D2759">
          <w:rPr>
            <w:rFonts w:ascii="Calibri" w:hAnsi="Calibri"/>
            <w:noProof/>
            <w:sz w:val="22"/>
            <w:szCs w:val="22"/>
          </w:rPr>
          <w:tab/>
        </w:r>
        <w:r w:rsidRPr="000A789B">
          <w:rPr>
            <w:rStyle w:val="Hyperlink"/>
            <w:rFonts w:ascii="Times New Roman" w:hAnsi="Times New Roman"/>
            <w:noProof/>
          </w:rPr>
          <w:t>Granty a transfery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_Toc449622836 \h </w:instrText>
        </w:r>
        <w:r>
          <w:rPr>
            <w:rFonts w:ascii="Times New Roman" w:hAnsi="Times New Roman"/>
            <w:noProof/>
            <w:webHidden/>
          </w:rPr>
          <w:fldChar w:fldCharType="separate"/>
        </w:r>
        <w:r w:rsidR="00F74CD9">
          <w:rPr>
            <w:rFonts w:ascii="Times New Roman" w:hAnsi="Times New Roman"/>
            <w:noProof/>
            <w:webHidden/>
          </w:rPr>
          <w:t>33</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37" w:history="1">
        <w:r w:rsidRPr="000A789B">
          <w:rPr>
            <w:rStyle w:val="Hyperlink"/>
            <w:rFonts w:ascii="Times New Roman" w:hAnsi="Times New Roman"/>
            <w:noProof/>
          </w:rPr>
          <w:t>3.2.</w:t>
        </w:r>
        <w:r w:rsidRPr="005D2759">
          <w:rPr>
            <w:rFonts w:ascii="Calibri" w:hAnsi="Calibri"/>
            <w:noProof/>
            <w:sz w:val="22"/>
            <w:szCs w:val="22"/>
          </w:rPr>
          <w:tab/>
        </w:r>
        <w:r w:rsidRPr="000A789B">
          <w:rPr>
            <w:rStyle w:val="Hyperlink"/>
            <w:rFonts w:ascii="Times New Roman" w:hAnsi="Times New Roman"/>
            <w:noProof/>
          </w:rPr>
          <w:t>Výdavky štátneho rozpočtu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_Toc449622837 \h </w:instrText>
        </w:r>
        <w:r>
          <w:rPr>
            <w:rFonts w:ascii="Times New Roman" w:hAnsi="Times New Roman"/>
            <w:noProof/>
            <w:webHidden/>
          </w:rPr>
          <w:fldChar w:fldCharType="separate"/>
        </w:r>
        <w:r w:rsidR="00F74CD9">
          <w:rPr>
            <w:rFonts w:ascii="Times New Roman" w:hAnsi="Times New Roman"/>
            <w:noProof/>
            <w:webHidden/>
          </w:rPr>
          <w:t>34</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38" w:history="1">
        <w:r w:rsidRPr="000A789B">
          <w:rPr>
            <w:rStyle w:val="Hyperlink"/>
            <w:rFonts w:ascii="Times New Roman" w:hAnsi="Times New Roman"/>
            <w:noProof/>
          </w:rPr>
          <w:t>3.2.1.</w:t>
        </w:r>
        <w:r w:rsidRPr="005D2759">
          <w:rPr>
            <w:rFonts w:ascii="Calibri" w:hAnsi="Calibri"/>
            <w:noProof/>
            <w:sz w:val="22"/>
            <w:szCs w:val="22"/>
          </w:rPr>
          <w:tab/>
        </w:r>
        <w:r w:rsidRPr="000A789B">
          <w:rPr>
            <w:rStyle w:val="Hyperlink"/>
            <w:rFonts w:ascii="Times New Roman" w:hAnsi="Times New Roman"/>
            <w:noProof/>
          </w:rPr>
          <w:t>Výdavky štátneho rozpočtu podľa ekonomickej klasifikácie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_Toc449622838 \h </w:instrText>
        </w:r>
        <w:r>
          <w:rPr>
            <w:rFonts w:ascii="Times New Roman" w:hAnsi="Times New Roman"/>
            <w:noProof/>
            <w:webHidden/>
          </w:rPr>
          <w:fldChar w:fldCharType="separate"/>
        </w:r>
        <w:r w:rsidR="00F74CD9">
          <w:rPr>
            <w:rFonts w:ascii="Times New Roman" w:hAnsi="Times New Roman"/>
            <w:noProof/>
            <w:webHidden/>
          </w:rPr>
          <w:t>35</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39" w:history="1">
        <w:r w:rsidRPr="000A789B">
          <w:rPr>
            <w:rStyle w:val="Hyperlink"/>
            <w:rFonts w:ascii="Times New Roman" w:hAnsi="Times New Roman"/>
            <w:noProof/>
          </w:rPr>
          <w:t>3.2.2.</w:t>
        </w:r>
        <w:r w:rsidRPr="005D2759">
          <w:rPr>
            <w:rFonts w:ascii="Calibri" w:hAnsi="Calibri"/>
            <w:noProof/>
            <w:sz w:val="22"/>
            <w:szCs w:val="22"/>
          </w:rPr>
          <w:tab/>
        </w:r>
        <w:r w:rsidRPr="000A789B">
          <w:rPr>
            <w:rStyle w:val="Hyperlink"/>
            <w:rFonts w:ascii="Times New Roman" w:hAnsi="Times New Roman"/>
            <w:noProof/>
          </w:rPr>
          <w:t>Výdavky podľa funkčnej klasifikácie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_Toc449622839 \h </w:instrText>
        </w:r>
        <w:r>
          <w:rPr>
            <w:rFonts w:ascii="Times New Roman" w:hAnsi="Times New Roman"/>
            <w:noProof/>
            <w:webHidden/>
          </w:rPr>
          <w:fldChar w:fldCharType="separate"/>
        </w:r>
        <w:r w:rsidR="00F74CD9">
          <w:rPr>
            <w:rFonts w:ascii="Times New Roman" w:hAnsi="Times New Roman"/>
            <w:noProof/>
            <w:webHidden/>
          </w:rPr>
          <w:t>53</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40" w:history="1">
        <w:r w:rsidRPr="000A789B">
          <w:rPr>
            <w:rStyle w:val="Hyperlink"/>
            <w:rFonts w:ascii="Times New Roman" w:hAnsi="Times New Roman"/>
            <w:noProof/>
          </w:rPr>
          <w:t>3.2.3.</w:t>
        </w:r>
        <w:r w:rsidRPr="005D2759">
          <w:rPr>
            <w:rFonts w:ascii="Calibri" w:hAnsi="Calibri"/>
            <w:noProof/>
            <w:sz w:val="22"/>
            <w:szCs w:val="22"/>
          </w:rPr>
          <w:tab/>
        </w:r>
        <w:r w:rsidRPr="000A789B">
          <w:rPr>
            <w:rStyle w:val="Hyperlink"/>
            <w:rFonts w:ascii="Times New Roman" w:hAnsi="Times New Roman"/>
            <w:noProof/>
          </w:rPr>
          <w:t>Vzťahy štátneho rozpočtu k obciam</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_Toc449622840 \h </w:instrText>
        </w:r>
        <w:r>
          <w:rPr>
            <w:rFonts w:ascii="Times New Roman" w:hAnsi="Times New Roman"/>
            <w:noProof/>
            <w:webHidden/>
          </w:rPr>
          <w:fldChar w:fldCharType="separate"/>
        </w:r>
        <w:r w:rsidR="00F74CD9">
          <w:rPr>
            <w:rFonts w:ascii="Times New Roman" w:hAnsi="Times New Roman"/>
            <w:noProof/>
            <w:webHidden/>
          </w:rPr>
          <w:t>57</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41" w:history="1">
        <w:r w:rsidRPr="000A789B">
          <w:rPr>
            <w:rStyle w:val="Hyperlink"/>
            <w:rFonts w:ascii="Times New Roman" w:hAnsi="Times New Roman"/>
            <w:noProof/>
          </w:rPr>
          <w:t>3.2.4.</w:t>
        </w:r>
        <w:r w:rsidRPr="005D2759">
          <w:rPr>
            <w:rFonts w:ascii="Calibri" w:hAnsi="Calibri"/>
            <w:noProof/>
            <w:sz w:val="22"/>
            <w:szCs w:val="22"/>
          </w:rPr>
          <w:tab/>
        </w:r>
        <w:r w:rsidRPr="000A789B">
          <w:rPr>
            <w:rStyle w:val="Hyperlink"/>
            <w:rFonts w:ascii="Times New Roman" w:hAnsi="Times New Roman"/>
            <w:noProof/>
          </w:rPr>
          <w:t>Vzťahy štátneho rozpočtu k vyšším územným celkom</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_Toc449622841 \h </w:instrText>
        </w:r>
        <w:r>
          <w:rPr>
            <w:rFonts w:ascii="Times New Roman" w:hAnsi="Times New Roman"/>
            <w:noProof/>
            <w:webHidden/>
          </w:rPr>
          <w:fldChar w:fldCharType="separate"/>
        </w:r>
        <w:r w:rsidR="00F74CD9">
          <w:rPr>
            <w:rFonts w:ascii="Times New Roman" w:hAnsi="Times New Roman"/>
            <w:noProof/>
            <w:webHidden/>
          </w:rPr>
          <w:t>60</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42" w:history="1">
        <w:r w:rsidRPr="000A789B">
          <w:rPr>
            <w:rStyle w:val="Hyperlink"/>
            <w:rFonts w:ascii="Times New Roman" w:hAnsi="Times New Roman"/>
            <w:noProof/>
          </w:rPr>
          <w:t>3.2.5.</w:t>
        </w:r>
        <w:r w:rsidRPr="005D2759">
          <w:rPr>
            <w:rFonts w:ascii="Calibri" w:hAnsi="Calibri"/>
            <w:noProof/>
            <w:sz w:val="22"/>
            <w:szCs w:val="22"/>
          </w:rPr>
          <w:tab/>
        </w:r>
        <w:r w:rsidRPr="000A789B">
          <w:rPr>
            <w:rStyle w:val="Hyperlink"/>
            <w:rFonts w:ascii="Times New Roman" w:hAnsi="Times New Roman"/>
            <w:noProof/>
          </w:rPr>
          <w:t>Čerpanie rezerv štátneho rozpočtu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_Toc449622842 \h </w:instrText>
        </w:r>
        <w:r>
          <w:rPr>
            <w:rFonts w:ascii="Times New Roman" w:hAnsi="Times New Roman"/>
            <w:noProof/>
            <w:webHidden/>
          </w:rPr>
          <w:fldChar w:fldCharType="separate"/>
        </w:r>
        <w:r w:rsidR="00F74CD9">
          <w:rPr>
            <w:rFonts w:ascii="Times New Roman" w:hAnsi="Times New Roman"/>
            <w:noProof/>
            <w:webHidden/>
          </w:rPr>
          <w:t>62</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43" w:history="1">
        <w:r w:rsidRPr="000A789B">
          <w:rPr>
            <w:rStyle w:val="Hyperlink"/>
            <w:rFonts w:ascii="Times New Roman" w:hAnsi="Times New Roman"/>
            <w:noProof/>
          </w:rPr>
          <w:t>3.3.</w:t>
        </w:r>
        <w:r w:rsidRPr="005D2759">
          <w:rPr>
            <w:rFonts w:ascii="Calibri" w:hAnsi="Calibri"/>
            <w:noProof/>
            <w:sz w:val="22"/>
            <w:szCs w:val="22"/>
          </w:rPr>
          <w:tab/>
        </w:r>
        <w:r w:rsidRPr="000A789B">
          <w:rPr>
            <w:rStyle w:val="Hyperlink"/>
            <w:rFonts w:ascii="Times New Roman" w:hAnsi="Times New Roman"/>
            <w:noProof/>
          </w:rPr>
          <w:t>Štátne finančné aktíva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_Toc449622843 \h </w:instrText>
        </w:r>
        <w:r>
          <w:rPr>
            <w:rFonts w:ascii="Times New Roman" w:hAnsi="Times New Roman"/>
            <w:noProof/>
            <w:webHidden/>
          </w:rPr>
          <w:fldChar w:fldCharType="separate"/>
        </w:r>
        <w:r w:rsidR="00F74CD9">
          <w:rPr>
            <w:rFonts w:ascii="Times New Roman" w:hAnsi="Times New Roman"/>
            <w:noProof/>
            <w:webHidden/>
          </w:rPr>
          <w:t>63</w:t>
        </w:r>
        <w:r>
          <w:rPr>
            <w:rFonts w:ascii="Times New Roman" w:hAnsi="Times New Roman"/>
            <w:noProof/>
            <w:webHidden/>
          </w:rPr>
          <w:fldChar w:fldCharType="end"/>
        </w:r>
      </w:hyperlink>
    </w:p>
    <w:p w:rsidR="00073C56" w:rsidRPr="005D2759">
      <w:pPr>
        <w:pStyle w:val="TOC2"/>
        <w:bidi w:val="0"/>
        <w:rPr>
          <w:rFonts w:ascii="Calibri" w:hAnsi="Calibri"/>
          <w:noProof/>
          <w:sz w:val="22"/>
          <w:szCs w:val="22"/>
        </w:rPr>
      </w:pPr>
      <w:hyperlink w:anchor="_Toc449622844" w:history="1">
        <w:r w:rsidRPr="000A789B">
          <w:rPr>
            <w:rStyle w:val="Hyperlink"/>
            <w:rFonts w:ascii="Times New Roman" w:hAnsi="Times New Roman"/>
            <w:noProof/>
          </w:rPr>
          <w:t>3.4.</w:t>
        </w:r>
        <w:r w:rsidRPr="005D2759">
          <w:rPr>
            <w:rFonts w:ascii="Calibri" w:hAnsi="Calibri"/>
            <w:noProof/>
            <w:sz w:val="22"/>
            <w:szCs w:val="22"/>
          </w:rPr>
          <w:tab/>
        </w:r>
        <w:r w:rsidRPr="000A789B">
          <w:rPr>
            <w:rStyle w:val="Hyperlink"/>
            <w:rFonts w:ascii="Times New Roman" w:hAnsi="Times New Roman"/>
            <w:noProof/>
          </w:rPr>
          <w:t>Vzťahy štátneho rozpočtu k Európskej únii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_Toc449622844 \h </w:instrText>
        </w:r>
        <w:r>
          <w:rPr>
            <w:rFonts w:ascii="Times New Roman" w:hAnsi="Times New Roman"/>
            <w:noProof/>
            <w:webHidden/>
          </w:rPr>
          <w:fldChar w:fldCharType="separate"/>
        </w:r>
        <w:r w:rsidR="00F74CD9">
          <w:rPr>
            <w:rFonts w:ascii="Times New Roman" w:hAnsi="Times New Roman"/>
            <w:noProof/>
            <w:webHidden/>
          </w:rPr>
          <w:t>65</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45" w:history="1">
        <w:r w:rsidRPr="000A789B">
          <w:rPr>
            <w:rStyle w:val="Hyperlink"/>
            <w:rFonts w:ascii="Times New Roman" w:hAnsi="Times New Roman"/>
            <w:noProof/>
          </w:rPr>
          <w:t>3.4.1.</w:t>
        </w:r>
        <w:r w:rsidRPr="005D2759">
          <w:rPr>
            <w:rFonts w:ascii="Calibri" w:hAnsi="Calibri"/>
            <w:noProof/>
            <w:sz w:val="22"/>
            <w:szCs w:val="22"/>
          </w:rPr>
          <w:tab/>
        </w:r>
        <w:r w:rsidRPr="000A789B">
          <w:rPr>
            <w:rStyle w:val="Hyperlink"/>
            <w:rFonts w:ascii="Times New Roman" w:hAnsi="Times New Roman"/>
            <w:noProof/>
          </w:rPr>
          <w:t>Príjmy z rozpočtu Európskej únie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_Toc449622845 \h </w:instrText>
        </w:r>
        <w:r>
          <w:rPr>
            <w:rFonts w:ascii="Times New Roman" w:hAnsi="Times New Roman"/>
            <w:noProof/>
            <w:webHidden/>
          </w:rPr>
          <w:fldChar w:fldCharType="separate"/>
        </w:r>
        <w:r w:rsidR="00F74CD9">
          <w:rPr>
            <w:rFonts w:ascii="Times New Roman" w:hAnsi="Times New Roman"/>
            <w:noProof/>
            <w:webHidden/>
          </w:rPr>
          <w:t>67</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46" w:history="1">
        <w:r w:rsidRPr="000A789B">
          <w:rPr>
            <w:rStyle w:val="Hyperlink"/>
            <w:rFonts w:ascii="Times New Roman" w:hAnsi="Times New Roman"/>
            <w:noProof/>
          </w:rPr>
          <w:t>3.4.2.</w:t>
        </w:r>
        <w:r w:rsidRPr="005D2759">
          <w:rPr>
            <w:rFonts w:ascii="Calibri" w:hAnsi="Calibri"/>
            <w:noProof/>
            <w:sz w:val="22"/>
            <w:szCs w:val="22"/>
          </w:rPr>
          <w:tab/>
        </w:r>
        <w:r w:rsidRPr="000A789B">
          <w:rPr>
            <w:rStyle w:val="Hyperlink"/>
            <w:rFonts w:ascii="Times New Roman" w:hAnsi="Times New Roman"/>
            <w:noProof/>
          </w:rPr>
          <w:t>Výdavky štátneho rozpočtu rozpočtované vo väzbe na príjmy z Európskej únie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_Toc449622846 \h </w:instrText>
        </w:r>
        <w:r>
          <w:rPr>
            <w:rFonts w:ascii="Times New Roman" w:hAnsi="Times New Roman"/>
            <w:noProof/>
            <w:webHidden/>
          </w:rPr>
          <w:fldChar w:fldCharType="separate"/>
        </w:r>
        <w:r w:rsidR="00F74CD9">
          <w:rPr>
            <w:rFonts w:ascii="Times New Roman" w:hAnsi="Times New Roman"/>
            <w:noProof/>
            <w:webHidden/>
          </w:rPr>
          <w:t>69</w:t>
        </w:r>
        <w:r>
          <w:rPr>
            <w:rFonts w:ascii="Times New Roman" w:hAnsi="Times New Roman"/>
            <w:noProof/>
            <w:webHidden/>
          </w:rPr>
          <w:fldChar w:fldCharType="end"/>
        </w:r>
      </w:hyperlink>
    </w:p>
    <w:p w:rsidR="00073C56" w:rsidRPr="005D2759">
      <w:pPr>
        <w:pStyle w:val="TOC3"/>
        <w:bidi w:val="0"/>
        <w:rPr>
          <w:rFonts w:ascii="Calibri" w:hAnsi="Calibri"/>
          <w:noProof/>
          <w:sz w:val="22"/>
          <w:szCs w:val="22"/>
        </w:rPr>
      </w:pPr>
      <w:hyperlink w:anchor="_Toc449622847" w:history="1">
        <w:r w:rsidRPr="000A789B">
          <w:rPr>
            <w:rStyle w:val="Hyperlink"/>
            <w:rFonts w:ascii="Times New Roman" w:hAnsi="Times New Roman"/>
            <w:noProof/>
          </w:rPr>
          <w:t>3.4.3.</w:t>
        </w:r>
        <w:r w:rsidRPr="005D2759">
          <w:rPr>
            <w:rFonts w:ascii="Calibri" w:hAnsi="Calibri"/>
            <w:noProof/>
            <w:sz w:val="22"/>
            <w:szCs w:val="22"/>
          </w:rPr>
          <w:tab/>
        </w:r>
        <w:r w:rsidRPr="000A789B">
          <w:rPr>
            <w:rStyle w:val="Hyperlink"/>
            <w:rFonts w:ascii="Times New Roman" w:hAnsi="Times New Roman"/>
            <w:noProof/>
          </w:rPr>
          <w:t>Zhrnutie čerpania záväzkov programových období po vstupe SR do Európskej únie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_Toc449622847 \h </w:instrText>
        </w:r>
        <w:r>
          <w:rPr>
            <w:rFonts w:ascii="Times New Roman" w:hAnsi="Times New Roman"/>
            <w:noProof/>
            <w:webHidden/>
          </w:rPr>
          <w:fldChar w:fldCharType="separate"/>
        </w:r>
        <w:r w:rsidR="00F74CD9">
          <w:rPr>
            <w:rFonts w:ascii="Times New Roman" w:hAnsi="Times New Roman"/>
            <w:noProof/>
            <w:webHidden/>
          </w:rPr>
          <w:t>74</w:t>
        </w:r>
        <w:r>
          <w:rPr>
            <w:rFonts w:ascii="Times New Roman" w:hAnsi="Times New Roman"/>
            <w:noProof/>
            <w:webHidden/>
          </w:rPr>
          <w:fldChar w:fldCharType="end"/>
        </w:r>
      </w:hyperlink>
    </w:p>
    <w:p w:rsidR="00073C56" w:rsidRPr="005D2759">
      <w:pPr>
        <w:pStyle w:val="TOC1"/>
        <w:bidi w:val="0"/>
        <w:rPr>
          <w:rFonts w:ascii="Calibri" w:hAnsi="Calibri"/>
          <w:noProof/>
          <w:sz w:val="22"/>
          <w:szCs w:val="22"/>
        </w:rPr>
      </w:pPr>
      <w:hyperlink w:anchor="_Toc449622848" w:history="1">
        <w:r w:rsidRPr="000A789B">
          <w:rPr>
            <w:rStyle w:val="Hyperlink"/>
            <w:rFonts w:ascii="Times New Roman" w:hAnsi="Times New Roman"/>
            <w:noProof/>
          </w:rPr>
          <w:t>4.</w:t>
        </w:r>
        <w:r w:rsidRPr="005D2759">
          <w:rPr>
            <w:rFonts w:ascii="Calibri" w:hAnsi="Calibri"/>
            <w:noProof/>
            <w:sz w:val="22"/>
            <w:szCs w:val="22"/>
          </w:rPr>
          <w:tab/>
        </w:r>
        <w:r w:rsidRPr="000A789B">
          <w:rPr>
            <w:rStyle w:val="Hyperlink"/>
            <w:rFonts w:ascii="Times New Roman" w:hAnsi="Times New Roman"/>
            <w:noProof/>
          </w:rPr>
          <w:t>Tabuľková príloha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_Toc449622848 \h </w:instrText>
        </w:r>
        <w:r>
          <w:rPr>
            <w:rFonts w:ascii="Times New Roman" w:hAnsi="Times New Roman"/>
            <w:noProof/>
            <w:webHidden/>
          </w:rPr>
          <w:fldChar w:fldCharType="separate"/>
        </w:r>
        <w:r w:rsidR="00F74CD9">
          <w:rPr>
            <w:rFonts w:ascii="Times New Roman" w:hAnsi="Times New Roman"/>
            <w:noProof/>
            <w:webHidden/>
          </w:rPr>
          <w:t>75</w:t>
        </w:r>
        <w:r>
          <w:rPr>
            <w:rFonts w:ascii="Times New Roman" w:hAnsi="Times New Roman"/>
            <w:noProof/>
            <w:webHidden/>
          </w:rPr>
          <w:fldChar w:fldCharType="end"/>
        </w:r>
      </w:hyperlink>
    </w:p>
    <w:p w:rsidR="009870A6" w:rsidRPr="006E50E2" w:rsidP="00480BB4">
      <w:pPr>
        <w:bidi w:val="0"/>
        <w:ind w:left="1416" w:firstLine="708"/>
        <w:rPr>
          <w:rFonts w:ascii="Times New Roman" w:hAnsi="Times New Roman"/>
          <w:sz w:val="22"/>
          <w:szCs w:val="22"/>
        </w:rPr>
      </w:pPr>
      <w:r w:rsidRPr="009B2031" w:rsidR="0011768B">
        <w:rPr>
          <w:rFonts w:ascii="Times New Roman" w:hAnsi="Times New Roman"/>
        </w:rPr>
        <w:fldChar w:fldCharType="end"/>
      </w:r>
    </w:p>
    <w:p w:rsidR="00BD3433" w:rsidRPr="006E50E2" w:rsidP="009B2031">
      <w:pPr>
        <w:bidi w:val="0"/>
        <w:jc w:val="both"/>
        <w:rPr>
          <w:rFonts w:ascii="Times New Roman" w:hAnsi="Times New Roman"/>
          <w:sz w:val="22"/>
          <w:szCs w:val="22"/>
        </w:rPr>
        <w:sectPr w:rsidSect="00B53EA0">
          <w:footerReference w:type="default" r:id="rId6"/>
          <w:footerReference w:type="first" r:id="rId7"/>
          <w:pgSz w:w="11907" w:h="16840" w:code="9"/>
          <w:pgMar w:top="1134" w:right="1701" w:bottom="1134" w:left="284" w:header="709" w:footer="709" w:gutter="1134"/>
          <w:lnNumType w:distance="0"/>
          <w:cols w:space="708"/>
          <w:noEndnote w:val="0"/>
          <w:bidi w:val="0"/>
          <w:docGrid w:linePitch="360"/>
        </w:sectPr>
      </w:pPr>
    </w:p>
    <w:p w:rsidR="004C7E84" w:rsidP="004C7E84">
      <w:pPr>
        <w:pStyle w:val="Heading1"/>
        <w:numPr>
          <w:numId w:val="0"/>
        </w:numPr>
        <w:bidi w:val="0"/>
        <w:ind w:firstLine="0"/>
        <w:jc w:val="both"/>
        <w:rPr>
          <w:rFonts w:ascii="Times New Roman" w:hAnsi="Times New Roman"/>
          <w:lang w:val="sk-SK"/>
        </w:rPr>
      </w:pPr>
      <w:bookmarkStart w:id="0" w:name="_Toc370908622"/>
      <w:bookmarkStart w:id="1" w:name="_Toc385230566"/>
      <w:bookmarkStart w:id="2" w:name="_Toc385246510"/>
      <w:bookmarkStart w:id="3" w:name="_Toc449622818"/>
      <w:r w:rsidRPr="00E83CA3">
        <w:rPr>
          <w:rFonts w:ascii="Times New Roman" w:hAnsi="Times New Roman"/>
        </w:rPr>
        <w:t>Zhrnutie</w:t>
      </w:r>
      <w:bookmarkEnd w:id="3"/>
      <w:r w:rsidRPr="001550F7">
        <w:rPr>
          <w:rFonts w:ascii="Times New Roman" w:hAnsi="Times New Roman"/>
          <w:b w:val="0"/>
          <w:bCs w:val="0"/>
        </w:rPr>
        <w:t xml:space="preserve"> </w:t>
      </w:r>
      <w:bookmarkEnd w:id="0"/>
      <w:bookmarkEnd w:id="1"/>
      <w:bookmarkEnd w:id="2"/>
    </w:p>
    <w:p w:rsidR="00D90143" w:rsidP="003C2255">
      <w:pPr>
        <w:numPr>
          <w:numId w:val="37"/>
        </w:numPr>
        <w:bidi w:val="0"/>
        <w:spacing w:after="120" w:line="336" w:lineRule="auto"/>
        <w:jc w:val="both"/>
        <w:rPr>
          <w:rFonts w:ascii="Times New Roman" w:hAnsi="Times New Roman"/>
          <w:sz w:val="22"/>
          <w:szCs w:val="22"/>
        </w:rPr>
      </w:pPr>
      <w:r w:rsidRPr="004306BC" w:rsidR="003C2255">
        <w:rPr>
          <w:rFonts w:ascii="Times New Roman" w:hAnsi="Times New Roman"/>
          <w:b/>
          <w:sz w:val="22"/>
          <w:szCs w:val="22"/>
        </w:rPr>
        <w:t>Schodok verejnej správy</w:t>
      </w:r>
      <w:r w:rsidRPr="004306BC" w:rsidR="003C2255">
        <w:rPr>
          <w:rFonts w:ascii="Times New Roman" w:hAnsi="Times New Roman"/>
          <w:sz w:val="22"/>
          <w:szCs w:val="22"/>
        </w:rPr>
        <w:t xml:space="preserve"> podľa metodiky ESA 2010 </w:t>
      </w:r>
      <w:r w:rsidRPr="004306BC" w:rsidR="003C2255">
        <w:rPr>
          <w:rFonts w:ascii="Times New Roman" w:hAnsi="Times New Roman"/>
          <w:b/>
          <w:sz w:val="22"/>
          <w:szCs w:val="22"/>
        </w:rPr>
        <w:t>dosiahol v roku 2015</w:t>
      </w:r>
      <w:r w:rsidRPr="004306BC" w:rsidR="003C2255">
        <w:rPr>
          <w:rFonts w:ascii="Times New Roman" w:hAnsi="Times New Roman"/>
          <w:sz w:val="22"/>
          <w:szCs w:val="22"/>
        </w:rPr>
        <w:t xml:space="preserve"> úroveň </w:t>
      </w:r>
      <w:r w:rsidRPr="004306BC" w:rsidR="003C2255">
        <w:rPr>
          <w:rFonts w:ascii="Times New Roman" w:hAnsi="Times New Roman"/>
          <w:b/>
          <w:sz w:val="22"/>
          <w:szCs w:val="22"/>
        </w:rPr>
        <w:t>2 318 236 tis. eur (2,97 % HDP)</w:t>
      </w:r>
      <w:r w:rsidRPr="004306BC" w:rsidR="003C2255">
        <w:rPr>
          <w:rFonts w:ascii="Times New Roman" w:hAnsi="Times New Roman"/>
          <w:sz w:val="22"/>
          <w:szCs w:val="22"/>
        </w:rPr>
        <w:t>. Schodok bol vyšší oproti rozpočtovanej hodnote na rok 2015 o 0,48 % HDP a </w:t>
      </w:r>
      <w:r w:rsidRPr="004306BC" w:rsidR="003C2255">
        <w:rPr>
          <w:rFonts w:ascii="Times New Roman" w:hAnsi="Times New Roman"/>
          <w:b/>
          <w:sz w:val="22"/>
          <w:szCs w:val="22"/>
        </w:rPr>
        <w:t>oproti predchádzajúcemu roku 2014 bol vyšší o 0,27 % HDP</w:t>
      </w:r>
      <w:r w:rsidRPr="004306BC" w:rsidR="003C2255">
        <w:rPr>
          <w:rFonts w:ascii="Times New Roman" w:hAnsi="Times New Roman"/>
          <w:sz w:val="22"/>
          <w:szCs w:val="22"/>
        </w:rPr>
        <w:t>.</w:t>
      </w:r>
      <w:r w:rsidRPr="004306BC" w:rsidR="00971431">
        <w:rPr>
          <w:rFonts w:ascii="Times New Roman" w:hAnsi="Times New Roman"/>
          <w:sz w:val="22"/>
          <w:szCs w:val="22"/>
        </w:rPr>
        <w:t xml:space="preserve"> </w:t>
      </w:r>
    </w:p>
    <w:p w:rsidR="003C2255" w:rsidRPr="004306BC" w:rsidP="003C2255">
      <w:pPr>
        <w:numPr>
          <w:numId w:val="37"/>
        </w:numPr>
        <w:bidi w:val="0"/>
        <w:spacing w:after="120" w:line="336" w:lineRule="auto"/>
        <w:jc w:val="both"/>
        <w:rPr>
          <w:rFonts w:ascii="Times New Roman" w:hAnsi="Times New Roman"/>
          <w:sz w:val="22"/>
          <w:szCs w:val="22"/>
        </w:rPr>
      </w:pPr>
      <w:r w:rsidRPr="004306BC" w:rsidR="004306BC">
        <w:rPr>
          <w:rFonts w:ascii="Times New Roman" w:hAnsi="Times New Roman"/>
          <w:sz w:val="22"/>
          <w:szCs w:val="22"/>
        </w:rPr>
        <w:t>Rozpočet verejnej správy bol v roku 2015 ovplyvnený viacerými faktormi. Na príjmy rozpočtu pozitívne vplýval rast ekonomiky SR s tým súvisiaci rast zamestnanosti, lepší výber daní a čerpanie EÚ fondov. Daňové príjmy boli lepšie oproti rozpo</w:t>
      </w:r>
      <w:r w:rsidR="004306BC">
        <w:rPr>
          <w:rFonts w:ascii="Times New Roman" w:hAnsi="Times New Roman"/>
          <w:sz w:val="22"/>
          <w:szCs w:val="22"/>
        </w:rPr>
        <w:t>čtovanej hodnote o </w:t>
      </w:r>
      <w:r w:rsidRPr="00E11890" w:rsidR="004306BC">
        <w:rPr>
          <w:rFonts w:ascii="Times New Roman" w:hAnsi="Times New Roman"/>
          <w:sz w:val="22"/>
          <w:szCs w:val="22"/>
        </w:rPr>
        <w:t>590 554 tis</w:t>
      </w:r>
      <w:r w:rsidR="004306BC">
        <w:rPr>
          <w:rFonts w:ascii="Times New Roman" w:hAnsi="Times New Roman"/>
          <w:sz w:val="22"/>
          <w:szCs w:val="22"/>
        </w:rPr>
        <w:t>. </w:t>
      </w:r>
      <w:r w:rsidRPr="004306BC" w:rsidR="004306BC">
        <w:rPr>
          <w:rFonts w:ascii="Times New Roman" w:hAnsi="Times New Roman"/>
          <w:sz w:val="22"/>
          <w:szCs w:val="22"/>
        </w:rPr>
        <w:t>eur a odvody boli lepšie o </w:t>
      </w:r>
      <w:r w:rsidRPr="00E11890" w:rsidR="004306BC">
        <w:rPr>
          <w:rFonts w:ascii="Times New Roman" w:hAnsi="Times New Roman"/>
          <w:sz w:val="22"/>
          <w:szCs w:val="22"/>
        </w:rPr>
        <w:t>384 161 tis</w:t>
      </w:r>
      <w:r w:rsidRPr="004306BC" w:rsidR="004306BC">
        <w:rPr>
          <w:rFonts w:ascii="Times New Roman" w:hAnsi="Times New Roman"/>
          <w:sz w:val="22"/>
          <w:szCs w:val="22"/>
        </w:rPr>
        <w:t>. eur. Celkové nedaňové</w:t>
      </w:r>
      <w:r w:rsidR="004306BC">
        <w:rPr>
          <w:rFonts w:ascii="Times New Roman" w:hAnsi="Times New Roman"/>
          <w:sz w:val="22"/>
          <w:szCs w:val="22"/>
        </w:rPr>
        <w:t xml:space="preserve"> príjmy boli vyššie o 1 </w:t>
      </w:r>
      <w:r w:rsidR="003A662E">
        <w:rPr>
          <w:rFonts w:ascii="Times New Roman" w:hAnsi="Times New Roman"/>
          <w:sz w:val="22"/>
          <w:szCs w:val="22"/>
        </w:rPr>
        <w:t>255</w:t>
      </w:r>
      <w:r w:rsidR="004306BC">
        <w:rPr>
          <w:rFonts w:ascii="Times New Roman" w:hAnsi="Times New Roman"/>
          <w:sz w:val="22"/>
          <w:szCs w:val="22"/>
        </w:rPr>
        <w:t> </w:t>
      </w:r>
      <w:r w:rsidR="003A662E">
        <w:rPr>
          <w:rFonts w:ascii="Times New Roman" w:hAnsi="Times New Roman"/>
          <w:sz w:val="22"/>
          <w:szCs w:val="22"/>
        </w:rPr>
        <w:t>936</w:t>
      </w:r>
      <w:r w:rsidR="004306BC">
        <w:rPr>
          <w:rFonts w:ascii="Times New Roman" w:hAnsi="Times New Roman"/>
          <w:sz w:val="22"/>
          <w:szCs w:val="22"/>
        </w:rPr>
        <w:t> </w:t>
      </w:r>
      <w:r w:rsidRPr="004306BC" w:rsidR="004306BC">
        <w:rPr>
          <w:rFonts w:ascii="Times New Roman" w:hAnsi="Times New Roman"/>
          <w:sz w:val="22"/>
          <w:szCs w:val="22"/>
        </w:rPr>
        <w:t>tis. eur, niektoré nedaňové príjmy však nedosiahli rozpočtovanú hodnotu. Ide napríklad o dividendy a kapitálové príjmy štátneho rozpočtu, ktoré boli nižšie o </w:t>
      </w:r>
      <w:r w:rsidRPr="00E11890" w:rsidR="004306BC">
        <w:rPr>
          <w:rFonts w:ascii="Times New Roman" w:hAnsi="Times New Roman"/>
          <w:sz w:val="22"/>
          <w:szCs w:val="22"/>
        </w:rPr>
        <w:t>221 653</w:t>
      </w:r>
      <w:r w:rsidR="004306BC">
        <w:rPr>
          <w:rFonts w:ascii="Times New Roman" w:hAnsi="Times New Roman"/>
          <w:sz w:val="22"/>
          <w:szCs w:val="22"/>
        </w:rPr>
        <w:t> tis. </w:t>
      </w:r>
      <w:r w:rsidRPr="004306BC" w:rsidR="004306BC">
        <w:rPr>
          <w:rFonts w:ascii="Times New Roman" w:hAnsi="Times New Roman"/>
          <w:sz w:val="22"/>
          <w:szCs w:val="22"/>
        </w:rPr>
        <w:t>eur.</w:t>
      </w:r>
      <w:r w:rsidRPr="004306BC" w:rsidR="004306BC">
        <w:rPr>
          <w:rFonts w:ascii="Times New Roman" w:hAnsi="Times New Roman"/>
          <w:color w:val="1F497D"/>
          <w:sz w:val="22"/>
          <w:szCs w:val="22"/>
        </w:rPr>
        <w:t xml:space="preserve"> </w:t>
      </w:r>
      <w:r w:rsidRPr="004306BC" w:rsidR="004306BC">
        <w:rPr>
          <w:rFonts w:ascii="Times New Roman" w:hAnsi="Times New Roman"/>
          <w:sz w:val="22"/>
          <w:szCs w:val="22"/>
        </w:rPr>
        <w:t>Historicky najvyššie čerpanie EÚ prostriedkov sa odrazilo aj na dosiahnutých príjmoch z grantov a transferov, ktoré boli vyššie o </w:t>
      </w:r>
      <w:r w:rsidR="003A662E">
        <w:rPr>
          <w:rFonts w:ascii="Times New Roman" w:hAnsi="Times New Roman"/>
          <w:sz w:val="22"/>
          <w:szCs w:val="22"/>
        </w:rPr>
        <w:t>3</w:t>
      </w:r>
      <w:r w:rsidRPr="004306BC" w:rsidR="004306BC">
        <w:rPr>
          <w:rFonts w:ascii="Times New Roman" w:hAnsi="Times New Roman"/>
          <w:sz w:val="22"/>
          <w:szCs w:val="22"/>
        </w:rPr>
        <w:t> </w:t>
      </w:r>
      <w:r w:rsidR="003A662E">
        <w:rPr>
          <w:rFonts w:ascii="Times New Roman" w:hAnsi="Times New Roman"/>
          <w:sz w:val="22"/>
          <w:szCs w:val="22"/>
        </w:rPr>
        <w:t>324</w:t>
      </w:r>
      <w:r w:rsidRPr="004306BC" w:rsidR="004306BC">
        <w:rPr>
          <w:rFonts w:ascii="Times New Roman" w:hAnsi="Times New Roman"/>
          <w:sz w:val="22"/>
          <w:szCs w:val="22"/>
        </w:rPr>
        <w:t> </w:t>
      </w:r>
      <w:r w:rsidR="003A662E">
        <w:rPr>
          <w:rFonts w:ascii="Times New Roman" w:hAnsi="Times New Roman"/>
          <w:sz w:val="22"/>
          <w:szCs w:val="22"/>
        </w:rPr>
        <w:t>784</w:t>
      </w:r>
      <w:r w:rsidRPr="004306BC" w:rsidR="004306BC">
        <w:rPr>
          <w:rFonts w:ascii="Times New Roman" w:hAnsi="Times New Roman"/>
          <w:sz w:val="22"/>
          <w:szCs w:val="22"/>
        </w:rPr>
        <w:t xml:space="preserve"> tis. eur. Na strane výdavkov boli vyššie ako bežné tak aj kapitálové výdavky, a to najmä v ústrednej správe z dôvodu čerpania EÚ prostriedkov, ktoré smerovali do dopravnej infraštruktúry, náku</w:t>
      </w:r>
      <w:r w:rsidR="002D599E">
        <w:rPr>
          <w:rFonts w:ascii="Times New Roman" w:hAnsi="Times New Roman"/>
          <w:sz w:val="22"/>
          <w:szCs w:val="22"/>
        </w:rPr>
        <w:t xml:space="preserve">pu nových strojov a zariadení. </w:t>
      </w:r>
      <w:r w:rsidRPr="004306BC" w:rsidR="004306BC">
        <w:rPr>
          <w:rFonts w:ascii="Times New Roman" w:hAnsi="Times New Roman"/>
          <w:sz w:val="22"/>
          <w:szCs w:val="22"/>
        </w:rPr>
        <w:t>Vyšší deficit rozpočtu verejnej správy oproti jeho rozpočtovanej hodnote je výsledkom aj rozhodnutia Eurostatu, ktorý napriek konzultáciám neuznal príjmy splátok návratnej</w:t>
      </w:r>
      <w:r w:rsidRPr="004306BC" w:rsidR="004306BC">
        <w:rPr>
          <w:rFonts w:ascii="Times New Roman" w:hAnsi="Times New Roman"/>
          <w:color w:val="1F497D"/>
          <w:sz w:val="22"/>
          <w:szCs w:val="22"/>
        </w:rPr>
        <w:t xml:space="preserve"> </w:t>
      </w:r>
      <w:r w:rsidRPr="004306BC" w:rsidR="004306BC">
        <w:rPr>
          <w:rFonts w:ascii="Times New Roman" w:hAnsi="Times New Roman"/>
          <w:sz w:val="22"/>
          <w:szCs w:val="22"/>
        </w:rPr>
        <w:t>finančnej výpomoci od Železničnej spoločnosti Cargo, a.s. a príjmy ŠFRB pochádzajúce z prostriedkov EÚ.</w:t>
      </w:r>
    </w:p>
    <w:p w:rsidR="00D90143" w:rsidP="003C2255">
      <w:pPr>
        <w:numPr>
          <w:numId w:val="37"/>
        </w:numPr>
        <w:bidi w:val="0"/>
        <w:spacing w:after="120" w:line="336" w:lineRule="auto"/>
        <w:jc w:val="both"/>
        <w:rPr>
          <w:rFonts w:ascii="Times New Roman" w:hAnsi="Times New Roman"/>
          <w:sz w:val="22"/>
          <w:szCs w:val="22"/>
        </w:rPr>
      </w:pPr>
      <w:r w:rsidRPr="004306BC" w:rsidR="003C2255">
        <w:rPr>
          <w:rFonts w:ascii="Times New Roman" w:hAnsi="Times New Roman"/>
          <w:b/>
          <w:sz w:val="22"/>
          <w:szCs w:val="22"/>
        </w:rPr>
        <w:t>Dlh verejnej správy</w:t>
      </w:r>
      <w:r w:rsidRPr="004306BC" w:rsidR="003C2255">
        <w:rPr>
          <w:rFonts w:ascii="Times New Roman" w:hAnsi="Times New Roman"/>
          <w:sz w:val="22"/>
          <w:szCs w:val="22"/>
        </w:rPr>
        <w:t xml:space="preserve"> podľa metodiky ESA 2010 </w:t>
      </w:r>
      <w:r w:rsidRPr="004306BC" w:rsidR="003C2255">
        <w:rPr>
          <w:rFonts w:ascii="Times New Roman" w:hAnsi="Times New Roman"/>
          <w:b/>
          <w:sz w:val="22"/>
          <w:szCs w:val="22"/>
        </w:rPr>
        <w:t>dosiahol k 31.12.2015 výšku 41 305 732 tis. eur (52,91 % HDP)</w:t>
      </w:r>
      <w:r w:rsidRPr="004306BC" w:rsidR="003C2255">
        <w:rPr>
          <w:rFonts w:ascii="Times New Roman" w:hAnsi="Times New Roman"/>
          <w:sz w:val="22"/>
          <w:szCs w:val="22"/>
        </w:rPr>
        <w:t xml:space="preserve">. Dlh verejnej správy sa v roku 2015 </w:t>
      </w:r>
      <w:r w:rsidRPr="004306BC" w:rsidR="003C2255">
        <w:rPr>
          <w:rFonts w:ascii="Times New Roman" w:hAnsi="Times New Roman"/>
          <w:b/>
          <w:sz w:val="22"/>
          <w:szCs w:val="22"/>
        </w:rPr>
        <w:t>oproti predchádzajúcemu roku 2014 znížil o 0,99 % HDP</w:t>
      </w:r>
      <w:r w:rsidRPr="004306BC" w:rsidR="003C2255">
        <w:rPr>
          <w:rFonts w:ascii="Times New Roman" w:hAnsi="Times New Roman"/>
          <w:sz w:val="22"/>
          <w:szCs w:val="22"/>
        </w:rPr>
        <w:t xml:space="preserve">. V rámci Európskej únie (28 krajín) v roku 2015 dosiahlo 6 krajín vyšší schodok a 17 krajín dosiahlo vyšší dlh verejnej správy ako Slovenská republika. </w:t>
      </w:r>
      <w:r w:rsidRPr="004306BC" w:rsidR="003C2255">
        <w:rPr>
          <w:rFonts w:ascii="Times New Roman" w:hAnsi="Times New Roman"/>
          <w:b/>
          <w:sz w:val="22"/>
          <w:szCs w:val="22"/>
        </w:rPr>
        <w:t>Priemerný schodok EÚ 28 bol 2,4 % HDP</w:t>
      </w:r>
      <w:r w:rsidRPr="004306BC" w:rsidR="003C2255">
        <w:rPr>
          <w:rFonts w:ascii="Times New Roman" w:hAnsi="Times New Roman"/>
          <w:sz w:val="22"/>
          <w:szCs w:val="22"/>
        </w:rPr>
        <w:t xml:space="preserve"> (Slovensko </w:t>
      </w:r>
      <w:r w:rsidR="00E11890">
        <w:rPr>
          <w:rFonts w:ascii="Times New Roman" w:hAnsi="Times New Roman"/>
          <w:sz w:val="22"/>
          <w:szCs w:val="22"/>
        </w:rPr>
        <w:t>2</w:t>
      </w:r>
      <w:r w:rsidRPr="004306BC" w:rsidR="003C2255">
        <w:rPr>
          <w:rFonts w:ascii="Times New Roman" w:hAnsi="Times New Roman"/>
          <w:sz w:val="22"/>
          <w:szCs w:val="22"/>
        </w:rPr>
        <w:t>,</w:t>
      </w:r>
      <w:r w:rsidR="00E11890">
        <w:rPr>
          <w:rFonts w:ascii="Times New Roman" w:hAnsi="Times New Roman"/>
          <w:sz w:val="22"/>
          <w:szCs w:val="22"/>
        </w:rPr>
        <w:t>97</w:t>
      </w:r>
      <w:r w:rsidRPr="004306BC" w:rsidR="003C2255">
        <w:rPr>
          <w:rFonts w:ascii="Times New Roman" w:hAnsi="Times New Roman"/>
          <w:sz w:val="22"/>
          <w:szCs w:val="22"/>
        </w:rPr>
        <w:t> % HDP) a </w:t>
      </w:r>
      <w:r w:rsidRPr="004306BC" w:rsidR="003C2255">
        <w:rPr>
          <w:rFonts w:ascii="Times New Roman" w:hAnsi="Times New Roman"/>
          <w:b/>
          <w:sz w:val="22"/>
          <w:szCs w:val="22"/>
        </w:rPr>
        <w:t>priemerný dlh verejnej správy EÚ 28 bol 85,2 % HDP</w:t>
      </w:r>
      <w:r w:rsidRPr="004306BC" w:rsidR="003C2255">
        <w:rPr>
          <w:rFonts w:ascii="Times New Roman" w:hAnsi="Times New Roman"/>
          <w:sz w:val="22"/>
          <w:szCs w:val="22"/>
        </w:rPr>
        <w:t xml:space="preserve"> (Slovensko 52,9</w:t>
      </w:r>
      <w:r w:rsidR="00E11890">
        <w:rPr>
          <w:rFonts w:ascii="Times New Roman" w:hAnsi="Times New Roman"/>
          <w:sz w:val="22"/>
          <w:szCs w:val="22"/>
        </w:rPr>
        <w:t>1</w:t>
      </w:r>
      <w:r w:rsidRPr="004306BC" w:rsidR="003C2255">
        <w:rPr>
          <w:rFonts w:ascii="Times New Roman" w:hAnsi="Times New Roman"/>
          <w:sz w:val="22"/>
          <w:szCs w:val="22"/>
        </w:rPr>
        <w:t> % HDP) v roku 2015.</w:t>
      </w:r>
      <w:r w:rsidRPr="004306BC" w:rsidR="004306BC">
        <w:rPr>
          <w:rFonts w:ascii="Times New Roman" w:hAnsi="Times New Roman"/>
          <w:sz w:val="22"/>
          <w:szCs w:val="22"/>
        </w:rPr>
        <w:t xml:space="preserve"> </w:t>
      </w:r>
    </w:p>
    <w:p w:rsidR="003C2255" w:rsidRPr="004306BC" w:rsidP="003C2255">
      <w:pPr>
        <w:numPr>
          <w:numId w:val="37"/>
        </w:numPr>
        <w:bidi w:val="0"/>
        <w:spacing w:after="120" w:line="336" w:lineRule="auto"/>
        <w:jc w:val="both"/>
        <w:rPr>
          <w:rFonts w:ascii="Times New Roman" w:hAnsi="Times New Roman"/>
          <w:sz w:val="22"/>
          <w:szCs w:val="22"/>
        </w:rPr>
      </w:pPr>
      <w:r w:rsidRPr="004306BC" w:rsidR="004306BC">
        <w:rPr>
          <w:rFonts w:ascii="Times New Roman" w:hAnsi="Times New Roman"/>
          <w:sz w:val="22"/>
          <w:szCs w:val="22"/>
        </w:rPr>
        <w:t>Na dosiahnutie nižšieho dlhu oproti rozpočtovanému mal pozitívny vplyv nižší hotovostný schodok štátneho rozpočtu o 1 051 041 tis. eur a tým aj nižšia potreba jeho refinancovania.</w:t>
      </w:r>
      <w:r w:rsidRPr="004306BC" w:rsidR="004306BC">
        <w:rPr>
          <w:rFonts w:ascii="Times New Roman" w:hAnsi="Times New Roman"/>
          <w:color w:val="1F497D"/>
          <w:sz w:val="22"/>
          <w:szCs w:val="22"/>
        </w:rPr>
        <w:t xml:space="preserve"> </w:t>
      </w:r>
      <w:r w:rsidRPr="004306BC" w:rsidR="004306BC">
        <w:rPr>
          <w:rFonts w:ascii="Times New Roman" w:hAnsi="Times New Roman"/>
          <w:sz w:val="22"/>
          <w:szCs w:val="22"/>
        </w:rPr>
        <w:t>Ďalším pozitívnym vplyvom bolo prehodnotenie výšky podielu SR na EFSF, ktorý sa medziročne znížil o 116 367 tis. eur</w:t>
      </w:r>
      <w:r w:rsidR="00E11890">
        <w:rPr>
          <w:rFonts w:ascii="Times New Roman" w:hAnsi="Times New Roman"/>
          <w:sz w:val="22"/>
          <w:szCs w:val="22"/>
        </w:rPr>
        <w:t xml:space="preserve"> a</w:t>
      </w:r>
      <w:r w:rsidRPr="004306BC" w:rsidR="004306BC">
        <w:rPr>
          <w:rFonts w:ascii="Times New Roman" w:hAnsi="Times New Roman"/>
          <w:sz w:val="22"/>
          <w:szCs w:val="22"/>
        </w:rPr>
        <w:t xml:space="preserve"> zníženie dlhu u niektorých subjektov verejnej správy ako napríklad Exportno-importnej</w:t>
      </w:r>
      <w:r w:rsidRPr="004306BC" w:rsidR="004306BC">
        <w:rPr>
          <w:rFonts w:ascii="Times New Roman" w:hAnsi="Times New Roman"/>
          <w:color w:val="1F497D"/>
          <w:sz w:val="22"/>
          <w:szCs w:val="22"/>
        </w:rPr>
        <w:t xml:space="preserve"> </w:t>
      </w:r>
      <w:r w:rsidRPr="004306BC" w:rsidR="004306BC">
        <w:rPr>
          <w:rFonts w:ascii="Times New Roman" w:hAnsi="Times New Roman"/>
          <w:sz w:val="22"/>
          <w:szCs w:val="22"/>
        </w:rPr>
        <w:t xml:space="preserve">banky, a.s. Negatívny vplyv na výšku dlhu malo zaradenie ďalších subjektov </w:t>
      </w:r>
      <w:r w:rsidR="00E11890">
        <w:rPr>
          <w:rFonts w:ascii="Times New Roman" w:hAnsi="Times New Roman"/>
          <w:sz w:val="22"/>
          <w:szCs w:val="22"/>
        </w:rPr>
        <w:t xml:space="preserve">do </w:t>
      </w:r>
      <w:r w:rsidRPr="004306BC" w:rsidR="004306BC">
        <w:rPr>
          <w:rFonts w:ascii="Times New Roman" w:hAnsi="Times New Roman"/>
          <w:sz w:val="22"/>
          <w:szCs w:val="22"/>
        </w:rPr>
        <w:t>verejnej správy napríklad Železničnej spoločnosti Slovensko, a.s., ktorej dlh ku koncu roka 2015 predstavoval 311 792 tis. eur.</w:t>
      </w:r>
    </w:p>
    <w:p w:rsidR="003C2255" w:rsidRPr="006A21D5" w:rsidP="003C2255">
      <w:pPr>
        <w:numPr>
          <w:numId w:val="37"/>
        </w:numPr>
        <w:bidi w:val="0"/>
        <w:spacing w:after="120" w:line="336" w:lineRule="auto"/>
        <w:ind w:left="357" w:hanging="357"/>
        <w:jc w:val="both"/>
        <w:rPr>
          <w:rFonts w:ascii="Times New Roman" w:hAnsi="Times New Roman"/>
          <w:sz w:val="22"/>
          <w:szCs w:val="22"/>
        </w:rPr>
      </w:pPr>
      <w:r w:rsidRPr="006A21D5">
        <w:rPr>
          <w:rFonts w:ascii="Times New Roman" w:hAnsi="Times New Roman"/>
          <w:b/>
          <w:bCs/>
          <w:sz w:val="22"/>
          <w:szCs w:val="22"/>
        </w:rPr>
        <w:t>Hotovostné príjmy štátneho rozpočtu</w:t>
      </w:r>
      <w:r w:rsidRPr="006A21D5">
        <w:rPr>
          <w:rFonts w:ascii="Times New Roman" w:hAnsi="Times New Roman"/>
          <w:sz w:val="22"/>
          <w:szCs w:val="22"/>
        </w:rPr>
        <w:t xml:space="preserve"> dosiahli v roku 2015 výšku 16 233 795 tis. eur, čo znamená</w:t>
      </w:r>
      <w:r w:rsidRPr="006A21D5">
        <w:rPr>
          <w:rFonts w:ascii="Times New Roman" w:hAnsi="Times New Roman"/>
          <w:b/>
          <w:bCs/>
          <w:sz w:val="22"/>
          <w:szCs w:val="22"/>
        </w:rPr>
        <w:t xml:space="preserve"> medziročný rast takmer 30 %</w:t>
      </w:r>
      <w:r w:rsidRPr="006A21D5">
        <w:rPr>
          <w:rFonts w:ascii="Times New Roman" w:hAnsi="Times New Roman"/>
          <w:sz w:val="22"/>
          <w:szCs w:val="22"/>
        </w:rPr>
        <w:t xml:space="preserve">. </w:t>
      </w:r>
      <w:r w:rsidRPr="006A21D5">
        <w:rPr>
          <w:rFonts w:ascii="Times New Roman" w:hAnsi="Times New Roman"/>
          <w:b/>
          <w:bCs/>
          <w:sz w:val="22"/>
          <w:szCs w:val="22"/>
        </w:rPr>
        <w:t>Hotovostné výdavky</w:t>
      </w:r>
      <w:r w:rsidRPr="006A21D5">
        <w:rPr>
          <w:rFonts w:ascii="Times New Roman" w:hAnsi="Times New Roman"/>
          <w:sz w:val="22"/>
          <w:szCs w:val="22"/>
        </w:rPr>
        <w:t xml:space="preserve"> boli vo výške 18 166 391 tis. eur, čo predstavuje medziročný </w:t>
      </w:r>
      <w:r w:rsidRPr="006A21D5">
        <w:rPr>
          <w:rFonts w:ascii="Times New Roman" w:hAnsi="Times New Roman"/>
          <w:b/>
          <w:bCs/>
          <w:sz w:val="22"/>
          <w:szCs w:val="22"/>
        </w:rPr>
        <w:t>nárast 17,8 %.</w:t>
      </w:r>
      <w:r w:rsidRPr="006A21D5">
        <w:rPr>
          <w:rFonts w:ascii="Times New Roman" w:hAnsi="Times New Roman"/>
          <w:sz w:val="22"/>
          <w:szCs w:val="22"/>
        </w:rPr>
        <w:t xml:space="preserve"> </w:t>
      </w:r>
      <w:r w:rsidRPr="006A21D5">
        <w:rPr>
          <w:rFonts w:ascii="Times New Roman" w:hAnsi="Times New Roman"/>
          <w:b/>
          <w:bCs/>
          <w:sz w:val="22"/>
          <w:szCs w:val="22"/>
        </w:rPr>
        <w:t xml:space="preserve">Hotovostný schodok </w:t>
      </w:r>
      <w:r w:rsidRPr="006A21D5">
        <w:rPr>
          <w:rFonts w:ascii="Times New Roman" w:hAnsi="Times New Roman"/>
          <w:sz w:val="22"/>
          <w:szCs w:val="22"/>
        </w:rPr>
        <w:t>štátneho rozpočtu dosiahol výšku 1 932</w:t>
      </w:r>
      <w:r w:rsidR="00D90143">
        <w:rPr>
          <w:rFonts w:ascii="Times New Roman" w:hAnsi="Times New Roman"/>
          <w:sz w:val="22"/>
          <w:szCs w:val="22"/>
        </w:rPr>
        <w:t> </w:t>
      </w:r>
      <w:r w:rsidRPr="006A21D5">
        <w:rPr>
          <w:rFonts w:ascii="Times New Roman" w:hAnsi="Times New Roman"/>
          <w:sz w:val="22"/>
          <w:szCs w:val="22"/>
        </w:rPr>
        <w:t>596</w:t>
      </w:r>
      <w:r w:rsidR="00D90143">
        <w:rPr>
          <w:rFonts w:ascii="Times New Roman" w:hAnsi="Times New Roman"/>
          <w:sz w:val="22"/>
          <w:szCs w:val="22"/>
        </w:rPr>
        <w:t> </w:t>
      </w:r>
      <w:r w:rsidRPr="006A21D5">
        <w:rPr>
          <w:rFonts w:ascii="Times New Roman" w:hAnsi="Times New Roman"/>
          <w:sz w:val="22"/>
          <w:szCs w:val="22"/>
        </w:rPr>
        <w:t>tis. eur, a oproti minulému roku</w:t>
      </w:r>
      <w:r w:rsidR="00F71515">
        <w:rPr>
          <w:rFonts w:ascii="Times New Roman" w:hAnsi="Times New Roman"/>
          <w:sz w:val="22"/>
          <w:szCs w:val="22"/>
        </w:rPr>
        <w:t xml:space="preserve">, kedy schodok štátneho rozpočtu dosiahol 2 923 371 tis. eur </w:t>
      </w:r>
      <w:r w:rsidRPr="006A21D5">
        <w:rPr>
          <w:rFonts w:ascii="Times New Roman" w:hAnsi="Times New Roman"/>
          <w:sz w:val="22"/>
          <w:szCs w:val="22"/>
        </w:rPr>
        <w:t xml:space="preserve">tak </w:t>
      </w:r>
      <w:r w:rsidRPr="006A21D5">
        <w:rPr>
          <w:rFonts w:ascii="Times New Roman" w:hAnsi="Times New Roman"/>
          <w:b/>
          <w:bCs/>
          <w:sz w:val="22"/>
          <w:szCs w:val="22"/>
        </w:rPr>
        <w:t xml:space="preserve">poklesol </w:t>
      </w:r>
      <w:r w:rsidR="00337F22">
        <w:rPr>
          <w:rFonts w:ascii="Times New Roman" w:hAnsi="Times New Roman"/>
          <w:b/>
          <w:bCs/>
          <w:sz w:val="22"/>
          <w:szCs w:val="22"/>
        </w:rPr>
        <w:t xml:space="preserve"> takmer</w:t>
      </w:r>
      <w:r w:rsidRPr="006A21D5">
        <w:rPr>
          <w:rFonts w:ascii="Times New Roman" w:hAnsi="Times New Roman"/>
          <w:b/>
          <w:bCs/>
          <w:sz w:val="22"/>
          <w:szCs w:val="22"/>
        </w:rPr>
        <w:t xml:space="preserve"> o 3</w:t>
      </w:r>
      <w:r w:rsidR="00337F22">
        <w:rPr>
          <w:rFonts w:ascii="Times New Roman" w:hAnsi="Times New Roman"/>
          <w:b/>
          <w:bCs/>
          <w:sz w:val="22"/>
          <w:szCs w:val="22"/>
        </w:rPr>
        <w:t>4</w:t>
      </w:r>
      <w:r w:rsidRPr="006A21D5">
        <w:rPr>
          <w:rFonts w:ascii="Times New Roman" w:hAnsi="Times New Roman"/>
          <w:b/>
          <w:bCs/>
          <w:sz w:val="22"/>
          <w:szCs w:val="22"/>
        </w:rPr>
        <w:t> %</w:t>
      </w:r>
      <w:r w:rsidRPr="006A21D5">
        <w:rPr>
          <w:rFonts w:ascii="Times New Roman" w:hAnsi="Times New Roman"/>
          <w:sz w:val="22"/>
          <w:szCs w:val="22"/>
        </w:rPr>
        <w:t xml:space="preserve">. </w:t>
      </w:r>
    </w:p>
    <w:p w:rsidR="00D07062" w:rsidP="003C2255">
      <w:pPr>
        <w:pStyle w:val="Heading1"/>
        <w:bidi w:val="0"/>
        <w:rPr>
          <w:rFonts w:ascii="Times New Roman" w:hAnsi="Times New Roman"/>
          <w:lang w:val="sk-SK"/>
        </w:rPr>
      </w:pPr>
      <w:r w:rsidR="003C2255">
        <w:rPr>
          <w:rFonts w:ascii="Times New Roman" w:hAnsi="Times New Roman"/>
          <w:lang w:val="sk-SK"/>
        </w:rPr>
        <w:br w:type="page"/>
      </w:r>
      <w:bookmarkStart w:id="4" w:name="_Toc449622819"/>
      <w:r w:rsidRPr="006E50E2">
        <w:rPr>
          <w:rFonts w:ascii="Times New Roman" w:hAnsi="Times New Roman"/>
          <w:lang w:val="sk-SK"/>
        </w:rPr>
        <w:t>Ekonomický rámec rozpočtového hospodárenia Slovenskej republiky</w:t>
      </w:r>
      <w:bookmarkEnd w:id="4"/>
    </w:p>
    <w:p w:rsidR="003C2255" w:rsidRPr="003C2255" w:rsidP="003C2255">
      <w:pPr>
        <w:bidi w:val="0"/>
        <w:spacing w:after="120" w:line="336" w:lineRule="auto"/>
        <w:jc w:val="both"/>
        <w:rPr>
          <w:rFonts w:ascii="Times New Roman" w:hAnsi="Times New Roman"/>
          <w:sz w:val="22"/>
          <w:szCs w:val="22"/>
        </w:rPr>
      </w:pPr>
      <w:r w:rsidRPr="00CC3A72">
        <w:rPr>
          <w:rFonts w:ascii="Times New Roman" w:hAnsi="Times New Roman"/>
          <w:sz w:val="22"/>
          <w:szCs w:val="22"/>
        </w:rPr>
        <w:t>Rast ekonomiky Slovenska v roku 2015 zrýchlil na 3,6 %</w:t>
      </w:r>
      <w:r>
        <w:rPr>
          <w:rFonts w:ascii="Times New Roman" w:hAnsi="Times New Roman"/>
          <w:sz w:val="22"/>
          <w:szCs w:val="22"/>
        </w:rPr>
        <w:t xml:space="preserve"> (v roku 2014 bol 2,5 %)</w:t>
      </w:r>
      <w:r w:rsidRPr="00CC3A72">
        <w:rPr>
          <w:rFonts w:ascii="Times New Roman" w:hAnsi="Times New Roman"/>
          <w:sz w:val="22"/>
          <w:szCs w:val="22"/>
        </w:rPr>
        <w:t xml:space="preserve">, čo predstavuje najvyšší rast za posledných päť rokov. Druhý rok po sebe </w:t>
      </w:r>
      <w:r>
        <w:rPr>
          <w:rFonts w:ascii="Times New Roman" w:hAnsi="Times New Roman"/>
          <w:sz w:val="22"/>
          <w:szCs w:val="22"/>
        </w:rPr>
        <w:t>dominoval štruktúre rastu</w:t>
      </w:r>
      <w:r w:rsidRPr="00CC3A72">
        <w:rPr>
          <w:rFonts w:ascii="Times New Roman" w:hAnsi="Times New Roman"/>
          <w:sz w:val="22"/>
          <w:szCs w:val="22"/>
        </w:rPr>
        <w:t xml:space="preserve"> domáci dopyt. Hlav</w:t>
      </w:r>
      <w:r>
        <w:rPr>
          <w:rFonts w:ascii="Times New Roman" w:hAnsi="Times New Roman"/>
          <w:sz w:val="22"/>
          <w:szCs w:val="22"/>
        </w:rPr>
        <w:t>n</w:t>
      </w:r>
      <w:r w:rsidRPr="00CC3A72">
        <w:rPr>
          <w:rFonts w:ascii="Times New Roman" w:hAnsi="Times New Roman"/>
          <w:sz w:val="22"/>
          <w:szCs w:val="22"/>
        </w:rPr>
        <w:t xml:space="preserve">ým ťahúňom boli investície, najmä vo verejnom sektore, </w:t>
      </w:r>
      <w:r w:rsidR="00F40D89">
        <w:rPr>
          <w:rFonts w:ascii="Times New Roman" w:hAnsi="Times New Roman"/>
          <w:sz w:val="22"/>
          <w:szCs w:val="22"/>
        </w:rPr>
        <w:t xml:space="preserve">na </w:t>
      </w:r>
      <w:r w:rsidRPr="00CC3A72">
        <w:rPr>
          <w:rFonts w:ascii="Times New Roman" w:hAnsi="Times New Roman"/>
          <w:sz w:val="22"/>
          <w:szCs w:val="22"/>
        </w:rPr>
        <w:t xml:space="preserve">ktoré </w:t>
      </w:r>
      <w:r w:rsidR="00F40D89">
        <w:rPr>
          <w:rFonts w:ascii="Times New Roman" w:hAnsi="Times New Roman"/>
          <w:sz w:val="22"/>
          <w:szCs w:val="22"/>
        </w:rPr>
        <w:t xml:space="preserve">vplývalo </w:t>
      </w:r>
      <w:r w:rsidRPr="00CC3A72">
        <w:rPr>
          <w:rFonts w:ascii="Times New Roman" w:hAnsi="Times New Roman"/>
          <w:sz w:val="22"/>
          <w:szCs w:val="22"/>
        </w:rPr>
        <w:t>zrýchlené čerpania EÚ fondov.</w:t>
      </w:r>
      <w:r w:rsidR="00F40D89">
        <w:rPr>
          <w:rFonts w:ascii="Times New Roman" w:hAnsi="Times New Roman"/>
          <w:sz w:val="22"/>
          <w:szCs w:val="22"/>
        </w:rPr>
        <w:t xml:space="preserve"> P</w:t>
      </w:r>
      <w:r w:rsidRPr="00CC3A72">
        <w:rPr>
          <w:rFonts w:ascii="Times New Roman" w:hAnsi="Times New Roman"/>
          <w:sz w:val="22"/>
          <w:szCs w:val="22"/>
        </w:rPr>
        <w:t xml:space="preserve">od zhoršenie </w:t>
      </w:r>
      <w:r w:rsidR="00F40D89">
        <w:rPr>
          <w:rFonts w:ascii="Times New Roman" w:hAnsi="Times New Roman"/>
          <w:sz w:val="22"/>
          <w:szCs w:val="22"/>
        </w:rPr>
        <w:t>zahraničného</w:t>
      </w:r>
      <w:r w:rsidRPr="00CC3A72" w:rsidR="00F40D89">
        <w:rPr>
          <w:rFonts w:ascii="Times New Roman" w:hAnsi="Times New Roman"/>
          <w:sz w:val="22"/>
          <w:szCs w:val="22"/>
        </w:rPr>
        <w:t xml:space="preserve"> obchod</w:t>
      </w:r>
      <w:r w:rsidR="00F40D89">
        <w:rPr>
          <w:rFonts w:ascii="Times New Roman" w:hAnsi="Times New Roman"/>
          <w:sz w:val="22"/>
          <w:szCs w:val="22"/>
        </w:rPr>
        <w:t>u</w:t>
      </w:r>
      <w:r w:rsidRPr="00CC3A72" w:rsidR="00F40D89">
        <w:rPr>
          <w:rFonts w:ascii="Times New Roman" w:hAnsi="Times New Roman"/>
          <w:sz w:val="22"/>
          <w:szCs w:val="22"/>
        </w:rPr>
        <w:t xml:space="preserve"> </w:t>
      </w:r>
      <w:r w:rsidR="00F40D89">
        <w:rPr>
          <w:rFonts w:ascii="Times New Roman" w:hAnsi="Times New Roman"/>
          <w:sz w:val="22"/>
          <w:szCs w:val="22"/>
        </w:rPr>
        <w:t xml:space="preserve">sa </w:t>
      </w:r>
      <w:r w:rsidRPr="00CC3A72">
        <w:rPr>
          <w:rFonts w:ascii="Times New Roman" w:hAnsi="Times New Roman"/>
          <w:sz w:val="22"/>
          <w:szCs w:val="22"/>
        </w:rPr>
        <w:t>podpísali investičné dovozy. Spotreba domácností benefitovala z priaznivého vývoja na trhu práce a nízkoinflačného prostredia. Z</w:t>
      </w:r>
      <w:r w:rsidRPr="003C2255">
        <w:rPr>
          <w:rFonts w:ascii="Times New Roman" w:hAnsi="Times New Roman"/>
          <w:sz w:val="22"/>
          <w:szCs w:val="22"/>
        </w:rPr>
        <w:t> pohľadu makroekonomických základní pre daňové a odvodové príjmy makroekonomický vývoj v roku 2015 predbehol očakávania rozpočtovej prognózy MF SR.</w:t>
      </w:r>
    </w:p>
    <w:p w:rsidR="003C2255" w:rsidP="003C2255">
      <w:pPr>
        <w:pStyle w:val="Heading2"/>
        <w:numPr>
          <w:ilvl w:val="1"/>
          <w:numId w:val="3"/>
        </w:numPr>
        <w:bidi w:val="0"/>
        <w:spacing w:before="0" w:beforeAutospacing="0" w:line="336" w:lineRule="auto"/>
        <w:ind w:left="777"/>
        <w:rPr>
          <w:rFonts w:ascii="Times New Roman" w:hAnsi="Times New Roman"/>
        </w:rPr>
      </w:pPr>
      <w:bookmarkStart w:id="5" w:name="_Toc449622820"/>
      <w:r w:rsidR="004A69AD">
        <w:rPr>
          <w:rFonts w:ascii="Times New Roman" w:hAnsi="Times New Roman"/>
        </w:rPr>
        <w:t>Vonkajšie e</w:t>
      </w:r>
      <w:r w:rsidRPr="006E50E2" w:rsidR="00053BDF">
        <w:rPr>
          <w:rFonts w:ascii="Times New Roman" w:hAnsi="Times New Roman"/>
        </w:rPr>
        <w:t>konomick</w:t>
      </w:r>
      <w:r w:rsidR="004A69AD">
        <w:rPr>
          <w:rFonts w:ascii="Times New Roman" w:hAnsi="Times New Roman"/>
        </w:rPr>
        <w:t>é prostredie</w:t>
      </w:r>
      <w:bookmarkEnd w:id="5"/>
    </w:p>
    <w:p w:rsidR="003C2255" w:rsidRPr="00CC3A72" w:rsidP="00692C4F">
      <w:pPr>
        <w:bidi w:val="0"/>
        <w:spacing w:after="120" w:line="336" w:lineRule="auto"/>
        <w:ind w:right="-1"/>
        <w:jc w:val="both"/>
        <w:rPr>
          <w:rFonts w:ascii="Times New Roman" w:hAnsi="Times New Roman"/>
          <w:sz w:val="22"/>
          <w:szCs w:val="22"/>
        </w:rPr>
      </w:pPr>
      <w:r w:rsidRPr="00CC3A72">
        <w:rPr>
          <w:rFonts w:ascii="Times New Roman" w:hAnsi="Times New Roman"/>
          <w:sz w:val="22"/>
          <w:szCs w:val="22"/>
        </w:rPr>
        <w:t>Rozvinutým krajinám sa napriek ekonomicko-politickým výzvam v minulom roku darilo. Kondícia americkej ekonomiky je natoľko uspokojivá, že Americká centrálna banka (Fed), sa po siedmich rokoch rozhodla ukončiť politiku nulových úrokov, keď v závere roka zdvihla úrokovú sadzbu o 0,25 p.b. Pretrvávajúce problémy súvisiace s dedičstvom dlhovej krízy, makroekonomi</w:t>
      </w:r>
      <w:r w:rsidR="00F40D89">
        <w:rPr>
          <w:rFonts w:ascii="Times New Roman" w:hAnsi="Times New Roman"/>
          <w:sz w:val="22"/>
          <w:szCs w:val="22"/>
        </w:rPr>
        <w:t xml:space="preserve">ckými nerovnováhami a prílevom </w:t>
      </w:r>
      <w:r w:rsidRPr="00CC3A72">
        <w:rPr>
          <w:rFonts w:ascii="Times New Roman" w:hAnsi="Times New Roman"/>
          <w:sz w:val="22"/>
          <w:szCs w:val="22"/>
        </w:rPr>
        <w:t xml:space="preserve">migrantov nemali výraznejší vplyv na dynamiku rastu eurozóny v minulom roku. Rovnako ani hospodárske spomalenie Číny a postupujúca recesia v Rusku a Brazílii sa nepreniesli do globálnej ekonomiky. </w:t>
      </w:r>
    </w:p>
    <w:p w:rsidR="003C2255" w:rsidRPr="00CC3A72" w:rsidP="00692C4F">
      <w:pPr>
        <w:bidi w:val="0"/>
        <w:spacing w:after="120" w:line="336" w:lineRule="auto"/>
        <w:ind w:right="-1"/>
        <w:jc w:val="both"/>
        <w:rPr>
          <w:rFonts w:ascii="Times New Roman" w:hAnsi="Times New Roman"/>
          <w:sz w:val="22"/>
          <w:szCs w:val="22"/>
        </w:rPr>
      </w:pPr>
      <w:r w:rsidRPr="00CC3A72">
        <w:rPr>
          <w:rFonts w:ascii="Times New Roman" w:hAnsi="Times New Roman"/>
          <w:sz w:val="22"/>
          <w:szCs w:val="22"/>
        </w:rPr>
        <w:t xml:space="preserve">Ekonomika Eurozóny zaznamenala vlani najlepší hospodársky výsledok od roku 2011, keď rástla o 1,6 %. Ekonomikám našich najvýznamnejších obchodných partnerov sa darilo. Nemecko si udržalo rast pod úrovňou 2 %. Rasty v krajinách V4 do veľkej miery podporilo urýchlené čerpanie eurofondov. Rast HDP v ČR pokoril hranicu 4 </w:t>
      </w:r>
      <w:r w:rsidR="00F40D89">
        <w:rPr>
          <w:rFonts w:ascii="Times New Roman" w:hAnsi="Times New Roman"/>
          <w:sz w:val="22"/>
          <w:szCs w:val="22"/>
        </w:rPr>
        <w:t>%</w:t>
      </w:r>
      <w:r w:rsidRPr="00CC3A72">
        <w:rPr>
          <w:rFonts w:ascii="Times New Roman" w:hAnsi="Times New Roman"/>
          <w:sz w:val="22"/>
          <w:szCs w:val="22"/>
        </w:rPr>
        <w:t>, poľská ekonomika rástla o 3,5 % a Maďarsko o 2,6 %. Pozitívnym faktom je presun ťažiska rastu zo zahraničného obchodu do domáceho dopytu. Európske krajiny ťahá nahor najmä rastúca spotreba domácností. V porovnaní s minulosťou je preto eurozóna ako celok menej zraniteľná voči vývoju v svetovej ekonomike. Potenciálny priestor pre ďalšiu akceleráciu rastu sa však nateraz vyčerpal</w:t>
      </w:r>
      <w:r w:rsidR="00F40D89">
        <w:rPr>
          <w:rFonts w:ascii="Times New Roman" w:hAnsi="Times New Roman"/>
          <w:sz w:val="22"/>
          <w:szCs w:val="22"/>
        </w:rPr>
        <w:t xml:space="preserve">. Nevyriešené makroekonomické a </w:t>
      </w:r>
      <w:r w:rsidRPr="00CC3A72">
        <w:rPr>
          <w:rFonts w:ascii="Times New Roman" w:hAnsi="Times New Roman"/>
          <w:sz w:val="22"/>
          <w:szCs w:val="22"/>
        </w:rPr>
        <w:t xml:space="preserve">štrukturálne otázky spolu s pretrvávajúcou politickou neistotou zostávajú hlavnou brzdou mohutnejšej akcelerácie hospodárskeho rastu na starom kontinente. </w:t>
      </w:r>
    </w:p>
    <w:p w:rsidR="003C2255" w:rsidRPr="00CC3A72" w:rsidP="003C2255">
      <w:pPr>
        <w:bidi w:val="0"/>
        <w:spacing w:after="120" w:line="336" w:lineRule="auto"/>
        <w:jc w:val="both"/>
        <w:rPr>
          <w:rFonts w:ascii="Times New Roman" w:hAnsi="Times New Roman"/>
          <w:sz w:val="22"/>
          <w:szCs w:val="22"/>
        </w:rPr>
      </w:pPr>
      <w:r w:rsidRPr="00CC3A72">
        <w:rPr>
          <w:rFonts w:ascii="Times New Roman" w:hAnsi="Times New Roman"/>
          <w:sz w:val="22"/>
          <w:szCs w:val="22"/>
        </w:rPr>
        <w:t>Inflácia sa do Eurozóny nevrátila ani v minulom roku. Cenová hladina sa oproti roku 2014 nezmenila. Európska centrálna banka (ECB) v marci odštartovala program kvantitatívneho uvoľňovania (QE), ktorý sa však doposiaľ do reálnej ekonomiky nepreniesol. QE je nákup dlhopisov členských štátov eurozóny centrálnou bankou, Inflačné očakávania v Eurozóne sa zatiaľ nestabilizovali. Dokonca ani európske akciové trhy nezaznamenali výraznejší rast. Určitý efekt sme pozorovali v prípade výnosov vládnych dlhopisov. Ich pokles v priebehu roka bol však tlmený obavami z bankrotu Grécka a politickou nestabilitou na pozadí migračnej krízy. Tie ostávajú na mimoriadne nízkych hodnotách. Podľa prepočtov MF SR program QE znížil výnosy slovenských dlhopisov o približne 0,60 p.b. Vzhľadom na neuspokojivý vývoj inflácie ECB v závere roka pristúpila k predĺženiu programu QE až do marca 2017.</w:t>
      </w:r>
    </w:p>
    <w:p w:rsidR="003C2255" w:rsidRPr="00CC3A72" w:rsidP="003C2255">
      <w:pPr>
        <w:bidi w:val="0"/>
        <w:spacing w:after="120" w:line="336" w:lineRule="auto"/>
        <w:jc w:val="both"/>
        <w:rPr>
          <w:rFonts w:ascii="Times New Roman" w:hAnsi="Times New Roman"/>
          <w:sz w:val="22"/>
          <w:szCs w:val="22"/>
        </w:rPr>
      </w:pPr>
      <w:r w:rsidRPr="00CC3A72">
        <w:rPr>
          <w:rFonts w:ascii="Times New Roman" w:hAnsi="Times New Roman"/>
          <w:sz w:val="22"/>
          <w:szCs w:val="22"/>
        </w:rPr>
        <w:t>Na finančné trhy sa v minulom roku vrátila volatilita pod vplyvom viacerých faktorov. Hlavnými príčinami bol prepad cien ropy a spomalenie čínskej ekonomiky. Cena ropy pokorila sedem ročné minimum, keď sa na konci roka 2015 pohybovala okolo 28 USD/bl. Nízke ceny ropy sú podporené spomalením dopytu z rozvíjajúcich sa krajín a pretrvávajúcim prebytkom na strane ponuky. Obavy z výrazného spomalenia čínskej ekonomiky, ktorá rástla len o 6,9 %, čo j</w:t>
      </w:r>
      <w:r w:rsidR="00956427">
        <w:rPr>
          <w:rFonts w:ascii="Times New Roman" w:hAnsi="Times New Roman"/>
          <w:sz w:val="22"/>
          <w:szCs w:val="22"/>
        </w:rPr>
        <w:t>e najpomalší rast od roku 1990 vyústili do negatívneho vývoja na akciových trhoch. Jeho</w:t>
      </w:r>
      <w:r w:rsidRPr="00CC3A72">
        <w:rPr>
          <w:rFonts w:ascii="Times New Roman" w:hAnsi="Times New Roman"/>
          <w:sz w:val="22"/>
          <w:szCs w:val="22"/>
        </w:rPr>
        <w:t xml:space="preserve"> trvanie na amerických a európskych burzách bolo časovo obmedzené a akcie tak vzhľadom na fundamenty zostávajú naďalej nadhodnotené. Polarizácia menových politík hlavných centrálnych bánk ECB a Fedu, sa vo vlaňajšom roku začala zvýrazňovať. Fed v závere roka pristúpil k dlho očakávanému zvýšeniu referenčnej úrokovej sadzby o 0,25 p.b. Výmenný kurz eura voči doláru kontinuálne však </w:t>
      </w:r>
      <w:r w:rsidR="009E48F2">
        <w:rPr>
          <w:rFonts w:ascii="Times New Roman" w:hAnsi="Times New Roman"/>
          <w:sz w:val="22"/>
          <w:szCs w:val="22"/>
        </w:rPr>
        <w:t>oslaboval už počas celého roku.</w:t>
      </w:r>
    </w:p>
    <w:tbl>
      <w:tblPr>
        <w:tblStyle w:val="TableNormal"/>
        <w:tblW w:w="8020" w:type="dxa"/>
        <w:jc w:val="center"/>
        <w:tblInd w:w="-697" w:type="dxa"/>
        <w:tblCellMar>
          <w:left w:w="70" w:type="dxa"/>
          <w:right w:w="70" w:type="dxa"/>
        </w:tblCellMar>
        <w:tblLook w:val="04A0"/>
      </w:tblPr>
      <w:tblGrid>
        <w:gridCol w:w="5768"/>
        <w:gridCol w:w="904"/>
        <w:gridCol w:w="674"/>
        <w:gridCol w:w="674"/>
      </w:tblGrid>
      <w:tr>
        <w:tblPrEx>
          <w:tblW w:w="8020" w:type="dxa"/>
          <w:jc w:val="center"/>
          <w:tblInd w:w="-697" w:type="dxa"/>
          <w:tblCellMar>
            <w:left w:w="70" w:type="dxa"/>
            <w:right w:w="70" w:type="dxa"/>
          </w:tblCellMar>
          <w:tblLook w:val="04A0"/>
        </w:tblPrEx>
        <w:trPr>
          <w:trHeight w:val="300"/>
          <w:jc w:val="center"/>
        </w:trPr>
        <w:tc>
          <w:tcPr>
            <w:tcW w:w="8020" w:type="dxa"/>
            <w:gridSpan w:val="4"/>
            <w:tcBorders>
              <w:top w:val="nil"/>
              <w:left w:val="nil"/>
              <w:bottom w:val="nil"/>
              <w:right w:val="nil"/>
            </w:tcBorders>
            <w:shd w:val="clear" w:color="000000" w:fill="000000"/>
            <w:noWrap/>
            <w:textDirection w:val="lrTb"/>
            <w:vAlign w:val="center"/>
            <w:hideMark/>
          </w:tcPr>
          <w:p w:rsidR="003C2255" w:rsidRPr="003C2255" w:rsidP="00510434">
            <w:pPr>
              <w:bidi w:val="0"/>
              <w:rPr>
                <w:rFonts w:ascii="Times New Roman" w:hAnsi="Times New Roman"/>
                <w:b/>
                <w:bCs/>
                <w:color w:val="FFFFFF"/>
                <w:sz w:val="18"/>
                <w:szCs w:val="18"/>
              </w:rPr>
            </w:pPr>
            <w:r w:rsidRPr="003C2255">
              <w:rPr>
                <w:rFonts w:ascii="Times New Roman" w:hAnsi="Times New Roman"/>
                <w:b/>
                <w:bCs/>
                <w:color w:val="FFFFFF"/>
                <w:sz w:val="18"/>
                <w:szCs w:val="18"/>
              </w:rPr>
              <w:t xml:space="preserve">Vývoj vybraných ukazovateľov za eurozónu </w:t>
            </w:r>
          </w:p>
        </w:tc>
      </w:tr>
      <w:tr>
        <w:tblPrEx>
          <w:tblW w:w="8020" w:type="dxa"/>
          <w:jc w:val="center"/>
          <w:tblInd w:w="-697" w:type="dxa"/>
          <w:tblCellMar>
            <w:left w:w="70" w:type="dxa"/>
            <w:right w:w="70" w:type="dxa"/>
          </w:tblCellMar>
          <w:tblLook w:val="04A0"/>
        </w:tblPrEx>
        <w:trPr>
          <w:trHeight w:val="300"/>
          <w:jc w:val="center"/>
        </w:trPr>
        <w:tc>
          <w:tcPr>
            <w:tcW w:w="5768" w:type="dxa"/>
            <w:tcBorders>
              <w:top w:val="nil"/>
              <w:left w:val="nil"/>
              <w:bottom w:val="nil"/>
              <w:right w:val="nil"/>
            </w:tcBorders>
            <w:shd w:val="clear" w:color="000000" w:fill="C0C0C0"/>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 </w:t>
            </w:r>
          </w:p>
        </w:tc>
        <w:tc>
          <w:tcPr>
            <w:tcW w:w="904" w:type="dxa"/>
            <w:tcBorders>
              <w:top w:val="nil"/>
              <w:left w:val="nil"/>
              <w:bottom w:val="nil"/>
              <w:right w:val="nil"/>
            </w:tcBorders>
            <w:shd w:val="clear" w:color="000000" w:fill="C0C0C0"/>
            <w:noWrap/>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2013</w:t>
            </w:r>
          </w:p>
        </w:tc>
        <w:tc>
          <w:tcPr>
            <w:tcW w:w="674" w:type="dxa"/>
            <w:tcBorders>
              <w:top w:val="nil"/>
              <w:left w:val="nil"/>
              <w:bottom w:val="nil"/>
              <w:right w:val="nil"/>
            </w:tcBorders>
            <w:shd w:val="clear" w:color="000000" w:fill="C0C0C0"/>
            <w:noWrap/>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2014</w:t>
            </w:r>
          </w:p>
        </w:tc>
        <w:tc>
          <w:tcPr>
            <w:tcW w:w="674" w:type="dxa"/>
            <w:tcBorders>
              <w:top w:val="nil"/>
              <w:left w:val="nil"/>
              <w:bottom w:val="nil"/>
              <w:right w:val="nil"/>
            </w:tcBorders>
            <w:shd w:val="clear" w:color="000000" w:fill="C0C0C0"/>
            <w:noWrap/>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2015</w:t>
            </w:r>
          </w:p>
        </w:tc>
      </w:tr>
      <w:tr>
        <w:tblPrEx>
          <w:tblW w:w="8020" w:type="dxa"/>
          <w:jc w:val="center"/>
          <w:tblInd w:w="-697" w:type="dxa"/>
          <w:tblCellMar>
            <w:left w:w="70" w:type="dxa"/>
            <w:right w:w="70" w:type="dxa"/>
          </w:tblCellMar>
          <w:tblLook w:val="04A0"/>
        </w:tblPrEx>
        <w:trPr>
          <w:trHeight w:val="300"/>
          <w:jc w:val="center"/>
        </w:trPr>
        <w:tc>
          <w:tcPr>
            <w:tcW w:w="5768" w:type="dxa"/>
            <w:tcBorders>
              <w:top w:val="nil"/>
              <w:left w:val="nil"/>
              <w:bottom w:val="nil"/>
              <w:right w:val="nil"/>
            </w:tcBorders>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Hrubý domáci produkt (% rast)</w:t>
            </w:r>
          </w:p>
        </w:tc>
        <w:tc>
          <w:tcPr>
            <w:tcW w:w="90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-0,3</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0,9</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1,6</w:t>
            </w:r>
          </w:p>
        </w:tc>
      </w:tr>
      <w:tr>
        <w:tblPrEx>
          <w:tblW w:w="8020" w:type="dxa"/>
          <w:jc w:val="center"/>
          <w:tblInd w:w="-697" w:type="dxa"/>
          <w:tblCellMar>
            <w:left w:w="70" w:type="dxa"/>
            <w:right w:w="70" w:type="dxa"/>
          </w:tblCellMar>
          <w:tblLook w:val="04A0"/>
        </w:tblPrEx>
        <w:trPr>
          <w:trHeight w:val="300"/>
          <w:jc w:val="center"/>
        </w:trPr>
        <w:tc>
          <w:tcPr>
            <w:tcW w:w="5768" w:type="dxa"/>
            <w:tcBorders>
              <w:top w:val="nil"/>
              <w:left w:val="nil"/>
              <w:bottom w:val="nil"/>
              <w:right w:val="nil"/>
            </w:tcBorders>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Zamestnanosť (ESA, % rast)</w:t>
            </w:r>
          </w:p>
        </w:tc>
        <w:tc>
          <w:tcPr>
            <w:tcW w:w="90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-0,7</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0,5</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highlight w:val="yellow"/>
              </w:rPr>
            </w:pPr>
            <w:r w:rsidRPr="003C2255">
              <w:rPr>
                <w:rFonts w:ascii="Times New Roman" w:hAnsi="Times New Roman"/>
                <w:color w:val="000000"/>
                <w:sz w:val="18"/>
                <w:szCs w:val="18"/>
              </w:rPr>
              <w:t>1,0</w:t>
            </w:r>
          </w:p>
        </w:tc>
      </w:tr>
      <w:tr>
        <w:tblPrEx>
          <w:tblW w:w="8020" w:type="dxa"/>
          <w:jc w:val="center"/>
          <w:tblInd w:w="-697" w:type="dxa"/>
          <w:tblCellMar>
            <w:left w:w="70" w:type="dxa"/>
            <w:right w:w="70" w:type="dxa"/>
          </w:tblCellMar>
          <w:tblLook w:val="04A0"/>
        </w:tblPrEx>
        <w:trPr>
          <w:trHeight w:val="300"/>
          <w:jc w:val="center"/>
        </w:trPr>
        <w:tc>
          <w:tcPr>
            <w:tcW w:w="5768" w:type="dxa"/>
            <w:tcBorders>
              <w:top w:val="nil"/>
              <w:left w:val="nil"/>
              <w:bottom w:val="nil"/>
              <w:right w:val="nil"/>
            </w:tcBorders>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Miera nezamestnanosti (VZPS, %)</w:t>
            </w:r>
          </w:p>
        </w:tc>
        <w:tc>
          <w:tcPr>
            <w:tcW w:w="90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12,0</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11,6</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10,9</w:t>
            </w:r>
          </w:p>
        </w:tc>
      </w:tr>
      <w:tr>
        <w:tblPrEx>
          <w:tblW w:w="8020" w:type="dxa"/>
          <w:jc w:val="center"/>
          <w:tblInd w:w="-697" w:type="dxa"/>
          <w:tblCellMar>
            <w:left w:w="70" w:type="dxa"/>
            <w:right w:w="70" w:type="dxa"/>
          </w:tblCellMar>
          <w:tblLook w:val="04A0"/>
        </w:tblPrEx>
        <w:trPr>
          <w:trHeight w:val="300"/>
          <w:jc w:val="center"/>
        </w:trPr>
        <w:tc>
          <w:tcPr>
            <w:tcW w:w="5768" w:type="dxa"/>
            <w:tcBorders>
              <w:top w:val="nil"/>
              <w:left w:val="nil"/>
              <w:bottom w:val="nil"/>
              <w:right w:val="nil"/>
            </w:tcBorders>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Kompenzácie na zamestnanca (% rast)</w:t>
            </w:r>
          </w:p>
        </w:tc>
        <w:tc>
          <w:tcPr>
            <w:tcW w:w="90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0,9</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2,2</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2,8</w:t>
            </w:r>
          </w:p>
        </w:tc>
      </w:tr>
      <w:tr>
        <w:tblPrEx>
          <w:tblW w:w="8020" w:type="dxa"/>
          <w:jc w:val="center"/>
          <w:tblInd w:w="-697" w:type="dxa"/>
          <w:tblCellMar>
            <w:left w:w="70" w:type="dxa"/>
            <w:right w:w="70" w:type="dxa"/>
          </w:tblCellMar>
          <w:tblLook w:val="04A0"/>
        </w:tblPrEx>
        <w:trPr>
          <w:trHeight w:val="300"/>
          <w:jc w:val="center"/>
        </w:trPr>
        <w:tc>
          <w:tcPr>
            <w:tcW w:w="5768" w:type="dxa"/>
            <w:tcBorders>
              <w:top w:val="nil"/>
              <w:left w:val="nil"/>
              <w:bottom w:val="nil"/>
              <w:right w:val="nil"/>
            </w:tcBorders>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Miera inflácie (HICP, %)</w:t>
            </w:r>
          </w:p>
        </w:tc>
        <w:tc>
          <w:tcPr>
            <w:tcW w:w="90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1,4</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0,4</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0,0</w:t>
            </w:r>
          </w:p>
        </w:tc>
      </w:tr>
      <w:tr>
        <w:tblPrEx>
          <w:tblW w:w="8020" w:type="dxa"/>
          <w:jc w:val="center"/>
          <w:tblInd w:w="-697" w:type="dxa"/>
          <w:tblCellMar>
            <w:left w:w="70" w:type="dxa"/>
            <w:right w:w="70" w:type="dxa"/>
          </w:tblCellMar>
          <w:tblLook w:val="04A0"/>
        </w:tblPrEx>
        <w:trPr>
          <w:trHeight w:val="300"/>
          <w:jc w:val="center"/>
        </w:trPr>
        <w:tc>
          <w:tcPr>
            <w:tcW w:w="5768" w:type="dxa"/>
            <w:tcBorders>
              <w:top w:val="nil"/>
              <w:left w:val="nil"/>
              <w:bottom w:val="nil"/>
              <w:right w:val="nil"/>
            </w:tcBorders>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10 ročný nemecký dlhopis (% výnos)</w:t>
            </w:r>
          </w:p>
        </w:tc>
        <w:tc>
          <w:tcPr>
            <w:tcW w:w="90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1,63</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1,24</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0,53 </w:t>
            </w:r>
          </w:p>
        </w:tc>
      </w:tr>
      <w:tr>
        <w:tblPrEx>
          <w:tblW w:w="8020" w:type="dxa"/>
          <w:jc w:val="center"/>
          <w:tblInd w:w="-697" w:type="dxa"/>
          <w:tblCellMar>
            <w:left w:w="70" w:type="dxa"/>
            <w:right w:w="70" w:type="dxa"/>
          </w:tblCellMar>
          <w:tblLook w:val="04A0"/>
        </w:tblPrEx>
        <w:trPr>
          <w:trHeight w:val="300"/>
          <w:jc w:val="center"/>
        </w:trPr>
        <w:tc>
          <w:tcPr>
            <w:tcW w:w="5768" w:type="dxa"/>
            <w:tcBorders>
              <w:top w:val="nil"/>
              <w:left w:val="nil"/>
              <w:bottom w:val="nil"/>
              <w:right w:val="nil"/>
            </w:tcBorders>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Kurz USD/EUR</w:t>
            </w:r>
          </w:p>
        </w:tc>
        <w:tc>
          <w:tcPr>
            <w:tcW w:w="90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1,33</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1,33</w:t>
            </w:r>
          </w:p>
        </w:tc>
        <w:tc>
          <w:tcPr>
            <w:tcW w:w="674" w:type="dxa"/>
            <w:tcBorders>
              <w:top w:val="nil"/>
              <w:left w:val="nil"/>
              <w:bottom w:val="nil"/>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1,11</w:t>
            </w:r>
          </w:p>
        </w:tc>
      </w:tr>
      <w:tr>
        <w:tblPrEx>
          <w:tblW w:w="8020" w:type="dxa"/>
          <w:jc w:val="center"/>
          <w:tblInd w:w="-697" w:type="dxa"/>
          <w:tblCellMar>
            <w:left w:w="70" w:type="dxa"/>
            <w:right w:w="70" w:type="dxa"/>
          </w:tblCellMar>
          <w:tblLook w:val="04A0"/>
        </w:tblPrEx>
        <w:trPr>
          <w:trHeight w:val="315"/>
          <w:jc w:val="center"/>
        </w:trPr>
        <w:tc>
          <w:tcPr>
            <w:tcW w:w="5768" w:type="dxa"/>
            <w:tcBorders>
              <w:top w:val="nil"/>
              <w:left w:val="nil"/>
              <w:bottom w:val="single" w:sz="8" w:space="0" w:color="auto"/>
              <w:right w:val="nil"/>
            </w:tcBorders>
            <w:noWrap/>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Cena ropy Brent (USD/bl)</w:t>
            </w:r>
          </w:p>
        </w:tc>
        <w:tc>
          <w:tcPr>
            <w:tcW w:w="904" w:type="dxa"/>
            <w:tcBorders>
              <w:top w:val="nil"/>
              <w:left w:val="nil"/>
              <w:bottom w:val="single" w:sz="8" w:space="0" w:color="auto"/>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108,76</w:t>
            </w:r>
          </w:p>
        </w:tc>
        <w:tc>
          <w:tcPr>
            <w:tcW w:w="674" w:type="dxa"/>
            <w:tcBorders>
              <w:top w:val="nil"/>
              <w:left w:val="nil"/>
              <w:bottom w:val="single" w:sz="8" w:space="0" w:color="auto"/>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99,5</w:t>
            </w:r>
          </w:p>
        </w:tc>
        <w:tc>
          <w:tcPr>
            <w:tcW w:w="674" w:type="dxa"/>
            <w:tcBorders>
              <w:top w:val="nil"/>
              <w:left w:val="nil"/>
              <w:bottom w:val="single" w:sz="8" w:space="0" w:color="auto"/>
              <w:right w:val="nil"/>
            </w:tcBorders>
            <w:noWrap/>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color w:val="000000"/>
                <w:sz w:val="18"/>
                <w:szCs w:val="18"/>
              </w:rPr>
              <w:t>53,6</w:t>
            </w:r>
          </w:p>
        </w:tc>
      </w:tr>
      <w:tr>
        <w:tblPrEx>
          <w:tblW w:w="8020" w:type="dxa"/>
          <w:jc w:val="center"/>
          <w:tblInd w:w="-697" w:type="dxa"/>
          <w:tblCellMar>
            <w:left w:w="70" w:type="dxa"/>
            <w:right w:w="70" w:type="dxa"/>
          </w:tblCellMar>
          <w:tblLook w:val="04A0"/>
        </w:tblPrEx>
        <w:trPr>
          <w:trHeight w:val="300"/>
          <w:jc w:val="center"/>
        </w:trPr>
        <w:tc>
          <w:tcPr>
            <w:tcW w:w="8020" w:type="dxa"/>
            <w:gridSpan w:val="4"/>
            <w:tcBorders>
              <w:top w:val="single" w:sz="8" w:space="0" w:color="auto"/>
              <w:left w:val="nil"/>
              <w:bottom w:val="nil"/>
              <w:right w:val="none" w:sz="0" w:space="0" w:color="auto"/>
            </w:tcBorders>
            <w:noWrap/>
            <w:textDirection w:val="lrTb"/>
            <w:vAlign w:val="center"/>
            <w:hideMark/>
          </w:tcPr>
          <w:p w:rsidR="003C2255" w:rsidRPr="003C2255" w:rsidP="00510434">
            <w:pPr>
              <w:bidi w:val="0"/>
              <w:jc w:val="right"/>
              <w:rPr>
                <w:rFonts w:ascii="Times New Roman" w:hAnsi="Times New Roman"/>
                <w:iCs/>
                <w:color w:val="000000"/>
                <w:sz w:val="18"/>
                <w:szCs w:val="18"/>
              </w:rPr>
            </w:pPr>
            <w:r w:rsidRPr="003C2255">
              <w:rPr>
                <w:rFonts w:ascii="Times New Roman" w:hAnsi="Times New Roman"/>
                <w:iCs/>
                <w:color w:val="000000"/>
                <w:sz w:val="18"/>
                <w:szCs w:val="18"/>
              </w:rPr>
              <w:t>Zdroj: Eurostat, Bloomberg</w:t>
            </w:r>
          </w:p>
        </w:tc>
      </w:tr>
    </w:tbl>
    <w:p w:rsidR="00053BDF" w:rsidRPr="006E50E2" w:rsidP="00DF3EDF">
      <w:pPr>
        <w:pStyle w:val="Heading2"/>
        <w:numPr>
          <w:ilvl w:val="1"/>
          <w:numId w:val="18"/>
        </w:numPr>
        <w:tabs>
          <w:tab w:val="clear" w:pos="1134"/>
        </w:tabs>
        <w:bidi w:val="0"/>
        <w:spacing w:before="120" w:beforeAutospacing="0" w:line="336" w:lineRule="auto"/>
        <w:ind w:left="539" w:hanging="539"/>
        <w:rPr>
          <w:rFonts w:ascii="Times New Roman" w:hAnsi="Times New Roman"/>
        </w:rPr>
      </w:pPr>
      <w:bookmarkStart w:id="6" w:name="_Toc449622821"/>
      <w:r w:rsidR="004A69AD">
        <w:rPr>
          <w:rFonts w:ascii="Times New Roman" w:hAnsi="Times New Roman"/>
        </w:rPr>
        <w:t>Makroekonomický vývoj SR</w:t>
      </w:r>
      <w:bookmarkEnd w:id="6"/>
    </w:p>
    <w:p w:rsidR="00053BDF" w:rsidP="00A64D0A">
      <w:pPr>
        <w:pStyle w:val="Heading3"/>
        <w:numPr>
          <w:ilvl w:val="2"/>
          <w:numId w:val="18"/>
        </w:numPr>
        <w:bidi w:val="0"/>
        <w:spacing w:before="0" w:beforeAutospacing="0" w:line="336" w:lineRule="auto"/>
        <w:rPr>
          <w:rFonts w:ascii="Times New Roman" w:hAnsi="Times New Roman"/>
          <w:lang w:val="sk-SK"/>
        </w:rPr>
      </w:pPr>
      <w:bookmarkStart w:id="7" w:name="_Toc449622822"/>
      <w:r w:rsidR="004A69AD">
        <w:rPr>
          <w:rFonts w:ascii="Times New Roman" w:hAnsi="Times New Roman"/>
          <w:lang w:val="sk-SK"/>
        </w:rPr>
        <w:t>Hrubý domáci produkt</w:t>
      </w:r>
      <w:bookmarkEnd w:id="7"/>
    </w:p>
    <w:p w:rsidR="003C2255" w:rsidRPr="00CC3A72" w:rsidP="003C2255">
      <w:pPr>
        <w:pStyle w:val="Footer"/>
        <w:tabs>
          <w:tab w:val="clear" w:pos="4536"/>
          <w:tab w:val="clear" w:pos="9072"/>
        </w:tabs>
        <w:bidi w:val="0"/>
        <w:spacing w:after="120" w:line="336" w:lineRule="auto"/>
        <w:jc w:val="both"/>
        <w:rPr>
          <w:rFonts w:ascii="Times New Roman" w:hAnsi="Times New Roman"/>
          <w:sz w:val="22"/>
          <w:szCs w:val="22"/>
        </w:rPr>
      </w:pPr>
      <w:r w:rsidRPr="00CC3A72">
        <w:rPr>
          <w:rFonts w:ascii="Times New Roman" w:hAnsi="Times New Roman"/>
          <w:sz w:val="22"/>
          <w:szCs w:val="22"/>
        </w:rPr>
        <w:t xml:space="preserve">Rast hrubého domáceho produktu (HDP) v roku 2015 zrýchlil na 3,6 %, čo predstavuje najrýchlejší rast za posledných päť rokov. Rovnako ako v predchádzajúcom roku, aj v roku 2015 potiahol rast HDP výlučne domáci dopyt. Hlavný príspevok k rastu HDP tvorili investície, </w:t>
      </w:r>
      <w:r w:rsidR="00F40D89">
        <w:rPr>
          <w:rFonts w:ascii="Times New Roman" w:hAnsi="Times New Roman"/>
          <w:sz w:val="22"/>
          <w:szCs w:val="22"/>
          <w:lang w:val="sk-SK"/>
        </w:rPr>
        <w:t xml:space="preserve">na </w:t>
      </w:r>
      <w:r w:rsidRPr="00CC3A72">
        <w:rPr>
          <w:rFonts w:ascii="Times New Roman" w:hAnsi="Times New Roman"/>
          <w:sz w:val="22"/>
          <w:szCs w:val="22"/>
        </w:rPr>
        <w:t xml:space="preserve">ktoré </w:t>
      </w:r>
      <w:r w:rsidR="00F40D89">
        <w:rPr>
          <w:rFonts w:ascii="Times New Roman" w:hAnsi="Times New Roman"/>
          <w:sz w:val="22"/>
          <w:szCs w:val="22"/>
          <w:lang w:val="sk-SK"/>
        </w:rPr>
        <w:t>vplývalo</w:t>
      </w:r>
      <w:r w:rsidRPr="00CC3A72">
        <w:rPr>
          <w:rFonts w:ascii="Times New Roman" w:hAnsi="Times New Roman"/>
          <w:sz w:val="22"/>
          <w:szCs w:val="22"/>
        </w:rPr>
        <w:t xml:space="preserve"> zrýchlené</w:t>
      </w:r>
      <w:r w:rsidR="00F40D89">
        <w:rPr>
          <w:rFonts w:ascii="Times New Roman" w:hAnsi="Times New Roman"/>
          <w:sz w:val="22"/>
          <w:szCs w:val="22"/>
        </w:rPr>
        <w:t xml:space="preserve"> čerpani</w:t>
      </w:r>
      <w:r w:rsidR="00F40D89">
        <w:rPr>
          <w:rFonts w:ascii="Times New Roman" w:hAnsi="Times New Roman"/>
          <w:sz w:val="22"/>
          <w:szCs w:val="22"/>
          <w:lang w:val="sk-SK"/>
        </w:rPr>
        <w:t>e</w:t>
      </w:r>
      <w:r w:rsidRPr="00CC3A72">
        <w:rPr>
          <w:rFonts w:ascii="Times New Roman" w:hAnsi="Times New Roman"/>
          <w:sz w:val="22"/>
          <w:szCs w:val="22"/>
        </w:rPr>
        <w:t xml:space="preserve"> EÚ fondov z konca programového obdobia 2007 – 20</w:t>
      </w:r>
      <w:r w:rsidR="00DB6F6A">
        <w:rPr>
          <w:rFonts w:ascii="Times New Roman" w:hAnsi="Times New Roman"/>
          <w:sz w:val="22"/>
          <w:szCs w:val="22"/>
          <w:lang w:val="sk-SK"/>
        </w:rPr>
        <w:t>1</w:t>
      </w:r>
      <w:r w:rsidRPr="00CC3A72">
        <w:rPr>
          <w:rFonts w:ascii="Times New Roman" w:hAnsi="Times New Roman"/>
          <w:sz w:val="22"/>
          <w:szCs w:val="22"/>
        </w:rPr>
        <w:t>3. Zlepšujúci sa trh práce a pokles cenovej hladiny podporili rast reálnych príjmov domácností. Spotreba domácností tak zaznamenala priaznivý vývoj už druhý rok po sebe a rástla vyše 2 %. Príspevok zahraničného obchodu k rastu HDP bol opäť záporný. Rast dovozne náročných</w:t>
      </w:r>
      <w:r>
        <w:rPr>
          <w:rFonts w:ascii="Times New Roman" w:hAnsi="Times New Roman"/>
          <w:sz w:val="22"/>
          <w:szCs w:val="22"/>
        </w:rPr>
        <w:t xml:space="preserve"> investícií podporených EÚ fond</w:t>
      </w:r>
      <w:r w:rsidRPr="00CC3A72">
        <w:rPr>
          <w:rFonts w:ascii="Times New Roman" w:hAnsi="Times New Roman"/>
          <w:sz w:val="22"/>
          <w:szCs w:val="22"/>
        </w:rPr>
        <w:t>mi znamenal, že rast importu predbehol rast exportu.</w:t>
      </w:r>
    </w:p>
    <w:p w:rsidR="00DF3EDF" w:rsidP="003C2255">
      <w:pPr>
        <w:pStyle w:val="Footer"/>
        <w:tabs>
          <w:tab w:val="clear" w:pos="4536"/>
          <w:tab w:val="clear" w:pos="9072"/>
        </w:tabs>
        <w:bidi w:val="0"/>
        <w:spacing w:after="120" w:line="336" w:lineRule="auto"/>
        <w:jc w:val="both"/>
        <w:rPr>
          <w:rFonts w:ascii="Times New Roman" w:hAnsi="Times New Roman"/>
          <w:sz w:val="22"/>
          <w:szCs w:val="22"/>
        </w:rPr>
      </w:pPr>
      <w:r w:rsidRPr="00CC3A72" w:rsidR="003C2255">
        <w:rPr>
          <w:rFonts w:ascii="Times New Roman" w:hAnsi="Times New Roman"/>
          <w:sz w:val="22"/>
          <w:szCs w:val="22"/>
        </w:rPr>
        <w:t>Zo sektorového pohľadu k reálnemu rastu HDP v roku 2015 najviac prispela pridaná hodnota v priemysle s rastom o 6,8 % (príspevok k rastu HDP 1,7 p.b.). Na tomto vývoji mal jednoznačne najvýznamnejšiu zásluhu automobilový priemysel. Pridaná hodnota v stavebníctve stúpla až o 9,3</w:t>
      </w:r>
      <w:r w:rsidR="00F40D89">
        <w:rPr>
          <w:rFonts w:ascii="Times New Roman" w:hAnsi="Times New Roman"/>
          <w:sz w:val="22"/>
          <w:szCs w:val="22"/>
          <w:lang w:val="sk-SK"/>
        </w:rPr>
        <w:t> </w:t>
      </w:r>
      <w:r w:rsidRPr="00CC3A72" w:rsidR="003C2255">
        <w:rPr>
          <w:rFonts w:ascii="Times New Roman" w:hAnsi="Times New Roman"/>
          <w:sz w:val="22"/>
          <w:szCs w:val="22"/>
        </w:rPr>
        <w:t xml:space="preserve">% (príspevok 0,7 p.b.), k čomu prispel predovšetkým rast investícií podporený čerpaním EÚ fondov. Pridaná hodnota v službách vzrástla o 1,1 %. V rámci služieb najviac rástla pridaná hodnota v informáciách a komunikáciách nasledovaná vnútorným obchodom. </w:t>
      </w:r>
    </w:p>
    <w:p w:rsidR="00DF3EDF">
      <w:pPr>
        <w:bidi w:val="0"/>
        <w:rPr>
          <w:rFonts w:ascii="Times New Roman" w:hAnsi="Times New Roman"/>
        </w:rPr>
      </w:pPr>
      <w:r>
        <w:rPr>
          <w:rFonts w:ascii="Times New Roman" w:hAnsi="Times New Roman"/>
        </w:rPr>
        <w:br w:type="page"/>
      </w:r>
    </w:p>
    <w:tbl>
      <w:tblPr>
        <w:tblStyle w:val="TableNormal"/>
        <w:tblW w:w="9017" w:type="dxa"/>
        <w:tblInd w:w="70" w:type="dxa"/>
        <w:tblCellMar>
          <w:left w:w="70" w:type="dxa"/>
          <w:right w:w="70" w:type="dxa"/>
        </w:tblCellMar>
        <w:tblLook w:val="04A0"/>
      </w:tblPr>
      <w:tblGrid>
        <w:gridCol w:w="1698"/>
        <w:gridCol w:w="1118"/>
        <w:gridCol w:w="626"/>
        <w:gridCol w:w="626"/>
        <w:gridCol w:w="597"/>
        <w:gridCol w:w="4352"/>
      </w:tblGrid>
      <w:tr>
        <w:tblPrEx>
          <w:tblW w:w="9017" w:type="dxa"/>
          <w:tblInd w:w="70" w:type="dxa"/>
          <w:tblCellMar>
            <w:left w:w="70" w:type="dxa"/>
            <w:right w:w="70" w:type="dxa"/>
          </w:tblCellMar>
          <w:tblLook w:val="04A0"/>
        </w:tblPrEx>
        <w:trPr>
          <w:trHeight w:val="342"/>
        </w:trPr>
        <w:tc>
          <w:tcPr>
            <w:tcW w:w="9017" w:type="dxa"/>
            <w:gridSpan w:val="6"/>
            <w:tcBorders>
              <w:top w:val="nil"/>
              <w:left w:val="nil"/>
              <w:bottom w:val="nil"/>
              <w:right w:val="nil"/>
            </w:tcBorders>
            <w:shd w:val="clear" w:color="000000" w:fill="000000"/>
            <w:textDirection w:val="lrTb"/>
            <w:vAlign w:val="center"/>
            <w:hideMark/>
          </w:tcPr>
          <w:p w:rsidR="003C2255" w:rsidRPr="003C2255" w:rsidP="00510434">
            <w:pPr>
              <w:bidi w:val="0"/>
              <w:rPr>
                <w:rFonts w:ascii="Times New Roman" w:hAnsi="Times New Roman"/>
                <w:b/>
                <w:bCs/>
                <w:color w:val="FFFFFF"/>
                <w:sz w:val="18"/>
                <w:szCs w:val="18"/>
              </w:rPr>
            </w:pPr>
            <w:r w:rsidR="00DF3EDF">
              <w:rPr>
                <w:rFonts w:ascii="Times New Roman" w:hAnsi="Times New Roman"/>
                <w:sz w:val="22"/>
                <w:szCs w:val="22"/>
              </w:rPr>
              <w:br w:type="page"/>
            </w:r>
            <w:r w:rsidRPr="003C2255">
              <w:rPr>
                <w:rFonts w:ascii="Times New Roman" w:hAnsi="Times New Roman"/>
                <w:b/>
                <w:bCs/>
                <w:color w:val="FFFFFF"/>
                <w:sz w:val="18"/>
                <w:szCs w:val="18"/>
              </w:rPr>
              <w:t xml:space="preserve">Vývoj HDP a jeho hlavných  zložiek </w:t>
            </w:r>
          </w:p>
        </w:tc>
      </w:tr>
      <w:tr>
        <w:tblPrEx>
          <w:tblW w:w="9017" w:type="dxa"/>
          <w:tblInd w:w="70" w:type="dxa"/>
          <w:tblCellMar>
            <w:left w:w="70" w:type="dxa"/>
            <w:right w:w="70" w:type="dxa"/>
          </w:tblCellMar>
          <w:tblLook w:val="04A0"/>
        </w:tblPrEx>
        <w:trPr>
          <w:trHeight w:val="342"/>
        </w:trPr>
        <w:tc>
          <w:tcPr>
            <w:tcW w:w="2816" w:type="dxa"/>
            <w:gridSpan w:val="2"/>
            <w:tcBorders>
              <w:top w:val="nil"/>
              <w:left w:val="nil"/>
              <w:bottom w:val="single" w:sz="4" w:space="0" w:color="auto"/>
              <w:right w:val="nil"/>
            </w:tcBorders>
            <w:shd w:val="clear" w:color="auto" w:fill="BFBFBF"/>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reálny rast v %</w:t>
            </w:r>
          </w:p>
        </w:tc>
        <w:tc>
          <w:tcPr>
            <w:tcW w:w="626" w:type="dxa"/>
            <w:tcBorders>
              <w:top w:val="nil"/>
              <w:left w:val="nil"/>
              <w:bottom w:val="single" w:sz="4" w:space="0" w:color="auto"/>
              <w:right w:val="nil"/>
            </w:tcBorders>
            <w:shd w:val="clear" w:color="auto" w:fill="BFBFBF"/>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2013</w:t>
            </w:r>
          </w:p>
        </w:tc>
        <w:tc>
          <w:tcPr>
            <w:tcW w:w="626" w:type="dxa"/>
            <w:tcBorders>
              <w:top w:val="nil"/>
              <w:left w:val="nil"/>
              <w:bottom w:val="single" w:sz="4" w:space="0" w:color="auto"/>
              <w:right w:val="nil"/>
            </w:tcBorders>
            <w:shd w:val="clear" w:color="auto" w:fill="BFBFBF"/>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2014</w:t>
            </w:r>
          </w:p>
        </w:tc>
        <w:tc>
          <w:tcPr>
            <w:tcW w:w="597" w:type="dxa"/>
            <w:tcBorders>
              <w:top w:val="nil"/>
              <w:left w:val="nil"/>
              <w:bottom w:val="single" w:sz="4" w:space="0" w:color="auto"/>
              <w:right w:val="nil"/>
            </w:tcBorders>
            <w:shd w:val="clear" w:color="auto" w:fill="BFBFBF"/>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2015</w:t>
            </w:r>
          </w:p>
        </w:tc>
        <w:tc>
          <w:tcPr>
            <w:tcW w:w="4352" w:type="dxa"/>
            <w:vMerge w:val="restart"/>
            <w:tcBorders>
              <w:top w:val="nil"/>
              <w:left w:val="nil"/>
              <w:bottom w:val="single" w:sz="4" w:space="0" w:color="auto"/>
              <w:right w:val="nil"/>
            </w:tcBorders>
            <w:textDirection w:val="lrTb"/>
            <w:vAlign w:val="top"/>
            <w:hideMark/>
          </w:tcPr>
          <w:p w:rsidR="003C2255" w:rsidRPr="003C2255" w:rsidP="00510434">
            <w:pPr>
              <w:bidi w:val="0"/>
              <w:jc w:val="center"/>
              <w:rPr>
                <w:rFonts w:ascii="Times New Roman" w:hAnsi="Times New Roman"/>
                <w:b/>
                <w:bCs/>
                <w:color w:val="000000"/>
                <w:sz w:val="18"/>
                <w:szCs w:val="18"/>
              </w:rPr>
            </w:pPr>
            <w:r>
              <w:rPr>
                <w:rFonts w:ascii="Times New Roman" w:hAnsi="Times New Roman"/>
                <w:noProof/>
                <w:sz w:val="18"/>
                <w:szCs w:val="1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205.95pt;height:140.46pt;visibility:visible" stroked="f">
                  <v:imagedata r:id="rId8" o:title=""/>
                  <o:lock v:ext="edit" aspectratio="f"/>
                </v:shape>
              </w:pict>
            </w:r>
          </w:p>
        </w:tc>
      </w:tr>
      <w:tr>
        <w:tblPrEx>
          <w:tblW w:w="9017" w:type="dxa"/>
          <w:tblInd w:w="70" w:type="dxa"/>
          <w:tblCellMar>
            <w:left w:w="70" w:type="dxa"/>
            <w:right w:w="70" w:type="dxa"/>
          </w:tblCellMar>
          <w:tblLook w:val="04A0"/>
        </w:tblPrEx>
        <w:trPr>
          <w:trHeight w:val="342"/>
        </w:trPr>
        <w:tc>
          <w:tcPr>
            <w:tcW w:w="2816" w:type="dxa"/>
            <w:gridSpan w:val="2"/>
            <w:tcBorders>
              <w:top w:val="nil"/>
              <w:left w:val="nil"/>
              <w:bottom w:val="nil"/>
              <w:right w:val="nil"/>
            </w:tcBorders>
            <w:textDirection w:val="lrTb"/>
            <w:vAlign w:val="center"/>
            <w:hideMark/>
          </w:tcPr>
          <w:p w:rsidR="003C2255" w:rsidRPr="003C2255" w:rsidP="00510434">
            <w:pPr>
              <w:bidi w:val="0"/>
              <w:rPr>
                <w:rFonts w:ascii="Times New Roman" w:hAnsi="Times New Roman"/>
                <w:b/>
                <w:bCs/>
                <w:color w:val="000000"/>
                <w:sz w:val="18"/>
                <w:szCs w:val="18"/>
              </w:rPr>
            </w:pPr>
            <w:r w:rsidRPr="003C2255">
              <w:rPr>
                <w:rFonts w:ascii="Times New Roman" w:hAnsi="Times New Roman"/>
                <w:b/>
                <w:bCs/>
                <w:color w:val="000000"/>
                <w:sz w:val="18"/>
                <w:szCs w:val="18"/>
              </w:rPr>
              <w:t xml:space="preserve">HDP </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1,4</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2,5</w:t>
            </w:r>
          </w:p>
        </w:tc>
        <w:tc>
          <w:tcPr>
            <w:tcW w:w="597"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b/>
                <w:bCs/>
                <w:color w:val="000000"/>
                <w:sz w:val="18"/>
                <w:szCs w:val="18"/>
              </w:rPr>
            </w:pPr>
            <w:r w:rsidRPr="003C2255">
              <w:rPr>
                <w:rFonts w:ascii="Times New Roman" w:hAnsi="Times New Roman"/>
                <w:b/>
                <w:bCs/>
                <w:color w:val="000000"/>
                <w:sz w:val="18"/>
                <w:szCs w:val="18"/>
              </w:rPr>
              <w:t>3,6</w:t>
            </w:r>
          </w:p>
        </w:tc>
        <w:tc>
          <w:tcPr>
            <w:tcW w:w="4352" w:type="dxa"/>
            <w:vMerge/>
            <w:tcBorders>
              <w:top w:val="nil"/>
              <w:left w:val="nil"/>
              <w:bottom w:val="single" w:sz="4" w:space="0" w:color="auto"/>
              <w:right w:val="nil"/>
            </w:tcBorders>
            <w:textDirection w:val="lrTb"/>
            <w:vAlign w:val="center"/>
            <w:hideMark/>
          </w:tcPr>
          <w:p w:rsidR="003C2255" w:rsidRPr="003C2255" w:rsidP="00510434">
            <w:pPr>
              <w:bidi w:val="0"/>
              <w:rPr>
                <w:rFonts w:ascii="Times New Roman" w:hAnsi="Times New Roman"/>
                <w:b/>
                <w:bCs/>
                <w:color w:val="000000"/>
                <w:sz w:val="18"/>
                <w:szCs w:val="18"/>
              </w:rPr>
            </w:pPr>
          </w:p>
        </w:tc>
      </w:tr>
      <w:tr>
        <w:tblPrEx>
          <w:tblW w:w="9017" w:type="dxa"/>
          <w:tblInd w:w="70" w:type="dxa"/>
          <w:tblCellMar>
            <w:left w:w="70" w:type="dxa"/>
            <w:right w:w="70" w:type="dxa"/>
          </w:tblCellMar>
          <w:tblLook w:val="04A0"/>
        </w:tblPrEx>
        <w:trPr>
          <w:trHeight w:val="342"/>
        </w:trPr>
        <w:tc>
          <w:tcPr>
            <w:tcW w:w="1698" w:type="dxa"/>
            <w:tcBorders>
              <w:top w:val="nil"/>
              <w:left w:val="nil"/>
              <w:bottom w:val="nil"/>
              <w:right w:val="nil"/>
            </w:tcBorders>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z toho:</w:t>
            </w:r>
          </w:p>
        </w:tc>
        <w:tc>
          <w:tcPr>
            <w:tcW w:w="1744" w:type="dxa"/>
            <w:gridSpan w:val="2"/>
            <w:tcBorders>
              <w:top w:val="nil"/>
              <w:left w:val="nil"/>
              <w:bottom w:val="nil"/>
              <w:right w:val="nil"/>
            </w:tcBorders>
            <w:textDirection w:val="lrTb"/>
            <w:vAlign w:val="center"/>
            <w:hideMark/>
          </w:tcPr>
          <w:p w:rsidR="003C2255" w:rsidRPr="003C2255" w:rsidP="00510434">
            <w:pPr>
              <w:bidi w:val="0"/>
              <w:rPr>
                <w:rFonts w:ascii="Times New Roman" w:hAnsi="Times New Roman"/>
                <w:color w:val="000000"/>
                <w:sz w:val="18"/>
                <w:szCs w:val="18"/>
              </w:rPr>
            </w:pP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sz w:val="18"/>
                <w:szCs w:val="18"/>
              </w:rPr>
            </w:pPr>
          </w:p>
        </w:tc>
        <w:tc>
          <w:tcPr>
            <w:tcW w:w="597"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sz w:val="18"/>
                <w:szCs w:val="18"/>
              </w:rPr>
            </w:pPr>
          </w:p>
        </w:tc>
        <w:tc>
          <w:tcPr>
            <w:tcW w:w="4352" w:type="dxa"/>
            <w:vMerge/>
            <w:tcBorders>
              <w:top w:val="nil"/>
              <w:left w:val="nil"/>
              <w:bottom w:val="single" w:sz="4" w:space="0" w:color="auto"/>
              <w:right w:val="nil"/>
            </w:tcBorders>
            <w:textDirection w:val="lrTb"/>
            <w:vAlign w:val="center"/>
            <w:hideMark/>
          </w:tcPr>
          <w:p w:rsidR="003C2255" w:rsidRPr="003C2255" w:rsidP="00510434">
            <w:pPr>
              <w:bidi w:val="0"/>
              <w:rPr>
                <w:rFonts w:ascii="Times New Roman" w:hAnsi="Times New Roman"/>
                <w:b/>
                <w:bCs/>
                <w:color w:val="000000"/>
                <w:sz w:val="18"/>
                <w:szCs w:val="18"/>
              </w:rPr>
            </w:pPr>
          </w:p>
        </w:tc>
      </w:tr>
      <w:tr>
        <w:tblPrEx>
          <w:tblW w:w="9017" w:type="dxa"/>
          <w:tblInd w:w="70" w:type="dxa"/>
          <w:tblCellMar>
            <w:left w:w="70" w:type="dxa"/>
            <w:right w:w="70" w:type="dxa"/>
          </w:tblCellMar>
          <w:tblLook w:val="04A0"/>
        </w:tblPrEx>
        <w:trPr>
          <w:trHeight w:val="342"/>
        </w:trPr>
        <w:tc>
          <w:tcPr>
            <w:tcW w:w="2816" w:type="dxa"/>
            <w:gridSpan w:val="2"/>
            <w:tcBorders>
              <w:top w:val="nil"/>
              <w:left w:val="nil"/>
              <w:bottom w:val="nil"/>
              <w:right w:val="nil"/>
            </w:tcBorders>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bCs/>
                <w:color w:val="000000"/>
                <w:sz w:val="18"/>
                <w:szCs w:val="18"/>
              </w:rPr>
              <w:t xml:space="preserve">  Konečná spotreba domácností</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-0,8</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2,4</w:t>
            </w:r>
          </w:p>
        </w:tc>
        <w:tc>
          <w:tcPr>
            <w:tcW w:w="597"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2,4</w:t>
            </w:r>
          </w:p>
        </w:tc>
        <w:tc>
          <w:tcPr>
            <w:tcW w:w="4352" w:type="dxa"/>
            <w:vMerge/>
            <w:tcBorders>
              <w:top w:val="nil"/>
              <w:left w:val="nil"/>
              <w:bottom w:val="single" w:sz="4" w:space="0" w:color="auto"/>
              <w:right w:val="nil"/>
            </w:tcBorders>
            <w:textDirection w:val="lrTb"/>
            <w:vAlign w:val="center"/>
            <w:hideMark/>
          </w:tcPr>
          <w:p w:rsidR="003C2255" w:rsidRPr="003C2255" w:rsidP="00510434">
            <w:pPr>
              <w:bidi w:val="0"/>
              <w:rPr>
                <w:rFonts w:ascii="Times New Roman" w:hAnsi="Times New Roman"/>
                <w:b/>
                <w:bCs/>
                <w:color w:val="000000"/>
                <w:sz w:val="18"/>
                <w:szCs w:val="18"/>
              </w:rPr>
            </w:pPr>
          </w:p>
        </w:tc>
      </w:tr>
      <w:tr>
        <w:tblPrEx>
          <w:tblW w:w="9017" w:type="dxa"/>
          <w:tblInd w:w="70" w:type="dxa"/>
          <w:tblCellMar>
            <w:left w:w="70" w:type="dxa"/>
            <w:right w:w="70" w:type="dxa"/>
          </w:tblCellMar>
          <w:tblLook w:val="04A0"/>
        </w:tblPrEx>
        <w:trPr>
          <w:trHeight w:val="342"/>
        </w:trPr>
        <w:tc>
          <w:tcPr>
            <w:tcW w:w="2816" w:type="dxa"/>
            <w:gridSpan w:val="2"/>
            <w:tcBorders>
              <w:top w:val="nil"/>
              <w:left w:val="nil"/>
              <w:bottom w:val="nil"/>
              <w:right w:val="nil"/>
            </w:tcBorders>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bCs/>
                <w:color w:val="000000"/>
                <w:sz w:val="18"/>
                <w:szCs w:val="18"/>
              </w:rPr>
              <w:t xml:space="preserve">  Konečná spotreba ver. správy</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2,2</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5,9</w:t>
            </w:r>
          </w:p>
        </w:tc>
        <w:tc>
          <w:tcPr>
            <w:tcW w:w="597"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3,4</w:t>
            </w:r>
          </w:p>
        </w:tc>
        <w:tc>
          <w:tcPr>
            <w:tcW w:w="4352" w:type="dxa"/>
            <w:vMerge/>
            <w:tcBorders>
              <w:top w:val="nil"/>
              <w:left w:val="nil"/>
              <w:bottom w:val="single" w:sz="4" w:space="0" w:color="auto"/>
              <w:right w:val="nil"/>
            </w:tcBorders>
            <w:textDirection w:val="lrTb"/>
            <w:vAlign w:val="center"/>
            <w:hideMark/>
          </w:tcPr>
          <w:p w:rsidR="003C2255" w:rsidRPr="003C2255" w:rsidP="00510434">
            <w:pPr>
              <w:bidi w:val="0"/>
              <w:rPr>
                <w:rFonts w:ascii="Times New Roman" w:hAnsi="Times New Roman"/>
                <w:b/>
                <w:bCs/>
                <w:color w:val="000000"/>
                <w:sz w:val="18"/>
                <w:szCs w:val="18"/>
              </w:rPr>
            </w:pPr>
          </w:p>
        </w:tc>
      </w:tr>
      <w:tr>
        <w:tblPrEx>
          <w:tblW w:w="9017" w:type="dxa"/>
          <w:tblInd w:w="70" w:type="dxa"/>
          <w:tblCellMar>
            <w:left w:w="70" w:type="dxa"/>
            <w:right w:w="70" w:type="dxa"/>
          </w:tblCellMar>
          <w:tblLook w:val="04A0"/>
        </w:tblPrEx>
        <w:trPr>
          <w:trHeight w:val="342"/>
        </w:trPr>
        <w:tc>
          <w:tcPr>
            <w:tcW w:w="2816" w:type="dxa"/>
            <w:gridSpan w:val="2"/>
            <w:tcBorders>
              <w:top w:val="nil"/>
              <w:left w:val="nil"/>
              <w:bottom w:val="nil"/>
              <w:right w:val="nil"/>
            </w:tcBorders>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color w:val="000000"/>
                <w:sz w:val="18"/>
                <w:szCs w:val="18"/>
              </w:rPr>
              <w:t xml:space="preserve">  Tvorba hrubého fixného kapitálu</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-1,1</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3,5</w:t>
            </w:r>
          </w:p>
        </w:tc>
        <w:tc>
          <w:tcPr>
            <w:tcW w:w="597"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14</w:t>
            </w:r>
          </w:p>
        </w:tc>
        <w:tc>
          <w:tcPr>
            <w:tcW w:w="4352" w:type="dxa"/>
            <w:vMerge/>
            <w:tcBorders>
              <w:top w:val="nil"/>
              <w:left w:val="nil"/>
              <w:bottom w:val="single" w:sz="4" w:space="0" w:color="auto"/>
              <w:right w:val="nil"/>
            </w:tcBorders>
            <w:textDirection w:val="lrTb"/>
            <w:vAlign w:val="center"/>
            <w:hideMark/>
          </w:tcPr>
          <w:p w:rsidR="003C2255" w:rsidRPr="003C2255" w:rsidP="00510434">
            <w:pPr>
              <w:bidi w:val="0"/>
              <w:rPr>
                <w:rFonts w:ascii="Times New Roman" w:hAnsi="Times New Roman"/>
                <w:b/>
                <w:bCs/>
                <w:color w:val="000000"/>
                <w:sz w:val="18"/>
                <w:szCs w:val="18"/>
              </w:rPr>
            </w:pPr>
          </w:p>
        </w:tc>
      </w:tr>
      <w:tr>
        <w:tblPrEx>
          <w:tblW w:w="9017" w:type="dxa"/>
          <w:tblInd w:w="70" w:type="dxa"/>
          <w:tblCellMar>
            <w:left w:w="70" w:type="dxa"/>
            <w:right w:w="70" w:type="dxa"/>
          </w:tblCellMar>
          <w:tblLook w:val="04A0"/>
        </w:tblPrEx>
        <w:trPr>
          <w:trHeight w:val="342"/>
        </w:trPr>
        <w:tc>
          <w:tcPr>
            <w:tcW w:w="2816" w:type="dxa"/>
            <w:gridSpan w:val="2"/>
            <w:tcBorders>
              <w:top w:val="nil"/>
              <w:left w:val="nil"/>
              <w:bottom w:val="nil"/>
              <w:right w:val="nil"/>
            </w:tcBorders>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bCs/>
                <w:color w:val="000000"/>
                <w:sz w:val="18"/>
                <w:szCs w:val="18"/>
              </w:rPr>
              <w:t xml:space="preserve">  Vývoz výrobkov a služieb</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6,2</w:t>
            </w:r>
          </w:p>
        </w:tc>
        <w:tc>
          <w:tcPr>
            <w:tcW w:w="626"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3,6</w:t>
            </w:r>
          </w:p>
        </w:tc>
        <w:tc>
          <w:tcPr>
            <w:tcW w:w="597" w:type="dxa"/>
            <w:tcBorders>
              <w:top w:val="nil"/>
              <w:left w:val="nil"/>
              <w:bottom w:val="nil"/>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7,0</w:t>
            </w:r>
          </w:p>
        </w:tc>
        <w:tc>
          <w:tcPr>
            <w:tcW w:w="4352" w:type="dxa"/>
            <w:vMerge/>
            <w:tcBorders>
              <w:top w:val="nil"/>
              <w:left w:val="nil"/>
              <w:bottom w:val="single" w:sz="4" w:space="0" w:color="auto"/>
              <w:right w:val="nil"/>
            </w:tcBorders>
            <w:textDirection w:val="lrTb"/>
            <w:vAlign w:val="center"/>
            <w:hideMark/>
          </w:tcPr>
          <w:p w:rsidR="003C2255" w:rsidRPr="003C2255" w:rsidP="00510434">
            <w:pPr>
              <w:bidi w:val="0"/>
              <w:rPr>
                <w:rFonts w:ascii="Times New Roman" w:hAnsi="Times New Roman"/>
                <w:b/>
                <w:bCs/>
                <w:color w:val="000000"/>
                <w:sz w:val="18"/>
                <w:szCs w:val="18"/>
              </w:rPr>
            </w:pPr>
          </w:p>
        </w:tc>
      </w:tr>
      <w:tr>
        <w:tblPrEx>
          <w:tblW w:w="9017" w:type="dxa"/>
          <w:tblInd w:w="70" w:type="dxa"/>
          <w:tblCellMar>
            <w:left w:w="70" w:type="dxa"/>
            <w:right w:w="70" w:type="dxa"/>
          </w:tblCellMar>
          <w:tblLook w:val="04A0"/>
        </w:tblPrEx>
        <w:trPr>
          <w:trHeight w:val="342"/>
        </w:trPr>
        <w:tc>
          <w:tcPr>
            <w:tcW w:w="2816" w:type="dxa"/>
            <w:gridSpan w:val="2"/>
            <w:tcBorders>
              <w:top w:val="nil"/>
              <w:left w:val="nil"/>
              <w:bottom w:val="single" w:sz="4" w:space="0" w:color="auto"/>
              <w:right w:val="nil"/>
            </w:tcBorders>
            <w:textDirection w:val="lrTb"/>
            <w:vAlign w:val="center"/>
            <w:hideMark/>
          </w:tcPr>
          <w:p w:rsidR="003C2255" w:rsidRPr="003C2255" w:rsidP="00510434">
            <w:pPr>
              <w:bidi w:val="0"/>
              <w:rPr>
                <w:rFonts w:ascii="Times New Roman" w:hAnsi="Times New Roman"/>
                <w:color w:val="000000"/>
                <w:sz w:val="18"/>
                <w:szCs w:val="18"/>
              </w:rPr>
            </w:pPr>
            <w:r w:rsidRPr="003C2255">
              <w:rPr>
                <w:rFonts w:ascii="Times New Roman" w:hAnsi="Times New Roman"/>
                <w:bCs/>
                <w:color w:val="000000"/>
                <w:sz w:val="18"/>
                <w:szCs w:val="18"/>
              </w:rPr>
              <w:t xml:space="preserve">  Dovoz výrobkov a služieb</w:t>
            </w:r>
          </w:p>
        </w:tc>
        <w:tc>
          <w:tcPr>
            <w:tcW w:w="626" w:type="dxa"/>
            <w:tcBorders>
              <w:top w:val="nil"/>
              <w:left w:val="nil"/>
              <w:bottom w:val="single" w:sz="4" w:space="0" w:color="auto"/>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5,1</w:t>
            </w:r>
          </w:p>
        </w:tc>
        <w:tc>
          <w:tcPr>
            <w:tcW w:w="626" w:type="dxa"/>
            <w:tcBorders>
              <w:top w:val="nil"/>
              <w:left w:val="nil"/>
              <w:bottom w:val="single" w:sz="4" w:space="0" w:color="auto"/>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4,3</w:t>
            </w:r>
          </w:p>
        </w:tc>
        <w:tc>
          <w:tcPr>
            <w:tcW w:w="597" w:type="dxa"/>
            <w:tcBorders>
              <w:top w:val="nil"/>
              <w:left w:val="nil"/>
              <w:bottom w:val="single" w:sz="4" w:space="0" w:color="auto"/>
              <w:right w:val="nil"/>
            </w:tcBorders>
            <w:textDirection w:val="lrTb"/>
            <w:vAlign w:val="center"/>
            <w:hideMark/>
          </w:tcPr>
          <w:p w:rsidR="003C2255" w:rsidRPr="003C2255" w:rsidP="00510434">
            <w:pPr>
              <w:bidi w:val="0"/>
              <w:jc w:val="center"/>
              <w:rPr>
                <w:rFonts w:ascii="Times New Roman" w:hAnsi="Times New Roman"/>
                <w:color w:val="000000"/>
                <w:sz w:val="18"/>
                <w:szCs w:val="18"/>
              </w:rPr>
            </w:pPr>
            <w:r w:rsidRPr="003C2255">
              <w:rPr>
                <w:rFonts w:ascii="Times New Roman" w:hAnsi="Times New Roman"/>
                <w:bCs/>
                <w:color w:val="000000"/>
                <w:sz w:val="18"/>
                <w:szCs w:val="18"/>
              </w:rPr>
              <w:t>8,2</w:t>
            </w:r>
          </w:p>
        </w:tc>
        <w:tc>
          <w:tcPr>
            <w:tcW w:w="4352" w:type="dxa"/>
            <w:vMerge/>
            <w:tcBorders>
              <w:top w:val="nil"/>
              <w:left w:val="nil"/>
              <w:bottom w:val="single" w:sz="4" w:space="0" w:color="auto"/>
              <w:right w:val="nil"/>
            </w:tcBorders>
            <w:textDirection w:val="lrTb"/>
            <w:vAlign w:val="center"/>
            <w:hideMark/>
          </w:tcPr>
          <w:p w:rsidR="003C2255" w:rsidRPr="003C2255" w:rsidP="00510434">
            <w:pPr>
              <w:bidi w:val="0"/>
              <w:rPr>
                <w:rFonts w:ascii="Times New Roman" w:hAnsi="Times New Roman"/>
                <w:b/>
                <w:bCs/>
                <w:color w:val="000000"/>
                <w:sz w:val="18"/>
                <w:szCs w:val="18"/>
              </w:rPr>
            </w:pPr>
          </w:p>
        </w:tc>
      </w:tr>
      <w:tr>
        <w:tblPrEx>
          <w:tblW w:w="9017" w:type="dxa"/>
          <w:tblInd w:w="70" w:type="dxa"/>
          <w:tblCellMar>
            <w:left w:w="70" w:type="dxa"/>
            <w:right w:w="70" w:type="dxa"/>
          </w:tblCellMar>
          <w:tblLook w:val="04A0"/>
        </w:tblPrEx>
        <w:trPr>
          <w:trHeight w:val="342"/>
        </w:trPr>
        <w:tc>
          <w:tcPr>
            <w:tcW w:w="4665" w:type="dxa"/>
            <w:gridSpan w:val="5"/>
            <w:tcBorders>
              <w:top w:val="nil"/>
              <w:left w:val="nil"/>
              <w:bottom w:val="nil"/>
              <w:right w:val="nil"/>
            </w:tcBorders>
            <w:textDirection w:val="lrTb"/>
            <w:vAlign w:val="center"/>
            <w:hideMark/>
          </w:tcPr>
          <w:p w:rsidR="003C2255" w:rsidRPr="003C2255" w:rsidP="00510434">
            <w:pPr>
              <w:bidi w:val="0"/>
              <w:jc w:val="right"/>
              <w:rPr>
                <w:rFonts w:ascii="Times New Roman" w:hAnsi="Times New Roman"/>
                <w:iCs/>
                <w:color w:val="000000"/>
                <w:sz w:val="18"/>
                <w:szCs w:val="18"/>
              </w:rPr>
            </w:pPr>
            <w:r w:rsidRPr="003C2255">
              <w:rPr>
                <w:rFonts w:ascii="Times New Roman" w:hAnsi="Times New Roman"/>
                <w:iCs/>
                <w:color w:val="000000"/>
                <w:sz w:val="18"/>
                <w:szCs w:val="18"/>
              </w:rPr>
              <w:t>Zdroj: ŠÚ SR</w:t>
            </w:r>
          </w:p>
        </w:tc>
        <w:tc>
          <w:tcPr>
            <w:tcW w:w="4352" w:type="dxa"/>
            <w:tcBorders>
              <w:top w:val="single" w:sz="4" w:space="0" w:color="auto"/>
              <w:left w:val="nil"/>
              <w:bottom w:val="nil"/>
              <w:right w:val="nil"/>
            </w:tcBorders>
            <w:textDirection w:val="lrTb"/>
            <w:vAlign w:val="center"/>
            <w:hideMark/>
          </w:tcPr>
          <w:p w:rsidR="003C2255" w:rsidRPr="003C2255" w:rsidP="00510434">
            <w:pPr>
              <w:bidi w:val="0"/>
              <w:jc w:val="right"/>
              <w:rPr>
                <w:rFonts w:ascii="Times New Roman" w:hAnsi="Times New Roman"/>
                <w:color w:val="000000"/>
                <w:sz w:val="18"/>
                <w:szCs w:val="18"/>
              </w:rPr>
            </w:pPr>
            <w:r w:rsidRPr="003C2255">
              <w:rPr>
                <w:rFonts w:ascii="Times New Roman" w:hAnsi="Times New Roman"/>
                <w:color w:val="000000"/>
                <w:sz w:val="18"/>
                <w:szCs w:val="18"/>
              </w:rPr>
              <w:t xml:space="preserve"> </w:t>
            </w:r>
            <w:r w:rsidRPr="003C2255">
              <w:rPr>
                <w:rFonts w:ascii="Times New Roman" w:hAnsi="Times New Roman"/>
                <w:iCs/>
                <w:color w:val="000000"/>
                <w:sz w:val="18"/>
                <w:szCs w:val="18"/>
              </w:rPr>
              <w:t>Zdroj: ŠÚ SR</w:t>
            </w:r>
          </w:p>
        </w:tc>
      </w:tr>
    </w:tbl>
    <w:p w:rsidR="003C2255" w:rsidRPr="003C2255" w:rsidP="003C2255">
      <w:pPr>
        <w:bidi w:val="0"/>
        <w:rPr>
          <w:rFonts w:ascii="Times New Roman" w:hAnsi="Times New Roman"/>
          <w:sz w:val="22"/>
          <w:szCs w:val="22"/>
        </w:rPr>
      </w:pPr>
    </w:p>
    <w:p w:rsidR="00053BDF" w:rsidP="00A64D0A">
      <w:pPr>
        <w:pStyle w:val="Heading3"/>
        <w:numPr>
          <w:ilvl w:val="2"/>
          <w:numId w:val="18"/>
        </w:numPr>
        <w:bidi w:val="0"/>
        <w:spacing w:before="0" w:beforeAutospacing="0" w:line="336" w:lineRule="auto"/>
        <w:rPr>
          <w:rFonts w:ascii="Times New Roman" w:hAnsi="Times New Roman"/>
          <w:lang w:val="sk-SK"/>
        </w:rPr>
      </w:pPr>
      <w:bookmarkStart w:id="8" w:name="_Toc449622823"/>
      <w:r w:rsidR="004A69AD">
        <w:rPr>
          <w:rFonts w:ascii="Times New Roman" w:hAnsi="Times New Roman"/>
          <w:lang w:val="sk-SK"/>
        </w:rPr>
        <w:t>Trh práce</w:t>
      </w:r>
      <w:bookmarkEnd w:id="8"/>
    </w:p>
    <w:p w:rsidR="003C2255" w:rsidRPr="00CC3A72" w:rsidP="003C2255">
      <w:pPr>
        <w:bidi w:val="0"/>
        <w:spacing w:after="120" w:line="336" w:lineRule="auto"/>
        <w:jc w:val="both"/>
        <w:rPr>
          <w:rFonts w:ascii="Times New Roman" w:hAnsi="Times New Roman"/>
          <w:sz w:val="22"/>
          <w:szCs w:val="22"/>
        </w:rPr>
      </w:pPr>
      <w:r w:rsidRPr="00CC3A72">
        <w:rPr>
          <w:rFonts w:ascii="Times New Roman" w:hAnsi="Times New Roman"/>
          <w:sz w:val="22"/>
          <w:szCs w:val="22"/>
        </w:rPr>
        <w:t xml:space="preserve">V roku 2015 pokračoval </w:t>
      </w:r>
      <w:r w:rsidR="000775E8">
        <w:rPr>
          <w:rFonts w:ascii="Times New Roman" w:hAnsi="Times New Roman"/>
          <w:sz w:val="22"/>
          <w:szCs w:val="22"/>
        </w:rPr>
        <w:t xml:space="preserve">významný rast </w:t>
      </w:r>
      <w:r w:rsidRPr="00CC3A72">
        <w:rPr>
          <w:rFonts w:ascii="Times New Roman" w:hAnsi="Times New Roman"/>
          <w:sz w:val="22"/>
          <w:szCs w:val="22"/>
        </w:rPr>
        <w:t>trh</w:t>
      </w:r>
      <w:r w:rsidR="000775E8">
        <w:rPr>
          <w:rFonts w:ascii="Times New Roman" w:hAnsi="Times New Roman"/>
          <w:sz w:val="22"/>
          <w:szCs w:val="22"/>
        </w:rPr>
        <w:t>u</w:t>
      </w:r>
      <w:r w:rsidRPr="00CC3A72">
        <w:rPr>
          <w:rFonts w:ascii="Times New Roman" w:hAnsi="Times New Roman"/>
          <w:sz w:val="22"/>
          <w:szCs w:val="22"/>
        </w:rPr>
        <w:t xml:space="preserve"> práce</w:t>
      </w:r>
      <w:r w:rsidR="000775E8">
        <w:rPr>
          <w:rFonts w:ascii="Times New Roman" w:hAnsi="Times New Roman"/>
          <w:sz w:val="22"/>
          <w:szCs w:val="22"/>
        </w:rPr>
        <w:t>.</w:t>
      </w:r>
      <w:r w:rsidRPr="00CC3A72">
        <w:rPr>
          <w:rFonts w:ascii="Times New Roman" w:hAnsi="Times New Roman"/>
          <w:sz w:val="22"/>
          <w:szCs w:val="22"/>
        </w:rPr>
        <w:t xml:space="preserve"> Zamestnanosť rástla vysokým tempom 2 % a bolo tak vytvorených približne 44 tisíc nových pracovných miest (podľa metodiky ESA). Vývoj na trhu práce bol zo sektorového hľadiska rovnomerný. K rastu zamestnanosti prispeli všetky sektory s výnimkou stavebníctva, ktoré kontinuálne klesá už šesť rokov. Najvyšší príspevok k rastu zamestnanosti zaznamenali trhové služby.</w:t>
      </w:r>
    </w:p>
    <w:p w:rsidR="003C2255" w:rsidRPr="00CC3A72" w:rsidP="003C2255">
      <w:pPr>
        <w:bidi w:val="0"/>
        <w:spacing w:after="120" w:line="336" w:lineRule="auto"/>
        <w:jc w:val="both"/>
        <w:rPr>
          <w:rFonts w:ascii="Times New Roman" w:hAnsi="Times New Roman"/>
          <w:sz w:val="22"/>
          <w:szCs w:val="22"/>
        </w:rPr>
      </w:pPr>
      <w:r w:rsidRPr="00CC3A72">
        <w:rPr>
          <w:rFonts w:ascii="Times New Roman" w:hAnsi="Times New Roman"/>
          <w:sz w:val="22"/>
          <w:szCs w:val="22"/>
        </w:rPr>
        <w:t xml:space="preserve">Vďaka tomuto priaznivému vývoju výrazne poklesla miera nezamestnanosti na 11,5 % (podľa </w:t>
      </w:r>
      <w:r>
        <w:rPr>
          <w:rFonts w:ascii="Times New Roman" w:hAnsi="Times New Roman"/>
          <w:sz w:val="22"/>
          <w:szCs w:val="22"/>
        </w:rPr>
        <w:t xml:space="preserve">metodiky </w:t>
      </w:r>
      <w:r w:rsidRPr="00CC3A72">
        <w:rPr>
          <w:rFonts w:ascii="Times New Roman" w:hAnsi="Times New Roman"/>
          <w:sz w:val="22"/>
          <w:szCs w:val="22"/>
        </w:rPr>
        <w:t>VZPS). Vďaka viacerým aktívnym opatreniam na trhu práce profitovali z poklesu nezamestnanosti aj dlhodobo nezamestnaní. Miera dlhodobej nezamestnanosti však naďalej zostáva jedn</w:t>
      </w:r>
      <w:r w:rsidR="00C97A68">
        <w:rPr>
          <w:rFonts w:ascii="Times New Roman" w:hAnsi="Times New Roman"/>
          <w:sz w:val="22"/>
          <w:szCs w:val="22"/>
        </w:rPr>
        <w:t>ou</w:t>
      </w:r>
      <w:r w:rsidRPr="00CC3A72">
        <w:rPr>
          <w:rFonts w:ascii="Times New Roman" w:hAnsi="Times New Roman"/>
          <w:sz w:val="22"/>
          <w:szCs w:val="22"/>
        </w:rPr>
        <w:t xml:space="preserve"> z najväčších </w:t>
      </w:r>
      <w:r w:rsidR="00C97A68">
        <w:rPr>
          <w:rFonts w:ascii="Times New Roman" w:hAnsi="Times New Roman"/>
          <w:sz w:val="22"/>
          <w:szCs w:val="22"/>
        </w:rPr>
        <w:t>výziev</w:t>
      </w:r>
      <w:r w:rsidRPr="00CC3A72">
        <w:rPr>
          <w:rFonts w:ascii="Times New Roman" w:hAnsi="Times New Roman"/>
          <w:sz w:val="22"/>
          <w:szCs w:val="22"/>
        </w:rPr>
        <w:t xml:space="preserve"> slovenskej ekonomiky.</w:t>
      </w:r>
    </w:p>
    <w:p w:rsidR="003C2255" w:rsidP="003C2255">
      <w:pPr>
        <w:bidi w:val="0"/>
        <w:spacing w:after="120" w:line="336" w:lineRule="auto"/>
        <w:jc w:val="both"/>
        <w:rPr>
          <w:rFonts w:ascii="Times New Roman" w:hAnsi="Times New Roman"/>
          <w:sz w:val="22"/>
          <w:szCs w:val="22"/>
        </w:rPr>
      </w:pPr>
      <w:r w:rsidRPr="00CC3A72">
        <w:rPr>
          <w:rFonts w:ascii="Times New Roman" w:hAnsi="Times New Roman"/>
          <w:sz w:val="22"/>
          <w:szCs w:val="22"/>
        </w:rPr>
        <w:t>Prudký rast zaznamenali reálne mzdy, ktoré vzrástli o 3,2 %. Priemerná nominálna mesačná mzda sa dostala</w:t>
      </w:r>
      <w:r>
        <w:rPr>
          <w:rFonts w:ascii="Times New Roman" w:hAnsi="Times New Roman"/>
          <w:sz w:val="22"/>
          <w:szCs w:val="22"/>
        </w:rPr>
        <w:t xml:space="preserve"> v roku 2015</w:t>
      </w:r>
      <w:r w:rsidRPr="00CC3A72">
        <w:rPr>
          <w:rFonts w:ascii="Times New Roman" w:hAnsi="Times New Roman"/>
          <w:sz w:val="22"/>
          <w:szCs w:val="22"/>
        </w:rPr>
        <w:t xml:space="preserve"> na úroveň 883 eur. Bolo to spôsobené nielen rastom nominálnych miezd (2,9 %) ale aj poklesom cenovej hladiny. Rast reálnych miezd tak už druhý rok po sebe predbehol produktivitu práce. Najvyšším tempom rástli mzdy v stavebníctve, ktoré ťažilo z výrazného nárastu produktivity. Ostatné sektory zaznamenali vyrovnaný rast miezd.</w:t>
      </w:r>
    </w:p>
    <w:p w:rsidR="003C2255" w:rsidRPr="00CC3A72" w:rsidP="003C2255">
      <w:pPr>
        <w:bidi w:val="0"/>
        <w:spacing w:after="120" w:line="336" w:lineRule="auto"/>
        <w:jc w:val="both"/>
        <w:rPr>
          <w:rFonts w:ascii="Times New Roman" w:hAnsi="Times New Roman"/>
          <w:sz w:val="22"/>
          <w:szCs w:val="22"/>
        </w:rPr>
      </w:pPr>
      <w:r>
        <w:rPr>
          <w:rFonts w:ascii="Times New Roman" w:hAnsi="Times New Roman"/>
          <w:sz w:val="22"/>
          <w:szCs w:val="22"/>
        </w:rPr>
        <w:br w:type="page"/>
      </w:r>
    </w:p>
    <w:tbl>
      <w:tblPr>
        <w:tblStyle w:val="TableNormal"/>
        <w:tblW w:w="5000" w:type="pct"/>
        <w:tblLayout w:type="fixed"/>
        <w:tblCellMar>
          <w:left w:w="70" w:type="dxa"/>
          <w:right w:w="70" w:type="dxa"/>
        </w:tblCellMar>
      </w:tblPr>
      <w:tblGrid>
        <w:gridCol w:w="4603"/>
        <w:gridCol w:w="4325"/>
      </w:tblGrid>
      <w:tr>
        <w:tblPrEx>
          <w:tblW w:w="5000" w:type="pct"/>
          <w:tblLayout w:type="fixed"/>
          <w:tblCellMar>
            <w:left w:w="70" w:type="dxa"/>
            <w:right w:w="70" w:type="dxa"/>
          </w:tblCellMar>
        </w:tblPrEx>
        <w:trPr>
          <w:trHeight w:val="562"/>
        </w:trPr>
        <w:tc>
          <w:tcPr>
            <w:tcW w:w="2578" w:type="pct"/>
            <w:tcBorders>
              <w:top w:val="nil"/>
              <w:left w:val="nil"/>
              <w:bottom w:val="nil"/>
              <w:right w:val="nil"/>
            </w:tcBorders>
            <w:shd w:val="clear" w:color="auto" w:fill="000000"/>
            <w:textDirection w:val="lrTb"/>
            <w:vAlign w:val="center"/>
          </w:tcPr>
          <w:p w:rsidR="003C2255" w:rsidRPr="00BB4F14" w:rsidP="00510434">
            <w:pPr>
              <w:bidi w:val="0"/>
              <w:rPr>
                <w:rFonts w:ascii="Times New Roman" w:hAnsi="Times New Roman"/>
                <w:b/>
                <w:bCs/>
                <w:color w:val="FFFFFF"/>
                <w:sz w:val="20"/>
              </w:rPr>
            </w:pPr>
            <w:r w:rsidRPr="00BB4F14">
              <w:rPr>
                <w:rFonts w:ascii="Times New Roman" w:hAnsi="Times New Roman"/>
                <w:b/>
                <w:color w:val="FFFFFF"/>
                <w:sz w:val="20"/>
              </w:rPr>
              <w:t>Príspevky sektorov k vývoju zamestnanosti (ESA, v p. b.)</w:t>
            </w:r>
          </w:p>
        </w:tc>
        <w:tc>
          <w:tcPr>
            <w:tcW w:w="2422" w:type="pct"/>
            <w:tcBorders>
              <w:top w:val="nil"/>
              <w:left w:val="nil"/>
              <w:bottom w:val="nil"/>
              <w:right w:val="nil"/>
            </w:tcBorders>
            <w:shd w:val="clear" w:color="auto" w:fill="000000"/>
            <w:textDirection w:val="lrTb"/>
            <w:vAlign w:val="center"/>
          </w:tcPr>
          <w:p w:rsidR="003C2255" w:rsidRPr="00BB4F14" w:rsidP="00510434">
            <w:pPr>
              <w:bidi w:val="0"/>
              <w:rPr>
                <w:rFonts w:ascii="Times New Roman" w:hAnsi="Times New Roman"/>
                <w:b/>
                <w:bCs/>
                <w:color w:val="FFFFFF"/>
                <w:sz w:val="20"/>
              </w:rPr>
            </w:pPr>
            <w:r w:rsidRPr="00BB4F14">
              <w:rPr>
                <w:rFonts w:ascii="Times New Roman" w:hAnsi="Times New Roman"/>
                <w:b/>
                <w:color w:val="FFFFFF"/>
                <w:sz w:val="20"/>
              </w:rPr>
              <w:t>Rast nominálnej produktivity práce a mzdy (v %)</w:t>
            </w:r>
          </w:p>
        </w:tc>
      </w:tr>
      <w:tr>
        <w:tblPrEx>
          <w:tblW w:w="5000" w:type="pct"/>
          <w:tblLayout w:type="fixed"/>
        </w:tblPrEx>
        <w:trPr>
          <w:trHeight w:val="3118"/>
        </w:trPr>
        <w:tc>
          <w:tcPr>
            <w:tcW w:w="2578" w:type="pct"/>
            <w:tcBorders>
              <w:top w:val="nil"/>
              <w:left w:val="nil"/>
              <w:bottom w:val="single" w:sz="8" w:space="0" w:color="auto"/>
              <w:right w:val="nil"/>
            </w:tcBorders>
            <w:textDirection w:val="lrTb"/>
            <w:vAlign w:val="top"/>
          </w:tcPr>
          <w:p w:rsidR="003C2255" w:rsidRPr="006F0ED3" w:rsidP="00510434">
            <w:pPr>
              <w:bidi w:val="0"/>
              <w:rPr>
                <w:rFonts w:ascii="NeueHaasGroteskText W02" w:hAnsi="NeueHaasGroteskText W02" w:cs="Garamond"/>
                <w:b/>
                <w:bCs/>
                <w:sz w:val="16"/>
                <w:szCs w:val="16"/>
              </w:rPr>
            </w:pPr>
            <w:r>
              <w:rPr>
                <w:rFonts w:ascii="Times New Roman" w:hAnsi="Times New Roman"/>
                <w:noProof/>
                <w:sz w:val="18"/>
                <w:rtl w:val="0"/>
              </w:rPr>
              <w:pict>
                <v:shape id="Graf 24" o:spid="_x0000_i1026" type="#_x0000_t75" style="width:202.6pt;height:168.95pt;visibility:visible" stroked="f">
                  <v:imagedata r:id="rId9" o:title=""/>
                  <o:lock v:ext="edit" aspectratio="f"/>
                </v:shape>
              </w:pict>
            </w:r>
          </w:p>
        </w:tc>
        <w:tc>
          <w:tcPr>
            <w:tcW w:w="2422" w:type="pct"/>
            <w:tcBorders>
              <w:top w:val="nil"/>
              <w:left w:val="nil"/>
              <w:bottom w:val="single" w:sz="8" w:space="0" w:color="auto"/>
              <w:right w:val="nil"/>
            </w:tcBorders>
            <w:textDirection w:val="lrTb"/>
            <w:vAlign w:val="top"/>
          </w:tcPr>
          <w:p w:rsidR="003C2255" w:rsidRPr="006F0ED3" w:rsidP="00510434">
            <w:pPr>
              <w:bidi w:val="0"/>
              <w:spacing w:after="100" w:afterAutospacing="1"/>
              <w:rPr>
                <w:rFonts w:ascii="NeueHaasGroteskText W02" w:hAnsi="NeueHaasGroteskText W02" w:cs="Garamond"/>
                <w:b/>
                <w:bCs/>
                <w:sz w:val="16"/>
                <w:szCs w:val="16"/>
              </w:rPr>
            </w:pPr>
            <w:r>
              <w:rPr>
                <w:rFonts w:ascii="Times New Roman" w:hAnsi="Times New Roman"/>
                <w:noProof/>
                <w:rtl w:val="0"/>
              </w:rPr>
              <w:pict>
                <v:shape id="Graf 26" o:spid="_x0000_i1027" type="#_x0000_t75" style="width:201.15pt;height:160.8pt;visibility:visible" stroked="f">
                  <v:imagedata r:id="rId10" o:title=""/>
                  <o:lock v:ext="edit" aspectratio="f"/>
                </v:shape>
              </w:pict>
            </w:r>
          </w:p>
        </w:tc>
      </w:tr>
      <w:tr>
        <w:tblPrEx>
          <w:tblW w:w="5000" w:type="pct"/>
          <w:tblLayout w:type="fixed"/>
          <w:tblCellMar>
            <w:left w:w="70" w:type="dxa"/>
            <w:right w:w="70" w:type="dxa"/>
          </w:tblCellMar>
        </w:tblPrEx>
        <w:trPr>
          <w:trHeight w:val="113"/>
        </w:trPr>
        <w:tc>
          <w:tcPr>
            <w:tcW w:w="2578" w:type="pct"/>
            <w:tcBorders>
              <w:top w:val="nil"/>
              <w:left w:val="nil"/>
              <w:bottom w:val="nil"/>
              <w:right w:val="nil"/>
            </w:tcBorders>
            <w:textDirection w:val="lrTb"/>
            <w:vAlign w:val="top"/>
          </w:tcPr>
          <w:p w:rsidR="003C2255" w:rsidRPr="003C2255" w:rsidP="00510434">
            <w:pPr>
              <w:bidi w:val="0"/>
              <w:jc w:val="right"/>
              <w:rPr>
                <w:rFonts w:ascii="Times New Roman" w:hAnsi="Times New Roman"/>
                <w:iCs/>
                <w:sz w:val="18"/>
                <w:szCs w:val="18"/>
              </w:rPr>
            </w:pPr>
            <w:r w:rsidRPr="003C2255">
              <w:rPr>
                <w:rFonts w:ascii="Times New Roman" w:hAnsi="Times New Roman"/>
                <w:iCs/>
                <w:sz w:val="18"/>
                <w:szCs w:val="18"/>
              </w:rPr>
              <w:t xml:space="preserve">Zdroj: ŠÚ SR, MF SR   </w:t>
            </w:r>
          </w:p>
        </w:tc>
        <w:tc>
          <w:tcPr>
            <w:tcW w:w="2422" w:type="pct"/>
            <w:tcBorders>
              <w:top w:val="nil"/>
              <w:left w:val="nil"/>
              <w:bottom w:val="nil"/>
              <w:right w:val="nil"/>
            </w:tcBorders>
            <w:textDirection w:val="lrTb"/>
            <w:vAlign w:val="top"/>
          </w:tcPr>
          <w:p w:rsidR="003C2255" w:rsidRPr="003C2255" w:rsidP="00510434">
            <w:pPr>
              <w:bidi w:val="0"/>
              <w:jc w:val="right"/>
              <w:rPr>
                <w:rFonts w:ascii="Times New Roman" w:hAnsi="Times New Roman"/>
                <w:iCs/>
                <w:sz w:val="18"/>
                <w:szCs w:val="18"/>
              </w:rPr>
            </w:pPr>
            <w:r w:rsidRPr="003C2255">
              <w:rPr>
                <w:rFonts w:ascii="Times New Roman" w:hAnsi="Times New Roman"/>
                <w:iCs/>
                <w:sz w:val="18"/>
                <w:szCs w:val="18"/>
              </w:rPr>
              <w:t xml:space="preserve">Zdroj: ŠÚ SR, MF SR </w:t>
            </w:r>
          </w:p>
        </w:tc>
      </w:tr>
    </w:tbl>
    <w:p w:rsidR="003C2255" w:rsidRPr="003C2255" w:rsidP="003C2255">
      <w:pPr>
        <w:bidi w:val="0"/>
        <w:jc w:val="both"/>
        <w:rPr>
          <w:rFonts w:ascii="Times New Roman" w:hAnsi="Times New Roman"/>
          <w:sz w:val="22"/>
          <w:szCs w:val="22"/>
        </w:rPr>
      </w:pPr>
    </w:p>
    <w:p w:rsidR="00C9491F" w:rsidP="00A64D0A">
      <w:pPr>
        <w:pStyle w:val="Heading3"/>
        <w:numPr>
          <w:ilvl w:val="2"/>
          <w:numId w:val="18"/>
        </w:numPr>
        <w:bidi w:val="0"/>
        <w:spacing w:before="0" w:beforeAutospacing="0" w:line="336" w:lineRule="auto"/>
        <w:rPr>
          <w:rFonts w:ascii="Times New Roman" w:hAnsi="Times New Roman"/>
          <w:lang w:val="sk-SK"/>
        </w:rPr>
      </w:pPr>
      <w:bookmarkStart w:id="9" w:name="_Toc449622824"/>
      <w:r w:rsidRPr="006E50E2" w:rsidR="00053BDF">
        <w:rPr>
          <w:rFonts w:ascii="Times New Roman" w:hAnsi="Times New Roman"/>
          <w:lang w:val="sk-SK"/>
        </w:rPr>
        <w:t xml:space="preserve">Vývoj </w:t>
      </w:r>
      <w:r w:rsidR="004A69AD">
        <w:rPr>
          <w:rFonts w:ascii="Times New Roman" w:hAnsi="Times New Roman"/>
          <w:lang w:val="sk-SK"/>
        </w:rPr>
        <w:t>cien</w:t>
      </w:r>
      <w:bookmarkEnd w:id="9"/>
    </w:p>
    <w:p w:rsidR="003C2255" w:rsidRPr="00CC3A72" w:rsidP="008B7DEB">
      <w:pPr>
        <w:bidi w:val="0"/>
        <w:spacing w:after="120" w:line="336" w:lineRule="auto"/>
        <w:jc w:val="both"/>
        <w:rPr>
          <w:rFonts w:ascii="Times New Roman" w:hAnsi="Times New Roman"/>
          <w:sz w:val="22"/>
          <w:szCs w:val="22"/>
        </w:rPr>
      </w:pPr>
      <w:r w:rsidRPr="00CC3A72">
        <w:rPr>
          <w:rFonts w:ascii="Times New Roman" w:hAnsi="Times New Roman"/>
          <w:sz w:val="22"/>
          <w:szCs w:val="22"/>
        </w:rPr>
        <w:t>Spotrebiteľská inflácia počas celého roka 2015 dosahovala záporné hodnoty. Pod pokles cenovej hladiny o 0,3 % sa podpísal najmä prepad cien energetických surovín na svetových komoditných trhoch. Ceny na globálnych trhoch klesali aj v oblasti poľnohospodárskych produktov. Vzhľadom na utlmený vývoj inflácie v eurozóne a u ostatných obchodných partnerov, minimálne rástli aj ceny obchodovateľných tovarov. Rast cien služieb podobne ako v roku 2014 zotrval pod 1 % kvôli ochromenej väzbe rastu miezd a cien. Zvrátiť tento vývoj nedokázal ani program nákupu aktív ECB.</w:t>
      </w:r>
    </w:p>
    <w:p w:rsidR="004A69AD" w:rsidP="00A64D0A">
      <w:pPr>
        <w:pStyle w:val="Heading3"/>
        <w:numPr>
          <w:ilvl w:val="2"/>
          <w:numId w:val="18"/>
        </w:numPr>
        <w:bidi w:val="0"/>
        <w:spacing w:before="0" w:beforeAutospacing="0" w:line="336" w:lineRule="auto"/>
        <w:rPr>
          <w:rFonts w:ascii="Times New Roman" w:hAnsi="Times New Roman"/>
          <w:lang w:val="sk-SK"/>
        </w:rPr>
      </w:pPr>
      <w:bookmarkStart w:id="10" w:name="_Toc449622825"/>
      <w:r>
        <w:rPr>
          <w:rFonts w:ascii="Times New Roman" w:hAnsi="Times New Roman"/>
          <w:lang w:val="sk-SK"/>
        </w:rPr>
        <w:t>Platobná bilancia</w:t>
      </w:r>
      <w:bookmarkEnd w:id="10"/>
    </w:p>
    <w:p w:rsidR="008B7DEB" w:rsidRPr="00CC3A72" w:rsidP="008B7DEB">
      <w:pPr>
        <w:bidi w:val="0"/>
        <w:spacing w:after="120" w:line="336" w:lineRule="auto"/>
        <w:jc w:val="both"/>
        <w:rPr>
          <w:rFonts w:ascii="Times New Roman" w:hAnsi="Times New Roman"/>
          <w:sz w:val="22"/>
          <w:szCs w:val="22"/>
        </w:rPr>
      </w:pPr>
      <w:r w:rsidRPr="00CC3A72">
        <w:rPr>
          <w:rFonts w:ascii="Times New Roman" w:hAnsi="Times New Roman"/>
          <w:sz w:val="22"/>
          <w:szCs w:val="22"/>
        </w:rPr>
        <w:t>Saldo bežného účtu platobnej bilancie (BÚ PB) sa v roku 2015</w:t>
      </w:r>
      <w:r>
        <w:rPr>
          <w:rFonts w:ascii="Times New Roman" w:hAnsi="Times New Roman"/>
          <w:sz w:val="22"/>
          <w:szCs w:val="22"/>
        </w:rPr>
        <w:t xml:space="preserve"> dostalo do deficitu na úrovni </w:t>
      </w:r>
      <w:r w:rsidRPr="00CC3A72">
        <w:rPr>
          <w:rFonts w:ascii="Times New Roman" w:hAnsi="Times New Roman"/>
          <w:sz w:val="22"/>
          <w:szCs w:val="22"/>
        </w:rPr>
        <w:t>1,1 % HDP. Hlavnou príčinou bolo zníženie prebytku bilancie tovarov. Zvýšené čerpanie EÚ fondov viedlo k rastu dovozne náročných investícií, a rast dovozu v bežných cenách tak zrýchlil na 7,4 %. Rast vonkajšieho prostredia podporil rast exportu, predovšetkým v automobilovom priemysle, ktorý rástol o 5,5 %. Reálny rast exportu aj importu bol pre klesajúce ceny ešte vyšší. Prebytok bilancie tovarov sa v roku 2015 znížil na 2,4 %</w:t>
      </w:r>
      <w:r>
        <w:rPr>
          <w:rFonts w:ascii="Times New Roman" w:hAnsi="Times New Roman"/>
          <w:sz w:val="22"/>
          <w:szCs w:val="22"/>
        </w:rPr>
        <w:t xml:space="preserve"> HDP</w:t>
      </w:r>
      <w:r w:rsidRPr="00CC3A72">
        <w:rPr>
          <w:rFonts w:ascii="Times New Roman" w:hAnsi="Times New Roman"/>
          <w:sz w:val="22"/>
          <w:szCs w:val="22"/>
        </w:rPr>
        <w:t xml:space="preserve">. </w:t>
      </w:r>
    </w:p>
    <w:p w:rsidR="008B7DEB" w:rsidP="008B7DEB">
      <w:pPr>
        <w:bidi w:val="0"/>
        <w:spacing w:after="120" w:line="336" w:lineRule="auto"/>
        <w:jc w:val="both"/>
        <w:rPr>
          <w:rFonts w:ascii="Times New Roman" w:hAnsi="Times New Roman"/>
          <w:sz w:val="22"/>
          <w:szCs w:val="22"/>
        </w:rPr>
      </w:pPr>
      <w:r w:rsidRPr="00CC3A72">
        <w:rPr>
          <w:rFonts w:ascii="Times New Roman" w:hAnsi="Times New Roman"/>
          <w:sz w:val="22"/>
          <w:szCs w:val="22"/>
        </w:rPr>
        <w:t>Ostatné zložky BÚ PB sa v porovnaní s predchádzajúcim rokom zmenili len minimálne. Mierne sa zvýšil prebytok bilancie služieb, kým deficit primárnych výnosov sa mierne prehĺbil. Deficit sekundárnych výnosov zostal zachovaný.</w:t>
      </w:r>
      <w:r>
        <w:rPr>
          <w:rFonts w:ascii="Times New Roman" w:hAnsi="Times New Roman"/>
          <w:sz w:val="22"/>
          <w:szCs w:val="22"/>
        </w:rPr>
        <w:t xml:space="preserve"> </w:t>
      </w:r>
      <w:r w:rsidRPr="00356799">
        <w:rPr>
          <w:rFonts w:ascii="Times New Roman" w:hAnsi="Times New Roman"/>
          <w:sz w:val="22"/>
          <w:szCs w:val="22"/>
        </w:rPr>
        <w:t>Od revízie manuálu platobnej bilancie (Balance of Payments Manual 6) v roku 2014 sa bilancia výnosov a bilancia transferov nazývajú bilancia primárnych a bilancia sekundárnych výnosov.</w:t>
      </w:r>
    </w:p>
    <w:p w:rsidR="008B7DEB" w:rsidP="008B7DEB">
      <w:pPr>
        <w:bidi w:val="0"/>
        <w:spacing w:after="120" w:line="336" w:lineRule="auto"/>
        <w:jc w:val="both"/>
        <w:rPr>
          <w:rFonts w:ascii="Times New Roman" w:hAnsi="Times New Roman"/>
          <w:sz w:val="22"/>
          <w:szCs w:val="22"/>
        </w:rPr>
      </w:pPr>
    </w:p>
    <w:p w:rsidR="008B7DEB" w:rsidP="008B7DEB">
      <w:pPr>
        <w:bidi w:val="0"/>
        <w:spacing w:after="120" w:line="336" w:lineRule="auto"/>
        <w:jc w:val="both"/>
        <w:rPr>
          <w:rFonts w:ascii="Times New Roman" w:hAnsi="Times New Roman"/>
          <w:sz w:val="22"/>
          <w:szCs w:val="22"/>
        </w:rPr>
      </w:pPr>
    </w:p>
    <w:p w:rsidR="008B7DEB" w:rsidRPr="00356799" w:rsidP="008B7DEB">
      <w:pPr>
        <w:bidi w:val="0"/>
        <w:spacing w:after="120" w:line="336" w:lineRule="auto"/>
        <w:jc w:val="both"/>
        <w:rPr>
          <w:rFonts w:ascii="Times New Roman" w:hAnsi="Times New Roman"/>
          <w:sz w:val="22"/>
          <w:szCs w:val="22"/>
        </w:rPr>
      </w:pPr>
    </w:p>
    <w:tbl>
      <w:tblPr>
        <w:tblStyle w:val="TableNormal"/>
        <w:tblW w:w="5000" w:type="pct"/>
        <w:tblLayout w:type="fixed"/>
        <w:tblCellMar>
          <w:left w:w="70" w:type="dxa"/>
          <w:right w:w="70" w:type="dxa"/>
        </w:tblCellMar>
      </w:tblPr>
      <w:tblGrid>
        <w:gridCol w:w="4603"/>
        <w:gridCol w:w="4325"/>
      </w:tblGrid>
      <w:tr>
        <w:tblPrEx>
          <w:tblW w:w="5000" w:type="pct"/>
          <w:tblLayout w:type="fixed"/>
          <w:tblCellMar>
            <w:left w:w="70" w:type="dxa"/>
            <w:right w:w="70" w:type="dxa"/>
          </w:tblCellMar>
        </w:tblPrEx>
        <w:trPr>
          <w:trHeight w:val="562"/>
        </w:trPr>
        <w:tc>
          <w:tcPr>
            <w:tcW w:w="2578" w:type="pct"/>
            <w:tcBorders>
              <w:top w:val="nil"/>
              <w:left w:val="nil"/>
              <w:bottom w:val="nil"/>
              <w:right w:val="nil"/>
            </w:tcBorders>
            <w:shd w:val="clear" w:color="auto" w:fill="000000"/>
            <w:textDirection w:val="lrTb"/>
            <w:vAlign w:val="center"/>
          </w:tcPr>
          <w:p w:rsidR="008B7DEB" w:rsidRPr="008B7DEB" w:rsidP="00510434">
            <w:pPr>
              <w:bidi w:val="0"/>
              <w:rPr>
                <w:rFonts w:ascii="Times New Roman" w:hAnsi="Times New Roman"/>
                <w:b/>
                <w:bCs/>
                <w:color w:val="FFFFFF"/>
                <w:sz w:val="18"/>
                <w:szCs w:val="18"/>
              </w:rPr>
            </w:pPr>
            <w:r w:rsidRPr="008B7DEB">
              <w:rPr>
                <w:rFonts w:ascii="Times New Roman" w:hAnsi="Times New Roman"/>
                <w:b/>
                <w:color w:val="FFFFFF"/>
                <w:sz w:val="18"/>
                <w:szCs w:val="18"/>
              </w:rPr>
              <w:t xml:space="preserve">Štruktúra spotrebiteľskej inflácie – medziročné príspevky zložiek CPI (p. b.) </w:t>
            </w:r>
          </w:p>
        </w:tc>
        <w:tc>
          <w:tcPr>
            <w:tcW w:w="2422" w:type="pct"/>
            <w:tcBorders>
              <w:top w:val="nil"/>
              <w:left w:val="nil"/>
              <w:bottom w:val="nil"/>
              <w:right w:val="nil"/>
            </w:tcBorders>
            <w:shd w:val="clear" w:color="auto" w:fill="000000"/>
            <w:textDirection w:val="lrTb"/>
            <w:vAlign w:val="center"/>
          </w:tcPr>
          <w:p w:rsidR="008B7DEB" w:rsidRPr="008B7DEB" w:rsidP="00510434">
            <w:pPr>
              <w:bidi w:val="0"/>
              <w:rPr>
                <w:rFonts w:ascii="Times New Roman" w:hAnsi="Times New Roman"/>
                <w:b/>
                <w:bCs/>
                <w:color w:val="FFFFFF"/>
                <w:sz w:val="18"/>
                <w:szCs w:val="18"/>
              </w:rPr>
            </w:pPr>
            <w:r w:rsidRPr="008B7DEB">
              <w:rPr>
                <w:rFonts w:ascii="Times New Roman" w:hAnsi="Times New Roman"/>
                <w:b/>
                <w:bCs/>
                <w:color w:val="FFFFFF"/>
                <w:sz w:val="18"/>
                <w:szCs w:val="18"/>
              </w:rPr>
              <w:t>Vývoj bežného účtu platobnej bilancie podľa jeho zložiek (% HDP)</w:t>
            </w:r>
          </w:p>
        </w:tc>
      </w:tr>
      <w:tr>
        <w:tblPrEx>
          <w:tblW w:w="5000" w:type="pct"/>
          <w:tblLayout w:type="fixed"/>
        </w:tblPrEx>
        <w:trPr>
          <w:trHeight w:val="3118"/>
        </w:trPr>
        <w:tc>
          <w:tcPr>
            <w:tcW w:w="2578" w:type="pct"/>
            <w:tcBorders>
              <w:top w:val="nil"/>
              <w:left w:val="nil"/>
              <w:bottom w:val="single" w:sz="8" w:space="0" w:color="auto"/>
              <w:right w:val="nil"/>
            </w:tcBorders>
            <w:textDirection w:val="lrTb"/>
            <w:vAlign w:val="top"/>
          </w:tcPr>
          <w:p w:rsidR="008B7DEB" w:rsidRPr="008B7DEB" w:rsidP="00510434">
            <w:pPr>
              <w:bidi w:val="0"/>
              <w:rPr>
                <w:rFonts w:ascii="Times New Roman" w:hAnsi="Times New Roman"/>
                <w:b/>
                <w:bCs/>
                <w:sz w:val="18"/>
                <w:szCs w:val="18"/>
              </w:rPr>
            </w:pPr>
            <w:r>
              <w:rPr>
                <w:rFonts w:ascii="Times New Roman" w:hAnsi="Times New Roman"/>
                <w:noProof/>
                <w:sz w:val="18"/>
                <w:szCs w:val="18"/>
                <w:rtl w:val="0"/>
              </w:rPr>
              <w:pict>
                <v:shape id="Graf 30" o:spid="_x0000_i1028" type="#_x0000_t75" style="width:205pt;height:157.95pt;visibility:visible" stroked="f">
                  <v:imagedata r:id="rId11" o:title=""/>
                  <o:lock v:ext="edit" aspectratio="f"/>
                </v:shape>
              </w:pict>
            </w:r>
          </w:p>
        </w:tc>
        <w:tc>
          <w:tcPr>
            <w:tcW w:w="2422" w:type="pct"/>
            <w:tcBorders>
              <w:top w:val="nil"/>
              <w:left w:val="nil"/>
              <w:bottom w:val="single" w:sz="8" w:space="0" w:color="auto"/>
              <w:right w:val="nil"/>
            </w:tcBorders>
            <w:textDirection w:val="lrTb"/>
            <w:vAlign w:val="top"/>
          </w:tcPr>
          <w:p w:rsidR="008B7DEB" w:rsidRPr="008B7DEB" w:rsidP="00510434">
            <w:pPr>
              <w:bidi w:val="0"/>
              <w:spacing w:after="100" w:afterAutospacing="1"/>
              <w:rPr>
                <w:rFonts w:ascii="Times New Roman" w:hAnsi="Times New Roman"/>
                <w:b/>
                <w:bCs/>
                <w:sz w:val="18"/>
                <w:szCs w:val="18"/>
              </w:rPr>
            </w:pPr>
            <w:r>
              <w:rPr>
                <w:rFonts w:ascii="Times New Roman" w:hAnsi="Times New Roman"/>
                <w:noProof/>
                <w:sz w:val="18"/>
                <w:szCs w:val="18"/>
                <w:rtl w:val="0"/>
              </w:rPr>
              <w:pict>
                <v:shape id="Graf 1" o:spid="_x0000_i1029" type="#_x0000_t75" style="width:197.3pt;height:163.7pt;visibility:visible" stroked="f">
                  <v:imagedata r:id="rId12" o:title=""/>
                  <o:lock v:ext="edit" aspectratio="f"/>
                </v:shape>
              </w:pict>
            </w:r>
          </w:p>
        </w:tc>
      </w:tr>
      <w:tr>
        <w:tblPrEx>
          <w:tblW w:w="5000" w:type="pct"/>
          <w:tblLayout w:type="fixed"/>
          <w:tblCellMar>
            <w:left w:w="70" w:type="dxa"/>
            <w:right w:w="70" w:type="dxa"/>
          </w:tblCellMar>
        </w:tblPrEx>
        <w:trPr>
          <w:trHeight w:val="113"/>
        </w:trPr>
        <w:tc>
          <w:tcPr>
            <w:tcW w:w="2578" w:type="pct"/>
            <w:tcBorders>
              <w:top w:val="nil"/>
              <w:left w:val="nil"/>
              <w:bottom w:val="nil"/>
              <w:right w:val="nil"/>
            </w:tcBorders>
            <w:textDirection w:val="lrTb"/>
            <w:vAlign w:val="top"/>
          </w:tcPr>
          <w:p w:rsidR="008B7DEB" w:rsidRPr="008B7DEB" w:rsidP="00510434">
            <w:pPr>
              <w:bidi w:val="0"/>
              <w:jc w:val="right"/>
              <w:rPr>
                <w:rFonts w:ascii="Times New Roman" w:hAnsi="Times New Roman"/>
                <w:iCs/>
                <w:sz w:val="18"/>
                <w:szCs w:val="18"/>
              </w:rPr>
            </w:pPr>
            <w:r w:rsidRPr="008B7DEB">
              <w:rPr>
                <w:rFonts w:ascii="Times New Roman" w:hAnsi="Times New Roman"/>
                <w:iCs/>
                <w:sz w:val="18"/>
                <w:szCs w:val="18"/>
              </w:rPr>
              <w:t xml:space="preserve">Zdroj: ŠÚ SR, MF SR   </w:t>
            </w:r>
          </w:p>
        </w:tc>
        <w:tc>
          <w:tcPr>
            <w:tcW w:w="2422" w:type="pct"/>
            <w:tcBorders>
              <w:top w:val="nil"/>
              <w:left w:val="nil"/>
              <w:bottom w:val="nil"/>
              <w:right w:val="nil"/>
            </w:tcBorders>
            <w:textDirection w:val="lrTb"/>
            <w:vAlign w:val="top"/>
          </w:tcPr>
          <w:p w:rsidR="008B7DEB" w:rsidRPr="008B7DEB" w:rsidP="00510434">
            <w:pPr>
              <w:bidi w:val="0"/>
              <w:jc w:val="right"/>
              <w:rPr>
                <w:rFonts w:ascii="Times New Roman" w:hAnsi="Times New Roman"/>
                <w:iCs/>
                <w:sz w:val="18"/>
                <w:szCs w:val="18"/>
              </w:rPr>
            </w:pPr>
            <w:r w:rsidRPr="008B7DEB">
              <w:rPr>
                <w:rFonts w:ascii="Times New Roman" w:hAnsi="Times New Roman"/>
                <w:iCs/>
                <w:sz w:val="18"/>
                <w:szCs w:val="18"/>
              </w:rPr>
              <w:t xml:space="preserve">Zdroj: NBS, MF SR </w:t>
            </w:r>
          </w:p>
        </w:tc>
      </w:tr>
    </w:tbl>
    <w:p w:rsidR="008B7DEB" w:rsidRPr="008B7DEB" w:rsidP="008B7DEB">
      <w:pPr>
        <w:bidi w:val="0"/>
        <w:jc w:val="both"/>
        <w:rPr>
          <w:rFonts w:ascii="Times New Roman" w:hAnsi="Times New Roman"/>
          <w:sz w:val="22"/>
          <w:szCs w:val="22"/>
        </w:rPr>
      </w:pPr>
    </w:p>
    <w:p w:rsidR="004A69AD" w:rsidP="00A64D0A">
      <w:pPr>
        <w:pStyle w:val="Heading3"/>
        <w:numPr>
          <w:ilvl w:val="2"/>
          <w:numId w:val="18"/>
        </w:numPr>
        <w:bidi w:val="0"/>
        <w:spacing w:before="0" w:beforeAutospacing="0" w:line="336" w:lineRule="auto"/>
        <w:rPr>
          <w:rFonts w:ascii="Times New Roman" w:hAnsi="Times New Roman"/>
          <w:lang w:val="sk-SK"/>
        </w:rPr>
      </w:pPr>
      <w:bookmarkStart w:id="11" w:name="_Toc449622826"/>
      <w:r>
        <w:rPr>
          <w:rFonts w:ascii="Times New Roman" w:hAnsi="Times New Roman"/>
          <w:lang w:val="sk-SK"/>
        </w:rPr>
        <w:t>Porovnanie makroekonomických predpokladov rozpočtu a</w:t>
      </w:r>
      <w:r w:rsidR="008B7DEB">
        <w:rPr>
          <w:rFonts w:ascii="Times New Roman" w:hAnsi="Times New Roman"/>
          <w:lang w:val="sk-SK"/>
        </w:rPr>
        <w:t> </w:t>
      </w:r>
      <w:r>
        <w:rPr>
          <w:rFonts w:ascii="Times New Roman" w:hAnsi="Times New Roman"/>
          <w:lang w:val="sk-SK"/>
        </w:rPr>
        <w:t>skutočnosti</w:t>
      </w:r>
      <w:bookmarkEnd w:id="11"/>
    </w:p>
    <w:p w:rsidR="008B7DEB" w:rsidRPr="00CC3A72" w:rsidP="008B7DEB">
      <w:pPr>
        <w:pStyle w:val="Footer"/>
        <w:tabs>
          <w:tab w:val="clear" w:pos="4536"/>
          <w:tab w:val="clear" w:pos="9072"/>
        </w:tabs>
        <w:bidi w:val="0"/>
        <w:spacing w:after="120" w:line="336" w:lineRule="auto"/>
        <w:jc w:val="both"/>
        <w:rPr>
          <w:rFonts w:ascii="Times New Roman" w:hAnsi="Times New Roman"/>
          <w:sz w:val="22"/>
          <w:szCs w:val="22"/>
          <w:lang w:val="sk-SK"/>
        </w:rPr>
      </w:pPr>
      <w:r w:rsidRPr="00CC3A72">
        <w:rPr>
          <w:rFonts w:ascii="Times New Roman" w:hAnsi="Times New Roman"/>
          <w:sz w:val="22"/>
          <w:szCs w:val="22"/>
          <w:lang w:val="sk-SK"/>
        </w:rPr>
        <w:t>Reálny rast ekonomiky prekonal prognózu M</w:t>
      </w:r>
      <w:r w:rsidR="000775E8">
        <w:rPr>
          <w:rFonts w:ascii="Times New Roman" w:hAnsi="Times New Roman"/>
          <w:sz w:val="22"/>
          <w:szCs w:val="22"/>
          <w:lang w:val="sk-SK"/>
        </w:rPr>
        <w:t xml:space="preserve">inisterstva financií </w:t>
      </w:r>
      <w:r w:rsidRPr="00CC3A72">
        <w:rPr>
          <w:rFonts w:ascii="Times New Roman" w:hAnsi="Times New Roman"/>
          <w:sz w:val="22"/>
          <w:szCs w:val="22"/>
          <w:lang w:val="sk-SK"/>
        </w:rPr>
        <w:t>SR použitú pri zostavovaní rozpočtu verejnej správy pre rok 2015. Vývoj zahraničného dopytu mierne predbehol očakávania, k čomu prispel najmä vývoj v okolitých krajinách. Ich rasty boli podporené zrýchleným čerpaním</w:t>
      </w:r>
      <w:r>
        <w:rPr>
          <w:rFonts w:ascii="Times New Roman" w:hAnsi="Times New Roman"/>
          <w:sz w:val="22"/>
          <w:szCs w:val="22"/>
          <w:lang w:val="sk-SK"/>
        </w:rPr>
        <w:t xml:space="preserve"> </w:t>
      </w:r>
      <w:r w:rsidRPr="00CC3A72">
        <w:rPr>
          <w:rFonts w:ascii="Times New Roman" w:hAnsi="Times New Roman"/>
          <w:sz w:val="22"/>
          <w:szCs w:val="22"/>
          <w:lang w:val="sk-SK"/>
        </w:rPr>
        <w:t>EÚ fondov, podobne ako na Slovensku. V domácej ekonomike k lepšiemu než očakávanému vývoju najvýraznejšie prispel robustný rast vládnych investícií. Štruktúra rastu bola viac priaznivá vo väzbe na trh práce a tvorbu pracovných miest. Na druhej strane však rozpočet na rok 2015 počítal s postupným návratom inflácie do kladných čísel, kým v skutočnosti cenová hladina pokračovala v poklese.</w:t>
      </w:r>
    </w:p>
    <w:p w:rsidR="008B7DEB" w:rsidRPr="0080439F" w:rsidP="008B7DEB">
      <w:pPr>
        <w:pStyle w:val="Footer"/>
        <w:tabs>
          <w:tab w:val="clear" w:pos="4536"/>
          <w:tab w:val="clear" w:pos="9072"/>
        </w:tabs>
        <w:bidi w:val="0"/>
        <w:spacing w:after="120" w:line="336" w:lineRule="auto"/>
        <w:jc w:val="both"/>
        <w:rPr>
          <w:rFonts w:ascii="Times New Roman" w:hAnsi="Times New Roman"/>
          <w:sz w:val="22"/>
          <w:szCs w:val="22"/>
          <w:lang w:val="sk-SK"/>
        </w:rPr>
      </w:pPr>
      <w:r w:rsidR="000775E8">
        <w:rPr>
          <w:rFonts w:ascii="Times New Roman" w:hAnsi="Times New Roman"/>
          <w:sz w:val="22"/>
          <w:szCs w:val="22"/>
          <w:lang w:val="sk-SK"/>
        </w:rPr>
        <w:t>Vývoj v roku 2015 bol lepší</w:t>
      </w:r>
      <w:r w:rsidRPr="00CC3A72">
        <w:rPr>
          <w:rFonts w:ascii="Times New Roman" w:hAnsi="Times New Roman"/>
          <w:sz w:val="22"/>
          <w:szCs w:val="22"/>
          <w:lang w:val="sk-SK"/>
        </w:rPr>
        <w:t xml:space="preserve"> oproti rozpočtu aj z pohľadu makroekonomických základní pre dane a odvody. Pozitívnou správou bol najmä vývoj mzdovej bázy, ktorá je najvýznamnejšou základňou pre daň z príjmu fyzických osôb a odvodov. Mierne pomalší rast nominálnych miezd bol viac než vykompenzovaný rýchlejším rastom zamestnanosti. Tak ako v predchádzajúcom roku, aj v roku 2015 pôsobil negatívne pokles cenovej hladiny, ktorý ovplyvňuje nominálnu spotrebu domácností a HDP, čo sú základne pre DPH a daň z príjmu právnických osôb. Celkovo však makroekonomický vývoj vytvoril pozitívne riziká pre rozpočtované </w:t>
      </w:r>
      <w:r>
        <w:rPr>
          <w:rFonts w:ascii="Times New Roman" w:hAnsi="Times New Roman"/>
          <w:sz w:val="22"/>
          <w:szCs w:val="22"/>
          <w:lang w:val="sk-SK"/>
        </w:rPr>
        <w:t xml:space="preserve">príjmy verejnej správy v 2015. </w:t>
      </w:r>
    </w:p>
    <w:tbl>
      <w:tblPr>
        <w:tblStyle w:val="TableNormal"/>
        <w:tblW w:w="8013" w:type="dxa"/>
        <w:jc w:val="center"/>
        <w:tblCellMar>
          <w:left w:w="70" w:type="dxa"/>
          <w:right w:w="70" w:type="dxa"/>
        </w:tblCellMar>
        <w:tblLook w:val="04A0"/>
      </w:tblPr>
      <w:tblGrid>
        <w:gridCol w:w="4350"/>
        <w:gridCol w:w="1323"/>
        <w:gridCol w:w="1103"/>
        <w:gridCol w:w="1237"/>
      </w:tblGrid>
      <w:tr>
        <w:tblPrEx>
          <w:tblW w:w="8013" w:type="dxa"/>
          <w:jc w:val="center"/>
          <w:tblCellMar>
            <w:left w:w="70" w:type="dxa"/>
            <w:right w:w="70" w:type="dxa"/>
          </w:tblCellMar>
          <w:tblLook w:val="04A0"/>
        </w:tblPrEx>
        <w:trPr>
          <w:trHeight w:val="268"/>
          <w:jc w:val="center"/>
        </w:trPr>
        <w:tc>
          <w:tcPr>
            <w:tcW w:w="8013" w:type="dxa"/>
            <w:gridSpan w:val="4"/>
            <w:tcBorders>
              <w:top w:val="nil"/>
              <w:left w:val="nil"/>
              <w:bottom w:val="nil"/>
              <w:right w:val="nil"/>
            </w:tcBorders>
            <w:shd w:val="clear" w:color="000000" w:fill="000000"/>
            <w:textDirection w:val="lrTb"/>
            <w:vAlign w:val="bottom"/>
            <w:hideMark/>
          </w:tcPr>
          <w:p w:rsidR="008B7DEB" w:rsidRPr="00BB4F14" w:rsidP="00510434">
            <w:pPr>
              <w:bidi w:val="0"/>
              <w:jc w:val="both"/>
              <w:rPr>
                <w:rFonts w:ascii="Times New Roman" w:hAnsi="Times New Roman"/>
                <w:b/>
                <w:bCs/>
                <w:color w:val="FFFFFF"/>
                <w:sz w:val="20"/>
              </w:rPr>
            </w:pPr>
            <w:r w:rsidRPr="00BB4F14">
              <w:rPr>
                <w:rFonts w:ascii="Times New Roman" w:hAnsi="Times New Roman"/>
                <w:b/>
                <w:bCs/>
                <w:color w:val="FFFFFF"/>
                <w:sz w:val="20"/>
              </w:rPr>
              <w:t>Porovnanie skutočnosti za rok 2015 s predpokladmi pre tvorbu rozpočtu na roky 2015-2018</w:t>
            </w:r>
          </w:p>
        </w:tc>
      </w:tr>
      <w:tr>
        <w:tblPrEx>
          <w:tblW w:w="8013" w:type="dxa"/>
          <w:jc w:val="center"/>
          <w:tblCellMar>
            <w:left w:w="70" w:type="dxa"/>
            <w:right w:w="70" w:type="dxa"/>
          </w:tblCellMar>
          <w:tblLook w:val="04A0"/>
        </w:tblPrEx>
        <w:trPr>
          <w:trHeight w:val="80"/>
          <w:jc w:val="center"/>
        </w:trPr>
        <w:tc>
          <w:tcPr>
            <w:tcW w:w="4350" w:type="dxa"/>
            <w:tcBorders>
              <w:top w:val="nil"/>
              <w:left w:val="nil"/>
              <w:bottom w:val="single" w:sz="8" w:space="0" w:color="auto"/>
              <w:right w:val="nil"/>
            </w:tcBorders>
            <w:shd w:val="clear" w:color="000000" w:fill="C0C0C0"/>
            <w:textDirection w:val="lrTb"/>
            <w:vAlign w:val="bottom"/>
            <w:hideMark/>
          </w:tcPr>
          <w:p w:rsidR="008B7DEB" w:rsidRPr="00BB4F14" w:rsidP="00510434">
            <w:pPr>
              <w:bidi w:val="0"/>
              <w:rPr>
                <w:rFonts w:ascii="Times New Roman" w:hAnsi="Times New Roman"/>
                <w:b/>
                <w:bCs/>
                <w:color w:val="000000"/>
                <w:sz w:val="18"/>
                <w:szCs w:val="18"/>
              </w:rPr>
            </w:pPr>
            <w:r w:rsidRPr="00BB4F14">
              <w:rPr>
                <w:rFonts w:ascii="Times New Roman" w:hAnsi="Times New Roman"/>
                <w:b/>
                <w:bCs/>
                <w:color w:val="000000"/>
                <w:sz w:val="18"/>
                <w:szCs w:val="18"/>
              </w:rPr>
              <w:t>v %, ak nie je uvedené inak</w:t>
            </w:r>
          </w:p>
        </w:tc>
        <w:tc>
          <w:tcPr>
            <w:tcW w:w="1323" w:type="dxa"/>
            <w:tcBorders>
              <w:top w:val="nil"/>
              <w:left w:val="nil"/>
              <w:bottom w:val="single" w:sz="8" w:space="0" w:color="auto"/>
              <w:right w:val="nil"/>
            </w:tcBorders>
            <w:shd w:val="clear" w:color="000000" w:fill="C0C0C0"/>
            <w:textDirection w:val="lrTb"/>
            <w:vAlign w:val="bottom"/>
            <w:hideMark/>
          </w:tcPr>
          <w:p w:rsidR="008B7DEB" w:rsidRPr="00BB4F14" w:rsidP="00510434">
            <w:pPr>
              <w:bidi w:val="0"/>
              <w:jc w:val="center"/>
              <w:rPr>
                <w:rFonts w:ascii="Times New Roman" w:hAnsi="Times New Roman"/>
                <w:b/>
                <w:bCs/>
                <w:color w:val="000000"/>
                <w:sz w:val="18"/>
                <w:szCs w:val="18"/>
              </w:rPr>
            </w:pPr>
            <w:r w:rsidRPr="00BB4F14">
              <w:rPr>
                <w:rFonts w:ascii="Times New Roman" w:hAnsi="Times New Roman"/>
                <w:b/>
                <w:bCs/>
                <w:color w:val="000000"/>
                <w:sz w:val="18"/>
                <w:szCs w:val="18"/>
              </w:rPr>
              <w:t>Rozpočet 2015</w:t>
            </w:r>
          </w:p>
        </w:tc>
        <w:tc>
          <w:tcPr>
            <w:tcW w:w="1103" w:type="dxa"/>
            <w:tcBorders>
              <w:top w:val="nil"/>
              <w:left w:val="nil"/>
              <w:bottom w:val="single" w:sz="8" w:space="0" w:color="auto"/>
              <w:right w:val="nil"/>
            </w:tcBorders>
            <w:shd w:val="clear" w:color="000000" w:fill="C0C0C0"/>
            <w:textDirection w:val="lrTb"/>
            <w:vAlign w:val="bottom"/>
            <w:hideMark/>
          </w:tcPr>
          <w:p w:rsidR="008B7DEB" w:rsidRPr="00BB4F14" w:rsidP="00510434">
            <w:pPr>
              <w:bidi w:val="0"/>
              <w:jc w:val="center"/>
              <w:rPr>
                <w:rFonts w:ascii="Times New Roman" w:hAnsi="Times New Roman"/>
                <w:b/>
                <w:bCs/>
                <w:color w:val="000000"/>
                <w:sz w:val="18"/>
                <w:szCs w:val="18"/>
              </w:rPr>
            </w:pPr>
            <w:r w:rsidRPr="00BB4F14">
              <w:rPr>
                <w:rFonts w:ascii="Times New Roman" w:hAnsi="Times New Roman"/>
                <w:b/>
                <w:bCs/>
                <w:color w:val="000000"/>
                <w:sz w:val="18"/>
                <w:szCs w:val="18"/>
              </w:rPr>
              <w:t>Skutočnosť</w:t>
            </w:r>
          </w:p>
        </w:tc>
        <w:tc>
          <w:tcPr>
            <w:tcW w:w="1236" w:type="dxa"/>
            <w:tcBorders>
              <w:top w:val="nil"/>
              <w:left w:val="nil"/>
              <w:bottom w:val="single" w:sz="8" w:space="0" w:color="auto"/>
              <w:right w:val="nil"/>
            </w:tcBorders>
            <w:shd w:val="clear" w:color="000000" w:fill="C0C0C0"/>
            <w:textDirection w:val="lrTb"/>
            <w:vAlign w:val="bottom"/>
            <w:hideMark/>
          </w:tcPr>
          <w:p w:rsidR="008B7DEB" w:rsidRPr="00BB4F14" w:rsidP="00510434">
            <w:pPr>
              <w:bidi w:val="0"/>
              <w:jc w:val="center"/>
              <w:rPr>
                <w:rFonts w:ascii="Times New Roman" w:hAnsi="Times New Roman"/>
                <w:b/>
                <w:bCs/>
                <w:color w:val="000000"/>
                <w:sz w:val="18"/>
                <w:szCs w:val="18"/>
              </w:rPr>
            </w:pPr>
            <w:r w:rsidRPr="00BB4F14">
              <w:rPr>
                <w:rFonts w:ascii="Times New Roman" w:hAnsi="Times New Roman"/>
                <w:b/>
                <w:bCs/>
                <w:color w:val="000000"/>
                <w:sz w:val="18"/>
                <w:szCs w:val="18"/>
              </w:rPr>
              <w:t>Rozdiel v p.b.</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hideMark/>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Hrubý domáci produkt,  reálny rast</w:t>
            </w:r>
          </w:p>
        </w:tc>
        <w:tc>
          <w:tcPr>
            <w:tcW w:w="132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2,6</w:t>
            </w:r>
          </w:p>
        </w:tc>
        <w:tc>
          <w:tcPr>
            <w:tcW w:w="110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3,6</w:t>
            </w:r>
          </w:p>
        </w:tc>
        <w:tc>
          <w:tcPr>
            <w:tcW w:w="1236"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+1,0</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hideMark/>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Hrubý domáci</w:t>
            </w:r>
            <w:r w:rsidR="00692C4F">
              <w:rPr>
                <w:rFonts w:ascii="Times New Roman" w:hAnsi="Times New Roman"/>
                <w:color w:val="000000"/>
                <w:sz w:val="18"/>
                <w:szCs w:val="18"/>
              </w:rPr>
              <w:t xml:space="preserve"> produkt v bežných cenách mld. e</w:t>
            </w:r>
            <w:r w:rsidRPr="00BB4F14">
              <w:rPr>
                <w:rFonts w:ascii="Times New Roman" w:hAnsi="Times New Roman"/>
                <w:color w:val="000000"/>
                <w:sz w:val="18"/>
                <w:szCs w:val="18"/>
              </w:rPr>
              <w:t>ur</w:t>
            </w:r>
          </w:p>
        </w:tc>
        <w:tc>
          <w:tcPr>
            <w:tcW w:w="132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76,4</w:t>
            </w:r>
          </w:p>
        </w:tc>
        <w:tc>
          <w:tcPr>
            <w:tcW w:w="1103" w:type="dxa"/>
            <w:tcBorders>
              <w:top w:val="nil"/>
              <w:left w:val="nil"/>
              <w:bottom w:val="nil"/>
              <w:right w:val="nil"/>
            </w:tcBorders>
            <w:noWrap/>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78,1</w:t>
            </w:r>
          </w:p>
        </w:tc>
        <w:tc>
          <w:tcPr>
            <w:tcW w:w="1236"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+1,7</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hideMark/>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Konečná spotreba domácností a NISD,  reálny rast</w:t>
            </w:r>
          </w:p>
        </w:tc>
        <w:tc>
          <w:tcPr>
            <w:tcW w:w="132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2,4</w:t>
            </w:r>
          </w:p>
        </w:tc>
        <w:tc>
          <w:tcPr>
            <w:tcW w:w="110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2,4</w:t>
            </w:r>
          </w:p>
        </w:tc>
        <w:tc>
          <w:tcPr>
            <w:tcW w:w="1236"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0,0</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hideMark/>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Konečná spotreba domácností a NISD,  nominálny rast</w:t>
            </w:r>
          </w:p>
        </w:tc>
        <w:tc>
          <w:tcPr>
            <w:tcW w:w="132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3,4</w:t>
            </w:r>
          </w:p>
        </w:tc>
        <w:tc>
          <w:tcPr>
            <w:tcW w:w="110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2,3</w:t>
            </w:r>
          </w:p>
        </w:tc>
        <w:tc>
          <w:tcPr>
            <w:tcW w:w="1236"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-1,1</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hideMark/>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Priemerná mesačná mzda,  reálny rast</w:t>
            </w:r>
          </w:p>
        </w:tc>
        <w:tc>
          <w:tcPr>
            <w:tcW w:w="132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2,1</w:t>
            </w:r>
          </w:p>
        </w:tc>
        <w:tc>
          <w:tcPr>
            <w:tcW w:w="110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3,2</w:t>
            </w:r>
          </w:p>
        </w:tc>
        <w:tc>
          <w:tcPr>
            <w:tcW w:w="1236"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+1,1</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hideMark/>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Priemerná mesačná mzda,  nominálny rast</w:t>
            </w:r>
          </w:p>
        </w:tc>
        <w:tc>
          <w:tcPr>
            <w:tcW w:w="132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3,3</w:t>
            </w:r>
          </w:p>
        </w:tc>
        <w:tc>
          <w:tcPr>
            <w:tcW w:w="110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2,9</w:t>
            </w:r>
          </w:p>
        </w:tc>
        <w:tc>
          <w:tcPr>
            <w:tcW w:w="1236"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-0,4</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hideMark/>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Zamestnanosť (ESA)</w:t>
            </w:r>
          </w:p>
        </w:tc>
        <w:tc>
          <w:tcPr>
            <w:tcW w:w="132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0,4</w:t>
            </w:r>
          </w:p>
        </w:tc>
        <w:tc>
          <w:tcPr>
            <w:tcW w:w="110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2,0</w:t>
            </w:r>
          </w:p>
        </w:tc>
        <w:tc>
          <w:tcPr>
            <w:tcW w:w="1236"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+1,6</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Miera nezamestnanosti (VZPS)</w:t>
            </w:r>
          </w:p>
        </w:tc>
        <w:tc>
          <w:tcPr>
            <w:tcW w:w="1323" w:type="dxa"/>
            <w:tcBorders>
              <w:top w:val="nil"/>
              <w:left w:val="nil"/>
              <w:bottom w:val="nil"/>
              <w:right w:val="nil"/>
            </w:tcBorders>
            <w:textDirection w:val="lrTb"/>
            <w:vAlign w:val="bottom"/>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13,0</w:t>
            </w:r>
          </w:p>
        </w:tc>
        <w:tc>
          <w:tcPr>
            <w:tcW w:w="1103" w:type="dxa"/>
            <w:tcBorders>
              <w:top w:val="nil"/>
              <w:left w:val="nil"/>
              <w:bottom w:val="nil"/>
              <w:right w:val="nil"/>
            </w:tcBorders>
            <w:textDirection w:val="lrTb"/>
            <w:vAlign w:val="bottom"/>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11,5</w:t>
            </w:r>
          </w:p>
        </w:tc>
        <w:tc>
          <w:tcPr>
            <w:tcW w:w="1236" w:type="dxa"/>
            <w:tcBorders>
              <w:top w:val="nil"/>
              <w:left w:val="nil"/>
              <w:bottom w:val="nil"/>
              <w:right w:val="nil"/>
            </w:tcBorders>
            <w:textDirection w:val="lrTb"/>
            <w:vAlign w:val="bottom"/>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-1,5</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hideMark/>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Index spotrebiteľských cien,  priemerný rast</w:t>
            </w:r>
          </w:p>
        </w:tc>
        <w:tc>
          <w:tcPr>
            <w:tcW w:w="132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1,0</w:t>
            </w:r>
          </w:p>
        </w:tc>
        <w:tc>
          <w:tcPr>
            <w:tcW w:w="1103"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-0,3</w:t>
            </w:r>
          </w:p>
        </w:tc>
        <w:tc>
          <w:tcPr>
            <w:tcW w:w="1236" w:type="dxa"/>
            <w:tcBorders>
              <w:top w:val="nil"/>
              <w:left w:val="nil"/>
              <w:bottom w:val="nil"/>
              <w:right w:val="nil"/>
            </w:tcBorders>
            <w:textDirection w:val="lrTb"/>
            <w:vAlign w:val="bottom"/>
            <w:hideMark/>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-1,3</w:t>
            </w:r>
          </w:p>
        </w:tc>
      </w:tr>
      <w:tr>
        <w:tblPrEx>
          <w:tblW w:w="8013" w:type="dxa"/>
          <w:jc w:val="center"/>
          <w:tblCellMar>
            <w:left w:w="70" w:type="dxa"/>
            <w:right w:w="70" w:type="dxa"/>
          </w:tblCellMar>
          <w:tblLook w:val="04A0"/>
        </w:tblPrEx>
        <w:trPr>
          <w:trHeight w:val="268"/>
          <w:jc w:val="center"/>
        </w:trPr>
        <w:tc>
          <w:tcPr>
            <w:tcW w:w="4350" w:type="dxa"/>
            <w:tcBorders>
              <w:top w:val="nil"/>
              <w:left w:val="nil"/>
              <w:bottom w:val="nil"/>
              <w:right w:val="nil"/>
            </w:tcBorders>
            <w:textDirection w:val="lrTb"/>
            <w:vAlign w:val="bottom"/>
          </w:tcPr>
          <w:p w:rsidR="008B7DEB" w:rsidRPr="00BB4F14" w:rsidP="00510434">
            <w:pPr>
              <w:bidi w:val="0"/>
              <w:rPr>
                <w:rFonts w:ascii="Times New Roman" w:hAnsi="Times New Roman"/>
                <w:color w:val="000000"/>
                <w:sz w:val="18"/>
                <w:szCs w:val="18"/>
              </w:rPr>
            </w:pPr>
            <w:r w:rsidRPr="00BB4F14">
              <w:rPr>
                <w:rFonts w:ascii="Times New Roman" w:hAnsi="Times New Roman"/>
                <w:color w:val="000000"/>
                <w:sz w:val="18"/>
                <w:szCs w:val="18"/>
              </w:rPr>
              <w:t>Saldo bežného účtu platobnej bilancie (% HDP)*</w:t>
            </w:r>
          </w:p>
        </w:tc>
        <w:tc>
          <w:tcPr>
            <w:tcW w:w="1323" w:type="dxa"/>
            <w:tcBorders>
              <w:top w:val="nil"/>
              <w:left w:val="nil"/>
              <w:bottom w:val="nil"/>
              <w:right w:val="nil"/>
            </w:tcBorders>
            <w:textDirection w:val="lrTb"/>
            <w:vAlign w:val="bottom"/>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1,2</w:t>
            </w:r>
          </w:p>
        </w:tc>
        <w:tc>
          <w:tcPr>
            <w:tcW w:w="1103" w:type="dxa"/>
            <w:tcBorders>
              <w:top w:val="nil"/>
              <w:left w:val="nil"/>
              <w:bottom w:val="nil"/>
              <w:right w:val="nil"/>
            </w:tcBorders>
            <w:textDirection w:val="lrTb"/>
            <w:vAlign w:val="bottom"/>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-1,1</w:t>
            </w:r>
          </w:p>
        </w:tc>
        <w:tc>
          <w:tcPr>
            <w:tcW w:w="1236" w:type="dxa"/>
            <w:tcBorders>
              <w:top w:val="nil"/>
              <w:left w:val="nil"/>
              <w:bottom w:val="nil"/>
              <w:right w:val="nil"/>
            </w:tcBorders>
            <w:textDirection w:val="lrTb"/>
            <w:vAlign w:val="bottom"/>
          </w:tcPr>
          <w:p w:rsidR="008B7DEB" w:rsidRPr="00BB4F14" w:rsidP="00510434">
            <w:pPr>
              <w:bidi w:val="0"/>
              <w:jc w:val="center"/>
              <w:rPr>
                <w:rFonts w:ascii="Times New Roman" w:hAnsi="Times New Roman"/>
                <w:color w:val="000000"/>
                <w:sz w:val="18"/>
                <w:szCs w:val="18"/>
              </w:rPr>
            </w:pPr>
            <w:r w:rsidRPr="00BB4F14">
              <w:rPr>
                <w:rFonts w:ascii="Times New Roman" w:hAnsi="Times New Roman"/>
                <w:color w:val="000000"/>
                <w:sz w:val="18"/>
                <w:szCs w:val="18"/>
              </w:rPr>
              <w:t>-2,4</w:t>
            </w:r>
          </w:p>
        </w:tc>
      </w:tr>
      <w:tr>
        <w:tblPrEx>
          <w:tblW w:w="8013" w:type="dxa"/>
          <w:jc w:val="center"/>
          <w:tblCellMar>
            <w:left w:w="70" w:type="dxa"/>
            <w:right w:w="70" w:type="dxa"/>
          </w:tblCellMar>
          <w:tblLook w:val="04A0"/>
        </w:tblPrEx>
        <w:trPr>
          <w:trHeight w:val="268"/>
          <w:jc w:val="center"/>
        </w:trPr>
        <w:tc>
          <w:tcPr>
            <w:tcW w:w="8013" w:type="dxa"/>
            <w:gridSpan w:val="4"/>
            <w:tcBorders>
              <w:top w:val="single" w:sz="8" w:space="0" w:color="auto"/>
              <w:left w:val="nil"/>
              <w:bottom w:val="nil"/>
              <w:right w:val="nil"/>
            </w:tcBorders>
            <w:textDirection w:val="lrTb"/>
            <w:vAlign w:val="bottom"/>
            <w:hideMark/>
          </w:tcPr>
          <w:p w:rsidR="008B7DEB" w:rsidRPr="00943D01" w:rsidP="00510434">
            <w:pPr>
              <w:bidi w:val="0"/>
              <w:jc w:val="right"/>
              <w:rPr>
                <w:rFonts w:ascii="Times New Roman" w:hAnsi="Times New Roman"/>
                <w:iCs/>
                <w:color w:val="000000"/>
                <w:sz w:val="18"/>
                <w:szCs w:val="18"/>
              </w:rPr>
            </w:pPr>
            <w:r w:rsidRPr="00943D01">
              <w:rPr>
                <w:rFonts w:ascii="Times New Roman" w:hAnsi="Times New Roman"/>
                <w:iCs/>
                <w:color w:val="000000"/>
                <w:sz w:val="18"/>
                <w:szCs w:val="18"/>
                <w:lang w:val="de-DE"/>
              </w:rPr>
              <w:t>Zdroj: MF SR, ŠÚ SR</w:t>
            </w:r>
          </w:p>
        </w:tc>
      </w:tr>
    </w:tbl>
    <w:p w:rsidR="008B7DEB" w:rsidRPr="008B7DEB" w:rsidP="008B7DEB">
      <w:pPr>
        <w:bidi w:val="0"/>
        <w:jc w:val="both"/>
        <w:rPr>
          <w:rFonts w:ascii="Times New Roman" w:hAnsi="Times New Roman"/>
          <w:sz w:val="22"/>
          <w:szCs w:val="22"/>
        </w:rPr>
      </w:pPr>
    </w:p>
    <w:p w:rsidR="004A69AD" w:rsidRPr="004A69AD" w:rsidP="004A69AD">
      <w:pPr>
        <w:bidi w:val="0"/>
        <w:rPr>
          <w:rFonts w:ascii="Times New Roman" w:hAnsi="Times New Roman"/>
        </w:rPr>
      </w:pPr>
    </w:p>
    <w:p w:rsidR="00FC71DA" w:rsidP="00A64D0A">
      <w:pPr>
        <w:pStyle w:val="Heading1"/>
        <w:numPr>
          <w:numId w:val="19"/>
        </w:numPr>
        <w:bidi w:val="0"/>
        <w:spacing w:before="0" w:beforeAutospacing="0"/>
        <w:ind w:left="357" w:hanging="357"/>
        <w:rPr>
          <w:rFonts w:ascii="Times New Roman" w:hAnsi="Times New Roman"/>
          <w:sz w:val="24"/>
          <w:szCs w:val="24"/>
          <w:lang w:val="sk-SK"/>
        </w:rPr>
      </w:pPr>
      <w:bookmarkStart w:id="12" w:name="_Toc353445342"/>
      <w:r w:rsidR="00C9491F">
        <w:rPr>
          <w:rFonts w:ascii="Times New Roman" w:hAnsi="Times New Roman"/>
          <w:lang w:val="sk-SK"/>
        </w:rPr>
        <w:br w:type="page"/>
      </w:r>
      <w:bookmarkStart w:id="13" w:name="_Toc449622827"/>
      <w:r w:rsidRPr="006E50E2" w:rsidR="00887FD9">
        <w:rPr>
          <w:rFonts w:ascii="Times New Roman" w:hAnsi="Times New Roman"/>
          <w:lang w:val="sk-SK"/>
        </w:rPr>
        <w:t>H</w:t>
      </w:r>
      <w:r w:rsidRPr="006E50E2">
        <w:rPr>
          <w:rFonts w:ascii="Times New Roman" w:hAnsi="Times New Roman"/>
          <w:sz w:val="24"/>
          <w:szCs w:val="24"/>
          <w:lang w:val="sk-SK"/>
        </w:rPr>
        <w:t>ospodáreni</w:t>
      </w:r>
      <w:r w:rsidRPr="006E50E2" w:rsidR="00887FD9">
        <w:rPr>
          <w:rFonts w:ascii="Times New Roman" w:hAnsi="Times New Roman"/>
          <w:sz w:val="24"/>
          <w:szCs w:val="24"/>
          <w:lang w:val="sk-SK"/>
        </w:rPr>
        <w:t>e</w:t>
      </w:r>
      <w:r w:rsidRPr="006E50E2">
        <w:rPr>
          <w:rFonts w:ascii="Times New Roman" w:hAnsi="Times New Roman"/>
          <w:sz w:val="24"/>
          <w:szCs w:val="24"/>
          <w:lang w:val="sk-SK"/>
        </w:rPr>
        <w:t xml:space="preserve"> verejnej správy v metodike ESA </w:t>
      </w:r>
      <w:bookmarkEnd w:id="12"/>
      <w:r w:rsidRPr="006E50E2" w:rsidR="00801B5B">
        <w:rPr>
          <w:rFonts w:ascii="Times New Roman" w:hAnsi="Times New Roman"/>
          <w:sz w:val="24"/>
          <w:szCs w:val="24"/>
          <w:lang w:val="sk-SK"/>
        </w:rPr>
        <w:t>2010</w:t>
      </w:r>
      <w:bookmarkEnd w:id="13"/>
    </w:p>
    <w:p w:rsidR="008B7DEB" w:rsidRPr="008B7DEB" w:rsidP="008B7DEB">
      <w:pPr>
        <w:bidi w:val="0"/>
        <w:spacing w:after="120" w:line="336" w:lineRule="auto"/>
        <w:jc w:val="both"/>
        <w:rPr>
          <w:rFonts w:ascii="Times New Roman" w:hAnsi="Times New Roman"/>
          <w:sz w:val="22"/>
          <w:szCs w:val="22"/>
        </w:rPr>
      </w:pPr>
      <w:r w:rsidRPr="006E50E2">
        <w:rPr>
          <w:rFonts w:ascii="Times New Roman" w:hAnsi="Times New Roman"/>
          <w:sz w:val="22"/>
          <w:szCs w:val="22"/>
        </w:rPr>
        <w:t>Výsledky hospodárenia verejnej správy sa predkladajú Euro</w:t>
      </w:r>
      <w:r>
        <w:rPr>
          <w:rFonts w:ascii="Times New Roman" w:hAnsi="Times New Roman"/>
          <w:sz w:val="22"/>
          <w:szCs w:val="22"/>
        </w:rPr>
        <w:t>statu dvakrát ročne na základe n</w:t>
      </w:r>
      <w:r w:rsidRPr="006E50E2">
        <w:rPr>
          <w:rFonts w:ascii="Times New Roman" w:hAnsi="Times New Roman"/>
          <w:sz w:val="22"/>
          <w:szCs w:val="22"/>
        </w:rPr>
        <w:t xml:space="preserve">ariadenia o nadmernom schodku prvýkrát do 1. apríla bežného roka a druhýkrát do 1. októbra bežného roka. Do 1. apríla bežného roka sa predkladá </w:t>
      </w:r>
      <w:r w:rsidRPr="008B7DEB">
        <w:rPr>
          <w:rFonts w:ascii="Times New Roman" w:hAnsi="Times New Roman"/>
          <w:sz w:val="22"/>
          <w:szCs w:val="22"/>
        </w:rPr>
        <w:t>odhad</w:t>
      </w:r>
      <w:r w:rsidRPr="006E50E2">
        <w:rPr>
          <w:rFonts w:ascii="Times New Roman" w:hAnsi="Times New Roman"/>
          <w:sz w:val="22"/>
          <w:szCs w:val="22"/>
        </w:rPr>
        <w:t xml:space="preserve"> schodku za predchádzajúci rozpočtový rok a do 1. októbra bežného roka sa predkladá </w:t>
      </w:r>
      <w:r w:rsidRPr="008B7DEB">
        <w:rPr>
          <w:rFonts w:ascii="Times New Roman" w:hAnsi="Times New Roman"/>
          <w:sz w:val="22"/>
          <w:szCs w:val="22"/>
        </w:rPr>
        <w:t>aktuálny</w:t>
      </w:r>
      <w:r w:rsidRPr="006E50E2">
        <w:rPr>
          <w:rFonts w:ascii="Times New Roman" w:hAnsi="Times New Roman"/>
          <w:sz w:val="22"/>
          <w:szCs w:val="22"/>
        </w:rPr>
        <w:t xml:space="preserve"> schodok za predchádzajúci rozpočtový rok. V zmysle uvedeného pravidla je potrebné všetky údaje v nasledujúcom texte chápať ako predbežné, ktoré môžu byť v období do 1. októbra tohto roka revidované. Základnou databázou o hospodárení jednotlivých subjektov verejnej správy sú údaje z finančných výkazov za rok 201</w:t>
      </w:r>
      <w:r>
        <w:rPr>
          <w:rFonts w:ascii="Times New Roman" w:hAnsi="Times New Roman"/>
          <w:sz w:val="22"/>
          <w:szCs w:val="22"/>
        </w:rPr>
        <w:t>5</w:t>
      </w:r>
      <w:r w:rsidRPr="006E50E2">
        <w:rPr>
          <w:rFonts w:ascii="Times New Roman" w:hAnsi="Times New Roman"/>
          <w:sz w:val="22"/>
          <w:szCs w:val="22"/>
        </w:rPr>
        <w:t>, avšak nie všetky boli verifikované schvaľovacím procesom. Definitívne údaje o hospodárení verejnej správy za rok 201</w:t>
      </w:r>
      <w:r>
        <w:rPr>
          <w:rFonts w:ascii="Times New Roman" w:hAnsi="Times New Roman"/>
          <w:sz w:val="22"/>
          <w:szCs w:val="22"/>
        </w:rPr>
        <w:t>5</w:t>
      </w:r>
      <w:r w:rsidRPr="006E50E2">
        <w:rPr>
          <w:rFonts w:ascii="Times New Roman" w:hAnsi="Times New Roman"/>
          <w:sz w:val="22"/>
          <w:szCs w:val="22"/>
        </w:rPr>
        <w:t xml:space="preserve"> budú prezentované po skončení schvaľovacieho procesu, na základe vykonaných auditov finančných výkazov a po získaní definitívnych údajov pre časové rozlíšenie daní a poistného z Finančnej správy SR, Sociálnej poisťovne a zdravotných poisťovní. Preto bude</w:t>
      </w:r>
      <w:r w:rsidR="00954269">
        <w:rPr>
          <w:rFonts w:ascii="Times New Roman" w:hAnsi="Times New Roman"/>
          <w:sz w:val="22"/>
          <w:szCs w:val="22"/>
        </w:rPr>
        <w:t>,</w:t>
      </w:r>
      <w:r w:rsidRPr="006E50E2">
        <w:rPr>
          <w:rFonts w:ascii="Times New Roman" w:hAnsi="Times New Roman"/>
          <w:sz w:val="22"/>
          <w:szCs w:val="22"/>
        </w:rPr>
        <w:t xml:space="preserve"> </w:t>
      </w:r>
      <w:r w:rsidR="00954269">
        <w:rPr>
          <w:rFonts w:ascii="Times New Roman" w:hAnsi="Times New Roman"/>
          <w:sz w:val="22"/>
          <w:szCs w:val="22"/>
        </w:rPr>
        <w:t xml:space="preserve">z hľadiska definitívnych výsledkov hospodárenia verejnej správy za rok 2015, </w:t>
      </w:r>
      <w:r w:rsidRPr="006E50E2">
        <w:rPr>
          <w:rFonts w:ascii="Times New Roman" w:hAnsi="Times New Roman"/>
          <w:sz w:val="22"/>
          <w:szCs w:val="22"/>
        </w:rPr>
        <w:t xml:space="preserve">rozhodujúce stanovisko Eurostatu pri notifikácii predložených </w:t>
      </w:r>
      <w:r w:rsidR="00954269">
        <w:rPr>
          <w:rFonts w:ascii="Times New Roman" w:hAnsi="Times New Roman"/>
          <w:sz w:val="22"/>
          <w:szCs w:val="22"/>
        </w:rPr>
        <w:t xml:space="preserve">výsledkov </w:t>
      </w:r>
      <w:r w:rsidRPr="006E50E2">
        <w:rPr>
          <w:rFonts w:ascii="Times New Roman" w:hAnsi="Times New Roman"/>
          <w:sz w:val="22"/>
          <w:szCs w:val="22"/>
        </w:rPr>
        <w:t>do 1. októbra 201</w:t>
      </w:r>
      <w:r>
        <w:rPr>
          <w:rFonts w:ascii="Times New Roman" w:hAnsi="Times New Roman"/>
          <w:sz w:val="22"/>
          <w:szCs w:val="22"/>
        </w:rPr>
        <w:t>6</w:t>
      </w:r>
      <w:r w:rsidRPr="006E50E2">
        <w:rPr>
          <w:rFonts w:ascii="Times New Roman" w:hAnsi="Times New Roman"/>
          <w:sz w:val="22"/>
          <w:szCs w:val="22"/>
        </w:rPr>
        <w:t>.</w:t>
      </w:r>
    </w:p>
    <w:p w:rsidR="00FC71DA" w:rsidP="00A64D0A">
      <w:pPr>
        <w:pStyle w:val="Heading2"/>
        <w:numPr>
          <w:ilvl w:val="1"/>
          <w:numId w:val="19"/>
        </w:numPr>
        <w:tabs>
          <w:tab w:val="clear" w:pos="1134"/>
        </w:tabs>
        <w:bidi w:val="0"/>
        <w:spacing w:before="0" w:beforeAutospacing="0" w:line="336" w:lineRule="auto"/>
        <w:ind w:left="357" w:hanging="357"/>
        <w:rPr>
          <w:rFonts w:ascii="Times New Roman" w:hAnsi="Times New Roman"/>
        </w:rPr>
      </w:pPr>
      <w:bookmarkStart w:id="14" w:name="_Toc353445343"/>
      <w:bookmarkStart w:id="15" w:name="_Toc449622828"/>
      <w:r w:rsidRPr="006E50E2" w:rsidR="00757A9A">
        <w:rPr>
          <w:rFonts w:ascii="Times New Roman" w:hAnsi="Times New Roman"/>
        </w:rPr>
        <w:t>Saldo verejnej správy</w:t>
      </w:r>
      <w:bookmarkEnd w:id="15"/>
      <w:r w:rsidRPr="006E50E2" w:rsidR="00757A9A">
        <w:rPr>
          <w:rFonts w:ascii="Times New Roman" w:hAnsi="Times New Roman"/>
        </w:rPr>
        <w:t xml:space="preserve"> </w:t>
      </w:r>
      <w:bookmarkEnd w:id="14"/>
    </w:p>
    <w:p w:rsidR="00E96AB1" w:rsidP="008B7DEB">
      <w:pPr>
        <w:bidi w:val="0"/>
        <w:spacing w:after="120" w:line="336" w:lineRule="auto"/>
        <w:jc w:val="both"/>
        <w:rPr>
          <w:rFonts w:ascii="Times New Roman" w:hAnsi="Times New Roman"/>
          <w:sz w:val="22"/>
          <w:szCs w:val="22"/>
        </w:rPr>
      </w:pPr>
      <w:r w:rsidRPr="00954269" w:rsidR="008B7DEB">
        <w:rPr>
          <w:rFonts w:ascii="Times New Roman" w:hAnsi="Times New Roman"/>
          <w:sz w:val="22"/>
          <w:szCs w:val="22"/>
        </w:rPr>
        <w:t xml:space="preserve">Rozpočet verejnej správy na rok 2015, ktorý bol </w:t>
      </w:r>
      <w:r w:rsidRPr="00954269" w:rsidR="005E78F0">
        <w:rPr>
          <w:rFonts w:ascii="Times New Roman" w:hAnsi="Times New Roman"/>
          <w:sz w:val="22"/>
          <w:szCs w:val="22"/>
        </w:rPr>
        <w:t>schválený vládou SR, uznesením č. 508/2014 a uznesením NR SR</w:t>
      </w:r>
      <w:r w:rsidRPr="00954269" w:rsidR="008B7DEB">
        <w:rPr>
          <w:rFonts w:ascii="Times New Roman" w:hAnsi="Times New Roman"/>
          <w:sz w:val="22"/>
          <w:szCs w:val="22"/>
        </w:rPr>
        <w:t xml:space="preserve"> č. </w:t>
      </w:r>
      <w:r w:rsidRPr="00954269" w:rsidR="005E78F0">
        <w:rPr>
          <w:rFonts w:ascii="Times New Roman" w:hAnsi="Times New Roman"/>
          <w:sz w:val="22"/>
          <w:szCs w:val="22"/>
        </w:rPr>
        <w:t>1442</w:t>
      </w:r>
      <w:r w:rsidRPr="00954269" w:rsidR="008B7DEB">
        <w:rPr>
          <w:rFonts w:ascii="Times New Roman" w:hAnsi="Times New Roman"/>
          <w:sz w:val="22"/>
          <w:szCs w:val="22"/>
        </w:rPr>
        <w:t>/2014</w:t>
      </w:r>
      <w:r w:rsidRPr="00954269" w:rsidR="00954269">
        <w:rPr>
          <w:rFonts w:ascii="Times New Roman" w:hAnsi="Times New Roman"/>
          <w:sz w:val="22"/>
          <w:szCs w:val="22"/>
        </w:rPr>
        <w:t>,</w:t>
      </w:r>
      <w:r w:rsidRPr="00954269" w:rsidR="008B7DEB">
        <w:rPr>
          <w:rFonts w:ascii="Times New Roman" w:hAnsi="Times New Roman"/>
          <w:sz w:val="22"/>
          <w:szCs w:val="22"/>
        </w:rPr>
        <w:t xml:space="preserve"> predpokladal podiel </w:t>
      </w:r>
      <w:r w:rsidRPr="00445C79" w:rsidR="008B7DEB">
        <w:rPr>
          <w:rFonts w:ascii="Times New Roman" w:hAnsi="Times New Roman"/>
          <w:b/>
          <w:sz w:val="22"/>
          <w:szCs w:val="22"/>
        </w:rPr>
        <w:t>schodku</w:t>
      </w:r>
      <w:r w:rsidRPr="00954269" w:rsidR="008B7DEB">
        <w:rPr>
          <w:rFonts w:ascii="Times New Roman" w:hAnsi="Times New Roman"/>
          <w:sz w:val="22"/>
          <w:szCs w:val="22"/>
        </w:rPr>
        <w:t xml:space="preserve"> k HDP vo výške </w:t>
      </w:r>
      <w:r w:rsidRPr="00954269" w:rsidR="008B7DEB">
        <w:rPr>
          <w:rFonts w:ascii="Times New Roman" w:hAnsi="Times New Roman"/>
          <w:b/>
          <w:sz w:val="22"/>
          <w:szCs w:val="22"/>
        </w:rPr>
        <w:t>2,49 %.</w:t>
      </w:r>
      <w:r>
        <w:rPr>
          <w:rFonts w:ascii="Times New Roman" w:hAnsi="Times New Roman"/>
          <w:b/>
          <w:sz w:val="22"/>
          <w:szCs w:val="22"/>
        </w:rPr>
        <w:t xml:space="preserve"> </w:t>
      </w:r>
      <w:r>
        <w:rPr>
          <w:rFonts w:ascii="Times New Roman" w:hAnsi="Times New Roman"/>
          <w:sz w:val="22"/>
          <w:szCs w:val="22"/>
        </w:rPr>
        <w:t xml:space="preserve">Slovenská republika odoslala do Eurostatu dňa 31.3.2016 predbežné výsledky hospodárenia verejných financií za rok 2015, pričom deficit bol deklarovaný vo výške 2,56 % HDP. Ten už obsahoval aj nevyhnutné korekcie EÚ fondov, ktoré boli mimo dosahu rozpočtovej politiky vlády. </w:t>
      </w:r>
    </w:p>
    <w:p w:rsidR="00E96AB1" w:rsidRPr="00161140" w:rsidP="0020158D">
      <w:pPr>
        <w:bidi w:val="0"/>
        <w:spacing w:line="336" w:lineRule="auto"/>
        <w:jc w:val="both"/>
        <w:rPr>
          <w:rFonts w:ascii="Times New Roman" w:hAnsi="Times New Roman"/>
          <w:sz w:val="22"/>
          <w:szCs w:val="22"/>
        </w:rPr>
      </w:pPr>
      <w:r w:rsidRPr="00954269" w:rsidR="008B7DEB">
        <w:rPr>
          <w:rFonts w:ascii="Times New Roman" w:hAnsi="Times New Roman"/>
          <w:sz w:val="22"/>
          <w:szCs w:val="22"/>
        </w:rPr>
        <w:t>V roku 2015 dosiahlo</w:t>
      </w:r>
      <w:r w:rsidRPr="008B7DEB" w:rsidR="008B7DEB">
        <w:rPr>
          <w:rFonts w:ascii="Times New Roman" w:hAnsi="Times New Roman"/>
          <w:sz w:val="22"/>
          <w:szCs w:val="22"/>
        </w:rPr>
        <w:t xml:space="preserve"> celkové hospodárenie s verejnými financiami podľa metodiky ESA 2010 schodok vo výške 2 318 236 tis. eur (</w:t>
      </w:r>
      <w:r w:rsidRPr="00161140" w:rsidR="008B7DEB">
        <w:rPr>
          <w:rFonts w:ascii="Times New Roman" w:hAnsi="Times New Roman"/>
          <w:sz w:val="22"/>
          <w:szCs w:val="22"/>
        </w:rPr>
        <w:t>2,97 %</w:t>
      </w:r>
      <w:r w:rsidRPr="008B7DEB" w:rsidR="008B7DEB">
        <w:rPr>
          <w:rFonts w:ascii="Times New Roman" w:hAnsi="Times New Roman"/>
          <w:sz w:val="22"/>
          <w:szCs w:val="22"/>
        </w:rPr>
        <w:t xml:space="preserve"> z HDP). </w:t>
      </w:r>
      <w:r w:rsidRPr="006E50E2" w:rsidR="008B7DEB">
        <w:rPr>
          <w:rFonts w:ascii="Times New Roman" w:hAnsi="Times New Roman"/>
          <w:sz w:val="22"/>
          <w:szCs w:val="22"/>
        </w:rPr>
        <w:t>Schodok verejnej správy bol vyšší oproti r</w:t>
      </w:r>
      <w:r w:rsidR="008B7DEB">
        <w:rPr>
          <w:rFonts w:ascii="Times New Roman" w:hAnsi="Times New Roman"/>
          <w:sz w:val="22"/>
          <w:szCs w:val="22"/>
        </w:rPr>
        <w:t>ozpočtovanej hodnote na rok 2015</w:t>
      </w:r>
      <w:r w:rsidRPr="006E50E2" w:rsidR="008B7DEB">
        <w:rPr>
          <w:rFonts w:ascii="Times New Roman" w:hAnsi="Times New Roman"/>
          <w:sz w:val="22"/>
          <w:szCs w:val="22"/>
        </w:rPr>
        <w:t xml:space="preserve"> o</w:t>
      </w:r>
      <w:r w:rsidR="008B7DEB">
        <w:rPr>
          <w:rFonts w:ascii="Times New Roman" w:hAnsi="Times New Roman"/>
          <w:sz w:val="22"/>
          <w:szCs w:val="22"/>
        </w:rPr>
        <w:t> 378 128</w:t>
      </w:r>
      <w:r w:rsidRPr="006E50E2" w:rsidR="008B7DEB">
        <w:rPr>
          <w:rFonts w:ascii="Times New Roman" w:hAnsi="Times New Roman"/>
          <w:sz w:val="22"/>
          <w:szCs w:val="22"/>
        </w:rPr>
        <w:t> tis. eur (</w:t>
      </w:r>
      <w:r w:rsidRPr="008B7DEB" w:rsidR="008B7DEB">
        <w:rPr>
          <w:rFonts w:ascii="Times New Roman" w:hAnsi="Times New Roman"/>
          <w:sz w:val="22"/>
          <w:szCs w:val="22"/>
        </w:rPr>
        <w:t>0,48 % HDP</w:t>
      </w:r>
      <w:r w:rsidRPr="006E50E2" w:rsidR="008B7DEB">
        <w:rPr>
          <w:rFonts w:ascii="Times New Roman" w:hAnsi="Times New Roman"/>
          <w:sz w:val="22"/>
          <w:szCs w:val="22"/>
        </w:rPr>
        <w:t>).</w:t>
      </w:r>
      <w:r>
        <w:rPr>
          <w:rFonts w:ascii="Times New Roman" w:hAnsi="Times New Roman"/>
          <w:sz w:val="22"/>
          <w:szCs w:val="22"/>
        </w:rPr>
        <w:t xml:space="preserve"> </w:t>
      </w:r>
      <w:r w:rsidRPr="00161140">
        <w:rPr>
          <w:rFonts w:ascii="Times New Roman" w:hAnsi="Times New Roman"/>
          <w:sz w:val="22"/>
          <w:szCs w:val="22"/>
        </w:rPr>
        <w:t xml:space="preserve">Prekročenie rozpočtovaného schodku je </w:t>
      </w:r>
      <w:r w:rsidR="00161140">
        <w:rPr>
          <w:rFonts w:ascii="Times New Roman" w:hAnsi="Times New Roman"/>
          <w:sz w:val="22"/>
          <w:szCs w:val="22"/>
        </w:rPr>
        <w:t>d</w:t>
      </w:r>
      <w:r w:rsidRPr="00161140">
        <w:rPr>
          <w:rFonts w:ascii="Times New Roman" w:hAnsi="Times New Roman"/>
          <w:sz w:val="22"/>
          <w:szCs w:val="22"/>
        </w:rPr>
        <w:t xml:space="preserve">ôsledkom </w:t>
      </w:r>
      <w:r w:rsidR="00161140">
        <w:rPr>
          <w:rFonts w:ascii="Times New Roman" w:hAnsi="Times New Roman"/>
          <w:sz w:val="22"/>
          <w:szCs w:val="22"/>
        </w:rPr>
        <w:t xml:space="preserve">najmä </w:t>
      </w:r>
      <w:r w:rsidRPr="00161140">
        <w:rPr>
          <w:rFonts w:ascii="Times New Roman" w:hAnsi="Times New Roman"/>
          <w:sz w:val="22"/>
          <w:szCs w:val="22"/>
        </w:rPr>
        <w:t>toho, že zo strany Eurostatu nedošlo k uznaniu niek</w:t>
      </w:r>
      <w:r w:rsidR="00161140">
        <w:rPr>
          <w:rFonts w:ascii="Times New Roman" w:hAnsi="Times New Roman"/>
          <w:sz w:val="22"/>
          <w:szCs w:val="22"/>
        </w:rPr>
        <w:t>torých</w:t>
      </w:r>
      <w:r w:rsidRPr="00161140">
        <w:rPr>
          <w:rFonts w:ascii="Times New Roman" w:hAnsi="Times New Roman"/>
          <w:sz w:val="22"/>
          <w:szCs w:val="22"/>
        </w:rPr>
        <w:t xml:space="preserve"> transakcií v celkovom objeme 0,4 % HDP medzi akruálne príjmy v metodike ESA</w:t>
      </w:r>
      <w:r w:rsidR="00161140">
        <w:rPr>
          <w:rFonts w:ascii="Times New Roman" w:hAnsi="Times New Roman"/>
          <w:sz w:val="22"/>
          <w:szCs w:val="22"/>
        </w:rPr>
        <w:t xml:space="preserve"> </w:t>
      </w:r>
      <w:r w:rsidRPr="00161140">
        <w:rPr>
          <w:rFonts w:ascii="Times New Roman" w:hAnsi="Times New Roman"/>
          <w:sz w:val="22"/>
          <w:szCs w:val="22"/>
        </w:rPr>
        <w:t>2010.</w:t>
      </w:r>
      <w:r w:rsidR="00161140">
        <w:rPr>
          <w:rFonts w:ascii="Times New Roman" w:hAnsi="Times New Roman"/>
          <w:sz w:val="22"/>
          <w:szCs w:val="22"/>
        </w:rPr>
        <w:t xml:space="preserve"> </w:t>
      </w:r>
      <w:r w:rsidR="00533CB2">
        <w:rPr>
          <w:rFonts w:ascii="Times New Roman" w:hAnsi="Times New Roman"/>
          <w:sz w:val="22"/>
          <w:szCs w:val="22"/>
        </w:rPr>
        <w:t>Ide hlavne o príjmy zo splátok návratnej finančnej výpomoci od Železničnej spoločnosti Cargo, a.s. a príjmy Štátneho fondu rozvoja bývania z prostriedkov EÚ</w:t>
      </w:r>
      <w:r w:rsidRPr="002D72F1" w:rsidR="00533CB2">
        <w:rPr>
          <w:rFonts w:ascii="Times New Roman" w:hAnsi="Times New Roman"/>
          <w:sz w:val="22"/>
          <w:szCs w:val="22"/>
        </w:rPr>
        <w:t>.</w:t>
      </w:r>
      <w:r w:rsidR="00533CB2">
        <w:rPr>
          <w:rFonts w:ascii="Times New Roman" w:hAnsi="Times New Roman"/>
          <w:sz w:val="22"/>
          <w:szCs w:val="22"/>
        </w:rPr>
        <w:t xml:space="preserve">  </w:t>
      </w:r>
    </w:p>
    <w:tbl>
      <w:tblPr>
        <w:tblStyle w:val="TableNormal"/>
        <w:tblW w:w="5000" w:type="pct"/>
        <w:tblCellMar>
          <w:left w:w="70" w:type="dxa"/>
          <w:right w:w="70" w:type="dxa"/>
        </w:tblCellMar>
        <w:tblLook w:val="04A0"/>
      </w:tblPr>
      <w:tblGrid>
        <w:gridCol w:w="3808"/>
        <w:gridCol w:w="1054"/>
        <w:gridCol w:w="1054"/>
        <w:gridCol w:w="1055"/>
        <w:gridCol w:w="977"/>
        <w:gridCol w:w="980"/>
      </w:tblGrid>
      <w:tr>
        <w:tblPrEx>
          <w:tblW w:w="5000" w:type="pct"/>
          <w:tblCellMar>
            <w:left w:w="70" w:type="dxa"/>
            <w:right w:w="70" w:type="dxa"/>
          </w:tblCellMar>
          <w:tblLook w:val="04A0"/>
        </w:tblPrEx>
        <w:trPr>
          <w:trHeight w:val="330"/>
        </w:trPr>
        <w:tc>
          <w:tcPr>
            <w:tcW w:w="4451" w:type="pct"/>
            <w:gridSpan w:val="5"/>
            <w:tcBorders>
              <w:top w:val="nil"/>
              <w:left w:val="nil"/>
              <w:bottom w:val="single" w:sz="4" w:space="0" w:color="auto"/>
              <w:right w:val="nil"/>
            </w:tcBorders>
            <w:shd w:val="clear" w:color="000000" w:fill="000000"/>
            <w:noWrap/>
            <w:textDirection w:val="lrTb"/>
            <w:vAlign w:val="center"/>
            <w:hideMark/>
          </w:tcPr>
          <w:p w:rsidR="003A662E" w:rsidRPr="00F95783" w:rsidP="00C97AF6">
            <w:pPr>
              <w:bidi w:val="0"/>
              <w:rPr>
                <w:rFonts w:ascii="Times New Roman" w:hAnsi="Times New Roman"/>
                <w:b/>
                <w:bCs/>
                <w:color w:val="FFFFFF"/>
                <w:sz w:val="18"/>
                <w:szCs w:val="18"/>
              </w:rPr>
            </w:pPr>
            <w:r w:rsidRPr="00F95783">
              <w:rPr>
                <w:rFonts w:ascii="Times New Roman" w:hAnsi="Times New Roman"/>
                <w:b/>
                <w:bCs/>
                <w:color w:val="FFFFFF"/>
                <w:sz w:val="18"/>
                <w:szCs w:val="18"/>
              </w:rPr>
              <w:t>Plnenie príjmov a výdavkov verejnej správy (ESA 2010)</w:t>
            </w:r>
          </w:p>
        </w:tc>
        <w:tc>
          <w:tcPr>
            <w:tcW w:w="549" w:type="pct"/>
            <w:tcBorders>
              <w:top w:val="nil"/>
              <w:left w:val="nil"/>
              <w:bottom w:val="nil"/>
              <w:right w:val="nil"/>
            </w:tcBorders>
            <w:shd w:val="clear" w:color="000000" w:fill="000000"/>
            <w:noWrap/>
            <w:textDirection w:val="lrTb"/>
            <w:vAlign w:val="center"/>
            <w:hideMark/>
          </w:tcPr>
          <w:p w:rsidR="003A662E" w:rsidRPr="00F95783" w:rsidP="00C97AF6">
            <w:pPr>
              <w:bidi w:val="0"/>
              <w:jc w:val="right"/>
              <w:rPr>
                <w:rFonts w:ascii="Times New Roman" w:hAnsi="Times New Roman"/>
                <w:b/>
                <w:bCs/>
                <w:color w:val="FFFFFF"/>
                <w:sz w:val="18"/>
                <w:szCs w:val="18"/>
              </w:rPr>
            </w:pPr>
            <w:r w:rsidRPr="00F95783">
              <w:rPr>
                <w:rFonts w:ascii="Times New Roman" w:hAnsi="Times New Roman"/>
                <w:b/>
                <w:bCs/>
                <w:color w:val="FFFFFF"/>
                <w:sz w:val="18"/>
                <w:szCs w:val="18"/>
              </w:rPr>
              <w:t>v tis. eur</w:t>
            </w:r>
          </w:p>
        </w:tc>
      </w:tr>
      <w:tr>
        <w:tblPrEx>
          <w:tblW w:w="5000" w:type="pct"/>
          <w:tblCellMar>
            <w:left w:w="70" w:type="dxa"/>
            <w:right w:w="70" w:type="dxa"/>
          </w:tblCellMar>
          <w:tblLook w:val="04A0"/>
        </w:tblPrEx>
        <w:trPr>
          <w:trHeight w:val="330"/>
        </w:trPr>
        <w:tc>
          <w:tcPr>
            <w:tcW w:w="2133" w:type="pct"/>
            <w:tcBorders>
              <w:top w:val="single" w:sz="4" w:space="0" w:color="auto"/>
              <w:left w:val="nil"/>
              <w:bottom w:val="nil"/>
              <w:right w:val="nil"/>
            </w:tcBorders>
            <w:shd w:val="clear" w:color="000000" w:fill="BFBFBF"/>
            <w:noWrap/>
            <w:textDirection w:val="lrTb"/>
            <w:vAlign w:val="center"/>
            <w:hideMark/>
          </w:tcPr>
          <w:p w:rsidR="003A662E" w:rsidRPr="00F95783" w:rsidP="00C97AF6">
            <w:pPr>
              <w:bidi w:val="0"/>
              <w:rPr>
                <w:rFonts w:ascii="Times New Roman" w:hAnsi="Times New Roman"/>
                <w:b/>
                <w:bCs/>
                <w:sz w:val="18"/>
                <w:szCs w:val="18"/>
              </w:rPr>
            </w:pPr>
            <w:r w:rsidRPr="00F95783">
              <w:rPr>
                <w:rFonts w:ascii="Times New Roman" w:hAnsi="Times New Roman"/>
                <w:b/>
                <w:bCs/>
                <w:sz w:val="18"/>
                <w:szCs w:val="18"/>
              </w:rPr>
              <w:t> </w:t>
            </w:r>
          </w:p>
        </w:tc>
        <w:tc>
          <w:tcPr>
            <w:tcW w:w="590" w:type="pct"/>
            <w:tcBorders>
              <w:top w:val="single" w:sz="4" w:space="0" w:color="auto"/>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2013</w:t>
            </w:r>
          </w:p>
        </w:tc>
        <w:tc>
          <w:tcPr>
            <w:tcW w:w="590" w:type="pct"/>
            <w:tcBorders>
              <w:top w:val="single" w:sz="4" w:space="0" w:color="auto"/>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2014</w:t>
            </w:r>
          </w:p>
        </w:tc>
        <w:tc>
          <w:tcPr>
            <w:tcW w:w="591" w:type="pct"/>
            <w:tcBorders>
              <w:top w:val="single" w:sz="4" w:space="0" w:color="auto"/>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2015</w:t>
            </w:r>
          </w:p>
        </w:tc>
        <w:tc>
          <w:tcPr>
            <w:tcW w:w="547" w:type="pct"/>
            <w:tcBorders>
              <w:top w:val="single" w:sz="4" w:space="0" w:color="auto"/>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2015</w:t>
            </w:r>
          </w:p>
        </w:tc>
        <w:tc>
          <w:tcPr>
            <w:tcW w:w="549" w:type="pct"/>
            <w:tcBorders>
              <w:top w:val="single" w:sz="4" w:space="0" w:color="auto"/>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2015</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BFBFBF"/>
            <w:noWrap/>
            <w:textDirection w:val="lrTb"/>
            <w:vAlign w:val="center"/>
            <w:hideMark/>
          </w:tcPr>
          <w:p w:rsidR="003A662E" w:rsidRPr="00F95783" w:rsidP="00C97AF6">
            <w:pPr>
              <w:bidi w:val="0"/>
              <w:rPr>
                <w:rFonts w:ascii="Times New Roman" w:hAnsi="Times New Roman"/>
                <w:b/>
                <w:bCs/>
                <w:sz w:val="18"/>
                <w:szCs w:val="18"/>
              </w:rPr>
            </w:pPr>
            <w:r w:rsidRPr="00F95783">
              <w:rPr>
                <w:rFonts w:ascii="Times New Roman" w:hAnsi="Times New Roman"/>
                <w:b/>
                <w:bCs/>
                <w:sz w:val="18"/>
                <w:szCs w:val="18"/>
              </w:rPr>
              <w:t> </w:t>
            </w:r>
          </w:p>
        </w:tc>
        <w:tc>
          <w:tcPr>
            <w:tcW w:w="590" w:type="pct"/>
            <w:tcBorders>
              <w:top w:val="nil"/>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Skutočnosť</w:t>
            </w:r>
          </w:p>
        </w:tc>
        <w:tc>
          <w:tcPr>
            <w:tcW w:w="590" w:type="pct"/>
            <w:tcBorders>
              <w:top w:val="nil"/>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Skutočnosť</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Skutočnosť</w:t>
            </w:r>
          </w:p>
        </w:tc>
        <w:tc>
          <w:tcPr>
            <w:tcW w:w="547" w:type="pct"/>
            <w:tcBorders>
              <w:top w:val="nil"/>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Rozpočet</w:t>
            </w:r>
          </w:p>
        </w:tc>
        <w:tc>
          <w:tcPr>
            <w:tcW w:w="549" w:type="pct"/>
            <w:tcBorders>
              <w:top w:val="nil"/>
              <w:left w:val="nil"/>
              <w:bottom w:val="nil"/>
              <w:right w:val="nil"/>
            </w:tcBorders>
            <w:shd w:val="clear" w:color="000000" w:fill="BFBFBF"/>
            <w:noWrap/>
            <w:textDirection w:val="lrTb"/>
            <w:vAlign w:val="center"/>
            <w:hideMark/>
          </w:tcPr>
          <w:p w:rsidR="003A662E" w:rsidRPr="00F95783" w:rsidP="00C97AF6">
            <w:pPr>
              <w:bidi w:val="0"/>
              <w:jc w:val="center"/>
              <w:rPr>
                <w:rFonts w:ascii="Times New Roman" w:hAnsi="Times New Roman"/>
                <w:b/>
                <w:bCs/>
                <w:sz w:val="18"/>
                <w:szCs w:val="18"/>
              </w:rPr>
            </w:pPr>
            <w:r w:rsidRPr="00F95783">
              <w:rPr>
                <w:rFonts w:ascii="Times New Roman" w:hAnsi="Times New Roman"/>
                <w:b/>
                <w:bCs/>
                <w:sz w:val="18"/>
                <w:szCs w:val="18"/>
              </w:rPr>
              <w:t>(S –R)</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FFFFFF"/>
            <w:noWrap/>
            <w:textDirection w:val="lrTb"/>
            <w:vAlign w:val="center"/>
            <w:hideMark/>
          </w:tcPr>
          <w:p w:rsidR="003A662E" w:rsidRPr="00F95783" w:rsidP="00C97AF6">
            <w:pPr>
              <w:bidi w:val="0"/>
              <w:rPr>
                <w:rFonts w:ascii="Times New Roman" w:hAnsi="Times New Roman"/>
                <w:b/>
                <w:bCs/>
                <w:sz w:val="18"/>
                <w:szCs w:val="18"/>
              </w:rPr>
            </w:pPr>
            <w:r w:rsidRPr="00F95783">
              <w:rPr>
                <w:rFonts w:ascii="Times New Roman" w:hAnsi="Times New Roman"/>
                <w:b/>
                <w:bCs/>
                <w:sz w:val="18"/>
                <w:szCs w:val="18"/>
              </w:rPr>
              <w:t>Príjmy spolu, v tom</w:t>
            </w:r>
            <w:r w:rsidRPr="00F95783">
              <w:rPr>
                <w:rFonts w:ascii="Times New Roman" w:hAnsi="Times New Roman"/>
                <w:b/>
                <w:bCs/>
                <w:sz w:val="18"/>
                <w:szCs w:val="18"/>
                <w:vertAlign w:val="superscript"/>
              </w:rPr>
              <w:t>1)</w:t>
            </w:r>
            <w:r w:rsidRPr="00F95783">
              <w:rPr>
                <w:rFonts w:ascii="Times New Roman" w:hAnsi="Times New Roman"/>
                <w:b/>
                <w:bCs/>
                <w:sz w:val="18"/>
                <w:szCs w:val="18"/>
              </w:rPr>
              <w:t>:</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30 147 800</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31 430 886</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34 707 640</w:t>
            </w:r>
          </w:p>
        </w:tc>
        <w:tc>
          <w:tcPr>
            <w:tcW w:w="547"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28 421 772</w:t>
            </w:r>
          </w:p>
        </w:tc>
        <w:tc>
          <w:tcPr>
            <w:tcW w:w="549"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6 285 868</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FFFFFF"/>
            <w:noWrap/>
            <w:textDirection w:val="lrTb"/>
            <w:vAlign w:val="center"/>
            <w:hideMark/>
          </w:tcPr>
          <w:p w:rsidR="003A662E" w:rsidRPr="00F95783" w:rsidP="00C97AF6">
            <w:pPr>
              <w:bidi w:val="0"/>
              <w:rPr>
                <w:rFonts w:ascii="Times New Roman" w:hAnsi="Times New Roman"/>
                <w:color w:val="000000"/>
                <w:sz w:val="18"/>
                <w:szCs w:val="18"/>
              </w:rPr>
            </w:pPr>
            <w:r w:rsidRPr="00F95783">
              <w:rPr>
                <w:rFonts w:ascii="Times New Roman" w:hAnsi="Times New Roman"/>
                <w:color w:val="000000"/>
                <w:sz w:val="18"/>
                <w:szCs w:val="18"/>
              </w:rPr>
              <w:t>Daňové a poistné príjmy</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23 824 700</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23 140 935</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25 174 315</w:t>
            </w:r>
          </w:p>
        </w:tc>
        <w:tc>
          <w:tcPr>
            <w:tcW w:w="547"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23 469 167</w:t>
            </w:r>
          </w:p>
        </w:tc>
        <w:tc>
          <w:tcPr>
            <w:tcW w:w="549"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1 705 148</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FFFFFF"/>
            <w:noWrap/>
            <w:textDirection w:val="lrTb"/>
            <w:vAlign w:val="center"/>
            <w:hideMark/>
          </w:tcPr>
          <w:p w:rsidR="003A662E" w:rsidRPr="00F95783" w:rsidP="00C97AF6">
            <w:pPr>
              <w:bidi w:val="0"/>
              <w:rPr>
                <w:rFonts w:ascii="Times New Roman" w:hAnsi="Times New Roman"/>
                <w:color w:val="000000"/>
                <w:sz w:val="18"/>
                <w:szCs w:val="18"/>
              </w:rPr>
            </w:pPr>
            <w:r w:rsidRPr="00F95783">
              <w:rPr>
                <w:rFonts w:ascii="Times New Roman" w:hAnsi="Times New Roman"/>
                <w:color w:val="000000"/>
                <w:sz w:val="18"/>
                <w:szCs w:val="18"/>
              </w:rPr>
              <w:t>Nedaňové príjmy</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5 137 174</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5 809 824</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4 427 878</w:t>
            </w:r>
          </w:p>
        </w:tc>
        <w:tc>
          <w:tcPr>
            <w:tcW w:w="547"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3 171 942</w:t>
            </w:r>
          </w:p>
        </w:tc>
        <w:tc>
          <w:tcPr>
            <w:tcW w:w="549"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1 255 936</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FFFFFF"/>
            <w:noWrap/>
            <w:textDirection w:val="lrTb"/>
            <w:vAlign w:val="center"/>
            <w:hideMark/>
          </w:tcPr>
          <w:p w:rsidR="003A662E" w:rsidRPr="00F95783" w:rsidP="00C97AF6">
            <w:pPr>
              <w:bidi w:val="0"/>
              <w:rPr>
                <w:rFonts w:ascii="Times New Roman" w:hAnsi="Times New Roman"/>
                <w:color w:val="000000"/>
                <w:sz w:val="18"/>
                <w:szCs w:val="18"/>
              </w:rPr>
            </w:pPr>
            <w:r w:rsidRPr="00F95783">
              <w:rPr>
                <w:rFonts w:ascii="Times New Roman" w:hAnsi="Times New Roman"/>
                <w:color w:val="000000"/>
                <w:sz w:val="18"/>
                <w:szCs w:val="18"/>
              </w:rPr>
              <w:t>Granty a transfery</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1 185 926</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2 480 127</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5 105 447</w:t>
            </w:r>
          </w:p>
        </w:tc>
        <w:tc>
          <w:tcPr>
            <w:tcW w:w="547"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1 780 663</w:t>
            </w:r>
          </w:p>
        </w:tc>
        <w:tc>
          <w:tcPr>
            <w:tcW w:w="549"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3 324 784</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FFFFFF"/>
            <w:noWrap/>
            <w:textDirection w:val="lrTb"/>
            <w:vAlign w:val="center"/>
            <w:hideMark/>
          </w:tcPr>
          <w:p w:rsidR="003A662E" w:rsidRPr="00F95783" w:rsidP="00C97AF6">
            <w:pPr>
              <w:bidi w:val="0"/>
              <w:rPr>
                <w:rFonts w:ascii="Times New Roman" w:hAnsi="Times New Roman"/>
                <w:b/>
                <w:bCs/>
                <w:sz w:val="18"/>
                <w:szCs w:val="18"/>
              </w:rPr>
            </w:pPr>
            <w:r w:rsidRPr="00F95783">
              <w:rPr>
                <w:rFonts w:ascii="Times New Roman" w:hAnsi="Times New Roman"/>
                <w:b/>
                <w:bCs/>
                <w:sz w:val="18"/>
                <w:szCs w:val="18"/>
              </w:rPr>
              <w:t>Výdavky spolu, v tom</w:t>
            </w:r>
            <w:r w:rsidRPr="00F95783">
              <w:rPr>
                <w:rFonts w:ascii="Times New Roman" w:hAnsi="Times New Roman"/>
                <w:b/>
                <w:bCs/>
                <w:sz w:val="18"/>
                <w:szCs w:val="18"/>
                <w:vertAlign w:val="superscript"/>
              </w:rPr>
              <w:t>1)</w:t>
            </w:r>
            <w:r w:rsidRPr="00F95783">
              <w:rPr>
                <w:rFonts w:ascii="Times New Roman" w:hAnsi="Times New Roman"/>
                <w:b/>
                <w:bCs/>
                <w:sz w:val="18"/>
                <w:szCs w:val="18"/>
              </w:rPr>
              <w:t>:</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32 101 607</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33 440 610</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37 027 993</w:t>
            </w:r>
          </w:p>
        </w:tc>
        <w:tc>
          <w:tcPr>
            <w:tcW w:w="547"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30 361 880</w:t>
            </w:r>
          </w:p>
        </w:tc>
        <w:tc>
          <w:tcPr>
            <w:tcW w:w="549"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6 666 113</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FFFFFF"/>
            <w:noWrap/>
            <w:textDirection w:val="lrTb"/>
            <w:vAlign w:val="center"/>
            <w:hideMark/>
          </w:tcPr>
          <w:p w:rsidR="003A662E" w:rsidRPr="00F95783" w:rsidP="00C97AF6">
            <w:pPr>
              <w:bidi w:val="0"/>
              <w:rPr>
                <w:rFonts w:ascii="Times New Roman" w:hAnsi="Times New Roman"/>
                <w:color w:val="000000"/>
                <w:sz w:val="18"/>
                <w:szCs w:val="18"/>
              </w:rPr>
            </w:pPr>
            <w:r w:rsidRPr="00F95783">
              <w:rPr>
                <w:rFonts w:ascii="Times New Roman" w:hAnsi="Times New Roman"/>
                <w:color w:val="000000"/>
                <w:sz w:val="18"/>
                <w:szCs w:val="18"/>
              </w:rPr>
              <w:t>Bežné výdavky</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29 581 301</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30 661 444</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31 228 930</w:t>
            </w:r>
          </w:p>
        </w:tc>
        <w:tc>
          <w:tcPr>
            <w:tcW w:w="547"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27 215 768</w:t>
            </w:r>
          </w:p>
        </w:tc>
        <w:tc>
          <w:tcPr>
            <w:tcW w:w="549"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4 013 162</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FFFFFF"/>
            <w:noWrap/>
            <w:textDirection w:val="lrTb"/>
            <w:vAlign w:val="center"/>
            <w:hideMark/>
          </w:tcPr>
          <w:p w:rsidR="003A662E" w:rsidRPr="00F95783" w:rsidP="00C97AF6">
            <w:pPr>
              <w:bidi w:val="0"/>
              <w:rPr>
                <w:rFonts w:ascii="Times New Roman" w:hAnsi="Times New Roman"/>
                <w:color w:val="000000"/>
                <w:sz w:val="18"/>
                <w:szCs w:val="18"/>
              </w:rPr>
            </w:pPr>
            <w:r w:rsidRPr="00F95783">
              <w:rPr>
                <w:rFonts w:ascii="Times New Roman" w:hAnsi="Times New Roman"/>
                <w:color w:val="000000"/>
                <w:sz w:val="18"/>
                <w:szCs w:val="18"/>
              </w:rPr>
              <w:t>Kapitálové výdavky</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2 520 306</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2 779 166</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5 799 063</w:t>
            </w:r>
          </w:p>
        </w:tc>
        <w:tc>
          <w:tcPr>
            <w:tcW w:w="547"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3 146 112</w:t>
            </w:r>
          </w:p>
        </w:tc>
        <w:tc>
          <w:tcPr>
            <w:tcW w:w="549"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sz w:val="18"/>
                <w:szCs w:val="18"/>
              </w:rPr>
            </w:pPr>
            <w:r w:rsidRPr="00F95783">
              <w:rPr>
                <w:rFonts w:ascii="Times New Roman" w:hAnsi="Times New Roman"/>
                <w:sz w:val="18"/>
                <w:szCs w:val="18"/>
              </w:rPr>
              <w:t>2 652 951</w:t>
            </w:r>
          </w:p>
        </w:tc>
      </w:tr>
      <w:tr>
        <w:tblPrEx>
          <w:tblW w:w="5000" w:type="pct"/>
          <w:tblCellMar>
            <w:left w:w="70" w:type="dxa"/>
            <w:right w:w="70" w:type="dxa"/>
          </w:tblCellMar>
          <w:tblLook w:val="04A0"/>
        </w:tblPrEx>
        <w:trPr>
          <w:trHeight w:val="330"/>
        </w:trPr>
        <w:tc>
          <w:tcPr>
            <w:tcW w:w="2133" w:type="pct"/>
            <w:tcBorders>
              <w:top w:val="nil"/>
              <w:left w:val="nil"/>
              <w:bottom w:val="nil"/>
              <w:right w:val="nil"/>
            </w:tcBorders>
            <w:shd w:val="clear" w:color="000000" w:fill="FFFFFF"/>
            <w:noWrap/>
            <w:textDirection w:val="lrTb"/>
            <w:vAlign w:val="center"/>
            <w:hideMark/>
          </w:tcPr>
          <w:p w:rsidR="003A662E" w:rsidRPr="00F95783" w:rsidP="00C97AF6">
            <w:pPr>
              <w:bidi w:val="0"/>
              <w:rPr>
                <w:rFonts w:ascii="Times New Roman" w:hAnsi="Times New Roman"/>
                <w:b/>
                <w:bCs/>
                <w:sz w:val="18"/>
                <w:szCs w:val="18"/>
              </w:rPr>
            </w:pPr>
            <w:r w:rsidRPr="00F95783">
              <w:rPr>
                <w:rFonts w:ascii="Times New Roman" w:hAnsi="Times New Roman"/>
                <w:b/>
                <w:bCs/>
                <w:sz w:val="18"/>
                <w:szCs w:val="18"/>
              </w:rPr>
              <w:t>Saldo podľa ESA 2010</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-1 991 386</w:t>
            </w:r>
          </w:p>
        </w:tc>
        <w:tc>
          <w:tcPr>
            <w:tcW w:w="590"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-2 036 115</w:t>
            </w:r>
          </w:p>
        </w:tc>
        <w:tc>
          <w:tcPr>
            <w:tcW w:w="591" w:type="pct"/>
            <w:tcBorders>
              <w:top w:val="nil"/>
              <w:left w:val="nil"/>
              <w:bottom w:val="nil"/>
              <w:right w:val="nil"/>
            </w:tcBorders>
            <w:shd w:val="clear" w:color="000000" w:fill="BFBFB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-2 318 236</w:t>
            </w:r>
          </w:p>
        </w:tc>
        <w:tc>
          <w:tcPr>
            <w:tcW w:w="547"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-1 940 108</w:t>
            </w:r>
          </w:p>
        </w:tc>
        <w:tc>
          <w:tcPr>
            <w:tcW w:w="549" w:type="pct"/>
            <w:tcBorders>
              <w:top w:val="nil"/>
              <w:left w:val="nil"/>
              <w:bottom w:val="nil"/>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-378 128</w:t>
            </w:r>
          </w:p>
        </w:tc>
      </w:tr>
      <w:tr>
        <w:tblPrEx>
          <w:tblW w:w="5000" w:type="pct"/>
          <w:tblCellMar>
            <w:left w:w="70" w:type="dxa"/>
            <w:right w:w="70" w:type="dxa"/>
          </w:tblCellMar>
          <w:tblLook w:val="04A0"/>
        </w:tblPrEx>
        <w:trPr>
          <w:trHeight w:val="330"/>
        </w:trPr>
        <w:tc>
          <w:tcPr>
            <w:tcW w:w="2133" w:type="pct"/>
            <w:tcBorders>
              <w:top w:val="nil"/>
              <w:left w:val="nil"/>
              <w:bottom w:val="single" w:sz="4" w:space="0" w:color="auto"/>
              <w:right w:val="nil"/>
            </w:tcBorders>
            <w:shd w:val="clear" w:color="000000" w:fill="FFFFFF"/>
            <w:noWrap/>
            <w:textDirection w:val="lrTb"/>
            <w:vAlign w:val="center"/>
            <w:hideMark/>
          </w:tcPr>
          <w:p w:rsidR="003A662E" w:rsidRPr="00F95783" w:rsidP="00C97AF6">
            <w:pPr>
              <w:bidi w:val="0"/>
              <w:rPr>
                <w:rFonts w:ascii="Times New Roman" w:hAnsi="Times New Roman"/>
                <w:b/>
                <w:bCs/>
                <w:sz w:val="18"/>
                <w:szCs w:val="18"/>
              </w:rPr>
            </w:pPr>
            <w:r w:rsidRPr="00F95783">
              <w:rPr>
                <w:rFonts w:ascii="Times New Roman" w:hAnsi="Times New Roman"/>
                <w:b/>
                <w:bCs/>
                <w:sz w:val="18"/>
                <w:szCs w:val="18"/>
              </w:rPr>
              <w:t xml:space="preserve">           % z HDP</w:t>
            </w:r>
          </w:p>
        </w:tc>
        <w:tc>
          <w:tcPr>
            <w:tcW w:w="590" w:type="pct"/>
            <w:tcBorders>
              <w:top w:val="nil"/>
              <w:left w:val="nil"/>
              <w:bottom w:val="single" w:sz="4" w:space="0" w:color="auto"/>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-2,70</w:t>
            </w:r>
          </w:p>
        </w:tc>
        <w:tc>
          <w:tcPr>
            <w:tcW w:w="590" w:type="pct"/>
            <w:tcBorders>
              <w:top w:val="nil"/>
              <w:left w:val="nil"/>
              <w:bottom w:val="single" w:sz="4" w:space="0" w:color="auto"/>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-2,69</w:t>
            </w:r>
          </w:p>
        </w:tc>
        <w:tc>
          <w:tcPr>
            <w:tcW w:w="591" w:type="pct"/>
            <w:tcBorders>
              <w:top w:val="nil"/>
              <w:left w:val="nil"/>
              <w:bottom w:val="single" w:sz="4" w:space="0" w:color="auto"/>
              <w:right w:val="nil"/>
            </w:tcBorders>
            <w:shd w:val="clear" w:color="000000" w:fill="BFBFB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-2,97</w:t>
            </w:r>
          </w:p>
        </w:tc>
        <w:tc>
          <w:tcPr>
            <w:tcW w:w="547" w:type="pct"/>
            <w:tcBorders>
              <w:top w:val="nil"/>
              <w:left w:val="nil"/>
              <w:bottom w:val="single" w:sz="4" w:space="0" w:color="auto"/>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-2,49</w:t>
            </w:r>
          </w:p>
        </w:tc>
        <w:tc>
          <w:tcPr>
            <w:tcW w:w="549" w:type="pct"/>
            <w:tcBorders>
              <w:top w:val="nil"/>
              <w:left w:val="nil"/>
              <w:bottom w:val="single" w:sz="4" w:space="0" w:color="auto"/>
              <w:right w:val="nil"/>
            </w:tcBorders>
            <w:shd w:val="clear" w:color="000000" w:fill="FFFFFF"/>
            <w:noWrap/>
            <w:textDirection w:val="lrTb"/>
            <w:vAlign w:val="center"/>
            <w:hideMark/>
          </w:tcPr>
          <w:p w:rsidR="003A662E" w:rsidRPr="00F95783" w:rsidP="00C97AF6">
            <w:pPr>
              <w:bidi w:val="0"/>
              <w:jc w:val="right"/>
              <w:rPr>
                <w:rFonts w:ascii="Times New Roman" w:hAnsi="Times New Roman"/>
                <w:b/>
                <w:bCs/>
                <w:sz w:val="18"/>
                <w:szCs w:val="18"/>
              </w:rPr>
            </w:pPr>
            <w:r w:rsidRPr="00F95783">
              <w:rPr>
                <w:rFonts w:ascii="Times New Roman" w:hAnsi="Times New Roman"/>
                <w:b/>
                <w:bCs/>
                <w:sz w:val="18"/>
                <w:szCs w:val="18"/>
              </w:rPr>
              <w:t>-0,48</w:t>
            </w:r>
          </w:p>
        </w:tc>
      </w:tr>
      <w:tr>
        <w:tblPrEx>
          <w:tblW w:w="5000" w:type="pct"/>
          <w:tblCellMar>
            <w:left w:w="70" w:type="dxa"/>
            <w:right w:w="70" w:type="dxa"/>
          </w:tblCellMar>
          <w:tblLook w:val="04A0"/>
        </w:tblPrEx>
        <w:trPr>
          <w:trHeight w:val="330"/>
        </w:trPr>
        <w:tc>
          <w:tcPr>
            <w:tcW w:w="3904" w:type="pct"/>
            <w:gridSpan w:val="4"/>
            <w:tcBorders>
              <w:top w:val="nil"/>
              <w:left w:val="nil"/>
              <w:bottom w:val="nil"/>
              <w:right w:val="nil"/>
            </w:tcBorders>
            <w:noWrap/>
            <w:textDirection w:val="lrTb"/>
            <w:vAlign w:val="center"/>
            <w:hideMark/>
          </w:tcPr>
          <w:p w:rsidR="00445C79" w:rsidRPr="00F95783" w:rsidP="00C97AF6">
            <w:pPr>
              <w:bidi w:val="0"/>
              <w:rPr>
                <w:rFonts w:ascii="Times New Roman" w:hAnsi="Times New Roman"/>
                <w:color w:val="000000"/>
                <w:sz w:val="18"/>
                <w:szCs w:val="18"/>
              </w:rPr>
            </w:pPr>
            <w:r w:rsidRPr="00F95783">
              <w:rPr>
                <w:rFonts w:ascii="Times New Roman" w:hAnsi="Times New Roman"/>
                <w:color w:val="000000"/>
                <w:sz w:val="18"/>
                <w:szCs w:val="18"/>
                <w:vertAlign w:val="superscript"/>
              </w:rPr>
              <w:t xml:space="preserve">1) </w:t>
            </w:r>
            <w:r w:rsidRPr="00F95783">
              <w:rPr>
                <w:rFonts w:ascii="Times New Roman" w:hAnsi="Times New Roman"/>
                <w:color w:val="000000"/>
                <w:sz w:val="18"/>
                <w:szCs w:val="18"/>
              </w:rPr>
              <w:t>Údaje nezahŕňajú príjmy a výdavky Železničnej spoločnosti Slovensko, a.s.</w:t>
            </w:r>
          </w:p>
        </w:tc>
        <w:tc>
          <w:tcPr>
            <w:tcW w:w="1096" w:type="pct"/>
            <w:gridSpan w:val="2"/>
            <w:tcBorders>
              <w:top w:val="nil"/>
              <w:left w:val="nil"/>
              <w:bottom w:val="nil"/>
              <w:right w:val="nil"/>
            </w:tcBorders>
            <w:textDirection w:val="lrTb"/>
            <w:vAlign w:val="center"/>
            <w:hideMark/>
          </w:tcPr>
          <w:p w:rsidR="00445C79" w:rsidRPr="00F95783" w:rsidP="00C97AF6">
            <w:pPr>
              <w:bidi w:val="0"/>
              <w:jc w:val="right"/>
              <w:rPr>
                <w:rFonts w:ascii="Times New Roman" w:hAnsi="Times New Roman"/>
                <w:sz w:val="18"/>
                <w:szCs w:val="18"/>
              </w:rPr>
            </w:pPr>
            <w:r w:rsidRPr="00F95783">
              <w:rPr>
                <w:rFonts w:ascii="Times New Roman" w:hAnsi="Times New Roman"/>
                <w:sz w:val="18"/>
                <w:szCs w:val="18"/>
              </w:rPr>
              <w:t>Zdroj: MF SR</w:t>
            </w:r>
          </w:p>
        </w:tc>
      </w:tr>
    </w:tbl>
    <w:p w:rsidR="003A662E" w:rsidP="008B7DEB">
      <w:pPr>
        <w:bidi w:val="0"/>
        <w:spacing w:after="120" w:line="336" w:lineRule="auto"/>
        <w:jc w:val="both"/>
        <w:rPr>
          <w:rFonts w:ascii="Times New Roman" w:hAnsi="Times New Roman"/>
          <w:sz w:val="22"/>
          <w:szCs w:val="22"/>
        </w:rPr>
      </w:pPr>
      <w:r w:rsidRPr="000E5D65" w:rsidR="00533CB2">
        <w:rPr>
          <w:rFonts w:ascii="Times New Roman" w:hAnsi="Times New Roman"/>
          <w:b/>
          <w:sz w:val="22"/>
          <w:szCs w:val="22"/>
        </w:rPr>
        <w:t>Príjmy verejnej správy</w:t>
      </w:r>
      <w:r w:rsidR="00533CB2">
        <w:rPr>
          <w:rFonts w:ascii="Times New Roman" w:hAnsi="Times New Roman"/>
          <w:sz w:val="22"/>
          <w:szCs w:val="22"/>
        </w:rPr>
        <w:t xml:space="preserve"> boli oproti rozpočtovanej hodnote v roku 2015 vyššie o 6 285 868 tis. eur, z toho najvyšší nárast oproti rozpočtovaným príjmom mali granty a transfery 3 324 784 tis. eur. V roku 2015 boli </w:t>
      </w:r>
      <w:r w:rsidRPr="000E5D65" w:rsidR="00533CB2">
        <w:rPr>
          <w:rFonts w:ascii="Times New Roman" w:hAnsi="Times New Roman"/>
          <w:b/>
          <w:sz w:val="22"/>
          <w:szCs w:val="22"/>
        </w:rPr>
        <w:t>výdavky verejnej správy</w:t>
      </w:r>
      <w:r w:rsidR="00533CB2">
        <w:rPr>
          <w:rFonts w:ascii="Times New Roman" w:hAnsi="Times New Roman"/>
          <w:sz w:val="22"/>
          <w:szCs w:val="22"/>
        </w:rPr>
        <w:t xml:space="preserve"> vyššie oproti rozpočtovanej hodnote o 6 666 113 tis. eur, z toho najvyšší nárast oproti rozpočtovaným výdavkom mali bežné výdavky 4 013 162 tis. eur.</w:t>
      </w:r>
    </w:p>
    <w:p w:rsidR="00822BCF" w:rsidRPr="00822BCF" w:rsidP="008B7DEB">
      <w:pPr>
        <w:bidi w:val="0"/>
        <w:spacing w:after="120" w:line="336" w:lineRule="auto"/>
        <w:jc w:val="both"/>
        <w:rPr>
          <w:rFonts w:ascii="Times New Roman" w:hAnsi="Times New Roman"/>
          <w:bCs/>
          <w:color w:val="000000"/>
          <w:sz w:val="22"/>
          <w:szCs w:val="22"/>
        </w:rPr>
      </w:pPr>
      <w:r w:rsidRPr="00822BCF">
        <w:rPr>
          <w:rFonts w:ascii="Times New Roman" w:hAnsi="Times New Roman"/>
          <w:bCs/>
          <w:color w:val="000000"/>
          <w:sz w:val="22"/>
          <w:szCs w:val="22"/>
        </w:rPr>
        <w:t>Zvyšok tejto kapitoly je organizovaný nasledovne. Kľúčová je tabuľka s názvom „Saldo verejnej správy v roku 2015 podľa ESA</w:t>
      </w:r>
      <w:r w:rsidR="00335859">
        <w:rPr>
          <w:rFonts w:ascii="Times New Roman" w:hAnsi="Times New Roman"/>
          <w:bCs/>
          <w:color w:val="000000"/>
          <w:sz w:val="22"/>
          <w:szCs w:val="22"/>
        </w:rPr>
        <w:t> </w:t>
      </w:r>
      <w:r w:rsidRPr="00822BCF">
        <w:rPr>
          <w:rFonts w:ascii="Times New Roman" w:hAnsi="Times New Roman"/>
          <w:bCs/>
          <w:color w:val="000000"/>
          <w:sz w:val="22"/>
          <w:szCs w:val="22"/>
        </w:rPr>
        <w:t>2010“</w:t>
      </w:r>
      <w:r>
        <w:rPr>
          <w:rFonts w:ascii="Times New Roman" w:hAnsi="Times New Roman"/>
          <w:bCs/>
          <w:color w:val="000000"/>
          <w:sz w:val="22"/>
          <w:szCs w:val="22"/>
        </w:rPr>
        <w:t xml:space="preserve">, pričom sprievodné texty v tejto kapitole bližšie popisujú jednotlivé položky uvedené v nej. </w:t>
      </w:r>
      <w:r w:rsidRPr="00B31BAE">
        <w:rPr>
          <w:rFonts w:ascii="Times New Roman" w:hAnsi="Times New Roman"/>
          <w:b/>
          <w:bCs/>
          <w:color w:val="000000"/>
          <w:sz w:val="22"/>
          <w:szCs w:val="22"/>
        </w:rPr>
        <w:t>Uvedená tabuľka a text majú za cieľ informovať o najdôležitejších vplyvoch na príjmovej a výdavkovej strane bilancie verejnej správy, ktoré zapríčinili rozdiel medzi rozpočtovaným saldom verejnej správy a skutočnosťou za rok 2015</w:t>
      </w:r>
      <w:r>
        <w:rPr>
          <w:rFonts w:ascii="Times New Roman" w:hAnsi="Times New Roman"/>
          <w:bCs/>
          <w:color w:val="000000"/>
          <w:sz w:val="22"/>
          <w:szCs w:val="22"/>
        </w:rPr>
        <w:t>. Primárnym cieľom tejto kapitoly je informovať o najdôležitejších vecných položkách, ktoré uvedený rozdiel zapríčinili</w:t>
      </w:r>
      <w:r w:rsidR="00B31BAE">
        <w:rPr>
          <w:rFonts w:ascii="Times New Roman" w:hAnsi="Times New Roman"/>
          <w:bCs/>
          <w:color w:val="000000"/>
          <w:sz w:val="22"/>
          <w:szCs w:val="22"/>
        </w:rPr>
        <w:t>. Tabuľka teda nie je zostavená vyčerpávajúcim spôsobom z pohľadu úplnosti vysvetlenia rozdielu medzi rozpočtovaným a skutočným saldom.</w:t>
      </w:r>
      <w:r w:rsidR="00335859">
        <w:rPr>
          <w:rFonts w:ascii="Times New Roman" w:hAnsi="Times New Roman"/>
          <w:bCs/>
          <w:color w:val="000000"/>
          <w:sz w:val="22"/>
          <w:szCs w:val="22"/>
        </w:rPr>
        <w:t xml:space="preserve"> Postupnosť položiek v tabuľke sleduje logiku bilancie rozpočtu, špecifiká rozpočtového procesu a analytické ciele tejto kapitoly. Najskôr sú vysvetlené príjmové a potom výdavkové položky, pričom zvlášť sú zdôraznené položky štátneho rozpočtu, za ktorý priamo zodpovedá Ministerstvo financií SR. </w:t>
      </w:r>
      <w:r w:rsidR="00A1459E">
        <w:rPr>
          <w:rFonts w:ascii="Times New Roman" w:hAnsi="Times New Roman"/>
          <w:bCs/>
          <w:color w:val="000000"/>
          <w:sz w:val="22"/>
          <w:szCs w:val="22"/>
        </w:rPr>
        <w:t xml:space="preserve">Potom je </w:t>
      </w:r>
      <w:r w:rsidR="00D17DA4">
        <w:rPr>
          <w:rFonts w:ascii="Times New Roman" w:hAnsi="Times New Roman"/>
          <w:bCs/>
          <w:color w:val="000000"/>
          <w:sz w:val="22"/>
          <w:szCs w:val="22"/>
        </w:rPr>
        <w:t>v tabuľke uvedená položka, ktorá</w:t>
      </w:r>
      <w:r w:rsidR="00A1459E">
        <w:rPr>
          <w:rFonts w:ascii="Times New Roman" w:hAnsi="Times New Roman"/>
          <w:bCs/>
          <w:color w:val="000000"/>
          <w:sz w:val="22"/>
          <w:szCs w:val="22"/>
        </w:rPr>
        <w:t xml:space="preserve"> má v posledných rokoch, popri prenesených výdavkoch štátneho rozpočtu, pravidelne podstatný vplyv na saldo verejnej správy - v</w:t>
      </w:r>
      <w:r w:rsidRPr="00A1459E" w:rsidR="00A1459E">
        <w:rPr>
          <w:rFonts w:ascii="Times New Roman" w:hAnsi="Times New Roman"/>
          <w:bCs/>
          <w:color w:val="000000"/>
          <w:sz w:val="22"/>
          <w:szCs w:val="22"/>
        </w:rPr>
        <w:t>ybrané transakcie súvisiace s</w:t>
      </w:r>
      <w:r w:rsidR="00A1459E">
        <w:rPr>
          <w:rFonts w:ascii="Times New Roman" w:hAnsi="Times New Roman"/>
          <w:bCs/>
          <w:color w:val="000000"/>
          <w:sz w:val="22"/>
          <w:szCs w:val="22"/>
        </w:rPr>
        <w:t xml:space="preserve"> rozpočtom Európskej únie. Tabuľku uzatvárajú </w:t>
      </w:r>
      <w:r w:rsidRPr="00A1459E" w:rsidR="00A1459E">
        <w:rPr>
          <w:rFonts w:ascii="Times New Roman" w:hAnsi="Times New Roman"/>
          <w:bCs/>
          <w:color w:val="000000"/>
          <w:sz w:val="22"/>
          <w:szCs w:val="22"/>
        </w:rPr>
        <w:t>ostatné vybrané vplyvy na schodok rozpočtu verejnej správy</w:t>
      </w:r>
      <w:r w:rsidR="00A1459E">
        <w:rPr>
          <w:rFonts w:ascii="Times New Roman" w:hAnsi="Times New Roman"/>
          <w:bCs/>
          <w:color w:val="000000"/>
          <w:sz w:val="22"/>
          <w:szCs w:val="22"/>
        </w:rPr>
        <w:t xml:space="preserve">, pri ktorých nie je tak relevantný pohľad cez príjmy či výdavky verejnej správy ale majú lepšiu interpretačnú hodnotu z pohľadu vysvetlenia samotného salda. </w:t>
      </w:r>
      <w:r w:rsidRPr="00027340" w:rsidR="00A1459E">
        <w:rPr>
          <w:rFonts w:ascii="Times New Roman" w:hAnsi="Times New Roman"/>
          <w:b/>
          <w:bCs/>
          <w:color w:val="000000"/>
          <w:sz w:val="22"/>
          <w:szCs w:val="22"/>
        </w:rPr>
        <w:t xml:space="preserve">Všetky položky v tabuľke sú uvedené na akruálnej báze, ak nie je uvedené inak </w:t>
      </w:r>
      <w:r w:rsidRPr="00027340" w:rsidR="00027340">
        <w:rPr>
          <w:rFonts w:ascii="Times New Roman" w:hAnsi="Times New Roman"/>
          <w:bCs/>
          <w:color w:val="000000"/>
          <w:sz w:val="22"/>
          <w:szCs w:val="22"/>
        </w:rPr>
        <w:t>(vybrané hotovostné výdavky štátneho rozpočtu)</w:t>
      </w:r>
      <w:r w:rsidRPr="00027340" w:rsidR="00027340">
        <w:rPr>
          <w:rFonts w:ascii="Times New Roman" w:hAnsi="Times New Roman"/>
          <w:b/>
          <w:bCs/>
          <w:color w:val="000000"/>
          <w:sz w:val="22"/>
          <w:szCs w:val="22"/>
        </w:rPr>
        <w:t xml:space="preserve"> </w:t>
      </w:r>
      <w:r w:rsidRPr="00027340" w:rsidR="00A1459E">
        <w:rPr>
          <w:rFonts w:ascii="Times New Roman" w:hAnsi="Times New Roman"/>
          <w:b/>
          <w:bCs/>
          <w:color w:val="000000"/>
          <w:sz w:val="22"/>
          <w:szCs w:val="22"/>
        </w:rPr>
        <w:t xml:space="preserve">a sú </w:t>
      </w:r>
      <w:r w:rsidRPr="00027340" w:rsidR="00027340">
        <w:rPr>
          <w:rFonts w:ascii="Times New Roman" w:hAnsi="Times New Roman"/>
          <w:b/>
          <w:bCs/>
          <w:color w:val="000000"/>
          <w:sz w:val="22"/>
          <w:szCs w:val="22"/>
        </w:rPr>
        <w:t xml:space="preserve">navzájom </w:t>
      </w:r>
      <w:r w:rsidRPr="00027340" w:rsidR="00A1459E">
        <w:rPr>
          <w:rFonts w:ascii="Times New Roman" w:hAnsi="Times New Roman"/>
          <w:b/>
          <w:bCs/>
          <w:color w:val="000000"/>
          <w:sz w:val="22"/>
          <w:szCs w:val="22"/>
        </w:rPr>
        <w:t>konsolidované</w:t>
      </w:r>
      <w:r w:rsidRPr="00027340" w:rsidR="00027340">
        <w:rPr>
          <w:rFonts w:ascii="Times New Roman" w:hAnsi="Times New Roman"/>
          <w:b/>
          <w:bCs/>
          <w:color w:val="000000"/>
          <w:sz w:val="22"/>
          <w:szCs w:val="22"/>
        </w:rPr>
        <w:t xml:space="preserve"> </w:t>
      </w:r>
      <w:r w:rsidRPr="00027340" w:rsidR="00027340">
        <w:rPr>
          <w:rFonts w:ascii="Times New Roman" w:hAnsi="Times New Roman"/>
          <w:bCs/>
          <w:color w:val="000000"/>
          <w:sz w:val="22"/>
          <w:szCs w:val="22"/>
        </w:rPr>
        <w:t>(čistý vplyv jednotlivých položiek na saldo verejnej správy).</w:t>
      </w:r>
    </w:p>
    <w:p w:rsidR="008B7DEB" w:rsidRPr="00D76934" w:rsidP="008B7DEB">
      <w:pPr>
        <w:bidi w:val="0"/>
        <w:spacing w:after="120" w:line="336" w:lineRule="auto"/>
        <w:jc w:val="both"/>
        <w:rPr>
          <w:rFonts w:ascii="Times New Roman" w:hAnsi="Times New Roman"/>
          <w:sz w:val="22"/>
          <w:szCs w:val="22"/>
        </w:rPr>
      </w:pPr>
      <w:r w:rsidRPr="00113E3A">
        <w:rPr>
          <w:rFonts w:ascii="Times New Roman" w:hAnsi="Times New Roman"/>
          <w:b/>
          <w:bCs/>
          <w:color w:val="000000"/>
          <w:sz w:val="22"/>
          <w:szCs w:val="22"/>
        </w:rPr>
        <w:t>Daňové a odvodové príjmy verejnej správy</w:t>
      </w:r>
      <w:r w:rsidRPr="00113E3A">
        <w:rPr>
          <w:rFonts w:ascii="Times New Roman" w:hAnsi="Times New Roman"/>
          <w:color w:val="000000"/>
          <w:sz w:val="22"/>
          <w:szCs w:val="22"/>
        </w:rPr>
        <w:t xml:space="preserve"> mali pozitívny vplyv na rozpočet vo výške </w:t>
      </w:r>
      <w:r w:rsidRPr="00AD5904">
        <w:rPr>
          <w:rFonts w:ascii="Times New Roman" w:hAnsi="Times New Roman"/>
          <w:bCs/>
          <w:color w:val="000000"/>
          <w:sz w:val="22"/>
          <w:szCs w:val="22"/>
        </w:rPr>
        <w:t>974 715 tis. eur</w:t>
      </w:r>
      <w:r>
        <w:rPr>
          <w:rStyle w:val="FootnoteReference"/>
          <w:rFonts w:ascii="Times New Roman" w:hAnsi="Times New Roman"/>
          <w:bCs/>
          <w:color w:val="000000"/>
          <w:sz w:val="22"/>
          <w:szCs w:val="22"/>
          <w:rtl w:val="0"/>
        </w:rPr>
        <w:footnoteReference w:id="2"/>
      </w:r>
      <w:r w:rsidRPr="00AD5904">
        <w:rPr>
          <w:rFonts w:ascii="Times New Roman" w:hAnsi="Times New Roman"/>
          <w:color w:val="000000"/>
          <w:sz w:val="22"/>
          <w:szCs w:val="22"/>
        </w:rPr>
        <w:t xml:space="preserve">. </w:t>
      </w:r>
      <w:r w:rsidRPr="00AD5904">
        <w:rPr>
          <w:rFonts w:ascii="Times New Roman" w:hAnsi="Times New Roman"/>
          <w:sz w:val="22"/>
          <w:szCs w:val="22"/>
        </w:rPr>
        <w:t>Vyšší</w:t>
      </w:r>
      <w:r>
        <w:rPr>
          <w:rFonts w:ascii="Times New Roman" w:hAnsi="Times New Roman"/>
          <w:sz w:val="22"/>
          <w:szCs w:val="22"/>
        </w:rPr>
        <w:t xml:space="preserve"> výnos daňových a odvodových príjmov bol spôsobený lepším ako odhadovaným vývojom ekonomiky SR a vyššou úspešnosťou ich výberu</w:t>
      </w:r>
      <w:r w:rsidRPr="00113E3A">
        <w:rPr>
          <w:rFonts w:ascii="Times New Roman" w:hAnsi="Times New Roman"/>
          <w:sz w:val="22"/>
          <w:szCs w:val="22"/>
        </w:rPr>
        <w:t>.</w:t>
      </w:r>
      <w:r>
        <w:rPr>
          <w:rFonts w:ascii="Times New Roman" w:hAnsi="Times New Roman"/>
          <w:sz w:val="22"/>
          <w:szCs w:val="22"/>
        </w:rPr>
        <w:t xml:space="preserve"> </w:t>
      </w:r>
      <w:r w:rsidRPr="00D33837">
        <w:rPr>
          <w:rFonts w:ascii="Times New Roman" w:hAnsi="Times New Roman"/>
          <w:sz w:val="22"/>
          <w:szCs w:val="22"/>
        </w:rPr>
        <w:t>Ekonomický rast na úrovni 3,6 % bol vyšší o 1,1 p.b. než s akým sa uvažovalo pri tvorbe rozpočtu (2,6 %)</w:t>
      </w:r>
      <w:r>
        <w:rPr>
          <w:rFonts w:ascii="Times New Roman" w:hAnsi="Times New Roman"/>
          <w:sz w:val="22"/>
          <w:szCs w:val="22"/>
        </w:rPr>
        <w:t xml:space="preserve">. </w:t>
      </w:r>
      <w:r w:rsidRPr="005F42D7">
        <w:rPr>
          <w:rFonts w:ascii="Times New Roman" w:hAnsi="Times New Roman"/>
          <w:sz w:val="22"/>
          <w:szCs w:val="22"/>
        </w:rPr>
        <w:t xml:space="preserve">Ekonomika zrýchlila najmä v závere roka vďaka </w:t>
      </w:r>
      <w:r w:rsidR="000775E8">
        <w:rPr>
          <w:rFonts w:ascii="Times New Roman" w:hAnsi="Times New Roman"/>
          <w:sz w:val="22"/>
          <w:szCs w:val="22"/>
        </w:rPr>
        <w:t>výraznému</w:t>
      </w:r>
      <w:r w:rsidRPr="005F42D7">
        <w:rPr>
          <w:rFonts w:ascii="Times New Roman" w:hAnsi="Times New Roman"/>
          <w:sz w:val="22"/>
          <w:szCs w:val="22"/>
        </w:rPr>
        <w:t xml:space="preserve"> čerp</w:t>
      </w:r>
      <w:r>
        <w:rPr>
          <w:rFonts w:ascii="Times New Roman" w:hAnsi="Times New Roman"/>
          <w:sz w:val="22"/>
          <w:szCs w:val="22"/>
        </w:rPr>
        <w:t>aniu EÚ fondov, ktoré sa prejavilo</w:t>
      </w:r>
      <w:r w:rsidRPr="005F42D7">
        <w:rPr>
          <w:rFonts w:ascii="Times New Roman" w:hAnsi="Times New Roman"/>
          <w:sz w:val="22"/>
          <w:szCs w:val="22"/>
        </w:rPr>
        <w:t xml:space="preserve"> v zrýchlení rastu spotreby verejnej správy</w:t>
      </w:r>
      <w:r>
        <w:rPr>
          <w:rFonts w:ascii="Times New Roman" w:hAnsi="Times New Roman"/>
          <w:sz w:val="22"/>
          <w:szCs w:val="22"/>
        </w:rPr>
        <w:t>,</w:t>
      </w:r>
      <w:r w:rsidRPr="005F42D7">
        <w:rPr>
          <w:rFonts w:ascii="Times New Roman" w:hAnsi="Times New Roman"/>
          <w:sz w:val="22"/>
          <w:szCs w:val="22"/>
        </w:rPr>
        <w:t xml:space="preserve"> ale najmä vládnych investícií.</w:t>
      </w:r>
      <w:r>
        <w:rPr>
          <w:rFonts w:ascii="Times New Roman" w:hAnsi="Times New Roman"/>
          <w:sz w:val="22"/>
          <w:szCs w:val="22"/>
        </w:rPr>
        <w:t xml:space="preserve"> Z pohľadu daňových príjmov bol dôležitý rast domáceho dopytu a pozitívny vývoj na trhu práce. V roku 2015 </w:t>
      </w:r>
      <w:r w:rsidR="000775E8">
        <w:rPr>
          <w:rFonts w:ascii="Times New Roman" w:hAnsi="Times New Roman"/>
          <w:sz w:val="22"/>
          <w:szCs w:val="22"/>
        </w:rPr>
        <w:t>nadobudli účinnosť</w:t>
      </w:r>
      <w:r>
        <w:rPr>
          <w:rFonts w:ascii="Times New Roman" w:hAnsi="Times New Roman"/>
          <w:sz w:val="22"/>
          <w:szCs w:val="22"/>
        </w:rPr>
        <w:t xml:space="preserve"> aj viaceré legislatívne zmeny, ktoré mali významný vplyv na vývoj daňových príjmov. Aktuálne však ešte nie je možné vplyv jednotlivých opatrení vyhodnotiť.</w:t>
      </w:r>
    </w:p>
    <w:p w:rsidR="00CC3466" w:rsidP="008B7DEB">
      <w:pPr>
        <w:bidi w:val="0"/>
        <w:spacing w:after="120" w:line="336" w:lineRule="auto"/>
        <w:jc w:val="both"/>
        <w:rPr>
          <w:rFonts w:ascii="Times New Roman" w:hAnsi="Times New Roman"/>
          <w:sz w:val="22"/>
          <w:szCs w:val="22"/>
        </w:rPr>
      </w:pPr>
      <w:r w:rsidRPr="00031A6D" w:rsidR="008B7DEB">
        <w:rPr>
          <w:rFonts w:ascii="Times New Roman" w:hAnsi="Times New Roman"/>
          <w:sz w:val="22"/>
          <w:szCs w:val="22"/>
        </w:rPr>
        <w:t xml:space="preserve">Z jednotlivých </w:t>
      </w:r>
      <w:r w:rsidR="005E78F0">
        <w:rPr>
          <w:rFonts w:ascii="Times New Roman" w:hAnsi="Times New Roman"/>
          <w:sz w:val="22"/>
          <w:szCs w:val="22"/>
        </w:rPr>
        <w:t>príjmov</w:t>
      </w:r>
      <w:r w:rsidRPr="00031A6D" w:rsidR="008B7DEB">
        <w:rPr>
          <w:rFonts w:ascii="Times New Roman" w:hAnsi="Times New Roman"/>
          <w:sz w:val="22"/>
          <w:szCs w:val="22"/>
        </w:rPr>
        <w:t xml:space="preserve"> sa oproti pôvodným </w:t>
      </w:r>
      <w:r w:rsidR="008B7DEB">
        <w:rPr>
          <w:rFonts w:ascii="Times New Roman" w:hAnsi="Times New Roman"/>
          <w:sz w:val="22"/>
          <w:szCs w:val="22"/>
        </w:rPr>
        <w:t>odhadom</w:t>
      </w:r>
      <w:r w:rsidRPr="00031A6D" w:rsidR="008B7DEB">
        <w:rPr>
          <w:rFonts w:ascii="Times New Roman" w:hAnsi="Times New Roman"/>
          <w:sz w:val="22"/>
          <w:szCs w:val="22"/>
        </w:rPr>
        <w:t xml:space="preserve"> v rozpočte lepšie vyvíjali najmä príjmy z</w:t>
      </w:r>
      <w:r w:rsidR="005E78F0">
        <w:rPr>
          <w:rFonts w:ascii="Times New Roman" w:hAnsi="Times New Roman"/>
          <w:sz w:val="22"/>
          <w:szCs w:val="22"/>
        </w:rPr>
        <w:t>o </w:t>
      </w:r>
      <w:r w:rsidR="008B7DEB">
        <w:rPr>
          <w:rFonts w:ascii="Times New Roman" w:hAnsi="Times New Roman"/>
          <w:sz w:val="22"/>
          <w:szCs w:val="22"/>
        </w:rPr>
        <w:t>sociálnych a zdravotných odvodov</w:t>
      </w:r>
      <w:r w:rsidR="00B31BAE">
        <w:rPr>
          <w:rFonts w:ascii="Times New Roman" w:hAnsi="Times New Roman"/>
          <w:sz w:val="22"/>
          <w:szCs w:val="22"/>
        </w:rPr>
        <w:t xml:space="preserve"> (o </w:t>
      </w:r>
      <w:r w:rsidR="008B7DEB">
        <w:rPr>
          <w:rFonts w:ascii="Times New Roman" w:hAnsi="Times New Roman"/>
          <w:sz w:val="22"/>
          <w:szCs w:val="22"/>
        </w:rPr>
        <w:t>384</w:t>
      </w:r>
      <w:r w:rsidRPr="00031A6D" w:rsidR="008B7DEB">
        <w:rPr>
          <w:rFonts w:ascii="Times New Roman" w:hAnsi="Times New Roman"/>
          <w:sz w:val="22"/>
          <w:szCs w:val="22"/>
        </w:rPr>
        <w:t> </w:t>
      </w:r>
      <w:r w:rsidR="008B7DEB">
        <w:rPr>
          <w:rFonts w:ascii="Times New Roman" w:hAnsi="Times New Roman"/>
          <w:sz w:val="22"/>
          <w:szCs w:val="22"/>
        </w:rPr>
        <w:t>161</w:t>
      </w:r>
      <w:r w:rsidRPr="00031A6D" w:rsidR="008B7DEB">
        <w:rPr>
          <w:rFonts w:ascii="Times New Roman" w:hAnsi="Times New Roman"/>
          <w:sz w:val="22"/>
          <w:szCs w:val="22"/>
        </w:rPr>
        <w:t xml:space="preserve"> tis. eur), d</w:t>
      </w:r>
      <w:r w:rsidR="00B31BAE">
        <w:rPr>
          <w:rFonts w:ascii="Times New Roman" w:hAnsi="Times New Roman"/>
          <w:sz w:val="22"/>
          <w:szCs w:val="22"/>
        </w:rPr>
        <w:t>a</w:t>
      </w:r>
      <w:r w:rsidR="00943D01">
        <w:rPr>
          <w:rFonts w:ascii="Times New Roman" w:hAnsi="Times New Roman"/>
          <w:sz w:val="22"/>
          <w:szCs w:val="22"/>
        </w:rPr>
        <w:t>ň z príjmov právnických osôb (o </w:t>
      </w:r>
      <w:r w:rsidRPr="00031A6D" w:rsidR="008B7DEB">
        <w:rPr>
          <w:rFonts w:ascii="Times New Roman" w:hAnsi="Times New Roman"/>
          <w:sz w:val="22"/>
          <w:szCs w:val="22"/>
        </w:rPr>
        <w:t>221 725 tis.</w:t>
      </w:r>
      <w:r w:rsidR="00B31BAE">
        <w:rPr>
          <w:rFonts w:ascii="Times New Roman" w:hAnsi="Times New Roman"/>
          <w:sz w:val="22"/>
          <w:szCs w:val="22"/>
        </w:rPr>
        <w:t xml:space="preserve"> eur), daň z pridanej hodnoty (o </w:t>
      </w:r>
      <w:r w:rsidRPr="00031A6D" w:rsidR="008B7DEB">
        <w:rPr>
          <w:rFonts w:ascii="Times New Roman" w:hAnsi="Times New Roman"/>
          <w:sz w:val="22"/>
          <w:szCs w:val="22"/>
        </w:rPr>
        <w:t>216</w:t>
      </w:r>
      <w:r w:rsidR="000F7153">
        <w:rPr>
          <w:rFonts w:ascii="Times New Roman" w:hAnsi="Times New Roman"/>
          <w:sz w:val="22"/>
          <w:szCs w:val="22"/>
        </w:rPr>
        <w:t> </w:t>
      </w:r>
      <w:r w:rsidRPr="00031A6D" w:rsidR="008B7DEB">
        <w:rPr>
          <w:rFonts w:ascii="Times New Roman" w:hAnsi="Times New Roman"/>
          <w:sz w:val="22"/>
          <w:szCs w:val="22"/>
        </w:rPr>
        <w:t>934</w:t>
      </w:r>
      <w:r w:rsidR="000F7153">
        <w:rPr>
          <w:rFonts w:ascii="Times New Roman" w:hAnsi="Times New Roman"/>
          <w:sz w:val="22"/>
          <w:szCs w:val="22"/>
        </w:rPr>
        <w:t xml:space="preserve"> tis.</w:t>
      </w:r>
      <w:r w:rsidRPr="00031A6D" w:rsidR="008B7DEB">
        <w:rPr>
          <w:rFonts w:ascii="Times New Roman" w:hAnsi="Times New Roman"/>
          <w:sz w:val="22"/>
          <w:szCs w:val="22"/>
        </w:rPr>
        <w:t xml:space="preserve"> eur) a</w:t>
      </w:r>
      <w:r w:rsidR="00B31BAE">
        <w:rPr>
          <w:rFonts w:ascii="Times New Roman" w:hAnsi="Times New Roman"/>
          <w:sz w:val="22"/>
          <w:szCs w:val="22"/>
        </w:rPr>
        <w:t> </w:t>
      </w:r>
      <w:r w:rsidR="00943D01">
        <w:rPr>
          <w:rFonts w:ascii="Times New Roman" w:hAnsi="Times New Roman"/>
          <w:sz w:val="22"/>
          <w:szCs w:val="22"/>
        </w:rPr>
        <w:t>daň z príjmov fyzických osôb (o </w:t>
      </w:r>
      <w:r w:rsidR="00B31BAE">
        <w:rPr>
          <w:rFonts w:ascii="Times New Roman" w:hAnsi="Times New Roman"/>
          <w:sz w:val="22"/>
          <w:szCs w:val="22"/>
        </w:rPr>
        <w:t>77 002 </w:t>
      </w:r>
      <w:r w:rsidRPr="00031A6D" w:rsidR="008B7DEB">
        <w:rPr>
          <w:rFonts w:ascii="Times New Roman" w:hAnsi="Times New Roman"/>
          <w:sz w:val="22"/>
          <w:szCs w:val="22"/>
        </w:rPr>
        <w:t>tis. eur).</w:t>
      </w:r>
      <w:r w:rsidR="008B7DEB">
        <w:rPr>
          <w:rFonts w:ascii="Times New Roman" w:hAnsi="Times New Roman"/>
          <w:sz w:val="22"/>
          <w:szCs w:val="22"/>
        </w:rPr>
        <w:t xml:space="preserve"> </w:t>
      </w:r>
    </w:p>
    <w:p w:rsidR="008B7DEB" w:rsidP="008B7DEB">
      <w:pPr>
        <w:bidi w:val="0"/>
        <w:spacing w:after="120" w:line="336" w:lineRule="auto"/>
        <w:jc w:val="both"/>
        <w:rPr>
          <w:rFonts w:ascii="Times New Roman" w:hAnsi="Times New Roman"/>
          <w:sz w:val="22"/>
          <w:szCs w:val="22"/>
        </w:rPr>
      </w:pPr>
      <w:r w:rsidR="00CC3466">
        <w:rPr>
          <w:rFonts w:ascii="Times New Roman" w:hAnsi="Times New Roman"/>
          <w:sz w:val="22"/>
          <w:szCs w:val="22"/>
        </w:rPr>
        <w:br w:type="page"/>
      </w:r>
    </w:p>
    <w:tbl>
      <w:tblPr>
        <w:tblStyle w:val="TableNormal"/>
        <w:tblW w:w="5000" w:type="pct"/>
        <w:tblLayout w:type="fixed"/>
        <w:tblCellMar>
          <w:left w:w="70" w:type="dxa"/>
          <w:right w:w="70" w:type="dxa"/>
        </w:tblCellMar>
        <w:tblLook w:val="04A0"/>
      </w:tblPr>
      <w:tblGrid>
        <w:gridCol w:w="3328"/>
        <w:gridCol w:w="1445"/>
        <w:gridCol w:w="1105"/>
        <w:gridCol w:w="993"/>
        <w:gridCol w:w="1136"/>
        <w:gridCol w:w="921"/>
      </w:tblGrid>
      <w:tr>
        <w:tblPrEx>
          <w:tblW w:w="5000" w:type="pct"/>
          <w:tblLayout w:type="fixed"/>
          <w:tblCellMar>
            <w:left w:w="70" w:type="dxa"/>
            <w:right w:w="70" w:type="dxa"/>
          </w:tblCellMar>
          <w:tblLook w:val="04A0"/>
        </w:tblPrEx>
        <w:trPr>
          <w:trHeight w:val="330"/>
        </w:trPr>
        <w:tc>
          <w:tcPr>
            <w:tcW w:w="5000" w:type="pct"/>
            <w:gridSpan w:val="6"/>
            <w:tcBorders>
              <w:top w:val="nil"/>
              <w:left w:val="nil"/>
              <w:bottom w:val="none" w:sz="0" w:space="0" w:color="auto"/>
              <w:right w:val="nil"/>
            </w:tcBorders>
            <w:shd w:val="clear" w:color="auto" w:fill="000000"/>
            <w:noWrap/>
            <w:textDirection w:val="lrTb"/>
            <w:vAlign w:val="bottom"/>
            <w:hideMark/>
          </w:tcPr>
          <w:p w:rsidR="008B7DEB" w:rsidRPr="00614780" w:rsidP="00000EE1">
            <w:pPr>
              <w:bidi w:val="0"/>
              <w:rPr>
                <w:rFonts w:ascii="Times New Roman" w:hAnsi="Times New Roman"/>
                <w:b/>
                <w:bCs/>
                <w:color w:val="FFFFFF"/>
                <w:sz w:val="20"/>
                <w:szCs w:val="20"/>
              </w:rPr>
            </w:pPr>
            <w:r w:rsidR="006935FE">
              <w:rPr>
                <w:rFonts w:ascii="Times New Roman" w:hAnsi="Times New Roman"/>
                <w:b/>
                <w:bCs/>
                <w:color w:val="FFFFFF"/>
                <w:sz w:val="20"/>
                <w:szCs w:val="20"/>
              </w:rPr>
              <w:t>Daňové a odvodové príjmy</w:t>
            </w:r>
            <w:r w:rsidRPr="00614780">
              <w:rPr>
                <w:rFonts w:ascii="Times New Roman" w:hAnsi="Times New Roman"/>
                <w:b/>
                <w:bCs/>
                <w:color w:val="FFFFFF"/>
                <w:sz w:val="20"/>
                <w:szCs w:val="20"/>
              </w:rPr>
              <w:t xml:space="preserve"> verejnej správy v roku 2015 podľa ESA</w:t>
            </w:r>
            <w:r>
              <w:rPr>
                <w:rFonts w:ascii="Times New Roman" w:hAnsi="Times New Roman"/>
                <w:b/>
                <w:bCs/>
                <w:color w:val="FFFFFF"/>
                <w:sz w:val="20"/>
                <w:szCs w:val="20"/>
              </w:rPr>
              <w:t xml:space="preserve"> </w:t>
            </w:r>
            <w:r w:rsidRPr="00614780">
              <w:rPr>
                <w:rFonts w:ascii="Times New Roman" w:hAnsi="Times New Roman"/>
                <w:b/>
                <w:bCs/>
                <w:color w:val="FFFFFF"/>
                <w:sz w:val="20"/>
                <w:szCs w:val="20"/>
              </w:rPr>
              <w:t xml:space="preserve">2010                                  </w:t>
            </w:r>
            <w:r>
              <w:rPr>
                <w:rFonts w:ascii="Times New Roman" w:hAnsi="Times New Roman"/>
                <w:b/>
                <w:bCs/>
                <w:color w:val="FFFFFF"/>
                <w:sz w:val="20"/>
                <w:szCs w:val="20"/>
              </w:rPr>
              <w:t xml:space="preserve"> </w:t>
            </w:r>
            <w:r w:rsidRPr="00614780">
              <w:rPr>
                <w:rFonts w:ascii="Times New Roman" w:hAnsi="Times New Roman"/>
                <w:b/>
                <w:bCs/>
                <w:color w:val="FFFFFF"/>
                <w:sz w:val="20"/>
                <w:szCs w:val="20"/>
              </w:rPr>
              <w:t>v tis. eur</w:t>
            </w:r>
          </w:p>
        </w:tc>
      </w:tr>
      <w:tr>
        <w:tblPrEx>
          <w:tblW w:w="5000" w:type="pct"/>
          <w:tblLayout w:type="fixed"/>
          <w:tblCellMar>
            <w:left w:w="70" w:type="dxa"/>
            <w:right w:w="70" w:type="dxa"/>
          </w:tblCellMar>
          <w:tblLook w:val="04A0"/>
        </w:tblPrEx>
        <w:trPr>
          <w:trHeight w:val="675"/>
        </w:trPr>
        <w:tc>
          <w:tcPr>
            <w:tcW w:w="1864" w:type="pct"/>
            <w:tcBorders>
              <w:top w:val="nil"/>
              <w:left w:val="nil"/>
              <w:bottom w:val="single" w:sz="4" w:space="0" w:color="auto"/>
              <w:right w:val="nil"/>
            </w:tcBorders>
            <w:shd w:val="clear" w:color="auto" w:fill="BFBFBF"/>
            <w:noWrap/>
            <w:textDirection w:val="lrTb"/>
            <w:vAlign w:val="center"/>
            <w:hideMark/>
          </w:tcPr>
          <w:p w:rsidR="008B7DEB" w:rsidRPr="003A7C26" w:rsidP="00510434">
            <w:pPr>
              <w:bidi w:val="0"/>
              <w:rPr>
                <w:rFonts w:ascii="Times New Roman" w:hAnsi="Times New Roman"/>
                <w:b/>
                <w:bCs/>
                <w:sz w:val="18"/>
                <w:szCs w:val="18"/>
              </w:rPr>
            </w:pPr>
            <w:r>
              <w:rPr>
                <w:rFonts w:ascii="Times New Roman" w:hAnsi="Times New Roman"/>
                <w:b/>
                <w:bCs/>
                <w:sz w:val="18"/>
                <w:szCs w:val="18"/>
              </w:rPr>
              <w:t xml:space="preserve">    </w:t>
            </w:r>
          </w:p>
        </w:tc>
        <w:tc>
          <w:tcPr>
            <w:tcW w:w="809" w:type="pct"/>
            <w:tcBorders>
              <w:top w:val="nil"/>
              <w:left w:val="nil"/>
              <w:bottom w:val="single" w:sz="4" w:space="0" w:color="auto"/>
              <w:right w:val="nil"/>
            </w:tcBorders>
            <w:shd w:val="clear" w:color="auto" w:fill="BFBFBF"/>
            <w:textDirection w:val="lrTb"/>
            <w:vAlign w:val="center"/>
            <w:hideMark/>
          </w:tcPr>
          <w:p w:rsidR="008B7DEB" w:rsidRPr="00436B6B" w:rsidP="00510434">
            <w:pPr>
              <w:bidi w:val="0"/>
              <w:jc w:val="center"/>
              <w:rPr>
                <w:rFonts w:ascii="Times New Roman" w:hAnsi="Times New Roman"/>
                <w:b/>
                <w:bCs/>
                <w:sz w:val="18"/>
                <w:szCs w:val="18"/>
              </w:rPr>
            </w:pPr>
            <w:r>
              <w:rPr>
                <w:rFonts w:ascii="Times New Roman" w:hAnsi="Times New Roman"/>
                <w:b/>
                <w:bCs/>
                <w:sz w:val="18"/>
                <w:szCs w:val="18"/>
              </w:rPr>
              <w:t>kód ESA 2010</w:t>
            </w:r>
          </w:p>
        </w:tc>
        <w:tc>
          <w:tcPr>
            <w:tcW w:w="619" w:type="pct"/>
            <w:tcBorders>
              <w:top w:val="nil"/>
              <w:left w:val="nil"/>
              <w:bottom w:val="single" w:sz="4" w:space="0" w:color="auto"/>
              <w:right w:val="nil"/>
            </w:tcBorders>
            <w:shd w:val="clear" w:color="auto" w:fill="BFBFBF"/>
            <w:textDirection w:val="lrTb"/>
            <w:vAlign w:val="center"/>
            <w:hideMark/>
          </w:tcPr>
          <w:p w:rsidR="008B7DEB" w:rsidP="00510434">
            <w:pPr>
              <w:bidi w:val="0"/>
              <w:jc w:val="center"/>
              <w:rPr>
                <w:rFonts w:ascii="Times New Roman" w:hAnsi="Times New Roman"/>
                <w:b/>
                <w:bCs/>
                <w:sz w:val="18"/>
                <w:szCs w:val="18"/>
              </w:rPr>
            </w:pPr>
            <w:r w:rsidRPr="00100393">
              <w:rPr>
                <w:rFonts w:ascii="Times New Roman" w:hAnsi="Times New Roman"/>
                <w:b/>
                <w:bCs/>
                <w:sz w:val="18"/>
                <w:szCs w:val="18"/>
              </w:rPr>
              <w:t>2015</w:t>
            </w:r>
          </w:p>
          <w:p w:rsidR="008B7DEB" w:rsidRPr="00436B6B" w:rsidP="00510434">
            <w:pPr>
              <w:bidi w:val="0"/>
              <w:jc w:val="center"/>
              <w:rPr>
                <w:rFonts w:ascii="Times New Roman" w:hAnsi="Times New Roman"/>
                <w:b/>
                <w:bCs/>
                <w:sz w:val="18"/>
                <w:szCs w:val="18"/>
              </w:rPr>
            </w:pPr>
            <w:r w:rsidRPr="00100393">
              <w:rPr>
                <w:rFonts w:ascii="Times New Roman" w:hAnsi="Times New Roman"/>
                <w:b/>
                <w:bCs/>
                <w:sz w:val="18"/>
                <w:szCs w:val="18"/>
              </w:rPr>
              <w:t xml:space="preserve">Skutočnosť </w:t>
            </w:r>
          </w:p>
        </w:tc>
        <w:tc>
          <w:tcPr>
            <w:tcW w:w="556" w:type="pct"/>
            <w:tcBorders>
              <w:top w:val="nil"/>
              <w:left w:val="nil"/>
              <w:bottom w:val="single" w:sz="4" w:space="0" w:color="auto"/>
              <w:right w:val="nil"/>
            </w:tcBorders>
            <w:shd w:val="clear" w:color="auto" w:fill="BFBFBF"/>
            <w:textDirection w:val="lrTb"/>
            <w:vAlign w:val="center"/>
            <w:hideMark/>
          </w:tcPr>
          <w:p w:rsidR="008B7DEB" w:rsidP="00510434">
            <w:pPr>
              <w:bidi w:val="0"/>
              <w:jc w:val="center"/>
              <w:rPr>
                <w:rFonts w:ascii="Times New Roman" w:hAnsi="Times New Roman"/>
                <w:b/>
                <w:bCs/>
                <w:sz w:val="18"/>
                <w:szCs w:val="18"/>
              </w:rPr>
            </w:pPr>
            <w:r w:rsidRPr="00100393">
              <w:rPr>
                <w:rFonts w:ascii="Times New Roman" w:hAnsi="Times New Roman"/>
                <w:b/>
                <w:bCs/>
                <w:sz w:val="18"/>
                <w:szCs w:val="18"/>
              </w:rPr>
              <w:t>2015</w:t>
            </w:r>
          </w:p>
          <w:p w:rsidR="008B7DEB" w:rsidRPr="00436B6B" w:rsidP="00510434">
            <w:pPr>
              <w:bidi w:val="0"/>
              <w:jc w:val="center"/>
              <w:rPr>
                <w:rFonts w:ascii="Times New Roman" w:hAnsi="Times New Roman"/>
                <w:b/>
                <w:bCs/>
                <w:sz w:val="18"/>
                <w:szCs w:val="18"/>
              </w:rPr>
            </w:pPr>
            <w:r w:rsidRPr="00100393">
              <w:rPr>
                <w:rFonts w:ascii="Times New Roman" w:hAnsi="Times New Roman"/>
                <w:b/>
                <w:bCs/>
                <w:sz w:val="18"/>
                <w:szCs w:val="18"/>
              </w:rPr>
              <w:t xml:space="preserve">Rozpočet </w:t>
            </w:r>
          </w:p>
        </w:tc>
        <w:tc>
          <w:tcPr>
            <w:tcW w:w="636" w:type="pct"/>
            <w:tcBorders>
              <w:top w:val="nil"/>
              <w:left w:val="nil"/>
              <w:bottom w:val="single" w:sz="4" w:space="0" w:color="auto"/>
              <w:right w:val="nil"/>
            </w:tcBorders>
            <w:shd w:val="clear" w:color="auto" w:fill="BFBFBF"/>
            <w:textDirection w:val="lrTb"/>
            <w:vAlign w:val="center"/>
            <w:hideMark/>
          </w:tcPr>
          <w:p w:rsidR="008B7DEB" w:rsidRPr="00436B6B" w:rsidP="00510434">
            <w:pPr>
              <w:bidi w:val="0"/>
              <w:jc w:val="center"/>
              <w:rPr>
                <w:rFonts w:ascii="Times New Roman" w:hAnsi="Times New Roman"/>
                <w:b/>
                <w:bCs/>
                <w:sz w:val="18"/>
                <w:szCs w:val="18"/>
              </w:rPr>
            </w:pPr>
            <w:r>
              <w:rPr>
                <w:rFonts w:ascii="Times New Roman" w:hAnsi="Times New Roman"/>
                <w:b/>
                <w:bCs/>
                <w:sz w:val="18"/>
                <w:szCs w:val="18"/>
              </w:rPr>
              <w:t xml:space="preserve">2015   </w:t>
            </w:r>
            <w:r w:rsidR="00834CD2">
              <w:rPr>
                <w:rFonts w:ascii="Times New Roman" w:hAnsi="Times New Roman"/>
                <w:b/>
                <w:bCs/>
                <w:sz w:val="18"/>
                <w:szCs w:val="18"/>
              </w:rPr>
              <w:t xml:space="preserve">          </w:t>
            </w:r>
            <w:r>
              <w:rPr>
                <w:rFonts w:ascii="Times New Roman" w:hAnsi="Times New Roman"/>
                <w:b/>
                <w:bCs/>
                <w:sz w:val="18"/>
                <w:szCs w:val="18"/>
              </w:rPr>
              <w:t xml:space="preserve"> (S - R)</w:t>
            </w:r>
          </w:p>
        </w:tc>
        <w:tc>
          <w:tcPr>
            <w:tcW w:w="515" w:type="pct"/>
            <w:tcBorders>
              <w:top w:val="nil"/>
              <w:left w:val="nil"/>
              <w:bottom w:val="single" w:sz="4" w:space="0" w:color="auto"/>
              <w:right w:val="nil"/>
            </w:tcBorders>
            <w:shd w:val="clear" w:color="auto" w:fill="BFBFBF"/>
            <w:textDirection w:val="lrTb"/>
            <w:vAlign w:val="center"/>
            <w:hideMark/>
          </w:tcPr>
          <w:p w:rsidR="008B7DEB" w:rsidRPr="00436B6B" w:rsidP="00510434">
            <w:pPr>
              <w:bidi w:val="0"/>
              <w:jc w:val="center"/>
              <w:rPr>
                <w:rFonts w:ascii="Times New Roman" w:hAnsi="Times New Roman"/>
                <w:b/>
                <w:bCs/>
                <w:sz w:val="18"/>
                <w:szCs w:val="18"/>
              </w:rPr>
            </w:pPr>
            <w:r w:rsidRPr="003A7C26">
              <w:rPr>
                <w:rFonts w:ascii="Times New Roman" w:hAnsi="Times New Roman"/>
                <w:b/>
                <w:bCs/>
                <w:sz w:val="18"/>
                <w:szCs w:val="18"/>
              </w:rPr>
              <w:t>Rozdiel             (% HDP)</w:t>
            </w:r>
          </w:p>
        </w:tc>
      </w:tr>
      <w:tr>
        <w:tblPrEx>
          <w:tblW w:w="5000" w:type="pct"/>
          <w:tblLayout w:type="fixed"/>
          <w:tblCellMar>
            <w:left w:w="70" w:type="dxa"/>
            <w:right w:w="70" w:type="dxa"/>
          </w:tblCellMar>
          <w:tblLook w:val="04A0"/>
        </w:tblPrEx>
        <w:trPr>
          <w:trHeight w:val="330"/>
        </w:trPr>
        <w:tc>
          <w:tcPr>
            <w:tcW w:w="1864" w:type="pct"/>
            <w:tcBorders>
              <w:top w:val="nil"/>
              <w:left w:val="nil"/>
              <w:bottom w:val="single" w:sz="4" w:space="0" w:color="auto"/>
              <w:right w:val="nil"/>
            </w:tcBorders>
            <w:noWrap/>
            <w:textDirection w:val="lrTb"/>
            <w:vAlign w:val="center"/>
            <w:hideMark/>
          </w:tcPr>
          <w:p w:rsidR="008B7DEB" w:rsidRPr="003A7C26" w:rsidP="00510434">
            <w:pPr>
              <w:bidi w:val="0"/>
              <w:rPr>
                <w:rFonts w:ascii="Times New Roman" w:hAnsi="Times New Roman"/>
                <w:b/>
                <w:bCs/>
                <w:color w:val="000000"/>
                <w:sz w:val="18"/>
                <w:szCs w:val="18"/>
              </w:rPr>
            </w:pPr>
            <w:r w:rsidRPr="003A7C26">
              <w:rPr>
                <w:rFonts w:ascii="Times New Roman" w:hAnsi="Times New Roman"/>
                <w:b/>
                <w:bCs/>
                <w:color w:val="000000"/>
                <w:sz w:val="18"/>
                <w:szCs w:val="18"/>
              </w:rPr>
              <w:t>Daňové príjmy</w:t>
            </w:r>
          </w:p>
        </w:tc>
        <w:tc>
          <w:tcPr>
            <w:tcW w:w="809" w:type="pct"/>
            <w:tcBorders>
              <w:top w:val="nil"/>
              <w:left w:val="nil"/>
              <w:bottom w:val="single" w:sz="4" w:space="0" w:color="auto"/>
              <w:right w:val="nil"/>
            </w:tcBorders>
            <w:noWrap/>
            <w:textDirection w:val="lrTb"/>
            <w:vAlign w:val="center"/>
            <w:hideMark/>
          </w:tcPr>
          <w:p w:rsidR="008B7DEB" w:rsidRPr="00B31BAE" w:rsidP="00510434">
            <w:pPr>
              <w:bidi w:val="0"/>
              <w:jc w:val="center"/>
              <w:rPr>
                <w:rFonts w:ascii="Times New Roman" w:hAnsi="Times New Roman"/>
                <w:b/>
                <w:bCs/>
                <w:sz w:val="18"/>
                <w:szCs w:val="18"/>
              </w:rPr>
            </w:pPr>
            <w:r w:rsidRPr="00B31BAE">
              <w:rPr>
                <w:rFonts w:ascii="Times New Roman" w:hAnsi="Times New Roman"/>
                <w:b/>
                <w:bCs/>
                <w:sz w:val="18"/>
                <w:szCs w:val="18"/>
              </w:rPr>
              <w:t>D.2+D.5+D.91</w:t>
            </w:r>
          </w:p>
        </w:tc>
        <w:tc>
          <w:tcPr>
            <w:tcW w:w="619" w:type="pct"/>
            <w:tcBorders>
              <w:top w:val="single" w:sz="4" w:space="0" w:color="auto"/>
              <w:left w:val="nil"/>
              <w:bottom w:val="single" w:sz="4" w:space="0" w:color="auto"/>
              <w:right w:val="nil"/>
            </w:tcBorders>
            <w:shd w:val="clear" w:color="auto" w:fill="BFBFBF"/>
            <w:noWrap/>
            <w:textDirection w:val="lrTb"/>
            <w:vAlign w:val="bottom"/>
            <w:hideMark/>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14 145 072</w:t>
            </w:r>
          </w:p>
        </w:tc>
        <w:tc>
          <w:tcPr>
            <w:tcW w:w="556" w:type="pct"/>
            <w:tcBorders>
              <w:top w:val="nil"/>
              <w:left w:val="nil"/>
              <w:bottom w:val="single" w:sz="4" w:space="0" w:color="auto"/>
              <w:right w:val="nil"/>
            </w:tcBorders>
            <w:noWrap/>
            <w:textDirection w:val="lrTb"/>
            <w:vAlign w:val="bottom"/>
            <w:hideMark/>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13 554 518</w:t>
            </w:r>
          </w:p>
        </w:tc>
        <w:tc>
          <w:tcPr>
            <w:tcW w:w="636" w:type="pct"/>
            <w:tcBorders>
              <w:top w:val="nil"/>
              <w:left w:val="nil"/>
              <w:bottom w:val="single" w:sz="4" w:space="0" w:color="auto"/>
              <w:right w:val="nil"/>
            </w:tcBorders>
            <w:noWrap/>
            <w:textDirection w:val="lrTb"/>
            <w:vAlign w:val="bottom"/>
            <w:hideMark/>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590 554</w:t>
            </w:r>
          </w:p>
        </w:tc>
        <w:tc>
          <w:tcPr>
            <w:tcW w:w="515" w:type="pct"/>
            <w:tcBorders>
              <w:top w:val="nil"/>
              <w:left w:val="nil"/>
              <w:bottom w:val="single" w:sz="4" w:space="0" w:color="auto"/>
              <w:right w:val="nil"/>
            </w:tcBorders>
            <w:noWrap/>
            <w:textDirection w:val="lrTb"/>
            <w:vAlign w:val="bottom"/>
            <w:hideMark/>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0,76</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rPr>
                <w:rFonts w:ascii="Times New Roman" w:hAnsi="Times New Roman"/>
                <w:color w:val="000000"/>
                <w:sz w:val="18"/>
                <w:szCs w:val="18"/>
              </w:rPr>
            </w:pPr>
            <w:r w:rsidRPr="003A7C26">
              <w:rPr>
                <w:rFonts w:ascii="Times New Roman" w:hAnsi="Times New Roman"/>
                <w:color w:val="000000"/>
                <w:sz w:val="18"/>
                <w:szCs w:val="18"/>
              </w:rPr>
              <w:t>Dane z produkcie a</w:t>
            </w:r>
            <w:r>
              <w:rPr>
                <w:rFonts w:ascii="Times New Roman" w:hAnsi="Times New Roman"/>
                <w:color w:val="000000"/>
                <w:sz w:val="18"/>
                <w:szCs w:val="18"/>
              </w:rPr>
              <w:t> </w:t>
            </w:r>
            <w:r w:rsidRPr="003A7C26">
              <w:rPr>
                <w:rFonts w:ascii="Times New Roman" w:hAnsi="Times New Roman"/>
                <w:color w:val="000000"/>
                <w:sz w:val="18"/>
                <w:szCs w:val="18"/>
              </w:rPr>
              <w:t>dovozu</w:t>
            </w:r>
          </w:p>
        </w:tc>
        <w:tc>
          <w:tcPr>
            <w:tcW w:w="809" w:type="pct"/>
            <w:tcBorders>
              <w:top w:val="nil"/>
              <w:left w:val="nil"/>
              <w:bottom w:val="nil"/>
              <w:right w:val="nil"/>
            </w:tcBorders>
            <w:noWrap/>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D.2</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8 499 235</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8 227 617</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271 618</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0,35</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xml:space="preserve"> - Daň z pridanej hodnoty</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 xml:space="preserve">D.211 </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5 416 019</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5 199 085</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216 934</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0,28</w:t>
            </w:r>
          </w:p>
        </w:tc>
      </w:tr>
      <w:tr>
        <w:tblPrEx>
          <w:tblW w:w="5000" w:type="pct"/>
          <w:tblLayout w:type="fixed"/>
          <w:tblCellMar>
            <w:left w:w="70" w:type="dxa"/>
            <w:right w:w="70" w:type="dxa"/>
          </w:tblCellMar>
          <w:tblLook w:val="04A0"/>
        </w:tblPrEx>
        <w:trPr>
          <w:trHeight w:hRule="exact" w:val="425"/>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Spotrebné dane</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D.214A + D.2122C</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2 108 224</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2 092 687</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15 537</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0,02</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ind w:firstLine="540" w:firstLineChars="300"/>
              <w:rPr>
                <w:rFonts w:ascii="Times New Roman" w:hAnsi="Times New Roman"/>
                <w:color w:val="000000"/>
                <w:sz w:val="18"/>
                <w:szCs w:val="18"/>
              </w:rPr>
            </w:pPr>
            <w:r w:rsidRPr="003A7C26">
              <w:rPr>
                <w:rFonts w:ascii="Times New Roman" w:hAnsi="Times New Roman"/>
                <w:color w:val="000000"/>
                <w:sz w:val="18"/>
                <w:szCs w:val="18"/>
              </w:rPr>
              <w:t xml:space="preserve"> - z toho: minerálny olej</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1 139 491</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1 130 378</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9 113</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0,01</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ind w:firstLine="540" w:firstLineChars="300"/>
              <w:rPr>
                <w:rFonts w:ascii="Times New Roman" w:hAnsi="Times New Roman"/>
                <w:color w:val="000000"/>
                <w:sz w:val="18"/>
                <w:szCs w:val="18"/>
              </w:rPr>
            </w:pPr>
            <w:r w:rsidRPr="003A7C26">
              <w:rPr>
                <w:rFonts w:ascii="Times New Roman" w:hAnsi="Times New Roman"/>
                <w:color w:val="000000"/>
                <w:sz w:val="18"/>
                <w:szCs w:val="18"/>
              </w:rPr>
              <w:t xml:space="preserve"> - z toho: tabak a tabakové výrobky</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664 901</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653 510</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11 391</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0,01</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xml:space="preserve"> - Dane z majetku a</w:t>
            </w:r>
            <w:r>
              <w:rPr>
                <w:rFonts w:ascii="Times New Roman" w:hAnsi="Times New Roman"/>
                <w:color w:val="000000"/>
                <w:sz w:val="18"/>
                <w:szCs w:val="18"/>
              </w:rPr>
              <w:t> </w:t>
            </w:r>
            <w:r w:rsidRPr="003A7C26">
              <w:rPr>
                <w:rFonts w:ascii="Times New Roman" w:hAnsi="Times New Roman"/>
                <w:color w:val="000000"/>
                <w:sz w:val="18"/>
                <w:szCs w:val="18"/>
              </w:rPr>
              <w:t>iné</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 xml:space="preserve">D.29A </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227 134</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233 551</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-6 417</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-0,01</w:t>
            </w:r>
          </w:p>
        </w:tc>
      </w:tr>
      <w:tr>
        <w:tblPrEx>
          <w:tblW w:w="5000" w:type="pct"/>
          <w:tblLayout w:type="fixed"/>
          <w:tblCellMar>
            <w:left w:w="70" w:type="dxa"/>
            <w:right w:w="70" w:type="dxa"/>
          </w:tblCellMar>
          <w:tblLook w:val="04A0"/>
        </w:tblPrEx>
        <w:trPr>
          <w:trHeight w:hRule="exact" w:val="437"/>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xml:space="preserve"> - Ostatné dane a</w:t>
            </w:r>
            <w:r>
              <w:rPr>
                <w:rFonts w:ascii="Times New Roman" w:hAnsi="Times New Roman"/>
                <w:color w:val="000000"/>
                <w:sz w:val="18"/>
                <w:szCs w:val="18"/>
              </w:rPr>
              <w:t> </w:t>
            </w:r>
            <w:r w:rsidRPr="003A7C26">
              <w:rPr>
                <w:rFonts w:ascii="Times New Roman" w:hAnsi="Times New Roman"/>
                <w:color w:val="000000"/>
                <w:sz w:val="18"/>
                <w:szCs w:val="18"/>
              </w:rPr>
              <w:t>poplatky</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D.214 (B-L) + D29 (B,E,F,H)</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747 859</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702 294</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45 565</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0,06</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ind w:firstLine="540" w:firstLineChars="300"/>
              <w:rPr>
                <w:rFonts w:ascii="Times New Roman" w:hAnsi="Times New Roman"/>
                <w:color w:val="000000"/>
                <w:sz w:val="18"/>
                <w:szCs w:val="18"/>
              </w:rPr>
            </w:pPr>
            <w:r w:rsidRPr="003A7C26">
              <w:rPr>
                <w:rFonts w:ascii="Times New Roman" w:hAnsi="Times New Roman"/>
                <w:color w:val="000000"/>
                <w:sz w:val="18"/>
                <w:szCs w:val="18"/>
              </w:rPr>
              <w:t xml:space="preserve"> - z toho: OO z finančných inštitúcií</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D29H</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110 289</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104 588</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5 701</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0,01</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rPr>
                <w:rFonts w:ascii="Times New Roman" w:hAnsi="Times New Roman"/>
                <w:color w:val="000000"/>
                <w:sz w:val="18"/>
                <w:szCs w:val="18"/>
              </w:rPr>
            </w:pPr>
            <w:r w:rsidRPr="003A7C26">
              <w:rPr>
                <w:rFonts w:ascii="Times New Roman" w:hAnsi="Times New Roman"/>
                <w:color w:val="000000"/>
                <w:sz w:val="18"/>
                <w:szCs w:val="18"/>
              </w:rPr>
              <w:t>Bežné dane z dôchodkov, majetku</w:t>
            </w:r>
          </w:p>
        </w:tc>
        <w:tc>
          <w:tcPr>
            <w:tcW w:w="809" w:type="pct"/>
            <w:tcBorders>
              <w:top w:val="nil"/>
              <w:left w:val="nil"/>
              <w:bottom w:val="nil"/>
              <w:right w:val="nil"/>
            </w:tcBorders>
            <w:noWrap/>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D.5</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5 645 843</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5 326 901</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318 942</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0,41</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xml:space="preserve"> - Daň z príjmov fyzických osôb</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 xml:space="preserve">D.51A </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2 470 653</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2 393 651</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77 002</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0,10</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ind w:firstLine="540" w:firstLineChars="300"/>
              <w:rPr>
                <w:rFonts w:ascii="Times New Roman" w:hAnsi="Times New Roman"/>
                <w:color w:val="000000"/>
                <w:sz w:val="18"/>
                <w:szCs w:val="18"/>
              </w:rPr>
            </w:pPr>
            <w:r w:rsidRPr="003A7C26">
              <w:rPr>
                <w:rFonts w:ascii="Times New Roman" w:hAnsi="Times New Roman"/>
                <w:color w:val="000000"/>
                <w:sz w:val="18"/>
                <w:szCs w:val="18"/>
              </w:rPr>
              <w:t xml:space="preserve"> - zo závislej činnosti</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2 319 126</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2 248 649</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70 477</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0,09</w:t>
            </w:r>
          </w:p>
        </w:tc>
      </w:tr>
      <w:tr>
        <w:tblPrEx>
          <w:tblW w:w="5000" w:type="pct"/>
          <w:tblLayout w:type="fixed"/>
          <w:tblCellMar>
            <w:left w:w="70" w:type="dxa"/>
            <w:right w:w="70" w:type="dxa"/>
          </w:tblCellMar>
          <w:tblLook w:val="04A0"/>
        </w:tblPrEx>
        <w:trPr>
          <w:trHeight w:hRule="exact" w:val="405"/>
        </w:trPr>
        <w:tc>
          <w:tcPr>
            <w:tcW w:w="1864" w:type="pct"/>
            <w:tcBorders>
              <w:top w:val="nil"/>
              <w:left w:val="nil"/>
              <w:bottom w:val="nil"/>
              <w:right w:val="nil"/>
            </w:tcBorders>
            <w:noWrap/>
            <w:textDirection w:val="lrTb"/>
            <w:vAlign w:val="bottom"/>
            <w:hideMark/>
          </w:tcPr>
          <w:p w:rsidR="008B7DEB" w:rsidRPr="003A7C26" w:rsidP="00510434">
            <w:pPr>
              <w:bidi w:val="0"/>
              <w:ind w:firstLine="540" w:firstLineChars="300"/>
              <w:rPr>
                <w:rFonts w:ascii="Times New Roman" w:hAnsi="Times New Roman"/>
                <w:color w:val="000000"/>
                <w:sz w:val="18"/>
                <w:szCs w:val="18"/>
              </w:rPr>
            </w:pPr>
            <w:r w:rsidRPr="003A7C26">
              <w:rPr>
                <w:rFonts w:ascii="Times New Roman" w:hAnsi="Times New Roman"/>
                <w:color w:val="000000"/>
                <w:sz w:val="18"/>
                <w:szCs w:val="18"/>
              </w:rPr>
              <w:t xml:space="preserve"> - z podnikania a inej samostatnej zár. </w:t>
            </w:r>
            <w:r>
              <w:rPr>
                <w:rFonts w:ascii="Times New Roman" w:hAnsi="Times New Roman"/>
                <w:color w:val="000000"/>
                <w:sz w:val="18"/>
                <w:szCs w:val="18"/>
              </w:rPr>
              <w:t>č</w:t>
            </w:r>
            <w:r w:rsidRPr="003A7C26">
              <w:rPr>
                <w:rFonts w:ascii="Times New Roman" w:hAnsi="Times New Roman"/>
                <w:color w:val="000000"/>
                <w:sz w:val="18"/>
                <w:szCs w:val="18"/>
              </w:rPr>
              <w:t>innosti</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151 527</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145 002</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6 525</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0,01</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xml:space="preserve"> - Daň z príjmov právnických osôb</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 xml:space="preserve">D.51B </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2 684 142</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2 462 417</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221 725</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0,28</w:t>
            </w:r>
          </w:p>
        </w:tc>
      </w:tr>
      <w:tr>
        <w:tblPrEx>
          <w:tblW w:w="5000" w:type="pct"/>
          <w:tblLayout w:type="fixed"/>
          <w:tblCellMar>
            <w:left w:w="70" w:type="dxa"/>
            <w:right w:w="70" w:type="dxa"/>
          </w:tblCellMar>
          <w:tblLook w:val="04A0"/>
        </w:tblPrEx>
        <w:trPr>
          <w:trHeight w:hRule="exact" w:val="397"/>
        </w:trPr>
        <w:tc>
          <w:tcPr>
            <w:tcW w:w="1864" w:type="pct"/>
            <w:tcBorders>
              <w:top w:val="nil"/>
              <w:left w:val="nil"/>
              <w:bottom w:val="nil"/>
              <w:right w:val="nil"/>
            </w:tcBorders>
            <w:noWrap/>
            <w:textDirection w:val="lrTb"/>
            <w:vAlign w:val="bottom"/>
            <w:hideMark/>
          </w:tcPr>
          <w:p w:rsidR="008B7DEB" w:rsidRPr="003A7C26" w:rsidP="00510434">
            <w:pPr>
              <w:bidi w:val="0"/>
              <w:ind w:firstLine="540" w:firstLineChars="300"/>
              <w:rPr>
                <w:rFonts w:ascii="Times New Roman" w:hAnsi="Times New Roman"/>
                <w:color w:val="000000"/>
                <w:sz w:val="18"/>
                <w:szCs w:val="18"/>
              </w:rPr>
            </w:pPr>
            <w:r w:rsidRPr="003A7C26">
              <w:rPr>
                <w:rFonts w:ascii="Times New Roman" w:hAnsi="Times New Roman"/>
                <w:color w:val="000000"/>
                <w:sz w:val="18"/>
                <w:szCs w:val="18"/>
              </w:rPr>
              <w:t xml:space="preserve"> - z toho: OO z regulovaných odvetví</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75 597</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74 722</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875</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0,00</w:t>
            </w:r>
          </w:p>
        </w:tc>
      </w:tr>
      <w:tr>
        <w:tblPrEx>
          <w:tblW w:w="5000" w:type="pct"/>
          <w:tblLayout w:type="fixed"/>
          <w:tblCellMar>
            <w:left w:w="70" w:type="dxa"/>
            <w:right w:w="70" w:type="dxa"/>
          </w:tblCellMar>
          <w:tblLook w:val="04A0"/>
        </w:tblPrEx>
        <w:trPr>
          <w:trHeight w:hRule="exact" w:val="475"/>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xml:space="preserve"> - Daň z príjmov vyberaná zrážkou - rozp. klasif.</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D.51E</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162 005</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145 616</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16 389</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0,02</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xml:space="preserve"> - Dane z majetku a</w:t>
            </w:r>
            <w:r>
              <w:rPr>
                <w:rFonts w:ascii="Times New Roman" w:hAnsi="Times New Roman"/>
                <w:color w:val="000000"/>
                <w:sz w:val="18"/>
                <w:szCs w:val="18"/>
              </w:rPr>
              <w:t> </w:t>
            </w:r>
            <w:r w:rsidRPr="003A7C26">
              <w:rPr>
                <w:rFonts w:ascii="Times New Roman" w:hAnsi="Times New Roman"/>
                <w:color w:val="000000"/>
                <w:sz w:val="18"/>
                <w:szCs w:val="18"/>
              </w:rPr>
              <w:t>iné</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D.59A</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108 015</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107 894</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121</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0,00</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textDirection w:val="lrTb"/>
            <w:vAlign w:val="bottom"/>
            <w:hideMark/>
          </w:tcPr>
          <w:p w:rsidR="008B7DEB" w:rsidRPr="003A7C26" w:rsidP="00510434">
            <w:pPr>
              <w:bidi w:val="0"/>
              <w:rPr>
                <w:rFonts w:ascii="Times New Roman" w:hAnsi="Times New Roman"/>
                <w:color w:val="000000"/>
                <w:sz w:val="18"/>
                <w:szCs w:val="18"/>
              </w:rPr>
            </w:pPr>
            <w:r>
              <w:rPr>
                <w:rFonts w:ascii="Times New Roman" w:hAnsi="Times New Roman"/>
                <w:color w:val="000000"/>
                <w:sz w:val="18"/>
                <w:szCs w:val="18"/>
              </w:rPr>
              <w:t xml:space="preserve">   </w:t>
            </w:r>
            <w:r w:rsidRPr="003A7C26">
              <w:rPr>
                <w:rFonts w:ascii="Times New Roman" w:hAnsi="Times New Roman"/>
                <w:color w:val="000000"/>
                <w:sz w:val="18"/>
                <w:szCs w:val="18"/>
              </w:rPr>
              <w:t>- Ostatné dane a</w:t>
            </w:r>
            <w:r>
              <w:rPr>
                <w:rFonts w:ascii="Times New Roman" w:hAnsi="Times New Roman"/>
                <w:color w:val="000000"/>
                <w:sz w:val="18"/>
                <w:szCs w:val="18"/>
              </w:rPr>
              <w:t> </w:t>
            </w:r>
            <w:r w:rsidRPr="003A7C26">
              <w:rPr>
                <w:rFonts w:ascii="Times New Roman" w:hAnsi="Times New Roman"/>
                <w:color w:val="000000"/>
                <w:sz w:val="18"/>
                <w:szCs w:val="18"/>
              </w:rPr>
              <w:t>poplatky</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D.59D</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221 029</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217 323</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3 706</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0,00</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rPr>
                <w:rFonts w:ascii="Times New Roman" w:hAnsi="Times New Roman"/>
                <w:color w:val="000000"/>
                <w:sz w:val="18"/>
                <w:szCs w:val="18"/>
              </w:rPr>
            </w:pPr>
            <w:r w:rsidRPr="003A7C26">
              <w:rPr>
                <w:rFonts w:ascii="Times New Roman" w:hAnsi="Times New Roman"/>
                <w:color w:val="000000"/>
                <w:sz w:val="18"/>
                <w:szCs w:val="18"/>
              </w:rPr>
              <w:t>Dane z</w:t>
            </w:r>
            <w:r>
              <w:rPr>
                <w:rFonts w:ascii="Times New Roman" w:hAnsi="Times New Roman"/>
                <w:color w:val="000000"/>
                <w:sz w:val="18"/>
                <w:szCs w:val="18"/>
              </w:rPr>
              <w:t> </w:t>
            </w:r>
            <w:r w:rsidRPr="003A7C26">
              <w:rPr>
                <w:rFonts w:ascii="Times New Roman" w:hAnsi="Times New Roman"/>
                <w:color w:val="000000"/>
                <w:sz w:val="18"/>
                <w:szCs w:val="18"/>
              </w:rPr>
              <w:t>kapitálu</w:t>
            </w:r>
          </w:p>
        </w:tc>
        <w:tc>
          <w:tcPr>
            <w:tcW w:w="809" w:type="pct"/>
            <w:tcBorders>
              <w:top w:val="nil"/>
              <w:left w:val="nil"/>
              <w:bottom w:val="nil"/>
              <w:right w:val="nil"/>
            </w:tcBorders>
            <w:noWrap/>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D.91</w:t>
            </w:r>
          </w:p>
        </w:tc>
        <w:tc>
          <w:tcPr>
            <w:tcW w:w="619" w:type="pct"/>
            <w:tcBorders>
              <w:top w:val="nil"/>
              <w:left w:val="nil"/>
              <w:bottom w:val="single" w:sz="4" w:space="0" w:color="auto"/>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-6</w:t>
            </w:r>
          </w:p>
        </w:tc>
        <w:tc>
          <w:tcPr>
            <w:tcW w:w="556" w:type="pct"/>
            <w:tcBorders>
              <w:top w:val="nil"/>
              <w:left w:val="nil"/>
              <w:bottom w:val="single" w:sz="4" w:space="0" w:color="auto"/>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0</w:t>
            </w:r>
          </w:p>
        </w:tc>
        <w:tc>
          <w:tcPr>
            <w:tcW w:w="636" w:type="pct"/>
            <w:tcBorders>
              <w:top w:val="nil"/>
              <w:left w:val="nil"/>
              <w:bottom w:val="single" w:sz="4" w:space="0" w:color="auto"/>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-6</w:t>
            </w:r>
          </w:p>
        </w:tc>
        <w:tc>
          <w:tcPr>
            <w:tcW w:w="515" w:type="pct"/>
            <w:tcBorders>
              <w:top w:val="nil"/>
              <w:left w:val="nil"/>
              <w:bottom w:val="single" w:sz="4" w:space="0" w:color="auto"/>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0,00</w:t>
            </w:r>
          </w:p>
        </w:tc>
      </w:tr>
      <w:tr>
        <w:tblPrEx>
          <w:tblW w:w="5000" w:type="pct"/>
          <w:tblLayout w:type="fixed"/>
          <w:tblCellMar>
            <w:left w:w="70" w:type="dxa"/>
            <w:right w:w="70" w:type="dxa"/>
          </w:tblCellMar>
          <w:tblLook w:val="04A0"/>
        </w:tblPrEx>
        <w:trPr>
          <w:trHeight w:val="330"/>
        </w:trPr>
        <w:tc>
          <w:tcPr>
            <w:tcW w:w="1864" w:type="pct"/>
            <w:tcBorders>
              <w:top w:val="single" w:sz="4" w:space="0" w:color="auto"/>
              <w:left w:val="nil"/>
              <w:bottom w:val="single" w:sz="4" w:space="0" w:color="auto"/>
              <w:right w:val="nil"/>
            </w:tcBorders>
            <w:noWrap/>
            <w:textDirection w:val="lrTb"/>
            <w:vAlign w:val="center"/>
            <w:hideMark/>
          </w:tcPr>
          <w:p w:rsidR="008B7DEB" w:rsidRPr="003A7C26" w:rsidP="00943D01">
            <w:pPr>
              <w:bidi w:val="0"/>
              <w:rPr>
                <w:rFonts w:ascii="Times New Roman" w:hAnsi="Times New Roman"/>
                <w:b/>
                <w:bCs/>
                <w:color w:val="000000"/>
                <w:sz w:val="18"/>
                <w:szCs w:val="18"/>
              </w:rPr>
            </w:pPr>
            <w:r w:rsidRPr="003A7C26">
              <w:rPr>
                <w:rFonts w:ascii="Times New Roman" w:hAnsi="Times New Roman"/>
                <w:b/>
                <w:bCs/>
                <w:color w:val="000000"/>
                <w:sz w:val="18"/>
                <w:szCs w:val="18"/>
              </w:rPr>
              <w:t>Príspevky na sociálne zabezpečenie (odvody)</w:t>
            </w:r>
          </w:p>
        </w:tc>
        <w:tc>
          <w:tcPr>
            <w:tcW w:w="809" w:type="pct"/>
            <w:tcBorders>
              <w:top w:val="single" w:sz="4" w:space="0" w:color="auto"/>
              <w:left w:val="nil"/>
              <w:bottom w:val="single" w:sz="4" w:space="0" w:color="auto"/>
              <w:right w:val="nil"/>
            </w:tcBorders>
            <w:noWrap/>
            <w:textDirection w:val="lrTb"/>
            <w:vAlign w:val="center"/>
            <w:hideMark/>
          </w:tcPr>
          <w:p w:rsidR="008B7DEB" w:rsidRPr="00B31BAE" w:rsidP="00943D01">
            <w:pPr>
              <w:bidi w:val="0"/>
              <w:jc w:val="center"/>
              <w:rPr>
                <w:rFonts w:ascii="Times New Roman" w:hAnsi="Times New Roman"/>
                <w:bCs/>
                <w:sz w:val="18"/>
                <w:szCs w:val="18"/>
              </w:rPr>
            </w:pPr>
            <w:r w:rsidRPr="00B31BAE">
              <w:rPr>
                <w:rFonts w:ascii="Times New Roman" w:hAnsi="Times New Roman"/>
                <w:bCs/>
                <w:sz w:val="18"/>
                <w:szCs w:val="18"/>
              </w:rPr>
              <w:t>D.61</w:t>
            </w:r>
          </w:p>
        </w:tc>
        <w:tc>
          <w:tcPr>
            <w:tcW w:w="619" w:type="pct"/>
            <w:tcBorders>
              <w:top w:val="nil"/>
              <w:left w:val="nil"/>
              <w:bottom w:val="single" w:sz="4" w:space="0" w:color="auto"/>
              <w:right w:val="nil"/>
            </w:tcBorders>
            <w:shd w:val="clear" w:color="auto" w:fill="BFBFBF"/>
            <w:noWrap/>
            <w:textDirection w:val="lrTb"/>
            <w:vAlign w:val="center"/>
            <w:hideMark/>
          </w:tcPr>
          <w:p w:rsidR="008B7DEB" w:rsidRPr="00297484" w:rsidP="00943D01">
            <w:pPr>
              <w:bidi w:val="0"/>
              <w:jc w:val="right"/>
              <w:rPr>
                <w:rFonts w:ascii="Times New Roman" w:hAnsi="Times New Roman"/>
                <w:b/>
                <w:color w:val="000000"/>
                <w:sz w:val="18"/>
                <w:szCs w:val="18"/>
              </w:rPr>
            </w:pPr>
            <w:r w:rsidRPr="00297484">
              <w:rPr>
                <w:rFonts w:ascii="Times New Roman" w:hAnsi="Times New Roman"/>
                <w:b/>
                <w:color w:val="000000"/>
                <w:sz w:val="18"/>
                <w:szCs w:val="18"/>
              </w:rPr>
              <w:t>9 056 781</w:t>
            </w:r>
          </w:p>
        </w:tc>
        <w:tc>
          <w:tcPr>
            <w:tcW w:w="556" w:type="pct"/>
            <w:tcBorders>
              <w:top w:val="nil"/>
              <w:left w:val="nil"/>
              <w:bottom w:val="single" w:sz="4" w:space="0" w:color="auto"/>
              <w:right w:val="nil"/>
            </w:tcBorders>
            <w:noWrap/>
            <w:textDirection w:val="lrTb"/>
            <w:vAlign w:val="center"/>
            <w:hideMark/>
          </w:tcPr>
          <w:p w:rsidR="008B7DEB" w:rsidRPr="00297484" w:rsidP="00943D01">
            <w:pPr>
              <w:bidi w:val="0"/>
              <w:jc w:val="right"/>
              <w:rPr>
                <w:rFonts w:ascii="Times New Roman" w:hAnsi="Times New Roman"/>
                <w:b/>
                <w:color w:val="000000"/>
                <w:sz w:val="18"/>
                <w:szCs w:val="18"/>
              </w:rPr>
            </w:pPr>
            <w:r w:rsidRPr="00297484">
              <w:rPr>
                <w:rFonts w:ascii="Times New Roman" w:hAnsi="Times New Roman"/>
                <w:b/>
                <w:color w:val="000000"/>
                <w:sz w:val="18"/>
                <w:szCs w:val="18"/>
              </w:rPr>
              <w:t>8 672 620</w:t>
            </w:r>
          </w:p>
        </w:tc>
        <w:tc>
          <w:tcPr>
            <w:tcW w:w="636" w:type="pct"/>
            <w:tcBorders>
              <w:top w:val="nil"/>
              <w:left w:val="nil"/>
              <w:bottom w:val="single" w:sz="4" w:space="0" w:color="auto"/>
              <w:right w:val="nil"/>
            </w:tcBorders>
            <w:noWrap/>
            <w:textDirection w:val="lrTb"/>
            <w:vAlign w:val="center"/>
            <w:hideMark/>
          </w:tcPr>
          <w:p w:rsidR="008B7DEB" w:rsidRPr="00297484" w:rsidP="00943D01">
            <w:pPr>
              <w:bidi w:val="0"/>
              <w:jc w:val="right"/>
              <w:rPr>
                <w:rFonts w:ascii="Times New Roman" w:hAnsi="Times New Roman"/>
                <w:b/>
                <w:color w:val="000000"/>
                <w:sz w:val="18"/>
                <w:szCs w:val="18"/>
              </w:rPr>
            </w:pPr>
            <w:r w:rsidRPr="00297484">
              <w:rPr>
                <w:rFonts w:ascii="Times New Roman" w:hAnsi="Times New Roman"/>
                <w:b/>
                <w:color w:val="000000"/>
                <w:sz w:val="18"/>
                <w:szCs w:val="18"/>
              </w:rPr>
              <w:t>384 161</w:t>
            </w:r>
          </w:p>
        </w:tc>
        <w:tc>
          <w:tcPr>
            <w:tcW w:w="515" w:type="pct"/>
            <w:tcBorders>
              <w:top w:val="nil"/>
              <w:left w:val="nil"/>
              <w:bottom w:val="single" w:sz="4" w:space="0" w:color="auto"/>
              <w:right w:val="nil"/>
            </w:tcBorders>
            <w:noWrap/>
            <w:textDirection w:val="lrTb"/>
            <w:vAlign w:val="center"/>
            <w:hideMark/>
          </w:tcPr>
          <w:p w:rsidR="008B7DEB" w:rsidRPr="00297484" w:rsidP="00943D01">
            <w:pPr>
              <w:bidi w:val="0"/>
              <w:jc w:val="right"/>
              <w:rPr>
                <w:rFonts w:ascii="Times New Roman" w:hAnsi="Times New Roman"/>
                <w:b/>
                <w:color w:val="000000"/>
                <w:sz w:val="18"/>
                <w:szCs w:val="18"/>
              </w:rPr>
            </w:pPr>
            <w:r>
              <w:rPr>
                <w:rFonts w:ascii="Times New Roman" w:hAnsi="Times New Roman"/>
                <w:b/>
                <w:color w:val="000000"/>
                <w:sz w:val="18"/>
                <w:szCs w:val="18"/>
              </w:rPr>
              <w:t>0,49</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ind w:firstLine="180" w:firstLineChars="100"/>
              <w:rPr>
                <w:rFonts w:ascii="Times New Roman" w:hAnsi="Times New Roman"/>
                <w:color w:val="000000"/>
                <w:sz w:val="18"/>
                <w:szCs w:val="18"/>
              </w:rPr>
            </w:pPr>
            <w:r w:rsidRPr="003A7C26">
              <w:rPr>
                <w:rFonts w:ascii="Times New Roman" w:hAnsi="Times New Roman"/>
                <w:color w:val="000000"/>
                <w:sz w:val="18"/>
                <w:szCs w:val="18"/>
              </w:rPr>
              <w:t>Sociálne odvody</w:t>
            </w:r>
            <w:r w:rsidRPr="00826BC6" w:rsidR="00826BC6">
              <w:rPr>
                <w:rFonts w:ascii="Times New Roman" w:hAnsi="Times New Roman"/>
                <w:color w:val="000000"/>
                <w:sz w:val="18"/>
                <w:szCs w:val="18"/>
                <w:vertAlign w:val="superscript"/>
              </w:rPr>
              <w:t>1)</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00826BC6">
              <w:rPr>
                <w:rFonts w:ascii="Times New Roman" w:hAnsi="Times New Roman"/>
                <w:sz w:val="18"/>
                <w:szCs w:val="18"/>
              </w:rPr>
              <w:t>-</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6 167 636</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5 964 521</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203 115</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0,26</w:t>
            </w:r>
          </w:p>
        </w:tc>
      </w:tr>
      <w:tr>
        <w:tblPrEx>
          <w:tblW w:w="5000" w:type="pct"/>
          <w:tblLayout w:type="fixed"/>
          <w:tblCellMar>
            <w:left w:w="70" w:type="dxa"/>
            <w:right w:w="70" w:type="dxa"/>
          </w:tblCellMar>
          <w:tblLook w:val="04A0"/>
        </w:tblPrEx>
        <w:trPr>
          <w:trHeight w:hRule="exact" w:val="255"/>
        </w:trPr>
        <w:tc>
          <w:tcPr>
            <w:tcW w:w="1864" w:type="pct"/>
            <w:tcBorders>
              <w:top w:val="nil"/>
              <w:left w:val="nil"/>
              <w:bottom w:val="nil"/>
              <w:right w:val="nil"/>
            </w:tcBorders>
            <w:noWrap/>
            <w:textDirection w:val="lrTb"/>
            <w:vAlign w:val="bottom"/>
            <w:hideMark/>
          </w:tcPr>
          <w:p w:rsidR="008B7DEB" w:rsidRPr="003A7C26" w:rsidP="00510434">
            <w:pPr>
              <w:bidi w:val="0"/>
              <w:ind w:firstLine="180" w:firstLineChars="100"/>
              <w:rPr>
                <w:rFonts w:ascii="Times New Roman" w:hAnsi="Times New Roman"/>
                <w:color w:val="000000"/>
                <w:sz w:val="18"/>
                <w:szCs w:val="18"/>
              </w:rPr>
            </w:pPr>
            <w:r w:rsidRPr="003A7C26">
              <w:rPr>
                <w:rFonts w:ascii="Times New Roman" w:hAnsi="Times New Roman"/>
                <w:color w:val="000000"/>
                <w:sz w:val="18"/>
                <w:szCs w:val="18"/>
              </w:rPr>
              <w:t>Zdravotné odvody</w:t>
            </w:r>
          </w:p>
        </w:tc>
        <w:tc>
          <w:tcPr>
            <w:tcW w:w="809" w:type="pct"/>
            <w:tcBorders>
              <w:top w:val="nil"/>
              <w:left w:val="nil"/>
              <w:bottom w:val="nil"/>
              <w:right w:val="nil"/>
            </w:tcBorders>
            <w:textDirection w:val="lrTb"/>
            <w:vAlign w:val="center"/>
            <w:hideMark/>
          </w:tcPr>
          <w:p w:rsidR="008B7DEB" w:rsidRPr="00B31BAE" w:rsidP="00510434">
            <w:pPr>
              <w:bidi w:val="0"/>
              <w:jc w:val="center"/>
              <w:rPr>
                <w:rFonts w:ascii="Times New Roman" w:hAnsi="Times New Roman"/>
                <w:sz w:val="18"/>
                <w:szCs w:val="18"/>
              </w:rPr>
            </w:pPr>
            <w:r w:rsidRPr="00B31BAE">
              <w:rPr>
                <w:rFonts w:ascii="Times New Roman" w:hAnsi="Times New Roman"/>
                <w:sz w:val="18"/>
                <w:szCs w:val="18"/>
              </w:rPr>
              <w:t>-</w:t>
            </w:r>
          </w:p>
        </w:tc>
        <w:tc>
          <w:tcPr>
            <w:tcW w:w="619" w:type="pct"/>
            <w:tcBorders>
              <w:top w:val="nil"/>
              <w:left w:val="nil"/>
              <w:bottom w:val="nil"/>
              <w:right w:val="nil"/>
            </w:tcBorders>
            <w:shd w:val="clear" w:color="auto" w:fill="BFBFBF"/>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2 889 145</w:t>
            </w:r>
          </w:p>
        </w:tc>
        <w:tc>
          <w:tcPr>
            <w:tcW w:w="55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2 708 099</w:t>
            </w:r>
          </w:p>
        </w:tc>
        <w:tc>
          <w:tcPr>
            <w:tcW w:w="636"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sidRPr="00436B6B">
              <w:rPr>
                <w:rFonts w:ascii="Times New Roman" w:hAnsi="Times New Roman"/>
                <w:color w:val="000000"/>
                <w:sz w:val="18"/>
                <w:szCs w:val="18"/>
              </w:rPr>
              <w:t>181 046</w:t>
            </w:r>
          </w:p>
        </w:tc>
        <w:tc>
          <w:tcPr>
            <w:tcW w:w="515" w:type="pct"/>
            <w:tcBorders>
              <w:top w:val="nil"/>
              <w:left w:val="nil"/>
              <w:bottom w:val="nil"/>
              <w:right w:val="nil"/>
            </w:tcBorders>
            <w:noWrap/>
            <w:textDirection w:val="lrTb"/>
            <w:vAlign w:val="bottom"/>
            <w:hideMark/>
          </w:tcPr>
          <w:p w:rsidR="008B7DEB" w:rsidRPr="00436B6B" w:rsidP="00510434">
            <w:pPr>
              <w:bidi w:val="0"/>
              <w:jc w:val="right"/>
              <w:rPr>
                <w:rFonts w:ascii="Times New Roman" w:hAnsi="Times New Roman"/>
                <w:color w:val="000000"/>
                <w:sz w:val="18"/>
                <w:szCs w:val="18"/>
              </w:rPr>
            </w:pPr>
            <w:r>
              <w:rPr>
                <w:rFonts w:ascii="Times New Roman" w:hAnsi="Times New Roman"/>
                <w:color w:val="000000"/>
                <w:sz w:val="18"/>
                <w:szCs w:val="18"/>
              </w:rPr>
              <w:t>0,23</w:t>
            </w:r>
          </w:p>
        </w:tc>
      </w:tr>
      <w:tr>
        <w:tblPrEx>
          <w:tblW w:w="5000" w:type="pct"/>
          <w:tblLayout w:type="fixed"/>
          <w:tblCellMar>
            <w:left w:w="70" w:type="dxa"/>
            <w:right w:w="70" w:type="dxa"/>
          </w:tblCellMar>
          <w:tblLook w:val="04A0"/>
        </w:tblPrEx>
        <w:trPr>
          <w:trHeight w:val="330"/>
        </w:trPr>
        <w:tc>
          <w:tcPr>
            <w:tcW w:w="1864" w:type="pct"/>
            <w:tcBorders>
              <w:top w:val="single" w:sz="4" w:space="0" w:color="auto"/>
              <w:left w:val="nil"/>
              <w:bottom w:val="single" w:sz="4" w:space="0" w:color="auto"/>
              <w:right w:val="nil"/>
            </w:tcBorders>
            <w:noWrap/>
            <w:textDirection w:val="lrTb"/>
            <w:vAlign w:val="center"/>
            <w:hideMark/>
          </w:tcPr>
          <w:p w:rsidR="008B7DEB" w:rsidRPr="003A7C26" w:rsidP="00510434">
            <w:pPr>
              <w:bidi w:val="0"/>
              <w:rPr>
                <w:rFonts w:ascii="Times New Roman" w:hAnsi="Times New Roman"/>
                <w:b/>
                <w:bCs/>
                <w:color w:val="000000"/>
                <w:sz w:val="18"/>
                <w:szCs w:val="18"/>
              </w:rPr>
            </w:pPr>
            <w:r w:rsidRPr="003A7C26">
              <w:rPr>
                <w:rFonts w:ascii="Times New Roman" w:hAnsi="Times New Roman"/>
                <w:b/>
                <w:bCs/>
                <w:color w:val="000000"/>
                <w:sz w:val="18"/>
                <w:szCs w:val="18"/>
              </w:rPr>
              <w:t>Spolu daňové a odvodové príjmy</w:t>
            </w:r>
          </w:p>
        </w:tc>
        <w:tc>
          <w:tcPr>
            <w:tcW w:w="809" w:type="pct"/>
            <w:tcBorders>
              <w:top w:val="single" w:sz="4" w:space="0" w:color="auto"/>
              <w:left w:val="nil"/>
              <w:bottom w:val="single" w:sz="4" w:space="0" w:color="auto"/>
              <w:right w:val="nil"/>
            </w:tcBorders>
            <w:noWrap/>
            <w:textDirection w:val="lrTb"/>
            <w:vAlign w:val="center"/>
            <w:hideMark/>
          </w:tcPr>
          <w:p w:rsidR="008B7DEB" w:rsidRPr="00B31BAE" w:rsidP="00510434">
            <w:pPr>
              <w:bidi w:val="0"/>
              <w:rPr>
                <w:rFonts w:ascii="Times New Roman" w:hAnsi="Times New Roman"/>
                <w:b/>
                <w:bCs/>
                <w:color w:val="000000"/>
                <w:sz w:val="18"/>
                <w:szCs w:val="18"/>
              </w:rPr>
            </w:pPr>
            <w:r w:rsidRPr="00B31BAE">
              <w:rPr>
                <w:rFonts w:ascii="Times New Roman" w:hAnsi="Times New Roman"/>
                <w:b/>
                <w:bCs/>
                <w:color w:val="000000"/>
                <w:sz w:val="18"/>
                <w:szCs w:val="18"/>
              </w:rPr>
              <w:t> </w:t>
            </w:r>
          </w:p>
        </w:tc>
        <w:tc>
          <w:tcPr>
            <w:tcW w:w="619" w:type="pct"/>
            <w:tcBorders>
              <w:top w:val="single" w:sz="4" w:space="0" w:color="auto"/>
              <w:left w:val="nil"/>
              <w:bottom w:val="single" w:sz="4" w:space="0" w:color="auto"/>
              <w:right w:val="nil"/>
            </w:tcBorders>
            <w:shd w:val="clear" w:color="auto" w:fill="BFBFBF"/>
            <w:noWrap/>
            <w:textDirection w:val="lrTb"/>
            <w:vAlign w:val="center"/>
            <w:hideMark/>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23 201 853</w:t>
            </w:r>
          </w:p>
        </w:tc>
        <w:tc>
          <w:tcPr>
            <w:tcW w:w="556" w:type="pct"/>
            <w:tcBorders>
              <w:top w:val="single" w:sz="4" w:space="0" w:color="auto"/>
              <w:left w:val="nil"/>
              <w:bottom w:val="single" w:sz="4" w:space="0" w:color="auto"/>
              <w:right w:val="nil"/>
            </w:tcBorders>
            <w:noWrap/>
            <w:textDirection w:val="lrTb"/>
            <w:vAlign w:val="center"/>
            <w:hideMark/>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22 227 138</w:t>
            </w:r>
          </w:p>
        </w:tc>
        <w:tc>
          <w:tcPr>
            <w:tcW w:w="636" w:type="pct"/>
            <w:tcBorders>
              <w:top w:val="single" w:sz="4" w:space="0" w:color="auto"/>
              <w:left w:val="nil"/>
              <w:bottom w:val="single" w:sz="4" w:space="0" w:color="auto"/>
              <w:right w:val="nil"/>
            </w:tcBorders>
            <w:noWrap/>
            <w:textDirection w:val="lrTb"/>
            <w:vAlign w:val="center"/>
            <w:hideMark/>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974 715</w:t>
            </w:r>
          </w:p>
        </w:tc>
        <w:tc>
          <w:tcPr>
            <w:tcW w:w="515" w:type="pct"/>
            <w:tcBorders>
              <w:top w:val="single" w:sz="4" w:space="0" w:color="auto"/>
              <w:left w:val="nil"/>
              <w:bottom w:val="single" w:sz="4" w:space="0" w:color="auto"/>
              <w:right w:val="nil"/>
            </w:tcBorders>
            <w:noWrap/>
            <w:textDirection w:val="lrTb"/>
            <w:vAlign w:val="center"/>
            <w:hideMark/>
          </w:tcPr>
          <w:p w:rsidR="008B7DEB" w:rsidRPr="00297484" w:rsidP="00510434">
            <w:pPr>
              <w:bidi w:val="0"/>
              <w:jc w:val="right"/>
              <w:rPr>
                <w:rFonts w:ascii="Times New Roman" w:hAnsi="Times New Roman"/>
                <w:b/>
                <w:color w:val="000000"/>
                <w:sz w:val="18"/>
                <w:szCs w:val="18"/>
              </w:rPr>
            </w:pPr>
            <w:r>
              <w:rPr>
                <w:rFonts w:ascii="Times New Roman" w:hAnsi="Times New Roman"/>
                <w:b/>
                <w:color w:val="000000"/>
                <w:sz w:val="18"/>
                <w:szCs w:val="18"/>
              </w:rPr>
              <w:t>1,25</w:t>
            </w:r>
          </w:p>
        </w:tc>
      </w:tr>
      <w:tr>
        <w:tblPrEx>
          <w:tblW w:w="5000" w:type="pct"/>
          <w:tblLayout w:type="fixed"/>
          <w:tblCellMar>
            <w:left w:w="70" w:type="dxa"/>
            <w:right w:w="70" w:type="dxa"/>
          </w:tblCellMar>
          <w:tblLook w:val="04A0"/>
        </w:tblPrEx>
        <w:trPr>
          <w:trHeight w:val="330"/>
        </w:trPr>
        <w:tc>
          <w:tcPr>
            <w:tcW w:w="1864" w:type="pct"/>
            <w:tcBorders>
              <w:top w:val="single" w:sz="4" w:space="0" w:color="auto"/>
              <w:left w:val="nil"/>
              <w:bottom w:val="single" w:sz="4" w:space="0" w:color="auto"/>
              <w:right w:val="nil"/>
            </w:tcBorders>
            <w:noWrap/>
            <w:textDirection w:val="lrTb"/>
            <w:vAlign w:val="center"/>
          </w:tcPr>
          <w:p w:rsidR="008B7DEB" w:rsidRPr="00297484" w:rsidP="00510434">
            <w:pPr>
              <w:bidi w:val="0"/>
              <w:rPr>
                <w:rFonts w:ascii="Times New Roman" w:hAnsi="Times New Roman"/>
                <w:bCs/>
                <w:color w:val="000000"/>
                <w:sz w:val="18"/>
                <w:szCs w:val="18"/>
              </w:rPr>
            </w:pPr>
            <w:r w:rsidRPr="00297484">
              <w:rPr>
                <w:rFonts w:ascii="Times New Roman" w:hAnsi="Times New Roman"/>
                <w:bCs/>
                <w:color w:val="000000"/>
                <w:sz w:val="18"/>
                <w:szCs w:val="18"/>
              </w:rPr>
              <w:t>VPÚ + daňové kredity</w:t>
            </w:r>
          </w:p>
        </w:tc>
        <w:tc>
          <w:tcPr>
            <w:tcW w:w="809" w:type="pct"/>
            <w:tcBorders>
              <w:top w:val="single" w:sz="4" w:space="0" w:color="auto"/>
              <w:left w:val="nil"/>
              <w:bottom w:val="single" w:sz="4" w:space="0" w:color="auto"/>
              <w:right w:val="nil"/>
            </w:tcBorders>
            <w:noWrap/>
            <w:textDirection w:val="lrTb"/>
            <w:vAlign w:val="center"/>
          </w:tcPr>
          <w:p w:rsidR="008B7DEB" w:rsidRPr="00B31BAE" w:rsidP="00510434">
            <w:pPr>
              <w:bidi w:val="0"/>
              <w:rPr>
                <w:rFonts w:ascii="Times New Roman" w:hAnsi="Times New Roman"/>
                <w:b/>
                <w:bCs/>
                <w:color w:val="000000"/>
                <w:sz w:val="18"/>
                <w:szCs w:val="18"/>
              </w:rPr>
            </w:pPr>
          </w:p>
        </w:tc>
        <w:tc>
          <w:tcPr>
            <w:tcW w:w="619" w:type="pct"/>
            <w:tcBorders>
              <w:top w:val="single" w:sz="4" w:space="0" w:color="auto"/>
              <w:left w:val="nil"/>
              <w:bottom w:val="single" w:sz="4" w:space="0" w:color="auto"/>
              <w:right w:val="nil"/>
            </w:tcBorders>
            <w:shd w:val="clear" w:color="auto" w:fill="BFBFBF"/>
            <w:noWrap/>
            <w:textDirection w:val="lrTb"/>
            <w:vAlign w:val="center"/>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319 884</w:t>
            </w:r>
          </w:p>
        </w:tc>
        <w:tc>
          <w:tcPr>
            <w:tcW w:w="556" w:type="pct"/>
            <w:tcBorders>
              <w:top w:val="single" w:sz="4" w:space="0" w:color="auto"/>
              <w:left w:val="nil"/>
              <w:bottom w:val="single" w:sz="4" w:space="0" w:color="auto"/>
              <w:right w:val="nil"/>
            </w:tcBorders>
            <w:noWrap/>
            <w:textDirection w:val="lrTb"/>
            <w:vAlign w:val="center"/>
          </w:tcPr>
          <w:p w:rsidR="008B7DEB" w:rsidRPr="00297484" w:rsidP="00510434">
            <w:pPr>
              <w:bidi w:val="0"/>
              <w:jc w:val="right"/>
              <w:rPr>
                <w:rFonts w:ascii="Times New Roman" w:hAnsi="Times New Roman"/>
                <w:b/>
                <w:color w:val="000000"/>
                <w:sz w:val="18"/>
                <w:szCs w:val="18"/>
              </w:rPr>
            </w:pPr>
            <w:r w:rsidRPr="00297484">
              <w:rPr>
                <w:rFonts w:ascii="Times New Roman" w:hAnsi="Times New Roman"/>
                <w:b/>
                <w:color w:val="000000"/>
                <w:sz w:val="18"/>
                <w:szCs w:val="18"/>
              </w:rPr>
              <w:t>311 884</w:t>
            </w:r>
          </w:p>
        </w:tc>
        <w:tc>
          <w:tcPr>
            <w:tcW w:w="636" w:type="pct"/>
            <w:tcBorders>
              <w:top w:val="single" w:sz="4" w:space="0" w:color="auto"/>
              <w:left w:val="nil"/>
              <w:bottom w:val="single" w:sz="4" w:space="0" w:color="auto"/>
              <w:right w:val="nil"/>
            </w:tcBorders>
            <w:noWrap/>
            <w:textDirection w:val="lrTb"/>
            <w:vAlign w:val="center"/>
          </w:tcPr>
          <w:p w:rsidR="008B7DEB" w:rsidRPr="00297484" w:rsidP="00834CD2">
            <w:pPr>
              <w:bidi w:val="0"/>
              <w:ind w:left="360"/>
              <w:jc w:val="right"/>
              <w:rPr>
                <w:rFonts w:ascii="Times New Roman" w:hAnsi="Times New Roman"/>
                <w:b/>
                <w:color w:val="000000"/>
                <w:sz w:val="18"/>
                <w:szCs w:val="18"/>
              </w:rPr>
            </w:pPr>
            <w:r w:rsidR="00834CD2">
              <w:rPr>
                <w:rFonts w:ascii="Times New Roman" w:hAnsi="Times New Roman"/>
                <w:b/>
                <w:color w:val="000000"/>
                <w:sz w:val="18"/>
                <w:szCs w:val="18"/>
              </w:rPr>
              <w:t xml:space="preserve">7 </w:t>
            </w:r>
            <w:r w:rsidRPr="00297484">
              <w:rPr>
                <w:rFonts w:ascii="Times New Roman" w:hAnsi="Times New Roman"/>
                <w:b/>
                <w:color w:val="000000"/>
                <w:sz w:val="18"/>
                <w:szCs w:val="18"/>
              </w:rPr>
              <w:t>408</w:t>
            </w:r>
          </w:p>
        </w:tc>
        <w:tc>
          <w:tcPr>
            <w:tcW w:w="515" w:type="pct"/>
            <w:tcBorders>
              <w:top w:val="single" w:sz="4" w:space="0" w:color="auto"/>
              <w:left w:val="nil"/>
              <w:bottom w:val="single" w:sz="4" w:space="0" w:color="auto"/>
              <w:right w:val="nil"/>
            </w:tcBorders>
            <w:noWrap/>
            <w:textDirection w:val="lrTb"/>
            <w:vAlign w:val="center"/>
          </w:tcPr>
          <w:p w:rsidR="008B7DEB" w:rsidRPr="00297484" w:rsidP="00510434">
            <w:pPr>
              <w:bidi w:val="0"/>
              <w:jc w:val="right"/>
              <w:rPr>
                <w:rFonts w:ascii="Times New Roman" w:hAnsi="Times New Roman"/>
                <w:b/>
                <w:color w:val="000000"/>
                <w:sz w:val="18"/>
                <w:szCs w:val="18"/>
              </w:rPr>
            </w:pPr>
          </w:p>
        </w:tc>
      </w:tr>
    </w:tbl>
    <w:p w:rsidR="00274C5B" w:rsidRPr="008B7DEB" w:rsidP="00274C5B">
      <w:pPr>
        <w:pStyle w:val="FootnoteText"/>
        <w:numPr>
          <w:numId w:val="43"/>
        </w:numPr>
        <w:bidi w:val="0"/>
        <w:rPr>
          <w:rFonts w:ascii="Times New Roman" w:hAnsi="Times New Roman"/>
          <w:sz w:val="18"/>
          <w:szCs w:val="18"/>
          <w:lang w:val="sk-SK"/>
        </w:rPr>
      </w:pPr>
      <w:r w:rsidRPr="00274C5B">
        <w:rPr>
          <w:rFonts w:ascii="Times New Roman" w:hAnsi="Times New Roman"/>
          <w:sz w:val="18"/>
          <w:szCs w:val="18"/>
          <w:lang w:val="sk-SK"/>
        </w:rPr>
        <w:t>Príspevky na sociálne zabezpečenie,</w:t>
      </w:r>
      <w:r w:rsidRPr="008B7DEB">
        <w:rPr>
          <w:rFonts w:ascii="Times New Roman" w:hAnsi="Times New Roman"/>
          <w:sz w:val="18"/>
          <w:szCs w:val="18"/>
          <w:lang w:val="sk-SK"/>
        </w:rPr>
        <w:t xml:space="preserve"> neobsahujú okrem štátom plateného poistného aj príjm</w:t>
      </w:r>
      <w:r>
        <w:rPr>
          <w:rFonts w:ascii="Times New Roman" w:hAnsi="Times New Roman"/>
          <w:sz w:val="18"/>
          <w:szCs w:val="18"/>
          <w:lang w:val="sk-SK"/>
        </w:rPr>
        <w:t>y z odvodov za ozbrojené zložky</w:t>
      </w:r>
      <w:r w:rsidR="00DC22F3">
        <w:rPr>
          <w:rFonts w:ascii="Times New Roman" w:hAnsi="Times New Roman"/>
          <w:sz w:val="18"/>
          <w:szCs w:val="18"/>
          <w:lang w:val="sk-SK"/>
        </w:rPr>
        <w:t>,</w:t>
      </w:r>
      <w:r>
        <w:rPr>
          <w:rFonts w:ascii="Times New Roman" w:hAnsi="Times New Roman"/>
          <w:sz w:val="18"/>
          <w:szCs w:val="18"/>
          <w:lang w:val="sk-SK"/>
        </w:rPr>
        <w:t xml:space="preserve"> penále</w:t>
      </w:r>
      <w:r w:rsidR="00DC22F3">
        <w:rPr>
          <w:rFonts w:ascii="Times New Roman" w:hAnsi="Times New Roman"/>
          <w:sz w:val="18"/>
          <w:szCs w:val="18"/>
          <w:lang w:val="sk-SK"/>
        </w:rPr>
        <w:t xml:space="preserve"> a imputované po</w:t>
      </w:r>
      <w:r w:rsidR="00826BC6">
        <w:rPr>
          <w:rFonts w:ascii="Times New Roman" w:hAnsi="Times New Roman"/>
          <w:sz w:val="18"/>
          <w:szCs w:val="18"/>
          <w:lang w:val="sk-SK"/>
        </w:rPr>
        <w:t>i</w:t>
      </w:r>
      <w:r w:rsidR="00DC22F3">
        <w:rPr>
          <w:rFonts w:ascii="Times New Roman" w:hAnsi="Times New Roman"/>
          <w:sz w:val="18"/>
          <w:szCs w:val="18"/>
          <w:lang w:val="sk-SK"/>
        </w:rPr>
        <w:t>stné.</w:t>
      </w:r>
      <w:r>
        <w:rPr>
          <w:rFonts w:ascii="Times New Roman" w:hAnsi="Times New Roman"/>
          <w:sz w:val="18"/>
          <w:szCs w:val="18"/>
          <w:lang w:val="sk-SK"/>
        </w:rPr>
        <w:tab/>
        <w:tab/>
        <w:tab/>
        <w:tab/>
      </w:r>
      <w:r w:rsidR="008F0F91">
        <w:rPr>
          <w:rFonts w:ascii="Times New Roman" w:hAnsi="Times New Roman"/>
          <w:sz w:val="18"/>
          <w:szCs w:val="18"/>
          <w:lang w:val="sk-SK"/>
        </w:rPr>
        <w:tab/>
        <w:t xml:space="preserve">       </w:t>
      </w:r>
      <w:r>
        <w:rPr>
          <w:rFonts w:ascii="Times New Roman" w:hAnsi="Times New Roman"/>
          <w:sz w:val="18"/>
          <w:szCs w:val="18"/>
          <w:lang w:val="sk-SK"/>
        </w:rPr>
        <w:t>Zdroj: IFP, MF SR</w:t>
      </w:r>
    </w:p>
    <w:p w:rsidR="008B7DEB" w:rsidP="008F0F91">
      <w:pPr>
        <w:bidi w:val="0"/>
        <w:spacing w:before="120" w:after="120" w:line="336" w:lineRule="auto"/>
        <w:jc w:val="both"/>
        <w:rPr>
          <w:rFonts w:ascii="Times New Roman" w:hAnsi="Times New Roman"/>
          <w:sz w:val="22"/>
          <w:szCs w:val="22"/>
        </w:rPr>
      </w:pPr>
      <w:r>
        <w:rPr>
          <w:rFonts w:ascii="Times New Roman" w:hAnsi="Times New Roman"/>
          <w:sz w:val="22"/>
          <w:szCs w:val="22"/>
        </w:rPr>
        <w:t xml:space="preserve">Prekvapivo pozitívny vývoj bol v prípade sociálnych a zdravotných odvodov, ktoré v roku 2015 rástli rýchlejšie ako mzdová báza. </w:t>
      </w:r>
      <w:r w:rsidR="000775E8">
        <w:rPr>
          <w:rFonts w:ascii="Times New Roman" w:hAnsi="Times New Roman"/>
          <w:sz w:val="22"/>
          <w:szCs w:val="22"/>
        </w:rPr>
        <w:t>V</w:t>
      </w:r>
      <w:r>
        <w:rPr>
          <w:rFonts w:ascii="Times New Roman" w:hAnsi="Times New Roman"/>
          <w:sz w:val="22"/>
          <w:szCs w:val="22"/>
        </w:rPr>
        <w:t>ýnos sociálnych odvodov z poistného za ekonomicky aktívne osoby oproti rozpočtu vzrástol o 203 115 tis. eur.</w:t>
      </w:r>
      <w:r w:rsidR="00DB6F6A">
        <w:rPr>
          <w:rFonts w:ascii="Times New Roman" w:hAnsi="Times New Roman"/>
          <w:sz w:val="22"/>
          <w:szCs w:val="22"/>
        </w:rPr>
        <w:t xml:space="preserve"> </w:t>
      </w:r>
      <w:r>
        <w:rPr>
          <w:rFonts w:ascii="Times New Roman" w:hAnsi="Times New Roman"/>
          <w:sz w:val="22"/>
          <w:szCs w:val="22"/>
        </w:rPr>
        <w:t>Z toho pozitívny vývoj na trhu práce tvoril 45% a zvyšok pripadá na vyššiu úspešnosť výberu. V prípade zdravotných odvodov je lepší ako rozpočtovaný výnos poistného od ekonomicky aktívnych osôb o 181 046 tis. eur. Vyšší výnos je výsledkom pozitívneho vývoja na trhu práce, vyššej efektívnosti výberu, ale aj nenaplnenia legislatívn</w:t>
      </w:r>
      <w:r w:rsidR="00DC22F3">
        <w:rPr>
          <w:rFonts w:ascii="Times New Roman" w:hAnsi="Times New Roman"/>
          <w:sz w:val="22"/>
          <w:szCs w:val="22"/>
        </w:rPr>
        <w:t>eho</w:t>
      </w:r>
      <w:r>
        <w:rPr>
          <w:rFonts w:ascii="Times New Roman" w:hAnsi="Times New Roman"/>
          <w:sz w:val="22"/>
          <w:szCs w:val="22"/>
        </w:rPr>
        <w:t xml:space="preserve"> vplyv</w:t>
      </w:r>
      <w:r w:rsidR="00DC22F3">
        <w:rPr>
          <w:rFonts w:ascii="Times New Roman" w:hAnsi="Times New Roman"/>
          <w:sz w:val="22"/>
          <w:szCs w:val="22"/>
        </w:rPr>
        <w:t>u</w:t>
      </w:r>
      <w:r>
        <w:rPr>
          <w:rFonts w:ascii="Times New Roman" w:hAnsi="Times New Roman"/>
          <w:sz w:val="22"/>
          <w:szCs w:val="22"/>
        </w:rPr>
        <w:t>. Od roku 2015 je v platnosti odvodová odpočítateľná položka (OOP) zo zdravotných odvodov. Jej mesačné uplatňovanie je však výrazne nižšie oproti pôvodným predpokladom, čo malo pozitívny vplyv na výnos zdravotných odvodov v roku 2015 a negatívne sa prejaví v ročnom zúčtovaní v roku 2016. V súčasnosti ešte nie je možné vyhodnotiť</w:t>
      </w:r>
      <w:r w:rsidR="00DC22F3">
        <w:rPr>
          <w:rFonts w:ascii="Times New Roman" w:hAnsi="Times New Roman"/>
          <w:sz w:val="22"/>
          <w:szCs w:val="22"/>
        </w:rPr>
        <w:t xml:space="preserve"> finálny</w:t>
      </w:r>
      <w:r>
        <w:rPr>
          <w:rFonts w:ascii="Times New Roman" w:hAnsi="Times New Roman"/>
          <w:sz w:val="22"/>
          <w:szCs w:val="22"/>
        </w:rPr>
        <w:t xml:space="preserve"> vplyv OOP na výnos zdravotných odvodov v roku 2015. </w:t>
      </w:r>
    </w:p>
    <w:p w:rsidR="008B7DEB" w:rsidP="008B7DEB">
      <w:pPr>
        <w:bidi w:val="0"/>
        <w:spacing w:after="120" w:line="336" w:lineRule="auto"/>
        <w:jc w:val="both"/>
        <w:rPr>
          <w:rFonts w:ascii="Times New Roman" w:hAnsi="Times New Roman"/>
          <w:sz w:val="22"/>
          <w:szCs w:val="22"/>
        </w:rPr>
      </w:pPr>
      <w:r>
        <w:rPr>
          <w:rFonts w:ascii="Times New Roman" w:hAnsi="Times New Roman"/>
          <w:sz w:val="22"/>
          <w:szCs w:val="22"/>
        </w:rPr>
        <w:t xml:space="preserve">V prípade dane z pridanej hodnoty (DPH) vyšší výnos možno pripísať silnému domácemu dopytu a pokračujúcemu rastu úspešnosti výberu dane. Okrem pozitívneho príspevku konečnej spotreby domácností v druhej polovici roka výrazne rástli aj výdavky verejnej správy z dôvodu zvýšeného čerpania eurofondov. Vyššia úspešnosť výberu DPH sa prejavila aj vo výnose dane z príjmov právnických osôb (DPPO). Takmer celé zlepšenie DPPO možno pripísať vyššej úspešnosti výberu. V prípade DPPO </w:t>
      </w:r>
      <w:r w:rsidR="000775E8">
        <w:rPr>
          <w:rFonts w:ascii="Times New Roman" w:hAnsi="Times New Roman"/>
          <w:sz w:val="22"/>
          <w:szCs w:val="22"/>
        </w:rPr>
        <w:t>však ide</w:t>
      </w:r>
      <w:r>
        <w:rPr>
          <w:rFonts w:ascii="Times New Roman" w:hAnsi="Times New Roman"/>
          <w:sz w:val="22"/>
          <w:szCs w:val="22"/>
        </w:rPr>
        <w:t xml:space="preserve"> o odhad, pretože daňové priznania za rok 2015 podávajú podnikateľské subjekty v roku 2016 a skutočný výnos dane bude známy až na začiatku roka 2017. V roku 2015 vstúpilo do platnosti viacero opatrení zameraných na zvýšenie úspešnosti výberu dane ako napríklad zmeny v odpisovaní dlhodobého majetku a zavedenie pravidiel nízkej kapitalizácie. </w:t>
      </w:r>
    </w:p>
    <w:p w:rsidR="008B7DEB" w:rsidP="008B7DEB">
      <w:pPr>
        <w:bidi w:val="0"/>
        <w:spacing w:after="120" w:line="336" w:lineRule="auto"/>
        <w:jc w:val="both"/>
        <w:rPr>
          <w:rFonts w:ascii="Times New Roman" w:hAnsi="Times New Roman"/>
          <w:sz w:val="22"/>
          <w:szCs w:val="22"/>
        </w:rPr>
      </w:pPr>
      <w:r>
        <w:rPr>
          <w:rFonts w:ascii="Times New Roman" w:hAnsi="Times New Roman"/>
          <w:sz w:val="22"/>
          <w:szCs w:val="22"/>
        </w:rPr>
        <w:t xml:space="preserve">V prípade </w:t>
      </w:r>
      <w:r w:rsidR="00E65222">
        <w:rPr>
          <w:rFonts w:ascii="Times New Roman" w:hAnsi="Times New Roman"/>
          <w:sz w:val="22"/>
          <w:szCs w:val="22"/>
        </w:rPr>
        <w:t>dane z príjmov fyzických osôb (</w:t>
      </w:r>
      <w:r>
        <w:rPr>
          <w:rFonts w:ascii="Times New Roman" w:hAnsi="Times New Roman"/>
          <w:sz w:val="22"/>
          <w:szCs w:val="22"/>
        </w:rPr>
        <w:t>DPFO</w:t>
      </w:r>
      <w:r w:rsidR="00E65222">
        <w:rPr>
          <w:rFonts w:ascii="Times New Roman" w:hAnsi="Times New Roman"/>
          <w:sz w:val="22"/>
          <w:szCs w:val="22"/>
        </w:rPr>
        <w:t>)</w:t>
      </w:r>
      <w:r>
        <w:rPr>
          <w:rFonts w:ascii="Times New Roman" w:hAnsi="Times New Roman"/>
          <w:sz w:val="22"/>
          <w:szCs w:val="22"/>
        </w:rPr>
        <w:t xml:space="preserve"> sa na celko</w:t>
      </w:r>
      <w:r w:rsidR="008F0F91">
        <w:rPr>
          <w:rFonts w:ascii="Times New Roman" w:hAnsi="Times New Roman"/>
          <w:sz w:val="22"/>
          <w:szCs w:val="22"/>
        </w:rPr>
        <w:t>vom rozdiele oproti rozpočtu vo </w:t>
      </w:r>
      <w:r>
        <w:rPr>
          <w:rFonts w:ascii="Times New Roman" w:hAnsi="Times New Roman"/>
          <w:sz w:val="22"/>
          <w:szCs w:val="22"/>
        </w:rPr>
        <w:t>výške 77 002 tis. eur podieľal najmä výber dane zo závislej činnosti v sume 70 47</w:t>
      </w:r>
      <w:r w:rsidR="006935FE">
        <w:rPr>
          <w:rFonts w:ascii="Times New Roman" w:hAnsi="Times New Roman"/>
          <w:sz w:val="22"/>
          <w:szCs w:val="22"/>
        </w:rPr>
        <w:t>7</w:t>
      </w:r>
      <w:r>
        <w:rPr>
          <w:rFonts w:ascii="Times New Roman" w:hAnsi="Times New Roman"/>
          <w:sz w:val="22"/>
          <w:szCs w:val="22"/>
        </w:rPr>
        <w:t xml:space="preserve"> tis. eur. Vplyv pozitívneho vývoja na trhu práce a vyššej úspešnosti výberu dane bol takmer identický. Zvyšných 6 525 tis. eur rozdielu tvoril vyšší výnos DPFO z podnikania.</w:t>
      </w:r>
    </w:p>
    <w:tbl>
      <w:tblPr>
        <w:tblStyle w:val="TableNormal"/>
        <w:tblW w:w="9040" w:type="dxa"/>
        <w:tblInd w:w="55" w:type="dxa"/>
        <w:tblCellMar>
          <w:left w:w="70" w:type="dxa"/>
          <w:right w:w="70" w:type="dxa"/>
        </w:tblCellMar>
        <w:tblLook w:val="04A0"/>
      </w:tblPr>
      <w:tblGrid>
        <w:gridCol w:w="6770"/>
        <w:gridCol w:w="1070"/>
        <w:gridCol w:w="1200"/>
      </w:tblGrid>
      <w:tr>
        <w:tblPrEx>
          <w:tblW w:w="9040" w:type="dxa"/>
          <w:tblInd w:w="55" w:type="dxa"/>
          <w:tblCellMar>
            <w:left w:w="70" w:type="dxa"/>
            <w:right w:w="70" w:type="dxa"/>
          </w:tblCellMar>
          <w:tblLook w:val="04A0"/>
        </w:tblPrEx>
        <w:trPr>
          <w:trHeight w:val="330"/>
        </w:trPr>
        <w:tc>
          <w:tcPr>
            <w:tcW w:w="7840" w:type="dxa"/>
            <w:gridSpan w:val="2"/>
            <w:tcBorders>
              <w:top w:val="nil"/>
              <w:left w:val="nil"/>
              <w:bottom w:val="nil"/>
              <w:right w:val="nil"/>
            </w:tcBorders>
            <w:shd w:val="clear" w:color="000000" w:fill="000000"/>
            <w:noWrap/>
            <w:textDirection w:val="lrTb"/>
            <w:vAlign w:val="center"/>
            <w:hideMark/>
          </w:tcPr>
          <w:p w:rsidR="00073C56" w:rsidRPr="00073C56" w:rsidP="00073C56">
            <w:pPr>
              <w:bidi w:val="0"/>
              <w:rPr>
                <w:rFonts w:ascii="Times New Roman" w:hAnsi="Times New Roman"/>
                <w:b/>
                <w:bCs/>
                <w:color w:val="FFFFFF"/>
                <w:sz w:val="20"/>
                <w:szCs w:val="20"/>
              </w:rPr>
            </w:pPr>
            <w:r w:rsidRPr="00073C56">
              <w:rPr>
                <w:rFonts w:ascii="Times New Roman" w:hAnsi="Times New Roman"/>
                <w:b/>
                <w:bCs/>
                <w:color w:val="FFFFFF"/>
                <w:sz w:val="20"/>
                <w:szCs w:val="20"/>
              </w:rPr>
              <w:t xml:space="preserve">Saldo verejnej správy v roku 2015 podľa ESA2010                                                                            </w:t>
            </w:r>
          </w:p>
        </w:tc>
        <w:tc>
          <w:tcPr>
            <w:tcW w:w="1200" w:type="dxa"/>
            <w:tcBorders>
              <w:top w:val="nil"/>
              <w:left w:val="nil"/>
              <w:bottom w:val="nil"/>
              <w:right w:val="nil"/>
            </w:tcBorders>
            <w:shd w:val="clear" w:color="000000" w:fill="000000"/>
            <w:noWrap/>
            <w:textDirection w:val="lrTb"/>
            <w:vAlign w:val="center"/>
            <w:hideMark/>
          </w:tcPr>
          <w:p w:rsidR="00073C56" w:rsidRPr="00073C56" w:rsidP="00073C56">
            <w:pPr>
              <w:bidi w:val="0"/>
              <w:jc w:val="right"/>
              <w:rPr>
                <w:rFonts w:ascii="Times New Roman" w:hAnsi="Times New Roman"/>
                <w:b/>
                <w:bCs/>
                <w:color w:val="FFFFFF"/>
                <w:sz w:val="20"/>
                <w:szCs w:val="20"/>
              </w:rPr>
            </w:pPr>
            <w:r w:rsidRPr="00073C56">
              <w:rPr>
                <w:rFonts w:ascii="Times New Roman" w:hAnsi="Times New Roman"/>
                <w:b/>
                <w:bCs/>
                <w:color w:val="FFFFFF"/>
                <w:sz w:val="20"/>
                <w:szCs w:val="20"/>
              </w:rPr>
              <w:t>v tis. eur</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shd w:val="clear" w:color="000000" w:fill="BFBFBF"/>
            <w:noWrap/>
            <w:textDirection w:val="lrTb"/>
            <w:vAlign w:val="center"/>
            <w:hideMark/>
          </w:tcPr>
          <w:p w:rsidR="00073C56" w:rsidRPr="00073C56" w:rsidP="00073C56">
            <w:pPr>
              <w:bidi w:val="0"/>
              <w:rPr>
                <w:rFonts w:ascii="Times New Roman" w:hAnsi="Times New Roman"/>
                <w:b/>
                <w:bCs/>
                <w:color w:val="000000"/>
                <w:sz w:val="20"/>
                <w:szCs w:val="20"/>
              </w:rPr>
            </w:pPr>
            <w:r w:rsidRPr="00073C56">
              <w:rPr>
                <w:rFonts w:ascii="Times New Roman" w:hAnsi="Times New Roman"/>
                <w:b/>
                <w:bCs/>
                <w:color w:val="000000"/>
                <w:sz w:val="20"/>
                <w:szCs w:val="20"/>
              </w:rPr>
              <w:t> </w:t>
            </w:r>
          </w:p>
        </w:tc>
        <w:tc>
          <w:tcPr>
            <w:tcW w:w="1070" w:type="dxa"/>
            <w:tcBorders>
              <w:top w:val="nil"/>
              <w:left w:val="nil"/>
              <w:bottom w:val="nil"/>
              <w:right w:val="nil"/>
            </w:tcBorders>
            <w:shd w:val="clear" w:color="000000" w:fill="BFBFBF"/>
            <w:noWrap/>
            <w:textDirection w:val="lrTb"/>
            <w:vAlign w:val="center"/>
            <w:hideMark/>
          </w:tcPr>
          <w:p w:rsidR="00073C56" w:rsidRPr="00073C56" w:rsidP="00073C56">
            <w:pPr>
              <w:bidi w:val="0"/>
              <w:jc w:val="center"/>
              <w:rPr>
                <w:rFonts w:ascii="Times New Roman" w:hAnsi="Times New Roman"/>
                <w:b/>
                <w:bCs/>
                <w:color w:val="000000"/>
                <w:sz w:val="20"/>
                <w:szCs w:val="20"/>
              </w:rPr>
            </w:pPr>
            <w:r w:rsidRPr="00073C56">
              <w:rPr>
                <w:rFonts w:ascii="Times New Roman" w:hAnsi="Times New Roman"/>
                <w:b/>
                <w:bCs/>
                <w:color w:val="000000"/>
                <w:sz w:val="20"/>
                <w:szCs w:val="20"/>
              </w:rPr>
              <w:t>2015</w:t>
            </w:r>
          </w:p>
        </w:tc>
        <w:tc>
          <w:tcPr>
            <w:tcW w:w="1200" w:type="dxa"/>
            <w:vMerge w:val="restart"/>
            <w:tcBorders>
              <w:top w:val="nil"/>
              <w:left w:val="nil"/>
              <w:bottom w:val="nil"/>
              <w:right w:val="nil"/>
            </w:tcBorders>
            <w:shd w:val="clear" w:color="000000" w:fill="BFBFBF"/>
            <w:textDirection w:val="lrTb"/>
            <w:vAlign w:val="center"/>
            <w:hideMark/>
          </w:tcPr>
          <w:p w:rsidR="00073C56" w:rsidRPr="00073C56" w:rsidP="00073C56">
            <w:pPr>
              <w:bidi w:val="0"/>
              <w:jc w:val="center"/>
              <w:rPr>
                <w:rFonts w:ascii="Times New Roman" w:hAnsi="Times New Roman"/>
                <w:b/>
                <w:bCs/>
                <w:color w:val="000000"/>
                <w:sz w:val="20"/>
                <w:szCs w:val="20"/>
              </w:rPr>
            </w:pPr>
            <w:r w:rsidRPr="00073C56">
              <w:rPr>
                <w:rFonts w:ascii="Times New Roman" w:hAnsi="Times New Roman"/>
                <w:b/>
                <w:bCs/>
                <w:color w:val="000000"/>
                <w:sz w:val="20"/>
                <w:szCs w:val="20"/>
              </w:rPr>
              <w:t>Rozdiel</w:t>
              <w:br/>
              <w:t>(% HDP)</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shd w:val="clear" w:color="000000" w:fill="BFBFBF"/>
            <w:noWrap/>
            <w:textDirection w:val="lrTb"/>
            <w:vAlign w:val="center"/>
            <w:hideMark/>
          </w:tcPr>
          <w:p w:rsidR="00073C56" w:rsidRPr="00073C56" w:rsidP="00073C56">
            <w:pPr>
              <w:bidi w:val="0"/>
              <w:rPr>
                <w:rFonts w:ascii="Times New Roman" w:hAnsi="Times New Roman"/>
                <w:b/>
                <w:bCs/>
                <w:color w:val="000000"/>
                <w:sz w:val="20"/>
                <w:szCs w:val="20"/>
              </w:rPr>
            </w:pPr>
            <w:r w:rsidRPr="00073C56">
              <w:rPr>
                <w:rFonts w:ascii="Times New Roman" w:hAnsi="Times New Roman"/>
                <w:b/>
                <w:bCs/>
                <w:color w:val="000000"/>
                <w:sz w:val="20"/>
                <w:szCs w:val="20"/>
              </w:rPr>
              <w:t> </w:t>
            </w:r>
          </w:p>
        </w:tc>
        <w:tc>
          <w:tcPr>
            <w:tcW w:w="1070" w:type="dxa"/>
            <w:tcBorders>
              <w:top w:val="nil"/>
              <w:left w:val="nil"/>
              <w:bottom w:val="nil"/>
              <w:right w:val="nil"/>
            </w:tcBorders>
            <w:shd w:val="clear" w:color="000000" w:fill="BFBFBF"/>
            <w:noWrap/>
            <w:textDirection w:val="lrTb"/>
            <w:vAlign w:val="center"/>
            <w:hideMark/>
          </w:tcPr>
          <w:p w:rsidR="00073C56" w:rsidRPr="00073C56" w:rsidP="00073C56">
            <w:pPr>
              <w:bidi w:val="0"/>
              <w:jc w:val="center"/>
              <w:rPr>
                <w:rFonts w:ascii="Times New Roman" w:hAnsi="Times New Roman"/>
                <w:b/>
                <w:bCs/>
                <w:color w:val="000000"/>
                <w:sz w:val="20"/>
                <w:szCs w:val="20"/>
              </w:rPr>
            </w:pPr>
            <w:r w:rsidRPr="00073C56">
              <w:rPr>
                <w:rFonts w:ascii="Times New Roman" w:hAnsi="Times New Roman"/>
                <w:b/>
                <w:bCs/>
                <w:color w:val="000000"/>
                <w:sz w:val="20"/>
                <w:szCs w:val="20"/>
              </w:rPr>
              <w:t>(S - R)</w:t>
            </w:r>
          </w:p>
        </w:tc>
        <w:tc>
          <w:tcPr>
            <w:tcW w:w="1200" w:type="dxa"/>
            <w:vMerge/>
            <w:tcBorders>
              <w:top w:val="nil"/>
              <w:left w:val="nil"/>
              <w:bottom w:val="nil"/>
              <w:right w:val="nil"/>
            </w:tcBorders>
            <w:textDirection w:val="lrTb"/>
            <w:vAlign w:val="center"/>
            <w:hideMark/>
          </w:tcPr>
          <w:p w:rsidR="00073C56" w:rsidRPr="00073C56" w:rsidP="00073C56">
            <w:pPr>
              <w:bidi w:val="0"/>
              <w:rPr>
                <w:rFonts w:ascii="Times New Roman" w:hAnsi="Times New Roman"/>
                <w:b/>
                <w:bCs/>
                <w:color w:val="000000"/>
                <w:sz w:val="20"/>
                <w:szCs w:val="20"/>
              </w:rPr>
            </w:pP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rPr>
                <w:rFonts w:ascii="Times New Roman" w:hAnsi="Times New Roman"/>
                <w:b/>
                <w:bCs/>
                <w:color w:val="000000"/>
                <w:sz w:val="20"/>
                <w:szCs w:val="20"/>
              </w:rPr>
            </w:pPr>
            <w:r w:rsidRPr="00073C56">
              <w:rPr>
                <w:rFonts w:ascii="Times New Roman" w:hAnsi="Times New Roman"/>
                <w:b/>
                <w:bCs/>
                <w:color w:val="000000"/>
                <w:sz w:val="20"/>
                <w:szCs w:val="20"/>
              </w:rPr>
              <w:t xml:space="preserve">1. Saldo verejnej správy - rozpočet </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b/>
                <w:bCs/>
                <w:color w:val="000000"/>
                <w:sz w:val="20"/>
                <w:szCs w:val="20"/>
              </w:rPr>
            </w:pPr>
            <w:r w:rsidRPr="00073C56">
              <w:rPr>
                <w:rFonts w:ascii="Times New Roman" w:hAnsi="Times New Roman"/>
                <w:b/>
                <w:bCs/>
                <w:color w:val="000000"/>
                <w:sz w:val="20"/>
                <w:szCs w:val="20"/>
              </w:rPr>
              <w:t>-1 940 108</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b/>
                <w:bCs/>
                <w:color w:val="000000"/>
                <w:sz w:val="20"/>
                <w:szCs w:val="20"/>
              </w:rPr>
            </w:pPr>
            <w:r w:rsidRPr="00073C56">
              <w:rPr>
                <w:rFonts w:ascii="Times New Roman" w:hAnsi="Times New Roman"/>
                <w:b/>
                <w:bCs/>
                <w:color w:val="000000"/>
                <w:sz w:val="20"/>
                <w:szCs w:val="20"/>
              </w:rPr>
              <w:t>-2,49</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shd w:val="clear" w:color="000000" w:fill="FFFFFF"/>
            <w:noWrap/>
            <w:textDirection w:val="lrTb"/>
            <w:vAlign w:val="center"/>
            <w:hideMark/>
          </w:tcPr>
          <w:p w:rsidR="00073C56" w:rsidRPr="00073C56" w:rsidP="00073C56">
            <w:pPr>
              <w:bidi w:val="0"/>
              <w:ind w:firstLine="400" w:firstLineChars="200"/>
              <w:rPr>
                <w:rFonts w:ascii="Times New Roman" w:hAnsi="Times New Roman"/>
                <w:color w:val="000000"/>
                <w:sz w:val="20"/>
                <w:szCs w:val="20"/>
              </w:rPr>
            </w:pPr>
            <w:r w:rsidRPr="00073C56">
              <w:rPr>
                <w:rFonts w:ascii="Times New Roman" w:hAnsi="Times New Roman"/>
                <w:color w:val="000000"/>
                <w:sz w:val="20"/>
                <w:szCs w:val="20"/>
              </w:rPr>
              <w:t>1. Daňové a odvodové príjmy verejnej správy</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974 715</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1,25</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400" w:firstLineChars="200"/>
              <w:rPr>
                <w:rFonts w:ascii="Times New Roman" w:hAnsi="Times New Roman"/>
                <w:color w:val="000000"/>
                <w:sz w:val="20"/>
                <w:szCs w:val="20"/>
              </w:rPr>
            </w:pPr>
            <w:r w:rsidRPr="00073C56">
              <w:rPr>
                <w:rFonts w:ascii="Times New Roman" w:hAnsi="Times New Roman"/>
                <w:color w:val="000000"/>
                <w:sz w:val="20"/>
                <w:szCs w:val="20"/>
              </w:rPr>
              <w:t xml:space="preserve">2. Vybrané nedaňové príjmy verejnej správy </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-257 877</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-0,33</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Príjmy z dividend a z odvodov zo zisku</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-158 416</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-0,20</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Kapitálové príjmy štátneho rozpočtu </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-63 237</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-0,08</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Príjmy z predaja emisných kvót</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-68 979</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-0,09</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Príjmy z odvodu z hazardných hier</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32 755</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0,04</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400" w:firstLineChars="200"/>
              <w:rPr>
                <w:rFonts w:ascii="Times New Roman" w:hAnsi="Times New Roman"/>
                <w:color w:val="000000"/>
                <w:sz w:val="20"/>
                <w:szCs w:val="20"/>
              </w:rPr>
            </w:pPr>
            <w:r w:rsidRPr="00073C56">
              <w:rPr>
                <w:rFonts w:ascii="Times New Roman" w:hAnsi="Times New Roman"/>
                <w:color w:val="000000"/>
                <w:sz w:val="20"/>
                <w:szCs w:val="20"/>
              </w:rPr>
              <w:t xml:space="preserve">3. Vybrané hotovostné výdavky štátneho rozpočtu </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225 752</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0,29</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Prenesené výdavky štátneho rozpočtu </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190 102</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0,24</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Výdavky na obsluhu štátneho dlhu (akruál)</w:t>
            </w:r>
            <w:r w:rsidRPr="00073C56">
              <w:rPr>
                <w:rFonts w:ascii="Times New Roman" w:hAnsi="Times New Roman"/>
                <w:color w:val="FF0000"/>
                <w:sz w:val="20"/>
                <w:szCs w:val="20"/>
              </w:rPr>
              <w:t xml:space="preserve"> </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34 101</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0,04</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Výdavky na všeobecné služby</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55 594</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0,07</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D1DF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w:t>
            </w:r>
            <w:r w:rsidR="000D1DF6">
              <w:rPr>
                <w:rFonts w:ascii="Times New Roman" w:hAnsi="Times New Roman"/>
                <w:color w:val="000000"/>
                <w:sz w:val="20"/>
                <w:szCs w:val="20"/>
              </w:rPr>
              <w:t>Nákup d</w:t>
            </w:r>
            <w:r w:rsidRPr="00073C56">
              <w:rPr>
                <w:rFonts w:ascii="Times New Roman" w:hAnsi="Times New Roman"/>
                <w:color w:val="000000"/>
                <w:sz w:val="20"/>
                <w:szCs w:val="20"/>
              </w:rPr>
              <w:t>opravných lietadiel a vrtuľníkov</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-54 045</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-0,07</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400" w:firstLineChars="200"/>
              <w:rPr>
                <w:rFonts w:ascii="Times New Roman" w:hAnsi="Times New Roman"/>
                <w:color w:val="000000"/>
                <w:sz w:val="20"/>
                <w:szCs w:val="20"/>
              </w:rPr>
            </w:pPr>
            <w:r w:rsidRPr="00073C56">
              <w:rPr>
                <w:rFonts w:ascii="Times New Roman" w:hAnsi="Times New Roman"/>
                <w:color w:val="000000"/>
                <w:sz w:val="20"/>
                <w:szCs w:val="20"/>
              </w:rPr>
              <w:t>4. Ostatné vybrané výdavky verejnej správy</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-259 614</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-0,33</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Výdavky sociálneho poistenia</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1 275</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0,00</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Výdavky verejného zdravotného poistenia</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-260 889</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-0,33</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400" w:firstLineChars="200"/>
              <w:rPr>
                <w:rFonts w:ascii="Times New Roman" w:hAnsi="Times New Roman"/>
                <w:color w:val="000000"/>
                <w:sz w:val="20"/>
                <w:szCs w:val="20"/>
              </w:rPr>
            </w:pPr>
            <w:r w:rsidRPr="00073C56">
              <w:rPr>
                <w:rFonts w:ascii="Times New Roman" w:hAnsi="Times New Roman"/>
                <w:color w:val="000000"/>
                <w:sz w:val="20"/>
                <w:szCs w:val="20"/>
              </w:rPr>
              <w:t>5. Vybrané transakcie súvisiace s EÚ</w:t>
            </w:r>
          </w:p>
        </w:tc>
        <w:tc>
          <w:tcPr>
            <w:tcW w:w="1070" w:type="dxa"/>
            <w:tcBorders>
              <w:top w:val="nil"/>
              <w:left w:val="nil"/>
              <w:bottom w:val="nil"/>
              <w:right w:val="nil"/>
            </w:tcBorders>
            <w:noWrap/>
            <w:textDirection w:val="lrTb"/>
            <w:vAlign w:val="center"/>
            <w:hideMark/>
          </w:tcPr>
          <w:p w:rsidR="00073C56" w:rsidRPr="00073C56" w:rsidP="00E905E2">
            <w:pPr>
              <w:bidi w:val="0"/>
              <w:jc w:val="right"/>
              <w:rPr>
                <w:rFonts w:ascii="Times New Roman" w:hAnsi="Times New Roman"/>
                <w:color w:val="000000"/>
                <w:sz w:val="20"/>
                <w:szCs w:val="20"/>
              </w:rPr>
            </w:pPr>
            <w:r w:rsidRPr="00073C56">
              <w:rPr>
                <w:rFonts w:ascii="Times New Roman" w:hAnsi="Times New Roman"/>
                <w:color w:val="000000"/>
                <w:sz w:val="20"/>
                <w:szCs w:val="20"/>
              </w:rPr>
              <w:t>-22</w:t>
            </w:r>
            <w:r w:rsidR="00E905E2">
              <w:rPr>
                <w:rFonts w:ascii="Times New Roman" w:hAnsi="Times New Roman"/>
                <w:color w:val="000000"/>
                <w:sz w:val="20"/>
                <w:szCs w:val="20"/>
              </w:rPr>
              <w:t>9</w:t>
            </w:r>
            <w:r w:rsidRPr="00073C56">
              <w:rPr>
                <w:rFonts w:ascii="Times New Roman" w:hAnsi="Times New Roman"/>
                <w:color w:val="000000"/>
                <w:sz w:val="20"/>
                <w:szCs w:val="20"/>
              </w:rPr>
              <w:t xml:space="preserve"> </w:t>
            </w:r>
            <w:r w:rsidR="00E905E2">
              <w:rPr>
                <w:rFonts w:ascii="Times New Roman" w:hAnsi="Times New Roman"/>
                <w:color w:val="000000"/>
                <w:sz w:val="20"/>
                <w:szCs w:val="20"/>
              </w:rPr>
              <w:t>96</w:t>
            </w:r>
            <w:r w:rsidRPr="00073C56">
              <w:rPr>
                <w:rFonts w:ascii="Times New Roman" w:hAnsi="Times New Roman"/>
                <w:color w:val="000000"/>
                <w:sz w:val="20"/>
                <w:szCs w:val="20"/>
              </w:rPr>
              <w:t>2</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-0,29</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Odvody do rozpočtu EÚ</w:t>
            </w:r>
          </w:p>
        </w:tc>
        <w:tc>
          <w:tcPr>
            <w:tcW w:w="1070" w:type="dxa"/>
            <w:tcBorders>
              <w:top w:val="nil"/>
              <w:left w:val="nil"/>
              <w:bottom w:val="nil"/>
              <w:right w:val="nil"/>
            </w:tcBorders>
            <w:noWrap/>
            <w:textDirection w:val="lrTb"/>
            <w:vAlign w:val="center"/>
            <w:hideMark/>
          </w:tcPr>
          <w:p w:rsidR="00073C56" w:rsidRPr="00073C56" w:rsidP="00E905E2">
            <w:pPr>
              <w:bidi w:val="0"/>
              <w:jc w:val="right"/>
              <w:rPr>
                <w:rFonts w:ascii="Times New Roman" w:hAnsi="Times New Roman"/>
                <w:color w:val="000000"/>
                <w:sz w:val="20"/>
                <w:szCs w:val="20"/>
              </w:rPr>
            </w:pPr>
            <w:r w:rsidRPr="00073C56">
              <w:rPr>
                <w:rFonts w:ascii="Times New Roman" w:hAnsi="Times New Roman"/>
                <w:color w:val="000000"/>
                <w:sz w:val="20"/>
                <w:szCs w:val="20"/>
              </w:rPr>
              <w:t>10</w:t>
            </w:r>
            <w:r w:rsidR="00E905E2">
              <w:rPr>
                <w:rFonts w:ascii="Times New Roman" w:hAnsi="Times New Roman"/>
                <w:color w:val="000000"/>
                <w:sz w:val="20"/>
                <w:szCs w:val="20"/>
              </w:rPr>
              <w:t>0</w:t>
            </w:r>
            <w:r w:rsidRPr="00073C56">
              <w:rPr>
                <w:rFonts w:ascii="Times New Roman" w:hAnsi="Times New Roman"/>
                <w:color w:val="000000"/>
                <w:sz w:val="20"/>
                <w:szCs w:val="20"/>
              </w:rPr>
              <w:t xml:space="preserve"> </w:t>
            </w:r>
            <w:r w:rsidR="00E905E2">
              <w:rPr>
                <w:rFonts w:ascii="Times New Roman" w:hAnsi="Times New Roman"/>
                <w:color w:val="000000"/>
                <w:sz w:val="20"/>
                <w:szCs w:val="20"/>
              </w:rPr>
              <w:t>491</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0,13</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Spolufinancovanie zo štátneho rozpočtu </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-87 166</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-0,11</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Korekcie k fondom EÚ </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-226 134</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-0,29</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Korekcia k fondom EÚ z ukončenia I. programového obdobia</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-17 153</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-0,02</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400" w:firstLineChars="200"/>
              <w:rPr>
                <w:rFonts w:ascii="Times New Roman" w:hAnsi="Times New Roman"/>
                <w:color w:val="000000"/>
                <w:sz w:val="20"/>
                <w:szCs w:val="20"/>
              </w:rPr>
            </w:pPr>
            <w:r w:rsidRPr="00073C56">
              <w:rPr>
                <w:rFonts w:ascii="Times New Roman" w:hAnsi="Times New Roman"/>
                <w:color w:val="000000"/>
                <w:sz w:val="20"/>
                <w:szCs w:val="20"/>
              </w:rPr>
              <w:t>6. Ostatné vybrané vplyvy na schodok rozpočtu verejnej správy</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-809 271</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-1,04</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Zmena stavu pohľadávok a záväzkov štátneho rozpočtu</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-22 834</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-0,03</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2200" w:firstLineChars="1100"/>
              <w:rPr>
                <w:rFonts w:ascii="Times New Roman" w:hAnsi="Times New Roman"/>
                <w:color w:val="000000"/>
                <w:sz w:val="20"/>
                <w:szCs w:val="20"/>
              </w:rPr>
            </w:pPr>
            <w:r w:rsidRPr="00073C56">
              <w:rPr>
                <w:rFonts w:ascii="Times New Roman" w:hAnsi="Times New Roman"/>
                <w:color w:val="000000"/>
                <w:sz w:val="20"/>
                <w:szCs w:val="20"/>
              </w:rPr>
              <w:t xml:space="preserve"> - Zmena stavu pohľadávok</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164 714</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0,21</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2200" w:firstLineChars="1100"/>
              <w:rPr>
                <w:rFonts w:ascii="Times New Roman" w:hAnsi="Times New Roman"/>
                <w:color w:val="000000"/>
                <w:sz w:val="20"/>
                <w:szCs w:val="20"/>
              </w:rPr>
            </w:pPr>
            <w:r w:rsidRPr="00073C56">
              <w:rPr>
                <w:rFonts w:ascii="Times New Roman" w:hAnsi="Times New Roman"/>
                <w:color w:val="000000"/>
                <w:sz w:val="20"/>
                <w:szCs w:val="20"/>
              </w:rPr>
              <w:t xml:space="preserve"> - Zmena stavu záväzkov</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-187 548</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-0,24</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Zaradenie príjmov Národného rezolučného fondu</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33 510</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0,04</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Zhoršenie hospodárenia zdravotníckych zariadení</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-19 371</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-0,02</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Zhoršenie hospodárenia ostatných subjektov verejnej správy</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-12 596</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-0,02</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Zhoršenie hospodárenia Železníc SR</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-16 044</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-0,02</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Zlepšenie hospodárenia Železničnej spoločnosti Slovensko, a.s.</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2 117</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0,00</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Zlepšenie hospodárenia Slovenskej reštrukturalizačnej, s.r.o.</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14 494</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0,02</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Zlepšenie hospodárenia MH Invest, s.r.o.</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40 619</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0,05</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Vylúčenie príjmu z II. piliera Sociálnej poisťovne</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-579 356</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-0,74</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Nezaradenie NFV od Cargo, a.s. do príjmov ŠR</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-97 720</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-0,13</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noWrap/>
            <w:textDirection w:val="lrTb"/>
            <w:vAlign w:val="center"/>
            <w:hideMark/>
          </w:tcPr>
          <w:p w:rsidR="00073C56" w:rsidRPr="00073C56" w:rsidP="00073C56">
            <w:pPr>
              <w:bidi w:val="0"/>
              <w:ind w:firstLine="600" w:firstLineChars="300"/>
              <w:rPr>
                <w:rFonts w:ascii="Times New Roman" w:hAnsi="Times New Roman"/>
                <w:color w:val="000000"/>
                <w:sz w:val="20"/>
                <w:szCs w:val="20"/>
              </w:rPr>
            </w:pPr>
            <w:r w:rsidRPr="00073C56">
              <w:rPr>
                <w:rFonts w:ascii="Times New Roman" w:hAnsi="Times New Roman"/>
                <w:color w:val="000000"/>
                <w:sz w:val="20"/>
                <w:szCs w:val="20"/>
              </w:rPr>
              <w:t xml:space="preserve"> - Zhoršenie hospodárenia územnej samosprávy</w:t>
            </w:r>
          </w:p>
        </w:tc>
        <w:tc>
          <w:tcPr>
            <w:tcW w:w="107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-152 090</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color w:val="000000"/>
                <w:sz w:val="20"/>
                <w:szCs w:val="20"/>
              </w:rPr>
            </w:pPr>
            <w:r w:rsidRPr="00073C56">
              <w:rPr>
                <w:rFonts w:ascii="Times New Roman" w:hAnsi="Times New Roman"/>
                <w:color w:val="000000"/>
                <w:sz w:val="20"/>
                <w:szCs w:val="20"/>
              </w:rPr>
              <w:t>-0,19</w:t>
            </w:r>
          </w:p>
        </w:tc>
      </w:tr>
      <w:tr>
        <w:tblPrEx>
          <w:tblW w:w="9040" w:type="dxa"/>
          <w:tblInd w:w="55" w:type="dxa"/>
          <w:tblCellMar>
            <w:left w:w="70" w:type="dxa"/>
            <w:right w:w="70" w:type="dxa"/>
          </w:tblCellMar>
          <w:tblLook w:val="04A0"/>
        </w:tblPrEx>
        <w:trPr>
          <w:trHeight w:val="345"/>
        </w:trPr>
        <w:tc>
          <w:tcPr>
            <w:tcW w:w="6770" w:type="dxa"/>
            <w:tcBorders>
              <w:top w:val="nil"/>
              <w:left w:val="nil"/>
              <w:bottom w:val="single" w:sz="8" w:space="0" w:color="auto"/>
              <w:right w:val="nil"/>
            </w:tcBorders>
            <w:noWrap/>
            <w:textDirection w:val="lrTb"/>
            <w:vAlign w:val="center"/>
            <w:hideMark/>
          </w:tcPr>
          <w:p w:rsidR="00073C56" w:rsidRPr="00073C56" w:rsidP="00073C56">
            <w:pPr>
              <w:bidi w:val="0"/>
              <w:rPr>
                <w:rFonts w:ascii="Times New Roman" w:hAnsi="Times New Roman"/>
                <w:b/>
                <w:bCs/>
                <w:color w:val="000000"/>
                <w:sz w:val="20"/>
                <w:szCs w:val="20"/>
              </w:rPr>
            </w:pPr>
            <w:r w:rsidRPr="00073C56">
              <w:rPr>
                <w:rFonts w:ascii="Times New Roman" w:hAnsi="Times New Roman"/>
                <w:b/>
                <w:bCs/>
                <w:color w:val="000000"/>
                <w:sz w:val="20"/>
                <w:szCs w:val="20"/>
              </w:rPr>
              <w:t>2. Saldo verejnej správy - skutočnosť</w:t>
            </w:r>
          </w:p>
        </w:tc>
        <w:tc>
          <w:tcPr>
            <w:tcW w:w="1070" w:type="dxa"/>
            <w:tcBorders>
              <w:top w:val="nil"/>
              <w:left w:val="nil"/>
              <w:bottom w:val="single" w:sz="8" w:space="0" w:color="auto"/>
              <w:right w:val="nil"/>
            </w:tcBorders>
            <w:noWrap/>
            <w:textDirection w:val="lrTb"/>
            <w:vAlign w:val="center"/>
            <w:hideMark/>
          </w:tcPr>
          <w:p w:rsidR="00073C56" w:rsidRPr="00073C56" w:rsidP="00073C56">
            <w:pPr>
              <w:bidi w:val="0"/>
              <w:jc w:val="right"/>
              <w:rPr>
                <w:rFonts w:ascii="Times New Roman" w:hAnsi="Times New Roman"/>
                <w:b/>
                <w:bCs/>
                <w:color w:val="000000"/>
                <w:sz w:val="20"/>
                <w:szCs w:val="20"/>
              </w:rPr>
            </w:pPr>
            <w:r w:rsidRPr="00073C56">
              <w:rPr>
                <w:rFonts w:ascii="Times New Roman" w:hAnsi="Times New Roman"/>
                <w:b/>
                <w:bCs/>
                <w:color w:val="000000"/>
                <w:sz w:val="20"/>
                <w:szCs w:val="20"/>
              </w:rPr>
              <w:t>-2 318 236</w:t>
            </w:r>
          </w:p>
        </w:tc>
        <w:tc>
          <w:tcPr>
            <w:tcW w:w="1200" w:type="dxa"/>
            <w:tcBorders>
              <w:top w:val="nil"/>
              <w:left w:val="nil"/>
              <w:bottom w:val="nil"/>
              <w:right w:val="nil"/>
            </w:tcBorders>
            <w:noWrap/>
            <w:textDirection w:val="lrTb"/>
            <w:vAlign w:val="center"/>
            <w:hideMark/>
          </w:tcPr>
          <w:p w:rsidR="00073C56" w:rsidRPr="00073C56" w:rsidP="00073C56">
            <w:pPr>
              <w:bidi w:val="0"/>
              <w:jc w:val="right"/>
              <w:rPr>
                <w:rFonts w:ascii="Times New Roman" w:hAnsi="Times New Roman"/>
                <w:b/>
                <w:bCs/>
                <w:color w:val="000000"/>
                <w:sz w:val="20"/>
                <w:szCs w:val="20"/>
              </w:rPr>
            </w:pPr>
            <w:r w:rsidRPr="00073C56">
              <w:rPr>
                <w:rFonts w:ascii="Times New Roman" w:hAnsi="Times New Roman"/>
                <w:b/>
                <w:bCs/>
                <w:color w:val="000000"/>
                <w:sz w:val="20"/>
                <w:szCs w:val="20"/>
              </w:rPr>
              <w:t>-2,97</w:t>
            </w:r>
          </w:p>
        </w:tc>
      </w:tr>
      <w:tr>
        <w:tblPrEx>
          <w:tblW w:w="9040" w:type="dxa"/>
          <w:tblInd w:w="55" w:type="dxa"/>
          <w:tblCellMar>
            <w:left w:w="70" w:type="dxa"/>
            <w:right w:w="70" w:type="dxa"/>
          </w:tblCellMar>
          <w:tblLook w:val="04A0"/>
        </w:tblPrEx>
        <w:trPr>
          <w:trHeight w:val="330"/>
        </w:trPr>
        <w:tc>
          <w:tcPr>
            <w:tcW w:w="6770" w:type="dxa"/>
            <w:tcBorders>
              <w:top w:val="nil"/>
              <w:left w:val="nil"/>
              <w:bottom w:val="nil"/>
              <w:right w:val="nil"/>
            </w:tcBorders>
            <w:shd w:val="clear" w:color="000000" w:fill="FFFFFF"/>
            <w:noWrap/>
            <w:textDirection w:val="lrTb"/>
            <w:vAlign w:val="center"/>
            <w:hideMark/>
          </w:tcPr>
          <w:p w:rsidR="00073C56" w:rsidRPr="00073C56" w:rsidP="00073C56">
            <w:pPr>
              <w:bidi w:val="0"/>
              <w:rPr>
                <w:rFonts w:ascii="Times New Roman" w:hAnsi="Times New Roman"/>
                <w:i/>
                <w:iCs/>
                <w:color w:val="000000"/>
                <w:sz w:val="16"/>
                <w:szCs w:val="16"/>
              </w:rPr>
            </w:pPr>
            <w:r w:rsidRPr="00073C56">
              <w:rPr>
                <w:rFonts w:ascii="Times New Roman" w:hAnsi="Times New Roman"/>
                <w:i/>
                <w:iCs/>
                <w:color w:val="000000"/>
                <w:sz w:val="16"/>
                <w:szCs w:val="16"/>
              </w:rPr>
              <w:t>Pozn.: (+) znamená pozitívny vplyv a (-) negatívny vplyv na saldo VS</w:t>
            </w:r>
          </w:p>
        </w:tc>
        <w:tc>
          <w:tcPr>
            <w:tcW w:w="2270" w:type="dxa"/>
            <w:gridSpan w:val="2"/>
            <w:tcBorders>
              <w:top w:val="single" w:sz="8" w:space="0" w:color="auto"/>
              <w:left w:val="nil"/>
              <w:bottom w:val="nil"/>
              <w:right w:val="nil"/>
            </w:tcBorders>
            <w:shd w:val="clear" w:color="000000" w:fill="FFFFFF"/>
            <w:noWrap/>
            <w:textDirection w:val="lrTb"/>
            <w:vAlign w:val="center"/>
            <w:hideMark/>
          </w:tcPr>
          <w:p w:rsidR="00073C56" w:rsidRPr="00073C56" w:rsidP="00073C56">
            <w:pPr>
              <w:bidi w:val="0"/>
              <w:jc w:val="center"/>
              <w:rPr>
                <w:rFonts w:ascii="Times New Roman" w:hAnsi="Times New Roman"/>
                <w:color w:val="000000"/>
                <w:sz w:val="20"/>
                <w:szCs w:val="20"/>
              </w:rPr>
            </w:pPr>
            <w:r w:rsidRPr="00073C56">
              <w:rPr>
                <w:rFonts w:ascii="Times New Roman" w:hAnsi="Times New Roman"/>
                <w:color w:val="000000"/>
                <w:sz w:val="20"/>
                <w:szCs w:val="20"/>
              </w:rPr>
              <w:t> </w:t>
            </w:r>
          </w:p>
        </w:tc>
      </w:tr>
    </w:tbl>
    <w:p w:rsidR="00073C56" w:rsidP="008B7DEB">
      <w:pPr>
        <w:bidi w:val="0"/>
        <w:spacing w:after="120" w:line="336" w:lineRule="auto"/>
        <w:jc w:val="both"/>
        <w:rPr>
          <w:rFonts w:ascii="Times New Roman" w:hAnsi="Times New Roman"/>
          <w:sz w:val="22"/>
          <w:szCs w:val="22"/>
        </w:rPr>
      </w:pPr>
    </w:p>
    <w:p w:rsidR="008B7DEB" w:rsidRPr="007856FD" w:rsidP="00000EE1">
      <w:pPr>
        <w:bidi w:val="0"/>
        <w:spacing w:before="120" w:after="120" w:line="336" w:lineRule="auto"/>
        <w:jc w:val="both"/>
        <w:rPr>
          <w:rFonts w:ascii="Times New Roman" w:hAnsi="Times New Roman"/>
          <w:sz w:val="22"/>
          <w:szCs w:val="22"/>
        </w:rPr>
      </w:pPr>
      <w:r w:rsidRPr="007856FD" w:rsidR="007856FD">
        <w:rPr>
          <w:rFonts w:ascii="Times New Roman" w:hAnsi="Times New Roman"/>
          <w:sz w:val="22"/>
          <w:szCs w:val="22"/>
        </w:rPr>
        <w:t xml:space="preserve">Skutočný objem prijatých </w:t>
      </w:r>
      <w:r w:rsidRPr="00AD5904" w:rsidR="007856FD">
        <w:rPr>
          <w:rFonts w:ascii="Times New Roman" w:hAnsi="Times New Roman"/>
          <w:b/>
          <w:sz w:val="22"/>
          <w:szCs w:val="22"/>
        </w:rPr>
        <w:t>dividend</w:t>
      </w:r>
      <w:r w:rsidRPr="007856FD" w:rsidR="007856FD">
        <w:rPr>
          <w:rFonts w:ascii="Times New Roman" w:hAnsi="Times New Roman"/>
          <w:sz w:val="22"/>
          <w:szCs w:val="22"/>
        </w:rPr>
        <w:t xml:space="preserve"> bol v porovnaní s predpokladaným výnosom z dividend nižší o 158 416 tis. eur. Dôvodom vzniku rozdielov v prekročení, prípadne neplnení rozpočtovaného objemu dividend, boli odlišné výsledky hospodárenia dosiahnuté obchodnými spoločnosťami za rok 2014. </w:t>
      </w:r>
      <w:r w:rsidR="00E65222">
        <w:rPr>
          <w:rFonts w:ascii="Times New Roman" w:hAnsi="Times New Roman"/>
          <w:sz w:val="22"/>
          <w:szCs w:val="22"/>
        </w:rPr>
        <w:t>Ostatné v</w:t>
      </w:r>
      <w:r w:rsidRPr="007856FD" w:rsidR="007856FD">
        <w:rPr>
          <w:rFonts w:ascii="Times New Roman" w:hAnsi="Times New Roman"/>
          <w:sz w:val="22"/>
          <w:szCs w:val="22"/>
        </w:rPr>
        <w:t>ýznamné rozdiely boli zaznamenané najmä z pôsobenia zmien interného podnikateľského prostredia spoločnosti Slovenský plynárenský priemysel, a.</w:t>
      </w:r>
      <w:r w:rsidR="00436059">
        <w:rPr>
          <w:rFonts w:ascii="Times New Roman" w:hAnsi="Times New Roman"/>
          <w:sz w:val="22"/>
          <w:szCs w:val="22"/>
        </w:rPr>
        <w:t xml:space="preserve"> </w:t>
      </w:r>
      <w:r w:rsidRPr="007856FD" w:rsidR="007856FD">
        <w:rPr>
          <w:rFonts w:ascii="Times New Roman" w:hAnsi="Times New Roman"/>
          <w:sz w:val="22"/>
          <w:szCs w:val="22"/>
        </w:rPr>
        <w:t>s. (zavŕšenie reorganizácie skupiny SPP) a zmien externého podnikateľského prostredia (regulácia) Slovak Telekomu, a.</w:t>
      </w:r>
      <w:r w:rsidR="007856FD">
        <w:rPr>
          <w:rFonts w:ascii="Times New Roman" w:hAnsi="Times New Roman"/>
          <w:sz w:val="22"/>
          <w:szCs w:val="22"/>
        </w:rPr>
        <w:t xml:space="preserve"> </w:t>
      </w:r>
      <w:r w:rsidRPr="007856FD" w:rsidR="007856FD">
        <w:rPr>
          <w:rFonts w:ascii="Times New Roman" w:hAnsi="Times New Roman"/>
          <w:sz w:val="22"/>
          <w:szCs w:val="22"/>
        </w:rPr>
        <w:t>s., Východoslovenskej energetiky holding, a.s. a Slovenskej elektrizačnej prenosovej sústavy, a.</w:t>
      </w:r>
      <w:r w:rsidR="000B27D0">
        <w:rPr>
          <w:rFonts w:ascii="Times New Roman" w:hAnsi="Times New Roman"/>
          <w:sz w:val="22"/>
          <w:szCs w:val="22"/>
        </w:rPr>
        <w:t xml:space="preserve"> </w:t>
      </w:r>
      <w:r w:rsidRPr="007856FD" w:rsidR="007856FD">
        <w:rPr>
          <w:rFonts w:ascii="Times New Roman" w:hAnsi="Times New Roman"/>
          <w:sz w:val="22"/>
          <w:szCs w:val="22"/>
        </w:rPr>
        <w:t>s. (cezhraničná spolupráca).</w:t>
      </w:r>
    </w:p>
    <w:p w:rsidR="008B7DEB" w:rsidP="00436059">
      <w:pPr>
        <w:bidi w:val="0"/>
        <w:spacing w:after="120" w:line="336" w:lineRule="auto"/>
        <w:jc w:val="both"/>
        <w:rPr>
          <w:rFonts w:ascii="Times New Roman" w:hAnsi="Times New Roman"/>
          <w:sz w:val="22"/>
          <w:szCs w:val="22"/>
        </w:rPr>
      </w:pPr>
      <w:r w:rsidRPr="001A1E11">
        <w:rPr>
          <w:rFonts w:ascii="Times New Roman" w:hAnsi="Times New Roman"/>
          <w:sz w:val="22"/>
          <w:szCs w:val="22"/>
        </w:rPr>
        <w:t xml:space="preserve">Najväčší rozdiel skutočnosti oproti rozpočtovanej čiastke </w:t>
      </w:r>
      <w:r w:rsidR="00AD5904">
        <w:rPr>
          <w:rFonts w:ascii="Times New Roman" w:hAnsi="Times New Roman"/>
          <w:b/>
          <w:sz w:val="22"/>
          <w:szCs w:val="22"/>
        </w:rPr>
        <w:t>kapitálových príjmov</w:t>
      </w:r>
      <w:r w:rsidRPr="00AD5904">
        <w:rPr>
          <w:rFonts w:ascii="Times New Roman" w:hAnsi="Times New Roman"/>
          <w:b/>
          <w:sz w:val="22"/>
          <w:szCs w:val="22"/>
        </w:rPr>
        <w:t xml:space="preserve"> </w:t>
      </w:r>
      <w:r w:rsidR="00AD5904">
        <w:rPr>
          <w:rFonts w:ascii="Times New Roman" w:hAnsi="Times New Roman"/>
          <w:b/>
          <w:sz w:val="22"/>
          <w:szCs w:val="22"/>
        </w:rPr>
        <w:t>štátneho rozpočtu</w:t>
      </w:r>
      <w:r>
        <w:rPr>
          <w:rFonts w:ascii="Times New Roman" w:hAnsi="Times New Roman"/>
          <w:sz w:val="22"/>
          <w:szCs w:val="22"/>
        </w:rPr>
        <w:t xml:space="preserve"> </w:t>
      </w:r>
      <w:r w:rsidRPr="001A1E11">
        <w:rPr>
          <w:rFonts w:ascii="Times New Roman" w:hAnsi="Times New Roman"/>
          <w:sz w:val="22"/>
          <w:szCs w:val="22"/>
        </w:rPr>
        <w:t>bol zaznamenaný v kapitole Ministerstva</w:t>
      </w:r>
      <w:r>
        <w:rPr>
          <w:rFonts w:ascii="Times New Roman" w:hAnsi="Times New Roman"/>
          <w:sz w:val="22"/>
          <w:szCs w:val="22"/>
        </w:rPr>
        <w:t xml:space="preserve"> vnútra SR</w:t>
      </w:r>
      <w:r w:rsidRPr="001A1E11">
        <w:rPr>
          <w:rFonts w:ascii="Times New Roman" w:hAnsi="Times New Roman"/>
          <w:sz w:val="22"/>
          <w:szCs w:val="22"/>
        </w:rPr>
        <w:t xml:space="preserve"> a to až o 32 820 tis. eur, z dôvodu neplnenia príjmov z predaja prebytočného majetku. V kapitole Ministerstva školstva, vedy, výskumu a športu SR bol schválený roz</w:t>
      </w:r>
      <w:r>
        <w:rPr>
          <w:rFonts w:ascii="Times New Roman" w:hAnsi="Times New Roman"/>
          <w:sz w:val="22"/>
          <w:szCs w:val="22"/>
        </w:rPr>
        <w:t>počet vo výške 10 000 tis. eur</w:t>
      </w:r>
      <w:r w:rsidR="00F95783">
        <w:rPr>
          <w:rFonts w:ascii="Times New Roman" w:hAnsi="Times New Roman"/>
          <w:sz w:val="22"/>
          <w:szCs w:val="22"/>
        </w:rPr>
        <w:t>. T</w:t>
      </w:r>
      <w:r w:rsidRPr="001A1E11">
        <w:rPr>
          <w:rFonts w:ascii="Times New Roman" w:hAnsi="Times New Roman"/>
          <w:sz w:val="22"/>
          <w:szCs w:val="22"/>
        </w:rPr>
        <w:t>ieto príjmy mali plynúť z predaja budov v správe rezortu školstva, ktor</w:t>
      </w:r>
      <w:r w:rsidR="00F95783">
        <w:rPr>
          <w:rFonts w:ascii="Times New Roman" w:hAnsi="Times New Roman"/>
          <w:sz w:val="22"/>
          <w:szCs w:val="22"/>
        </w:rPr>
        <w:t>ý sa však neuskutočnil a príjmy tak neboli naplnené.</w:t>
      </w:r>
    </w:p>
    <w:p w:rsidR="008B7DEB" w:rsidRPr="003A662E" w:rsidP="003A662E">
      <w:pPr>
        <w:bidi w:val="0"/>
        <w:spacing w:after="120" w:line="336" w:lineRule="auto"/>
        <w:jc w:val="both"/>
        <w:rPr>
          <w:rFonts w:ascii="Times New Roman" w:hAnsi="Times New Roman"/>
          <w:sz w:val="22"/>
          <w:szCs w:val="22"/>
        </w:rPr>
      </w:pPr>
      <w:r w:rsidRPr="003A662E" w:rsidR="003A662E">
        <w:rPr>
          <w:rFonts w:ascii="Times New Roman" w:hAnsi="Times New Roman"/>
          <w:sz w:val="22"/>
          <w:szCs w:val="22"/>
        </w:rPr>
        <w:t xml:space="preserve">V roku 2015 došlo k zhoršeniu hospodárenia Envirofondu o 88 284 tis. eur. Rozpočtovaný </w:t>
      </w:r>
      <w:r w:rsidRPr="00F95783" w:rsidR="003A662E">
        <w:rPr>
          <w:rFonts w:ascii="Times New Roman" w:hAnsi="Times New Roman"/>
          <w:b/>
          <w:sz w:val="22"/>
          <w:szCs w:val="22"/>
        </w:rPr>
        <w:t>príjem z emisných kvó</w:t>
      </w:r>
      <w:r w:rsidRPr="003A662E" w:rsidR="003A662E">
        <w:rPr>
          <w:rFonts w:ascii="Times New Roman" w:hAnsi="Times New Roman"/>
          <w:b/>
          <w:sz w:val="22"/>
          <w:szCs w:val="22"/>
        </w:rPr>
        <w:t>t</w:t>
      </w:r>
      <w:r w:rsidRPr="003A662E" w:rsidR="003A662E">
        <w:rPr>
          <w:rFonts w:ascii="Times New Roman" w:hAnsi="Times New Roman"/>
          <w:sz w:val="22"/>
          <w:szCs w:val="22"/>
        </w:rPr>
        <w:t xml:space="preserve"> bol 116 659 tis. eur, skutočné príjmy </w:t>
      </w:r>
      <w:r w:rsidR="003A662E">
        <w:rPr>
          <w:rFonts w:ascii="Times New Roman" w:hAnsi="Times New Roman"/>
          <w:sz w:val="22"/>
          <w:szCs w:val="22"/>
        </w:rPr>
        <w:t>boli 47 680 </w:t>
      </w:r>
      <w:r w:rsidRPr="003A662E" w:rsidR="003A662E">
        <w:rPr>
          <w:rFonts w:ascii="Times New Roman" w:hAnsi="Times New Roman"/>
          <w:sz w:val="22"/>
          <w:szCs w:val="22"/>
        </w:rPr>
        <w:t>tis.</w:t>
      </w:r>
      <w:r w:rsidR="003A662E">
        <w:rPr>
          <w:rFonts w:ascii="Times New Roman" w:hAnsi="Times New Roman"/>
          <w:sz w:val="22"/>
          <w:szCs w:val="22"/>
        </w:rPr>
        <w:t> </w:t>
      </w:r>
      <w:r w:rsidRPr="003A662E" w:rsidR="003A662E">
        <w:rPr>
          <w:rFonts w:ascii="Times New Roman" w:hAnsi="Times New Roman"/>
          <w:sz w:val="22"/>
          <w:szCs w:val="22"/>
        </w:rPr>
        <w:t xml:space="preserve">eur, čo predstavuje rozdiel 68 979 tis. eur, z toho vplyv akruálneho zaznamenania príjmov z emisných kvót má negatívny vplyv v sume 36 745 tis. eur. </w:t>
      </w:r>
      <w:r w:rsidR="00F95783">
        <w:rPr>
          <w:rFonts w:ascii="Times New Roman" w:hAnsi="Times New Roman"/>
          <w:sz w:val="22"/>
          <w:szCs w:val="22"/>
        </w:rPr>
        <w:t>P</w:t>
      </w:r>
      <w:r w:rsidRPr="003A662E" w:rsidR="00F95783">
        <w:rPr>
          <w:rFonts w:ascii="Times New Roman" w:hAnsi="Times New Roman"/>
          <w:sz w:val="22"/>
          <w:szCs w:val="22"/>
        </w:rPr>
        <w:t>odľa metodiky ESA 2010</w:t>
      </w:r>
      <w:r w:rsidR="00F95783">
        <w:rPr>
          <w:rFonts w:ascii="Times New Roman" w:hAnsi="Times New Roman"/>
          <w:sz w:val="22"/>
          <w:szCs w:val="22"/>
        </w:rPr>
        <w:t xml:space="preserve"> sú príjmom len </w:t>
      </w:r>
      <w:r w:rsidR="00AE0232">
        <w:rPr>
          <w:rFonts w:ascii="Times New Roman" w:hAnsi="Times New Roman"/>
          <w:sz w:val="22"/>
          <w:szCs w:val="22"/>
        </w:rPr>
        <w:t xml:space="preserve">tie </w:t>
      </w:r>
      <w:r w:rsidRPr="003A662E" w:rsidR="003A662E">
        <w:rPr>
          <w:rFonts w:ascii="Times New Roman" w:hAnsi="Times New Roman"/>
          <w:sz w:val="22"/>
          <w:szCs w:val="22"/>
        </w:rPr>
        <w:t>príjmy z predaja emisií, ktoré sú spotrebované v ekonomike.</w:t>
      </w:r>
    </w:p>
    <w:p w:rsidR="008B7DEB" w:rsidP="008B7DEB">
      <w:pPr>
        <w:bidi w:val="0"/>
        <w:spacing w:after="120" w:line="336" w:lineRule="auto"/>
        <w:jc w:val="both"/>
        <w:rPr>
          <w:rFonts w:ascii="Times New Roman" w:hAnsi="Times New Roman"/>
          <w:sz w:val="22"/>
          <w:szCs w:val="22"/>
        </w:rPr>
      </w:pPr>
      <w:r w:rsidRPr="000775E8">
        <w:rPr>
          <w:rFonts w:ascii="Times New Roman" w:hAnsi="Times New Roman"/>
          <w:sz w:val="22"/>
          <w:szCs w:val="22"/>
        </w:rPr>
        <w:t xml:space="preserve">Rozpočet na rok 2015 predpokladal </w:t>
      </w:r>
      <w:r w:rsidRPr="00AE0232">
        <w:rPr>
          <w:rFonts w:ascii="Times New Roman" w:hAnsi="Times New Roman"/>
          <w:b/>
          <w:sz w:val="22"/>
          <w:szCs w:val="22"/>
        </w:rPr>
        <w:t>príjem z odvodu z</w:t>
      </w:r>
      <w:r w:rsidRPr="000775E8">
        <w:rPr>
          <w:rFonts w:ascii="Times New Roman" w:hAnsi="Times New Roman"/>
          <w:sz w:val="22"/>
          <w:szCs w:val="22"/>
        </w:rPr>
        <w:t> </w:t>
      </w:r>
      <w:r w:rsidRPr="000775E8">
        <w:rPr>
          <w:rFonts w:ascii="Times New Roman" w:hAnsi="Times New Roman"/>
          <w:b/>
          <w:sz w:val="22"/>
          <w:szCs w:val="22"/>
        </w:rPr>
        <w:t>hazardných hier</w:t>
      </w:r>
      <w:r w:rsidRPr="000775E8">
        <w:rPr>
          <w:rFonts w:ascii="Times New Roman" w:hAnsi="Times New Roman"/>
          <w:sz w:val="22"/>
          <w:szCs w:val="22"/>
        </w:rPr>
        <w:t xml:space="preserve"> v sume 137 436 tis. eur, v dôsledku zmeny podielu jednotlivých druhov hazardných hier na hlavných ukazovateľoch (nárast počtu zariadení s vyššou odvodovou povinnosťou a nárast tržieb vybraného segmentu) nárast príjmov predstavoval 32 755 tis. eur.</w:t>
      </w:r>
    </w:p>
    <w:p w:rsidR="00AD5904" w:rsidRPr="00AD5904" w:rsidP="00AD5904">
      <w:pPr>
        <w:bidi w:val="0"/>
        <w:spacing w:after="120" w:line="336" w:lineRule="auto"/>
        <w:jc w:val="both"/>
        <w:rPr>
          <w:rFonts w:ascii="Times New Roman" w:hAnsi="Times New Roman"/>
          <w:sz w:val="22"/>
          <w:szCs w:val="22"/>
        </w:rPr>
      </w:pPr>
      <w:r w:rsidRPr="00AD5904">
        <w:rPr>
          <w:rFonts w:ascii="Times New Roman" w:hAnsi="Times New Roman"/>
          <w:sz w:val="22"/>
          <w:szCs w:val="22"/>
        </w:rPr>
        <w:t xml:space="preserve">Pri komentovaní </w:t>
      </w:r>
      <w:r w:rsidRPr="00AD5904">
        <w:rPr>
          <w:rFonts w:ascii="Times New Roman" w:hAnsi="Times New Roman"/>
          <w:b/>
          <w:sz w:val="22"/>
          <w:szCs w:val="22"/>
        </w:rPr>
        <w:t>vybraných výdavkov štátneho rozpočtu</w:t>
      </w:r>
      <w:r w:rsidRPr="00AD5904">
        <w:rPr>
          <w:rFonts w:ascii="Times New Roman" w:hAnsi="Times New Roman"/>
          <w:sz w:val="22"/>
          <w:szCs w:val="22"/>
        </w:rPr>
        <w:t xml:space="preserve"> sa abstrahuje od presunov v rámci štátneho rozpočtu.</w:t>
      </w:r>
    </w:p>
    <w:p w:rsidR="008B7DEB" w:rsidP="008B7DEB">
      <w:pPr>
        <w:pStyle w:val="Default"/>
        <w:bidi w:val="0"/>
        <w:spacing w:after="120" w:line="336" w:lineRule="auto"/>
        <w:jc w:val="both"/>
        <w:rPr>
          <w:rFonts w:hint="default"/>
          <w:sz w:val="22"/>
          <w:szCs w:val="22"/>
        </w:rPr>
      </w:pPr>
      <w:r w:rsidRPr="00AD5904" w:rsidR="00AD5904">
        <w:rPr>
          <w:rFonts w:hint="default"/>
          <w:b/>
          <w:sz w:val="22"/>
          <w:szCs w:val="22"/>
        </w:rPr>
        <w:t>Prenesené</w:t>
      </w:r>
      <w:r w:rsidRPr="00AD5904" w:rsidR="00AD5904">
        <w:rPr>
          <w:rFonts w:hint="default"/>
          <w:b/>
          <w:sz w:val="22"/>
          <w:szCs w:val="22"/>
        </w:rPr>
        <w:t xml:space="preserve"> vý</w:t>
      </w:r>
      <w:r w:rsidRPr="00AD5904" w:rsidR="00AD5904">
        <w:rPr>
          <w:rFonts w:hint="default"/>
          <w:b/>
          <w:sz w:val="22"/>
          <w:szCs w:val="22"/>
        </w:rPr>
        <w:t>davky š</w:t>
      </w:r>
      <w:r w:rsidRPr="00AD5904" w:rsidR="00AD5904">
        <w:rPr>
          <w:rFonts w:hint="default"/>
          <w:b/>
          <w:sz w:val="22"/>
          <w:szCs w:val="22"/>
        </w:rPr>
        <w:t>tá</w:t>
      </w:r>
      <w:r w:rsidRPr="00AD5904" w:rsidR="00AD5904">
        <w:rPr>
          <w:rFonts w:hint="default"/>
          <w:b/>
          <w:sz w:val="22"/>
          <w:szCs w:val="22"/>
        </w:rPr>
        <w:t>tneho rozpoč</w:t>
      </w:r>
      <w:r w:rsidRPr="00AD5904" w:rsidR="00AD5904">
        <w:rPr>
          <w:rFonts w:hint="default"/>
          <w:b/>
          <w:sz w:val="22"/>
          <w:szCs w:val="22"/>
        </w:rPr>
        <w:t>tu</w:t>
      </w:r>
      <w:r w:rsidR="00AD5904">
        <w:rPr>
          <w:sz w:val="22"/>
          <w:szCs w:val="22"/>
        </w:rPr>
        <w:t xml:space="preserve">. </w:t>
      </w:r>
      <w:r>
        <w:rPr>
          <w:rFonts w:hint="default"/>
          <w:sz w:val="22"/>
          <w:szCs w:val="22"/>
        </w:rPr>
        <w:t>Podľ</w:t>
      </w:r>
      <w:r>
        <w:rPr>
          <w:rFonts w:hint="default"/>
          <w:sz w:val="22"/>
          <w:szCs w:val="22"/>
        </w:rPr>
        <w:t>a zá</w:t>
      </w:r>
      <w:r>
        <w:rPr>
          <w:rFonts w:hint="default"/>
          <w:sz w:val="22"/>
          <w:szCs w:val="22"/>
        </w:rPr>
        <w:t>ko</w:t>
      </w:r>
      <w:r>
        <w:rPr>
          <w:rFonts w:hint="default"/>
          <w:sz w:val="22"/>
          <w:szCs w:val="22"/>
        </w:rPr>
        <w:t>na o rozpoč</w:t>
      </w:r>
      <w:r>
        <w:rPr>
          <w:rFonts w:hint="default"/>
          <w:sz w:val="22"/>
          <w:szCs w:val="22"/>
        </w:rPr>
        <w:t>tový</w:t>
      </w:r>
      <w:r>
        <w:rPr>
          <w:rFonts w:hint="default"/>
          <w:sz w:val="22"/>
          <w:szCs w:val="22"/>
        </w:rPr>
        <w:t>ch pravidlá</w:t>
      </w:r>
      <w:r>
        <w:rPr>
          <w:rFonts w:hint="default"/>
          <w:sz w:val="22"/>
          <w:szCs w:val="22"/>
        </w:rPr>
        <w:t>ch verejnej sprá</w:t>
      </w:r>
      <w:r>
        <w:rPr>
          <w:rFonts w:hint="default"/>
          <w:sz w:val="22"/>
          <w:szCs w:val="22"/>
        </w:rPr>
        <w:t>vy je mož</w:t>
      </w:r>
      <w:r>
        <w:rPr>
          <w:rFonts w:hint="default"/>
          <w:sz w:val="22"/>
          <w:szCs w:val="22"/>
        </w:rPr>
        <w:t>né</w:t>
      </w:r>
      <w:r>
        <w:rPr>
          <w:rFonts w:hint="default"/>
          <w:sz w:val="22"/>
          <w:szCs w:val="22"/>
        </w:rPr>
        <w:t xml:space="preserve"> kapitá</w:t>
      </w:r>
      <w:r>
        <w:rPr>
          <w:rFonts w:hint="default"/>
          <w:sz w:val="22"/>
          <w:szCs w:val="22"/>
        </w:rPr>
        <w:t>lové</w:t>
      </w:r>
      <w:r>
        <w:rPr>
          <w:rFonts w:hint="default"/>
          <w:sz w:val="22"/>
          <w:szCs w:val="22"/>
        </w:rPr>
        <w:t xml:space="preserve"> vý</w:t>
      </w:r>
      <w:r>
        <w:rPr>
          <w:rFonts w:hint="default"/>
          <w:sz w:val="22"/>
          <w:szCs w:val="22"/>
        </w:rPr>
        <w:t>davky a vybrané</w:t>
      </w:r>
      <w:r>
        <w:rPr>
          <w:rFonts w:hint="default"/>
          <w:sz w:val="22"/>
          <w:szCs w:val="22"/>
        </w:rPr>
        <w:t xml:space="preserve"> bež</w:t>
      </w:r>
      <w:r>
        <w:rPr>
          <w:rFonts w:hint="default"/>
          <w:sz w:val="22"/>
          <w:szCs w:val="22"/>
        </w:rPr>
        <w:t>né</w:t>
      </w:r>
      <w:r>
        <w:rPr>
          <w:rFonts w:hint="default"/>
          <w:sz w:val="22"/>
          <w:szCs w:val="22"/>
        </w:rPr>
        <w:t xml:space="preserve"> vý</w:t>
      </w:r>
      <w:r>
        <w:rPr>
          <w:rFonts w:hint="default"/>
          <w:sz w:val="22"/>
          <w:szCs w:val="22"/>
        </w:rPr>
        <w:t>davky š</w:t>
      </w:r>
      <w:r>
        <w:rPr>
          <w:rFonts w:hint="default"/>
          <w:sz w:val="22"/>
          <w:szCs w:val="22"/>
        </w:rPr>
        <w:t>tá</w:t>
      </w:r>
      <w:r>
        <w:rPr>
          <w:rFonts w:hint="default"/>
          <w:sz w:val="22"/>
          <w:szCs w:val="22"/>
        </w:rPr>
        <w:t>tneho rozpoč</w:t>
      </w:r>
      <w:r>
        <w:rPr>
          <w:rFonts w:hint="default"/>
          <w:sz w:val="22"/>
          <w:szCs w:val="22"/>
        </w:rPr>
        <w:t>tu použ</w:t>
      </w:r>
      <w:r>
        <w:rPr>
          <w:rFonts w:hint="default"/>
          <w:sz w:val="22"/>
          <w:szCs w:val="22"/>
        </w:rPr>
        <w:t>iť</w:t>
      </w:r>
      <w:r>
        <w:rPr>
          <w:rFonts w:hint="default"/>
          <w:sz w:val="22"/>
          <w:szCs w:val="22"/>
        </w:rPr>
        <w:t xml:space="preserve"> na urč</w:t>
      </w:r>
      <w:r>
        <w:rPr>
          <w:rFonts w:hint="default"/>
          <w:sz w:val="22"/>
          <w:szCs w:val="22"/>
        </w:rPr>
        <w:t>ený</w:t>
      </w:r>
      <w:r>
        <w:rPr>
          <w:rFonts w:hint="default"/>
          <w:sz w:val="22"/>
          <w:szCs w:val="22"/>
        </w:rPr>
        <w:t xml:space="preserve"> úč</w:t>
      </w:r>
      <w:r>
        <w:rPr>
          <w:rFonts w:hint="default"/>
          <w:sz w:val="22"/>
          <w:szCs w:val="22"/>
        </w:rPr>
        <w:t>el aj v nasledujú</w:t>
      </w:r>
      <w:r>
        <w:rPr>
          <w:rFonts w:hint="default"/>
          <w:sz w:val="22"/>
          <w:szCs w:val="22"/>
        </w:rPr>
        <w:t>cich dvoch rozpoč</w:t>
      </w:r>
      <w:r>
        <w:rPr>
          <w:rFonts w:hint="default"/>
          <w:sz w:val="22"/>
          <w:szCs w:val="22"/>
        </w:rPr>
        <w:t>tový</w:t>
      </w:r>
      <w:r>
        <w:rPr>
          <w:rFonts w:hint="default"/>
          <w:sz w:val="22"/>
          <w:szCs w:val="22"/>
        </w:rPr>
        <w:t>ch rokoch po rozpoč</w:t>
      </w:r>
      <w:r>
        <w:rPr>
          <w:rFonts w:hint="default"/>
          <w:sz w:val="22"/>
          <w:szCs w:val="22"/>
        </w:rPr>
        <w:t>tovom roku, na ktorý</w:t>
      </w:r>
      <w:r>
        <w:rPr>
          <w:rFonts w:hint="default"/>
          <w:sz w:val="22"/>
          <w:szCs w:val="22"/>
        </w:rPr>
        <w:t xml:space="preserve"> boli rozpoč</w:t>
      </w:r>
      <w:r>
        <w:rPr>
          <w:rFonts w:hint="default"/>
          <w:sz w:val="22"/>
          <w:szCs w:val="22"/>
        </w:rPr>
        <w:t>tované</w:t>
      </w:r>
      <w:r>
        <w:rPr>
          <w:rFonts w:hint="default"/>
          <w:sz w:val="22"/>
          <w:szCs w:val="22"/>
        </w:rPr>
        <w:t>. Prostriedky Euró</w:t>
      </w:r>
      <w:r>
        <w:rPr>
          <w:rFonts w:hint="default"/>
          <w:sz w:val="22"/>
          <w:szCs w:val="22"/>
        </w:rPr>
        <w:t>pskej ú</w:t>
      </w:r>
      <w:r>
        <w:rPr>
          <w:rFonts w:hint="default"/>
          <w:sz w:val="22"/>
          <w:szCs w:val="22"/>
        </w:rPr>
        <w:t>n</w:t>
      </w:r>
      <w:r>
        <w:rPr>
          <w:rFonts w:hint="default"/>
          <w:sz w:val="22"/>
          <w:szCs w:val="22"/>
        </w:rPr>
        <w:t>i</w:t>
      </w:r>
      <w:r>
        <w:rPr>
          <w:rFonts w:hint="default"/>
          <w:sz w:val="22"/>
          <w:szCs w:val="22"/>
        </w:rPr>
        <w:t>e, prostriedky š</w:t>
      </w:r>
      <w:r>
        <w:rPr>
          <w:rFonts w:hint="default"/>
          <w:sz w:val="22"/>
          <w:szCs w:val="22"/>
        </w:rPr>
        <w:t>tá</w:t>
      </w:r>
      <w:r>
        <w:rPr>
          <w:rFonts w:hint="default"/>
          <w:sz w:val="22"/>
          <w:szCs w:val="22"/>
        </w:rPr>
        <w:t>tneho rozpoč</w:t>
      </w:r>
      <w:r>
        <w:rPr>
          <w:rFonts w:hint="default"/>
          <w:sz w:val="22"/>
          <w:szCs w:val="22"/>
        </w:rPr>
        <w:t>tu urč</w:t>
      </w:r>
      <w:r>
        <w:rPr>
          <w:rFonts w:hint="default"/>
          <w:sz w:val="22"/>
          <w:szCs w:val="22"/>
        </w:rPr>
        <w:t>ené</w:t>
      </w:r>
      <w:r>
        <w:rPr>
          <w:rFonts w:hint="default"/>
          <w:sz w:val="22"/>
          <w:szCs w:val="22"/>
        </w:rPr>
        <w:t xml:space="preserve"> na financovanie spoloč</w:t>
      </w:r>
      <w:r>
        <w:rPr>
          <w:rFonts w:hint="default"/>
          <w:sz w:val="22"/>
          <w:szCs w:val="22"/>
        </w:rPr>
        <w:t>ný</w:t>
      </w:r>
      <w:r>
        <w:rPr>
          <w:rFonts w:hint="default"/>
          <w:sz w:val="22"/>
          <w:szCs w:val="22"/>
        </w:rPr>
        <w:t>ch programov SR a EÚ</w:t>
      </w:r>
      <w:r>
        <w:rPr>
          <w:rFonts w:hint="default"/>
          <w:sz w:val="22"/>
          <w:szCs w:val="22"/>
        </w:rPr>
        <w:t xml:space="preserve"> a prostriedky š</w:t>
      </w:r>
      <w:r>
        <w:rPr>
          <w:rFonts w:hint="default"/>
          <w:sz w:val="22"/>
          <w:szCs w:val="22"/>
        </w:rPr>
        <w:t>tá</w:t>
      </w:r>
      <w:r>
        <w:rPr>
          <w:rFonts w:hint="default"/>
          <w:sz w:val="22"/>
          <w:szCs w:val="22"/>
        </w:rPr>
        <w:t>tneho rozpoč</w:t>
      </w:r>
      <w:r>
        <w:rPr>
          <w:rFonts w:hint="default"/>
          <w:sz w:val="22"/>
          <w:szCs w:val="22"/>
        </w:rPr>
        <w:t>tu urč</w:t>
      </w:r>
      <w:r>
        <w:rPr>
          <w:rFonts w:hint="default"/>
          <w:sz w:val="22"/>
          <w:szCs w:val="22"/>
        </w:rPr>
        <w:t>ené</w:t>
      </w:r>
      <w:r>
        <w:rPr>
          <w:rFonts w:hint="default"/>
          <w:sz w:val="22"/>
          <w:szCs w:val="22"/>
        </w:rPr>
        <w:t xml:space="preserve"> na financovanie úč</w:t>
      </w:r>
      <w:r>
        <w:rPr>
          <w:rFonts w:hint="default"/>
          <w:sz w:val="22"/>
          <w:szCs w:val="22"/>
        </w:rPr>
        <w:t>elov vyplý</w:t>
      </w:r>
      <w:r>
        <w:rPr>
          <w:rFonts w:hint="default"/>
          <w:sz w:val="22"/>
          <w:szCs w:val="22"/>
        </w:rPr>
        <w:t>vajú</w:t>
      </w:r>
      <w:r>
        <w:rPr>
          <w:rFonts w:hint="default"/>
          <w:sz w:val="22"/>
          <w:szCs w:val="22"/>
        </w:rPr>
        <w:t>cich z medziná</w:t>
      </w:r>
      <w:r>
        <w:rPr>
          <w:rFonts w:hint="default"/>
          <w:sz w:val="22"/>
          <w:szCs w:val="22"/>
        </w:rPr>
        <w:t>rodný</w:t>
      </w:r>
      <w:r>
        <w:rPr>
          <w:rFonts w:hint="default"/>
          <w:sz w:val="22"/>
          <w:szCs w:val="22"/>
        </w:rPr>
        <w:t>ch zmlú</w:t>
      </w:r>
      <w:r>
        <w:rPr>
          <w:rFonts w:hint="default"/>
          <w:sz w:val="22"/>
          <w:szCs w:val="22"/>
        </w:rPr>
        <w:t>v o poskytnutí</w:t>
      </w:r>
      <w:r>
        <w:rPr>
          <w:rFonts w:hint="default"/>
          <w:sz w:val="22"/>
          <w:szCs w:val="22"/>
        </w:rPr>
        <w:t xml:space="preserve"> grantu uzatvorený</w:t>
      </w:r>
      <w:r>
        <w:rPr>
          <w:rFonts w:hint="default"/>
          <w:sz w:val="22"/>
          <w:szCs w:val="22"/>
        </w:rPr>
        <w:t>ch medzi SR a iný</w:t>
      </w:r>
      <w:r>
        <w:rPr>
          <w:rFonts w:hint="default"/>
          <w:sz w:val="22"/>
          <w:szCs w:val="22"/>
        </w:rPr>
        <w:t>mi š</w:t>
      </w:r>
      <w:r>
        <w:rPr>
          <w:rFonts w:hint="default"/>
          <w:sz w:val="22"/>
          <w:szCs w:val="22"/>
        </w:rPr>
        <w:t>tá</w:t>
      </w:r>
      <w:r>
        <w:rPr>
          <w:rFonts w:hint="default"/>
          <w:sz w:val="22"/>
          <w:szCs w:val="22"/>
        </w:rPr>
        <w:t>tmi mož</w:t>
      </w:r>
      <w:r>
        <w:rPr>
          <w:rFonts w:hint="default"/>
          <w:sz w:val="22"/>
          <w:szCs w:val="22"/>
        </w:rPr>
        <w:t>no použ</w:t>
      </w:r>
      <w:r>
        <w:rPr>
          <w:rFonts w:hint="default"/>
          <w:sz w:val="22"/>
          <w:szCs w:val="22"/>
        </w:rPr>
        <w:t>iť</w:t>
      </w:r>
      <w:r>
        <w:rPr>
          <w:rFonts w:hint="default"/>
          <w:sz w:val="22"/>
          <w:szCs w:val="22"/>
        </w:rPr>
        <w:t xml:space="preserve"> a</w:t>
      </w:r>
      <w:r>
        <w:rPr>
          <w:rFonts w:hint="default"/>
          <w:sz w:val="22"/>
          <w:szCs w:val="22"/>
        </w:rPr>
        <w:t>j</w:t>
      </w:r>
      <w:r>
        <w:rPr>
          <w:rFonts w:hint="default"/>
          <w:sz w:val="22"/>
          <w:szCs w:val="22"/>
        </w:rPr>
        <w:t xml:space="preserve"> v nasledujú</w:t>
      </w:r>
      <w:r>
        <w:rPr>
          <w:rFonts w:hint="default"/>
          <w:sz w:val="22"/>
          <w:szCs w:val="22"/>
        </w:rPr>
        <w:t>cich rozpoč</w:t>
      </w:r>
      <w:r>
        <w:rPr>
          <w:rFonts w:hint="default"/>
          <w:sz w:val="22"/>
          <w:szCs w:val="22"/>
        </w:rPr>
        <w:t>tový</w:t>
      </w:r>
      <w:r>
        <w:rPr>
          <w:rFonts w:hint="default"/>
          <w:sz w:val="22"/>
          <w:szCs w:val="22"/>
        </w:rPr>
        <w:t>ch rokoch až</w:t>
      </w:r>
      <w:r>
        <w:rPr>
          <w:rFonts w:hint="default"/>
          <w:sz w:val="22"/>
          <w:szCs w:val="22"/>
        </w:rPr>
        <w:t xml:space="preserve"> do ich vyč</w:t>
      </w:r>
      <w:r>
        <w:rPr>
          <w:rFonts w:hint="default"/>
          <w:sz w:val="22"/>
          <w:szCs w:val="22"/>
        </w:rPr>
        <w:t>erpania. Toto pravidlo na jednej strane zefektí</w:t>
      </w:r>
      <w:r>
        <w:rPr>
          <w:rFonts w:hint="default"/>
          <w:sz w:val="22"/>
          <w:szCs w:val="22"/>
        </w:rPr>
        <w:t>vň</w:t>
      </w:r>
      <w:r>
        <w:rPr>
          <w:rFonts w:hint="default"/>
          <w:sz w:val="22"/>
          <w:szCs w:val="22"/>
        </w:rPr>
        <w:t>uje použ</w:t>
      </w:r>
      <w:r>
        <w:rPr>
          <w:rFonts w:hint="default"/>
          <w:sz w:val="22"/>
          <w:szCs w:val="22"/>
        </w:rPr>
        <w:t>itie verejný</w:t>
      </w:r>
      <w:r>
        <w:rPr>
          <w:rFonts w:hint="default"/>
          <w:sz w:val="22"/>
          <w:szCs w:val="22"/>
        </w:rPr>
        <w:t>ch prostriedkov tý</w:t>
      </w:r>
      <w:r>
        <w:rPr>
          <w:rFonts w:hint="default"/>
          <w:sz w:val="22"/>
          <w:szCs w:val="22"/>
        </w:rPr>
        <w:t>m, ž</w:t>
      </w:r>
      <w:r>
        <w:rPr>
          <w:rFonts w:hint="default"/>
          <w:sz w:val="22"/>
          <w:szCs w:val="22"/>
        </w:rPr>
        <w:t>e kapitoly rozpoč</w:t>
      </w:r>
      <w:r>
        <w:rPr>
          <w:rFonts w:hint="default"/>
          <w:sz w:val="22"/>
          <w:szCs w:val="22"/>
        </w:rPr>
        <w:t>tu nie sú</w:t>
      </w:r>
      <w:r>
        <w:rPr>
          <w:rFonts w:hint="default"/>
          <w:sz w:val="22"/>
          <w:szCs w:val="22"/>
        </w:rPr>
        <w:t xml:space="preserve"> motivované</w:t>
      </w:r>
      <w:r>
        <w:rPr>
          <w:rFonts w:hint="default"/>
          <w:sz w:val="22"/>
          <w:szCs w:val="22"/>
        </w:rPr>
        <w:t xml:space="preserve"> č</w:t>
      </w:r>
      <w:r>
        <w:rPr>
          <w:rFonts w:hint="default"/>
          <w:sz w:val="22"/>
          <w:szCs w:val="22"/>
        </w:rPr>
        <w:t>erpať</w:t>
      </w:r>
      <w:r>
        <w:rPr>
          <w:rFonts w:hint="default"/>
          <w:sz w:val="22"/>
          <w:szCs w:val="22"/>
        </w:rPr>
        <w:t xml:space="preserve"> prostriedky v danom roku „</w:t>
      </w:r>
      <w:r>
        <w:rPr>
          <w:rFonts w:hint="default"/>
          <w:sz w:val="22"/>
          <w:szCs w:val="22"/>
        </w:rPr>
        <w:t>za kaž</w:t>
      </w:r>
      <w:r>
        <w:rPr>
          <w:rFonts w:hint="default"/>
          <w:sz w:val="22"/>
          <w:szCs w:val="22"/>
        </w:rPr>
        <w:t>dú</w:t>
      </w:r>
      <w:r>
        <w:rPr>
          <w:rFonts w:hint="default"/>
          <w:sz w:val="22"/>
          <w:szCs w:val="22"/>
        </w:rPr>
        <w:t xml:space="preserve"> cenu“</w:t>
      </w:r>
      <w:r>
        <w:rPr>
          <w:rFonts w:hint="default"/>
          <w:sz w:val="22"/>
          <w:szCs w:val="22"/>
        </w:rPr>
        <w:t>, na druhej strane vytvá</w:t>
      </w:r>
      <w:r>
        <w:rPr>
          <w:rFonts w:hint="default"/>
          <w:sz w:val="22"/>
          <w:szCs w:val="22"/>
        </w:rPr>
        <w:t>ra ne</w:t>
      </w:r>
      <w:r>
        <w:rPr>
          <w:rFonts w:hint="default"/>
          <w:sz w:val="22"/>
          <w:szCs w:val="22"/>
        </w:rPr>
        <w:t>i</w:t>
      </w:r>
      <w:r>
        <w:rPr>
          <w:rFonts w:hint="default"/>
          <w:sz w:val="22"/>
          <w:szCs w:val="22"/>
        </w:rPr>
        <w:t xml:space="preserve">stotu pri </w:t>
      </w:r>
      <w:r w:rsidR="00E55A99">
        <w:rPr>
          <w:rFonts w:hint="default"/>
          <w:sz w:val="22"/>
          <w:szCs w:val="22"/>
        </w:rPr>
        <w:t>vyhodnocovaní</w:t>
      </w:r>
      <w:r>
        <w:rPr>
          <w:rFonts w:hint="default"/>
          <w:sz w:val="22"/>
          <w:szCs w:val="22"/>
        </w:rPr>
        <w:t xml:space="preserve"> salda v sú</w:t>
      </w:r>
      <w:r>
        <w:rPr>
          <w:rFonts w:hint="default"/>
          <w:sz w:val="22"/>
          <w:szCs w:val="22"/>
        </w:rPr>
        <w:t>lade so schvá</w:t>
      </w:r>
      <w:r>
        <w:rPr>
          <w:rFonts w:hint="default"/>
          <w:sz w:val="22"/>
          <w:szCs w:val="22"/>
        </w:rPr>
        <w:t>lený</w:t>
      </w:r>
      <w:r>
        <w:rPr>
          <w:rFonts w:hint="default"/>
          <w:sz w:val="22"/>
          <w:szCs w:val="22"/>
        </w:rPr>
        <w:t>m š</w:t>
      </w:r>
      <w:r>
        <w:rPr>
          <w:rFonts w:hint="default"/>
          <w:sz w:val="22"/>
          <w:szCs w:val="22"/>
        </w:rPr>
        <w:t>tá</w:t>
      </w:r>
      <w:r>
        <w:rPr>
          <w:rFonts w:hint="default"/>
          <w:sz w:val="22"/>
          <w:szCs w:val="22"/>
        </w:rPr>
        <w:t>tnym rozpoč</w:t>
      </w:r>
      <w:r>
        <w:rPr>
          <w:rFonts w:hint="default"/>
          <w:sz w:val="22"/>
          <w:szCs w:val="22"/>
        </w:rPr>
        <w:t>tom. Viazané</w:t>
      </w:r>
      <w:r>
        <w:rPr>
          <w:rFonts w:hint="default"/>
          <w:sz w:val="22"/>
          <w:szCs w:val="22"/>
        </w:rPr>
        <w:t xml:space="preserve"> </w:t>
      </w:r>
      <w:r w:rsidR="00E55A99">
        <w:rPr>
          <w:rFonts w:hint="default"/>
          <w:sz w:val="22"/>
          <w:szCs w:val="22"/>
        </w:rPr>
        <w:t>a prenáš</w:t>
      </w:r>
      <w:r w:rsidR="00E55A99">
        <w:rPr>
          <w:rFonts w:hint="default"/>
          <w:sz w:val="22"/>
          <w:szCs w:val="22"/>
        </w:rPr>
        <w:t>ané</w:t>
      </w:r>
      <w:r w:rsidR="00E55A99">
        <w:rPr>
          <w:rFonts w:hint="default"/>
          <w:sz w:val="22"/>
          <w:szCs w:val="22"/>
        </w:rPr>
        <w:t xml:space="preserve"> </w:t>
      </w:r>
      <w:r>
        <w:rPr>
          <w:rFonts w:hint="default"/>
          <w:sz w:val="22"/>
          <w:szCs w:val="22"/>
        </w:rPr>
        <w:t>vý</w:t>
      </w:r>
      <w:r>
        <w:rPr>
          <w:rFonts w:hint="default"/>
          <w:sz w:val="22"/>
          <w:szCs w:val="22"/>
        </w:rPr>
        <w:t>davky do ď</w:t>
      </w:r>
      <w:r>
        <w:rPr>
          <w:rFonts w:hint="default"/>
          <w:sz w:val="22"/>
          <w:szCs w:val="22"/>
        </w:rPr>
        <w:t>alš</w:t>
      </w:r>
      <w:r>
        <w:rPr>
          <w:rFonts w:hint="default"/>
          <w:sz w:val="22"/>
          <w:szCs w:val="22"/>
        </w:rPr>
        <w:t>ieho rozpoč</w:t>
      </w:r>
      <w:r>
        <w:rPr>
          <w:rFonts w:hint="default"/>
          <w:sz w:val="22"/>
          <w:szCs w:val="22"/>
        </w:rPr>
        <w:t>tové</w:t>
      </w:r>
      <w:r>
        <w:rPr>
          <w:rFonts w:hint="default"/>
          <w:sz w:val="22"/>
          <w:szCs w:val="22"/>
        </w:rPr>
        <w:t>ho roka pô</w:t>
      </w:r>
      <w:r>
        <w:rPr>
          <w:rFonts w:hint="default"/>
          <w:sz w:val="22"/>
          <w:szCs w:val="22"/>
        </w:rPr>
        <w:t>sobia v smere zníž</w:t>
      </w:r>
      <w:r>
        <w:rPr>
          <w:rFonts w:hint="default"/>
          <w:sz w:val="22"/>
          <w:szCs w:val="22"/>
        </w:rPr>
        <w:t>enia skutoč</w:t>
      </w:r>
      <w:r>
        <w:rPr>
          <w:rFonts w:hint="default"/>
          <w:sz w:val="22"/>
          <w:szCs w:val="22"/>
        </w:rPr>
        <w:t>né</w:t>
      </w:r>
      <w:r>
        <w:rPr>
          <w:rFonts w:hint="default"/>
          <w:sz w:val="22"/>
          <w:szCs w:val="22"/>
        </w:rPr>
        <w:t>ho salda oproti schvá</w:t>
      </w:r>
      <w:r>
        <w:rPr>
          <w:rFonts w:hint="default"/>
          <w:sz w:val="22"/>
          <w:szCs w:val="22"/>
        </w:rPr>
        <w:t>lené</w:t>
      </w:r>
      <w:r>
        <w:rPr>
          <w:rFonts w:hint="default"/>
          <w:sz w:val="22"/>
          <w:szCs w:val="22"/>
        </w:rPr>
        <w:t>mu rozpoč</w:t>
      </w:r>
      <w:r>
        <w:rPr>
          <w:rFonts w:hint="default"/>
          <w:sz w:val="22"/>
          <w:szCs w:val="22"/>
        </w:rPr>
        <w:t>tu v danom rozpoč</w:t>
      </w:r>
      <w:r>
        <w:rPr>
          <w:rFonts w:hint="default"/>
          <w:sz w:val="22"/>
          <w:szCs w:val="22"/>
        </w:rPr>
        <w:t>tovom roku; prenesené</w:t>
      </w:r>
      <w:r>
        <w:rPr>
          <w:rFonts w:hint="default"/>
          <w:sz w:val="22"/>
          <w:szCs w:val="22"/>
        </w:rPr>
        <w:t xml:space="preserve"> a zá</w:t>
      </w:r>
      <w:r>
        <w:rPr>
          <w:rFonts w:hint="default"/>
          <w:sz w:val="22"/>
          <w:szCs w:val="22"/>
        </w:rPr>
        <w:t>roveň</w:t>
      </w:r>
      <w:r>
        <w:rPr>
          <w:rFonts w:hint="default"/>
          <w:sz w:val="22"/>
          <w:szCs w:val="22"/>
        </w:rPr>
        <w:t xml:space="preserve"> použ</w:t>
      </w:r>
      <w:r>
        <w:rPr>
          <w:rFonts w:hint="default"/>
          <w:sz w:val="22"/>
          <w:szCs w:val="22"/>
        </w:rPr>
        <w:t>ité</w:t>
      </w:r>
      <w:r>
        <w:rPr>
          <w:rFonts w:hint="default"/>
          <w:sz w:val="22"/>
          <w:szCs w:val="22"/>
        </w:rPr>
        <w:t xml:space="preserve"> vý</w:t>
      </w:r>
      <w:r>
        <w:rPr>
          <w:rFonts w:hint="default"/>
          <w:sz w:val="22"/>
          <w:szCs w:val="22"/>
        </w:rPr>
        <w:t>davky z predchá</w:t>
      </w:r>
      <w:r>
        <w:rPr>
          <w:rFonts w:hint="default"/>
          <w:sz w:val="22"/>
          <w:szCs w:val="22"/>
        </w:rPr>
        <w:t>dzajú</w:t>
      </w:r>
      <w:r>
        <w:rPr>
          <w:rFonts w:hint="default"/>
          <w:sz w:val="22"/>
          <w:szCs w:val="22"/>
        </w:rPr>
        <w:t>ceho rozpoč</w:t>
      </w:r>
      <w:r>
        <w:rPr>
          <w:rFonts w:hint="default"/>
          <w:sz w:val="22"/>
          <w:szCs w:val="22"/>
        </w:rPr>
        <w:t>tové</w:t>
      </w:r>
      <w:r>
        <w:rPr>
          <w:rFonts w:hint="default"/>
          <w:sz w:val="22"/>
          <w:szCs w:val="22"/>
        </w:rPr>
        <w:t>ho roka naopak saldo v danom rozpoč</w:t>
      </w:r>
      <w:r>
        <w:rPr>
          <w:rFonts w:hint="default"/>
          <w:sz w:val="22"/>
          <w:szCs w:val="22"/>
        </w:rPr>
        <w:t>tovom roku zvyš</w:t>
      </w:r>
      <w:r>
        <w:rPr>
          <w:rFonts w:hint="default"/>
          <w:sz w:val="22"/>
          <w:szCs w:val="22"/>
        </w:rPr>
        <w:t>ujú</w:t>
      </w:r>
      <w:r>
        <w:rPr>
          <w:rFonts w:hint="default"/>
          <w:sz w:val="22"/>
          <w:szCs w:val="22"/>
        </w:rPr>
        <w:t>. Č</w:t>
      </w:r>
      <w:r>
        <w:rPr>
          <w:rFonts w:hint="default"/>
          <w:sz w:val="22"/>
          <w:szCs w:val="22"/>
        </w:rPr>
        <w:t>istý</w:t>
      </w:r>
      <w:r>
        <w:rPr>
          <w:rFonts w:hint="default"/>
          <w:sz w:val="22"/>
          <w:szCs w:val="22"/>
        </w:rPr>
        <w:t xml:space="preserve"> dopad na saldo verejnej sprá</w:t>
      </w:r>
      <w:r>
        <w:rPr>
          <w:rFonts w:hint="default"/>
          <w:sz w:val="22"/>
          <w:szCs w:val="22"/>
        </w:rPr>
        <w:t>vy zá</w:t>
      </w:r>
      <w:r>
        <w:rPr>
          <w:rFonts w:hint="default"/>
          <w:sz w:val="22"/>
          <w:szCs w:val="22"/>
        </w:rPr>
        <w:t>visí</w:t>
      </w:r>
      <w:r>
        <w:rPr>
          <w:rFonts w:hint="default"/>
          <w:sz w:val="22"/>
          <w:szCs w:val="22"/>
        </w:rPr>
        <w:t xml:space="preserve"> od vý</w:t>
      </w:r>
      <w:r>
        <w:rPr>
          <w:rFonts w:hint="default"/>
          <w:sz w:val="22"/>
          <w:szCs w:val="22"/>
        </w:rPr>
        <w:t>sledné</w:t>
      </w:r>
      <w:r>
        <w:rPr>
          <w:rFonts w:hint="default"/>
          <w:sz w:val="22"/>
          <w:szCs w:val="22"/>
        </w:rPr>
        <w:t>ho efektu presunov. Ak sú</w:t>
      </w:r>
      <w:r>
        <w:rPr>
          <w:rFonts w:hint="default"/>
          <w:sz w:val="22"/>
          <w:szCs w:val="22"/>
        </w:rPr>
        <w:t xml:space="preserve"> prenesené</w:t>
      </w:r>
      <w:r>
        <w:rPr>
          <w:rFonts w:hint="default"/>
          <w:sz w:val="22"/>
          <w:szCs w:val="22"/>
        </w:rPr>
        <w:t xml:space="preserve"> vý</w:t>
      </w:r>
      <w:r>
        <w:rPr>
          <w:rFonts w:hint="default"/>
          <w:sz w:val="22"/>
          <w:szCs w:val="22"/>
        </w:rPr>
        <w:t>davky do ď</w:t>
      </w:r>
      <w:r>
        <w:rPr>
          <w:rFonts w:hint="default"/>
          <w:sz w:val="22"/>
          <w:szCs w:val="22"/>
        </w:rPr>
        <w:t>alš</w:t>
      </w:r>
      <w:r>
        <w:rPr>
          <w:rFonts w:hint="default"/>
          <w:sz w:val="22"/>
          <w:szCs w:val="22"/>
        </w:rPr>
        <w:t>ieho rozpoč</w:t>
      </w:r>
      <w:r>
        <w:rPr>
          <w:rFonts w:hint="default"/>
          <w:sz w:val="22"/>
          <w:szCs w:val="22"/>
        </w:rPr>
        <w:t>t</w:t>
      </w:r>
      <w:r w:rsidR="001F3B08">
        <w:rPr>
          <w:rFonts w:hint="default"/>
          <w:sz w:val="22"/>
          <w:szCs w:val="22"/>
        </w:rPr>
        <w:t>ové</w:t>
      </w:r>
      <w:r w:rsidR="001F3B08">
        <w:rPr>
          <w:rFonts w:hint="default"/>
          <w:sz w:val="22"/>
          <w:szCs w:val="22"/>
        </w:rPr>
        <w:t>ho roka vyšš</w:t>
      </w:r>
      <w:r w:rsidR="001F3B08">
        <w:rPr>
          <w:rFonts w:hint="default"/>
          <w:sz w:val="22"/>
          <w:szCs w:val="22"/>
        </w:rPr>
        <w:t>ie ako použ</w:t>
      </w:r>
      <w:r w:rsidR="001F3B08">
        <w:rPr>
          <w:rFonts w:hint="default"/>
          <w:sz w:val="22"/>
          <w:szCs w:val="22"/>
        </w:rPr>
        <w:t>ité</w:t>
      </w:r>
      <w:r w:rsidR="001F3B08">
        <w:rPr>
          <w:rFonts w:hint="default"/>
          <w:sz w:val="22"/>
          <w:szCs w:val="22"/>
        </w:rPr>
        <w:t xml:space="preserve"> z </w:t>
      </w:r>
      <w:r>
        <w:rPr>
          <w:rFonts w:hint="default"/>
          <w:sz w:val="22"/>
          <w:szCs w:val="22"/>
        </w:rPr>
        <w:t>predchá</w:t>
      </w:r>
      <w:r>
        <w:rPr>
          <w:rFonts w:hint="default"/>
          <w:sz w:val="22"/>
          <w:szCs w:val="22"/>
        </w:rPr>
        <w:t>dzajú</w:t>
      </w:r>
      <w:r>
        <w:rPr>
          <w:rFonts w:hint="default"/>
          <w:sz w:val="22"/>
          <w:szCs w:val="22"/>
        </w:rPr>
        <w:t>ceho</w:t>
      </w:r>
      <w:r>
        <w:rPr>
          <w:rFonts w:hint="default"/>
          <w:sz w:val="22"/>
          <w:szCs w:val="22"/>
        </w:rPr>
        <w:t xml:space="preserve"> rozpoč</w:t>
      </w:r>
      <w:r>
        <w:rPr>
          <w:rFonts w:hint="default"/>
          <w:sz w:val="22"/>
          <w:szCs w:val="22"/>
        </w:rPr>
        <w:t>tové</w:t>
      </w:r>
      <w:r>
        <w:rPr>
          <w:rFonts w:hint="default"/>
          <w:sz w:val="22"/>
          <w:szCs w:val="22"/>
        </w:rPr>
        <w:t>ho roka, saldo sa oproti schvá</w:t>
      </w:r>
      <w:r>
        <w:rPr>
          <w:rFonts w:hint="default"/>
          <w:sz w:val="22"/>
          <w:szCs w:val="22"/>
        </w:rPr>
        <w:t>lené</w:t>
      </w:r>
      <w:r>
        <w:rPr>
          <w:rFonts w:hint="default"/>
          <w:sz w:val="22"/>
          <w:szCs w:val="22"/>
        </w:rPr>
        <w:t>mu rozpoč</w:t>
      </w:r>
      <w:r>
        <w:rPr>
          <w:rFonts w:hint="default"/>
          <w:sz w:val="22"/>
          <w:szCs w:val="22"/>
        </w:rPr>
        <w:t>tu zn</w:t>
      </w:r>
      <w:r w:rsidR="001F08C4">
        <w:rPr>
          <w:rFonts w:hint="default"/>
          <w:sz w:val="22"/>
          <w:szCs w:val="22"/>
        </w:rPr>
        <w:t>íž</w:t>
      </w:r>
      <w:r w:rsidR="001F08C4">
        <w:rPr>
          <w:rFonts w:hint="default"/>
          <w:sz w:val="22"/>
          <w:szCs w:val="22"/>
        </w:rPr>
        <w:t>i, v </w:t>
      </w:r>
      <w:r>
        <w:rPr>
          <w:rFonts w:hint="default"/>
          <w:sz w:val="22"/>
          <w:szCs w:val="22"/>
        </w:rPr>
        <w:t>opač</w:t>
      </w:r>
      <w:r>
        <w:rPr>
          <w:rFonts w:hint="default"/>
          <w:sz w:val="22"/>
          <w:szCs w:val="22"/>
        </w:rPr>
        <w:t>nom prí</w:t>
      </w:r>
      <w:r>
        <w:rPr>
          <w:rFonts w:hint="default"/>
          <w:sz w:val="22"/>
          <w:szCs w:val="22"/>
        </w:rPr>
        <w:t>pade sa zvýš</w:t>
      </w:r>
      <w:r>
        <w:rPr>
          <w:rFonts w:hint="default"/>
          <w:sz w:val="22"/>
          <w:szCs w:val="22"/>
        </w:rPr>
        <w:t xml:space="preserve">i. </w:t>
      </w:r>
    </w:p>
    <w:p w:rsidR="008B7DEB" w:rsidP="008B7DEB">
      <w:pPr>
        <w:pStyle w:val="Default"/>
        <w:bidi w:val="0"/>
        <w:spacing w:after="120" w:line="336" w:lineRule="auto"/>
        <w:jc w:val="both"/>
        <w:rPr>
          <w:rFonts w:hint="default"/>
          <w:sz w:val="22"/>
          <w:szCs w:val="22"/>
        </w:rPr>
      </w:pPr>
      <w:r>
        <w:rPr>
          <w:rFonts w:hint="default"/>
          <w:sz w:val="22"/>
          <w:szCs w:val="22"/>
        </w:rPr>
        <w:t>Do roku 2015 bol</w:t>
      </w:r>
      <w:r w:rsidR="001F3B08">
        <w:rPr>
          <w:sz w:val="22"/>
          <w:szCs w:val="22"/>
        </w:rPr>
        <w:t>i</w:t>
      </w:r>
      <w:r>
        <w:rPr>
          <w:sz w:val="22"/>
          <w:szCs w:val="22"/>
        </w:rPr>
        <w:t xml:space="preserve"> prenesen</w:t>
      </w:r>
      <w:r w:rsidR="001F3B08">
        <w:rPr>
          <w:rFonts w:hint="default"/>
          <w:sz w:val="22"/>
          <w:szCs w:val="22"/>
        </w:rPr>
        <w:t>é</w:t>
      </w:r>
      <w:r>
        <w:rPr>
          <w:rFonts w:hint="default"/>
          <w:sz w:val="22"/>
          <w:szCs w:val="22"/>
        </w:rPr>
        <w:t xml:space="preserve"> bež</w:t>
      </w:r>
      <w:r>
        <w:rPr>
          <w:rFonts w:hint="default"/>
          <w:sz w:val="22"/>
          <w:szCs w:val="22"/>
        </w:rPr>
        <w:t>n</w:t>
      </w:r>
      <w:r w:rsidR="001F3B08">
        <w:rPr>
          <w:rFonts w:hint="default"/>
          <w:sz w:val="22"/>
          <w:szCs w:val="22"/>
        </w:rPr>
        <w:t>é</w:t>
      </w:r>
      <w:r>
        <w:rPr>
          <w:rFonts w:hint="default"/>
          <w:sz w:val="22"/>
          <w:szCs w:val="22"/>
        </w:rPr>
        <w:t xml:space="preserve"> a kapitá</w:t>
      </w:r>
      <w:r>
        <w:rPr>
          <w:rFonts w:hint="default"/>
          <w:sz w:val="22"/>
          <w:szCs w:val="22"/>
        </w:rPr>
        <w:t>lov</w:t>
      </w:r>
      <w:r w:rsidR="001F3B08">
        <w:rPr>
          <w:rFonts w:hint="default"/>
          <w:sz w:val="22"/>
          <w:szCs w:val="22"/>
        </w:rPr>
        <w:t>é</w:t>
      </w:r>
      <w:r>
        <w:rPr>
          <w:rFonts w:hint="default"/>
          <w:sz w:val="22"/>
          <w:szCs w:val="22"/>
        </w:rPr>
        <w:t xml:space="preserve"> vý</w:t>
      </w:r>
      <w:r>
        <w:rPr>
          <w:rFonts w:hint="default"/>
          <w:sz w:val="22"/>
          <w:szCs w:val="22"/>
        </w:rPr>
        <w:t>davk</w:t>
      </w:r>
      <w:r w:rsidR="001F3B08">
        <w:rPr>
          <w:sz w:val="22"/>
          <w:szCs w:val="22"/>
        </w:rPr>
        <w:t>y</w:t>
      </w:r>
      <w:r>
        <w:rPr>
          <w:rFonts w:hint="default"/>
          <w:sz w:val="22"/>
          <w:szCs w:val="22"/>
        </w:rPr>
        <w:t xml:space="preserve"> š</w:t>
      </w:r>
      <w:r>
        <w:rPr>
          <w:rFonts w:hint="default"/>
          <w:sz w:val="22"/>
          <w:szCs w:val="22"/>
        </w:rPr>
        <w:t>tá</w:t>
      </w:r>
      <w:r>
        <w:rPr>
          <w:rFonts w:hint="default"/>
          <w:sz w:val="22"/>
          <w:szCs w:val="22"/>
        </w:rPr>
        <w:t>tneho rozpoč</w:t>
      </w:r>
      <w:r>
        <w:rPr>
          <w:rFonts w:hint="default"/>
          <w:sz w:val="22"/>
          <w:szCs w:val="22"/>
        </w:rPr>
        <w:t>tu s vý</w:t>
      </w:r>
      <w:r>
        <w:rPr>
          <w:rFonts w:hint="default"/>
          <w:sz w:val="22"/>
          <w:szCs w:val="22"/>
        </w:rPr>
        <w:t>nimkou prostriedkov Euró</w:t>
      </w:r>
      <w:r>
        <w:rPr>
          <w:rFonts w:hint="default"/>
          <w:sz w:val="22"/>
          <w:szCs w:val="22"/>
        </w:rPr>
        <w:t>pskej ú</w:t>
      </w:r>
      <w:r>
        <w:rPr>
          <w:rFonts w:hint="default"/>
          <w:sz w:val="22"/>
          <w:szCs w:val="22"/>
        </w:rPr>
        <w:t>nie a prostriedkov š</w:t>
      </w:r>
      <w:r>
        <w:rPr>
          <w:rFonts w:hint="default"/>
          <w:sz w:val="22"/>
          <w:szCs w:val="22"/>
        </w:rPr>
        <w:t>tá</w:t>
      </w:r>
      <w:r>
        <w:rPr>
          <w:rFonts w:hint="default"/>
          <w:sz w:val="22"/>
          <w:szCs w:val="22"/>
        </w:rPr>
        <w:t>tneho rozpoč</w:t>
      </w:r>
      <w:r>
        <w:rPr>
          <w:rFonts w:hint="default"/>
          <w:sz w:val="22"/>
          <w:szCs w:val="22"/>
        </w:rPr>
        <w:t>tu urč</w:t>
      </w:r>
      <w:r>
        <w:rPr>
          <w:rFonts w:hint="default"/>
          <w:sz w:val="22"/>
          <w:szCs w:val="22"/>
        </w:rPr>
        <w:t>ený</w:t>
      </w:r>
      <w:r>
        <w:rPr>
          <w:rFonts w:hint="default"/>
          <w:sz w:val="22"/>
          <w:szCs w:val="22"/>
        </w:rPr>
        <w:t>ch na financ</w:t>
      </w:r>
      <w:r>
        <w:rPr>
          <w:rFonts w:hint="default"/>
          <w:sz w:val="22"/>
          <w:szCs w:val="22"/>
        </w:rPr>
        <w:t>ovanie spoloč</w:t>
      </w:r>
      <w:r>
        <w:rPr>
          <w:rFonts w:hint="default"/>
          <w:sz w:val="22"/>
          <w:szCs w:val="22"/>
        </w:rPr>
        <w:t>ný</w:t>
      </w:r>
      <w:r>
        <w:rPr>
          <w:rFonts w:hint="default"/>
          <w:sz w:val="22"/>
          <w:szCs w:val="22"/>
        </w:rPr>
        <w:t>ch programov SR a EÚ</w:t>
      </w:r>
      <w:r>
        <w:rPr>
          <w:rFonts w:hint="default"/>
          <w:sz w:val="22"/>
          <w:szCs w:val="22"/>
        </w:rPr>
        <w:t xml:space="preserve"> z roku 2014 celkov</w:t>
      </w:r>
      <w:r w:rsidR="002E3A1A">
        <w:rPr>
          <w:sz w:val="22"/>
          <w:szCs w:val="22"/>
        </w:rPr>
        <w:t>o v sume</w:t>
      </w:r>
      <w:r>
        <w:rPr>
          <w:sz w:val="22"/>
          <w:szCs w:val="22"/>
        </w:rPr>
        <w:t xml:space="preserve"> 50</w:t>
      </w:r>
      <w:r w:rsidR="00BB30A2">
        <w:rPr>
          <w:sz w:val="22"/>
          <w:szCs w:val="22"/>
        </w:rPr>
        <w:t>4 </w:t>
      </w:r>
      <w:r w:rsidR="00BB30A2">
        <w:rPr>
          <w:rFonts w:hint="default"/>
          <w:sz w:val="22"/>
          <w:szCs w:val="22"/>
        </w:rPr>
        <w:t>563 tis. eur, prič</w:t>
      </w:r>
      <w:r w:rsidR="00BB30A2">
        <w:rPr>
          <w:rFonts w:hint="default"/>
          <w:sz w:val="22"/>
          <w:szCs w:val="22"/>
        </w:rPr>
        <w:t>om z toho v </w:t>
      </w:r>
      <w:r>
        <w:rPr>
          <w:rFonts w:hint="default"/>
          <w:sz w:val="22"/>
          <w:szCs w:val="22"/>
        </w:rPr>
        <w:t>skutoč</w:t>
      </w:r>
      <w:r>
        <w:rPr>
          <w:rFonts w:hint="default"/>
          <w:sz w:val="22"/>
          <w:szCs w:val="22"/>
        </w:rPr>
        <w:t>nosti v roku 2015 bolo použ</w:t>
      </w:r>
      <w:r>
        <w:rPr>
          <w:rFonts w:hint="default"/>
          <w:sz w:val="22"/>
          <w:szCs w:val="22"/>
        </w:rPr>
        <w:t>itý</w:t>
      </w:r>
      <w:r>
        <w:rPr>
          <w:rFonts w:hint="default"/>
          <w:sz w:val="22"/>
          <w:szCs w:val="22"/>
        </w:rPr>
        <w:t xml:space="preserve">ch 380 446 tis. eur. V roku 2015 </w:t>
      </w:r>
      <w:r w:rsidR="001F3B08">
        <w:rPr>
          <w:sz w:val="22"/>
          <w:szCs w:val="22"/>
        </w:rPr>
        <w:t>bol</w:t>
      </w:r>
      <w:r w:rsidR="002E3A1A">
        <w:rPr>
          <w:sz w:val="22"/>
          <w:szCs w:val="22"/>
        </w:rPr>
        <w:t>i</w:t>
      </w:r>
      <w:r w:rsidR="001F3B08">
        <w:rPr>
          <w:sz w:val="22"/>
          <w:szCs w:val="22"/>
        </w:rPr>
        <w:t xml:space="preserve"> zaviazan</w:t>
      </w:r>
      <w:r w:rsidR="002E3A1A">
        <w:rPr>
          <w:rFonts w:hint="default"/>
          <w:sz w:val="22"/>
          <w:szCs w:val="22"/>
        </w:rPr>
        <w:t>é</w:t>
      </w:r>
      <w:r w:rsidR="001F3B08">
        <w:rPr>
          <w:sz w:val="22"/>
          <w:szCs w:val="22"/>
        </w:rPr>
        <w:t xml:space="preserve"> prostriedk</w:t>
      </w:r>
      <w:r w:rsidR="002E3A1A">
        <w:rPr>
          <w:sz w:val="22"/>
          <w:szCs w:val="22"/>
        </w:rPr>
        <w:t>y</w:t>
      </w:r>
      <w:r w:rsidR="001F3B08">
        <w:rPr>
          <w:sz w:val="22"/>
          <w:szCs w:val="22"/>
        </w:rPr>
        <w:t xml:space="preserve"> s </w:t>
      </w:r>
      <w:r>
        <w:rPr>
          <w:rFonts w:hint="default"/>
          <w:sz w:val="22"/>
          <w:szCs w:val="22"/>
        </w:rPr>
        <w:t>predpokladaný</w:t>
      </w:r>
      <w:r>
        <w:rPr>
          <w:rFonts w:hint="default"/>
          <w:sz w:val="22"/>
          <w:szCs w:val="22"/>
        </w:rPr>
        <w:t>m presunom do roku 2016 v sume 691 261 tis. eur,</w:t>
      </w:r>
      <w:r>
        <w:rPr>
          <w:rFonts w:hint="default"/>
          <w:sz w:val="22"/>
          <w:szCs w:val="22"/>
        </w:rPr>
        <w:t xml:space="preserve"> z toho rozpoč</w:t>
      </w:r>
      <w:r>
        <w:rPr>
          <w:rFonts w:hint="default"/>
          <w:sz w:val="22"/>
          <w:szCs w:val="22"/>
        </w:rPr>
        <w:t>tované</w:t>
      </w:r>
      <w:r>
        <w:rPr>
          <w:rFonts w:hint="default"/>
          <w:sz w:val="22"/>
          <w:szCs w:val="22"/>
        </w:rPr>
        <w:t xml:space="preserve"> prostriedky na rok 2015 boli 570 548 tis. eur. </w:t>
      </w:r>
    </w:p>
    <w:p w:rsidR="008B7DEB" w:rsidP="008B7DEB">
      <w:pPr>
        <w:bidi w:val="0"/>
        <w:spacing w:after="120" w:line="336" w:lineRule="auto"/>
        <w:jc w:val="both"/>
        <w:rPr>
          <w:rFonts w:ascii="Times New Roman" w:hAnsi="Times New Roman"/>
          <w:sz w:val="22"/>
          <w:szCs w:val="22"/>
        </w:rPr>
      </w:pPr>
      <w:r>
        <w:rPr>
          <w:rFonts w:ascii="Times New Roman" w:hAnsi="Times New Roman"/>
          <w:sz w:val="22"/>
          <w:szCs w:val="22"/>
        </w:rPr>
        <w:t>Pre analytický odhad vplyvu prenášaných výdavkov štátneho rozpočtu na saldo ve</w:t>
      </w:r>
      <w:r w:rsidR="00BB30A2">
        <w:rPr>
          <w:rFonts w:ascii="Times New Roman" w:hAnsi="Times New Roman"/>
          <w:sz w:val="22"/>
          <w:szCs w:val="22"/>
        </w:rPr>
        <w:t>rejnej správy v </w:t>
      </w:r>
      <w:r>
        <w:rPr>
          <w:rFonts w:ascii="Times New Roman" w:hAnsi="Times New Roman"/>
          <w:sz w:val="22"/>
          <w:szCs w:val="22"/>
        </w:rPr>
        <w:t xml:space="preserve">danom roku sú dôležité len reálne použité výdavky z prenesených prostriedkov predchádzajúcich období (380 </w:t>
      </w:r>
      <w:r w:rsidRPr="00770897">
        <w:rPr>
          <w:rFonts w:ascii="Times New Roman" w:hAnsi="Times New Roman"/>
          <w:sz w:val="22"/>
          <w:szCs w:val="22"/>
        </w:rPr>
        <w:t>446 tis. eur</w:t>
      </w:r>
      <w:r>
        <w:rPr>
          <w:rFonts w:ascii="Times New Roman" w:hAnsi="Times New Roman"/>
          <w:sz w:val="22"/>
          <w:szCs w:val="22"/>
        </w:rPr>
        <w:t>) a na druhej strane len tá časť prenesených výdavkov do nasledujúcich období, ktorá bola súčasťou rozpočtovaných výdavkov roku 2015 (</w:t>
      </w:r>
      <w:r w:rsidRPr="00770897">
        <w:rPr>
          <w:rFonts w:ascii="Times New Roman" w:hAnsi="Times New Roman"/>
          <w:sz w:val="22"/>
          <w:szCs w:val="22"/>
        </w:rPr>
        <w:t>570 548 tis. eur</w:t>
      </w:r>
      <w:r>
        <w:rPr>
          <w:rFonts w:ascii="Times New Roman" w:hAnsi="Times New Roman"/>
          <w:sz w:val="22"/>
          <w:szCs w:val="22"/>
        </w:rPr>
        <w:t xml:space="preserve">). Takto </w:t>
      </w:r>
      <w:r w:rsidRPr="00AD5904">
        <w:rPr>
          <w:rFonts w:ascii="Times New Roman" w:hAnsi="Times New Roman"/>
          <w:sz w:val="22"/>
          <w:szCs w:val="22"/>
        </w:rPr>
        <w:t xml:space="preserve">odhadnutý </w:t>
      </w:r>
      <w:r w:rsidRPr="00AD5904">
        <w:rPr>
          <w:rFonts w:ascii="Times New Roman" w:hAnsi="Times New Roman"/>
          <w:bCs/>
          <w:sz w:val="22"/>
          <w:szCs w:val="22"/>
        </w:rPr>
        <w:t xml:space="preserve">vplyv prenesených výdavkov štátneho rozpočtu </w:t>
      </w:r>
      <w:r w:rsidRPr="00AD5904">
        <w:rPr>
          <w:rFonts w:ascii="Times New Roman" w:hAnsi="Times New Roman"/>
          <w:sz w:val="22"/>
          <w:szCs w:val="22"/>
        </w:rPr>
        <w:t>znížil saldo verejnej správy o</w:t>
      </w:r>
      <w:r w:rsidRPr="00AD5904" w:rsidR="002E3A1A">
        <w:rPr>
          <w:rFonts w:ascii="Times New Roman" w:hAnsi="Times New Roman"/>
          <w:sz w:val="22"/>
          <w:szCs w:val="22"/>
        </w:rPr>
        <w:t> 190</w:t>
      </w:r>
      <w:r w:rsidR="001F08C4">
        <w:rPr>
          <w:rFonts w:ascii="Times New Roman" w:hAnsi="Times New Roman"/>
          <w:sz w:val="22"/>
          <w:szCs w:val="22"/>
        </w:rPr>
        <w:t> </w:t>
      </w:r>
      <w:r w:rsidRPr="00AD5904">
        <w:rPr>
          <w:rFonts w:ascii="Times New Roman" w:hAnsi="Times New Roman"/>
          <w:sz w:val="22"/>
          <w:szCs w:val="22"/>
        </w:rPr>
        <w:t>102</w:t>
      </w:r>
      <w:r w:rsidR="001F08C4">
        <w:rPr>
          <w:rFonts w:ascii="Times New Roman" w:hAnsi="Times New Roman"/>
          <w:bCs/>
          <w:sz w:val="22"/>
          <w:szCs w:val="22"/>
        </w:rPr>
        <w:t> </w:t>
      </w:r>
      <w:r w:rsidRPr="00AD5904">
        <w:rPr>
          <w:rFonts w:ascii="Times New Roman" w:hAnsi="Times New Roman"/>
          <w:bCs/>
          <w:sz w:val="22"/>
          <w:szCs w:val="22"/>
        </w:rPr>
        <w:t>tis. eur</w:t>
      </w:r>
      <w:r>
        <w:rPr>
          <w:rFonts w:ascii="Times New Roman" w:hAnsi="Times New Roman"/>
          <w:sz w:val="22"/>
          <w:szCs w:val="22"/>
        </w:rPr>
        <w:t>.</w:t>
      </w:r>
    </w:p>
    <w:p w:rsidR="00887937" w:rsidP="00AE0232">
      <w:pPr>
        <w:bidi w:val="0"/>
        <w:spacing w:after="120" w:line="336" w:lineRule="auto"/>
        <w:jc w:val="both"/>
        <w:rPr>
          <w:rFonts w:ascii="Times New Roman" w:hAnsi="Times New Roman"/>
          <w:sz w:val="22"/>
          <w:szCs w:val="22"/>
        </w:rPr>
      </w:pPr>
      <w:r>
        <w:rPr>
          <w:rFonts w:ascii="Times New Roman" w:hAnsi="Times New Roman"/>
          <w:sz w:val="22"/>
          <w:szCs w:val="22"/>
        </w:rPr>
        <w:t>Príkladom prenesených výdavkov štátneho rozpočtu sú výdavky</w:t>
      </w:r>
      <w:r w:rsidRPr="00F6223B">
        <w:rPr>
          <w:rFonts w:ascii="Times New Roman" w:hAnsi="Times New Roman"/>
          <w:sz w:val="22"/>
          <w:szCs w:val="22"/>
        </w:rPr>
        <w:t xml:space="preserve"> Ministerstva vnútra SR na nákup </w:t>
      </w:r>
      <w:r w:rsidRPr="00A634ED">
        <w:rPr>
          <w:rFonts w:ascii="Times New Roman" w:hAnsi="Times New Roman"/>
          <w:b/>
          <w:sz w:val="22"/>
          <w:szCs w:val="22"/>
        </w:rPr>
        <w:t xml:space="preserve">špeciálnych automobilov </w:t>
      </w:r>
      <w:r w:rsidRPr="00F6223B">
        <w:rPr>
          <w:rFonts w:ascii="Times New Roman" w:hAnsi="Times New Roman"/>
          <w:sz w:val="22"/>
          <w:szCs w:val="22"/>
        </w:rPr>
        <w:t>v hodnote 85 738 tis. eur, čo je v porovnaní s plánovaným rozpočtom prekročenie o 70 869 tis. eur. Prostriedky sa použili na obstaranie cisternových automobilových striekačiek, kombinovaných hasičských automobilov a rekonštrukciu striekačiek. Nákup bol realizovaný z prostriedkov z predchádzajúcich rokov presunutých podľa</w:t>
      </w:r>
      <w:r w:rsidR="00AE0232">
        <w:rPr>
          <w:rFonts w:ascii="Times New Roman" w:hAnsi="Times New Roman"/>
          <w:sz w:val="22"/>
          <w:szCs w:val="22"/>
        </w:rPr>
        <w:t xml:space="preserve"> §8 zákona č. 523/2004 </w:t>
      </w:r>
      <w:r w:rsidR="001F08C4">
        <w:rPr>
          <w:rFonts w:ascii="Times New Roman" w:hAnsi="Times New Roman"/>
          <w:sz w:val="22"/>
          <w:szCs w:val="22"/>
        </w:rPr>
        <w:t>Z. </w:t>
      </w:r>
      <w:r w:rsidR="00000EE1">
        <w:rPr>
          <w:rFonts w:ascii="Times New Roman" w:hAnsi="Times New Roman"/>
          <w:sz w:val="22"/>
          <w:szCs w:val="22"/>
        </w:rPr>
        <w:t>z</w:t>
      </w:r>
      <w:r w:rsidR="001F08C4">
        <w:rPr>
          <w:rFonts w:ascii="Times New Roman" w:hAnsi="Times New Roman"/>
          <w:sz w:val="22"/>
          <w:szCs w:val="22"/>
        </w:rPr>
        <w:t>.</w:t>
      </w:r>
      <w:r w:rsidR="00000EE1">
        <w:rPr>
          <w:rFonts w:ascii="Times New Roman" w:hAnsi="Times New Roman"/>
          <w:sz w:val="22"/>
          <w:szCs w:val="22"/>
        </w:rPr>
        <w:t>, ako</w:t>
      </w:r>
      <w:r w:rsidRPr="00F6223B">
        <w:rPr>
          <w:rFonts w:ascii="Times New Roman" w:hAnsi="Times New Roman"/>
          <w:sz w:val="22"/>
          <w:szCs w:val="22"/>
        </w:rPr>
        <w:t xml:space="preserve"> aj z prostriedkov EÚ a spolufinancovania zo ŠR v rámci regionálneho operačného programu.</w:t>
      </w:r>
    </w:p>
    <w:p w:rsidR="008B7DEB" w:rsidP="00AE0232">
      <w:pPr>
        <w:bidi w:val="0"/>
        <w:spacing w:after="120" w:line="336" w:lineRule="auto"/>
        <w:jc w:val="both"/>
        <w:rPr>
          <w:rFonts w:ascii="Times New Roman" w:hAnsi="Times New Roman"/>
          <w:sz w:val="22"/>
          <w:szCs w:val="22"/>
        </w:rPr>
      </w:pPr>
      <w:r w:rsidRPr="009248CD">
        <w:rPr>
          <w:rFonts w:ascii="Times New Roman" w:hAnsi="Times New Roman"/>
          <w:sz w:val="22"/>
          <w:szCs w:val="22"/>
        </w:rPr>
        <w:t xml:space="preserve">Akruálne </w:t>
      </w:r>
      <w:r w:rsidRPr="00AD5904">
        <w:rPr>
          <w:rFonts w:ascii="Times New Roman" w:hAnsi="Times New Roman"/>
          <w:b/>
          <w:sz w:val="22"/>
          <w:szCs w:val="22"/>
        </w:rPr>
        <w:t>náklady na financovanie štátneho</w:t>
      </w:r>
      <w:r w:rsidRPr="00A634ED">
        <w:rPr>
          <w:rFonts w:ascii="Times New Roman" w:hAnsi="Times New Roman"/>
          <w:b/>
          <w:sz w:val="22"/>
          <w:szCs w:val="22"/>
        </w:rPr>
        <w:t xml:space="preserve"> dlhu</w:t>
      </w:r>
      <w:r w:rsidRPr="009248CD">
        <w:rPr>
          <w:rFonts w:ascii="Times New Roman" w:hAnsi="Times New Roman"/>
          <w:sz w:val="22"/>
          <w:szCs w:val="22"/>
        </w:rPr>
        <w:t xml:space="preserve"> (rozdiel medzi rozpočtovaným a skutočným akruálnym transferom zo štátneho rozpočtu na saldo účet kapitoly štátny dlh) boli rozpočtované v sume 1 303 258 tis</w:t>
      </w:r>
      <w:r w:rsidR="002E3A1A">
        <w:rPr>
          <w:rFonts w:ascii="Times New Roman" w:hAnsi="Times New Roman"/>
          <w:sz w:val="22"/>
          <w:szCs w:val="22"/>
        </w:rPr>
        <w:t>.</w:t>
      </w:r>
      <w:r w:rsidRPr="009248CD">
        <w:rPr>
          <w:rFonts w:ascii="Times New Roman" w:hAnsi="Times New Roman"/>
          <w:sz w:val="22"/>
          <w:szCs w:val="22"/>
        </w:rPr>
        <w:t xml:space="preserve"> eur, skutočné náklady boli nižšie o 34 101 tis. eur. Úspora bola dosiahnutá vplyvom viacerých faktorov. Najväčší pozitívny účinok mali klesajúce úrokové sadzby pod vplyvom monetárnej politiky Európskej centrálnej banky. Nižšie sadzby oproti predpokladom rozpočtu znížili úrokové náklady o 22 576 tis. eur. Druhý najväčší pozitívny vplyv vo výšk</w:t>
      </w:r>
      <w:r w:rsidR="002E3A1A">
        <w:rPr>
          <w:rFonts w:ascii="Times New Roman" w:hAnsi="Times New Roman"/>
          <w:sz w:val="22"/>
          <w:szCs w:val="22"/>
        </w:rPr>
        <w:t>e 6 069 </w:t>
      </w:r>
      <w:r w:rsidRPr="009248CD">
        <w:rPr>
          <w:rFonts w:ascii="Times New Roman" w:hAnsi="Times New Roman"/>
          <w:sz w:val="22"/>
          <w:szCs w:val="22"/>
        </w:rPr>
        <w:t>tis. eur mali poplatky, ktoré súvisia s emitovaním cenných papierov. Úsporu priniesla aj emisná politika Agentúry pre riadenie dlhu a likvidity (</w:t>
      </w:r>
      <w:r w:rsidR="002E3A1A">
        <w:rPr>
          <w:rFonts w:ascii="Times New Roman" w:hAnsi="Times New Roman"/>
          <w:sz w:val="22"/>
          <w:szCs w:val="22"/>
        </w:rPr>
        <w:t>ARDAL) a to v objeme 5 455 tis. </w:t>
      </w:r>
      <w:r w:rsidRPr="009248CD">
        <w:rPr>
          <w:rFonts w:ascii="Times New Roman" w:hAnsi="Times New Roman"/>
          <w:sz w:val="22"/>
          <w:szCs w:val="22"/>
        </w:rPr>
        <w:t xml:space="preserve">eur. Oproti uvažovanému emisnému kalendáru v čase zostavovania rozpočtu emitoval ARDAL v roku 2015 výrazne menší objem celkového dlhu (o približne 820 400 tis. eur). Emisná politika v roku 2015 predĺžila dobu splatnosti dlhu, pri ktorom dochádza k zvýšeniu refinančného rizika dlhu. </w:t>
      </w:r>
    </w:p>
    <w:p w:rsidR="008B7DEB" w:rsidRPr="00F6223B" w:rsidP="008B7DEB">
      <w:pPr>
        <w:bidi w:val="0"/>
        <w:spacing w:after="120" w:line="336" w:lineRule="auto"/>
        <w:jc w:val="both"/>
        <w:rPr>
          <w:rFonts w:ascii="Times New Roman" w:hAnsi="Times New Roman"/>
          <w:sz w:val="22"/>
          <w:szCs w:val="22"/>
        </w:rPr>
      </w:pPr>
      <w:r w:rsidRPr="00F6223B">
        <w:rPr>
          <w:rFonts w:ascii="Times New Roman" w:hAnsi="Times New Roman"/>
          <w:sz w:val="22"/>
          <w:szCs w:val="22"/>
        </w:rPr>
        <w:t xml:space="preserve">Úsporu </w:t>
      </w:r>
      <w:r w:rsidRPr="00AD5904">
        <w:rPr>
          <w:rFonts w:ascii="Times New Roman" w:hAnsi="Times New Roman"/>
          <w:b/>
          <w:sz w:val="22"/>
          <w:szCs w:val="22"/>
        </w:rPr>
        <w:t>výdavkov na</w:t>
      </w:r>
      <w:r w:rsidRPr="00F6223B">
        <w:rPr>
          <w:rFonts w:ascii="Times New Roman" w:hAnsi="Times New Roman"/>
          <w:sz w:val="22"/>
          <w:szCs w:val="22"/>
        </w:rPr>
        <w:t xml:space="preserve"> </w:t>
      </w:r>
      <w:r w:rsidRPr="00A634ED">
        <w:rPr>
          <w:rFonts w:ascii="Times New Roman" w:hAnsi="Times New Roman"/>
          <w:b/>
          <w:sz w:val="22"/>
          <w:szCs w:val="22"/>
        </w:rPr>
        <w:t>všeobecné služby</w:t>
      </w:r>
      <w:r w:rsidRPr="00F6223B">
        <w:rPr>
          <w:rFonts w:ascii="Times New Roman" w:hAnsi="Times New Roman"/>
          <w:sz w:val="22"/>
          <w:szCs w:val="22"/>
        </w:rPr>
        <w:t xml:space="preserve"> zaznamenala kapitola Ministerstva zdravotníctva SR v sume 50 000 tis. eur, ktoré boli účelovo určené ako rezerva na krytie prípadných strát zdravotníckych zariadení vo verejnej správe. </w:t>
      </w:r>
    </w:p>
    <w:p w:rsidR="00DE2E94" w:rsidRPr="00F6223B" w:rsidP="00DE2E94">
      <w:pPr>
        <w:bidi w:val="0"/>
        <w:spacing w:after="120" w:line="336" w:lineRule="auto"/>
        <w:jc w:val="both"/>
        <w:rPr>
          <w:rFonts w:ascii="Times New Roman" w:hAnsi="Times New Roman"/>
          <w:sz w:val="22"/>
          <w:szCs w:val="22"/>
        </w:rPr>
      </w:pPr>
      <w:r w:rsidRPr="00F6223B">
        <w:rPr>
          <w:rFonts w:ascii="Times New Roman" w:hAnsi="Times New Roman"/>
          <w:sz w:val="22"/>
          <w:szCs w:val="22"/>
        </w:rPr>
        <w:t xml:space="preserve">V rámci kapitálových výdavkov na </w:t>
      </w:r>
      <w:r w:rsidRPr="00A634ED">
        <w:rPr>
          <w:rFonts w:ascii="Times New Roman" w:hAnsi="Times New Roman"/>
          <w:b/>
          <w:sz w:val="22"/>
          <w:szCs w:val="22"/>
        </w:rPr>
        <w:t>dopravné lietadlá a vrtuľníky</w:t>
      </w:r>
      <w:r w:rsidRPr="00F6223B">
        <w:rPr>
          <w:rFonts w:ascii="Times New Roman" w:hAnsi="Times New Roman"/>
          <w:sz w:val="22"/>
          <w:szCs w:val="22"/>
        </w:rPr>
        <w:t xml:space="preserve"> v rámci schválených limitov rozpočtu verejnej správy je potrebné</w:t>
      </w:r>
      <w:r>
        <w:rPr>
          <w:rFonts w:ascii="Times New Roman" w:hAnsi="Times New Roman"/>
          <w:sz w:val="22"/>
          <w:szCs w:val="22"/>
        </w:rPr>
        <w:t>,</w:t>
      </w:r>
      <w:r w:rsidRPr="00F6223B">
        <w:rPr>
          <w:rFonts w:ascii="Times New Roman" w:hAnsi="Times New Roman"/>
          <w:sz w:val="22"/>
          <w:szCs w:val="22"/>
        </w:rPr>
        <w:t xml:space="preserve"> aby Ministerstvo obrany SR zabezpečilo</w:t>
      </w:r>
      <w:r>
        <w:rPr>
          <w:rFonts w:ascii="Times New Roman" w:hAnsi="Times New Roman"/>
          <w:sz w:val="22"/>
          <w:szCs w:val="22"/>
        </w:rPr>
        <w:t xml:space="preserve"> v súlade s uznesením vlády SR č. 225/2015 k návrhu obmeny viacúčelových vrtuľníkov</w:t>
      </w:r>
      <w:r w:rsidRPr="00F6223B">
        <w:rPr>
          <w:rFonts w:ascii="Times New Roman" w:hAnsi="Times New Roman"/>
          <w:sz w:val="22"/>
          <w:szCs w:val="22"/>
        </w:rPr>
        <w:t xml:space="preserve"> v rokoch </w:t>
      </w:r>
      <w:r>
        <w:rPr>
          <w:rFonts w:ascii="Times New Roman" w:hAnsi="Times New Roman"/>
          <w:sz w:val="22"/>
          <w:szCs w:val="22"/>
        </w:rPr>
        <w:t>2015–</w:t>
      </w:r>
      <w:r w:rsidRPr="00F6223B">
        <w:rPr>
          <w:rFonts w:ascii="Times New Roman" w:hAnsi="Times New Roman"/>
          <w:sz w:val="22"/>
          <w:szCs w:val="22"/>
        </w:rPr>
        <w:t>2024 financovanie obmeny viacúčelových vrtuľníkov vo výške 261 745 </w:t>
      </w:r>
      <w:r>
        <w:rPr>
          <w:rFonts w:ascii="Times New Roman" w:hAnsi="Times New Roman"/>
          <w:sz w:val="22"/>
          <w:szCs w:val="22"/>
        </w:rPr>
        <w:t>tis.</w:t>
      </w:r>
      <w:r w:rsidRPr="00F6223B">
        <w:rPr>
          <w:rFonts w:ascii="Times New Roman" w:hAnsi="Times New Roman"/>
          <w:sz w:val="22"/>
          <w:szCs w:val="22"/>
        </w:rPr>
        <w:t xml:space="preserve"> USD</w:t>
      </w:r>
      <w:r>
        <w:rPr>
          <w:rFonts w:ascii="Times New Roman" w:hAnsi="Times New Roman"/>
          <w:sz w:val="22"/>
          <w:szCs w:val="22"/>
        </w:rPr>
        <w:t>, v súlade so </w:t>
      </w:r>
      <w:r w:rsidRPr="00F6223B">
        <w:rPr>
          <w:rFonts w:ascii="Times New Roman" w:hAnsi="Times New Roman"/>
          <w:sz w:val="22"/>
          <w:szCs w:val="22"/>
        </w:rPr>
        <w:t>splátkovým kalendárom uvedeným v „Dohode o podmienkach predaja“ navýšené o </w:t>
      </w:r>
      <w:r>
        <w:rPr>
          <w:rFonts w:ascii="Times New Roman" w:hAnsi="Times New Roman"/>
          <w:sz w:val="22"/>
          <w:szCs w:val="22"/>
        </w:rPr>
        <w:t>súvisiace dane, clá a poplatky. P</w:t>
      </w:r>
      <w:r w:rsidRPr="00F6223B">
        <w:rPr>
          <w:rFonts w:ascii="Times New Roman" w:hAnsi="Times New Roman"/>
          <w:sz w:val="22"/>
          <w:szCs w:val="22"/>
        </w:rPr>
        <w:t>rekročenie rozpočtu bolo realizované z uvedeného dôvod</w:t>
      </w:r>
      <w:r>
        <w:rPr>
          <w:rFonts w:ascii="Times New Roman" w:hAnsi="Times New Roman"/>
          <w:sz w:val="22"/>
          <w:szCs w:val="22"/>
        </w:rPr>
        <w:t>u s negatívnym vplyvom v roku 2015 vo výške 54 045 tis. eur.</w:t>
      </w:r>
    </w:p>
    <w:p w:rsidR="00BD35AE" w:rsidRPr="009D40C6" w:rsidP="00BD35AE">
      <w:pPr>
        <w:bidi w:val="0"/>
        <w:spacing w:after="120" w:line="336" w:lineRule="auto"/>
        <w:jc w:val="both"/>
        <w:rPr>
          <w:rFonts w:ascii="Times New Roman" w:hAnsi="Times New Roman"/>
          <w:sz w:val="22"/>
          <w:szCs w:val="22"/>
        </w:rPr>
      </w:pPr>
      <w:r w:rsidRPr="009D40C6" w:rsidR="009D40C6">
        <w:rPr>
          <w:rFonts w:ascii="Times New Roman" w:hAnsi="Times New Roman"/>
          <w:sz w:val="22"/>
          <w:szCs w:val="22"/>
        </w:rPr>
        <w:t xml:space="preserve">Schválený rozpočet </w:t>
      </w:r>
      <w:r w:rsidRPr="009D40C6" w:rsidR="009D40C6">
        <w:rPr>
          <w:rFonts w:ascii="Times New Roman" w:hAnsi="Times New Roman"/>
          <w:b/>
          <w:sz w:val="22"/>
          <w:szCs w:val="22"/>
        </w:rPr>
        <w:t>výdavkov na</w:t>
      </w:r>
      <w:r w:rsidRPr="009D40C6" w:rsidR="009D40C6">
        <w:rPr>
          <w:rFonts w:ascii="Times New Roman" w:hAnsi="Times New Roman"/>
          <w:sz w:val="22"/>
          <w:szCs w:val="22"/>
        </w:rPr>
        <w:t xml:space="preserve"> </w:t>
      </w:r>
      <w:r w:rsidRPr="009D40C6" w:rsidR="009D40C6">
        <w:rPr>
          <w:rFonts w:ascii="Times New Roman" w:hAnsi="Times New Roman"/>
          <w:b/>
          <w:sz w:val="22"/>
          <w:szCs w:val="22"/>
        </w:rPr>
        <w:t>sociálne poistenie</w:t>
      </w:r>
      <w:r w:rsidRPr="009D40C6" w:rsidR="009D40C6">
        <w:rPr>
          <w:rFonts w:ascii="Times New Roman" w:hAnsi="Times New Roman"/>
          <w:sz w:val="22"/>
          <w:szCs w:val="22"/>
        </w:rPr>
        <w:t xml:space="preserve"> bol vo výške 6 979 326 tis. eur, dosiahnutá skutočnosť predstavovala sumu 6 978 051 tis. eur, výsledkom čoho bola ú</w:t>
      </w:r>
      <w:r w:rsidRPr="009D40C6">
        <w:rPr>
          <w:rFonts w:ascii="Times New Roman" w:hAnsi="Times New Roman"/>
          <w:sz w:val="22"/>
          <w:szCs w:val="22"/>
        </w:rPr>
        <w:t>spora 1</w:t>
      </w:r>
      <w:r w:rsidRPr="009D40C6" w:rsidR="009D40C6">
        <w:rPr>
          <w:rFonts w:ascii="Times New Roman" w:hAnsi="Times New Roman"/>
          <w:sz w:val="22"/>
          <w:szCs w:val="22"/>
        </w:rPr>
        <w:t> </w:t>
      </w:r>
      <w:r w:rsidRPr="009D40C6">
        <w:rPr>
          <w:rFonts w:ascii="Times New Roman" w:hAnsi="Times New Roman"/>
          <w:sz w:val="22"/>
          <w:szCs w:val="22"/>
        </w:rPr>
        <w:t>275</w:t>
      </w:r>
      <w:r w:rsidRPr="009D40C6" w:rsidR="009D40C6">
        <w:rPr>
          <w:rFonts w:ascii="Times New Roman" w:hAnsi="Times New Roman"/>
          <w:sz w:val="22"/>
          <w:szCs w:val="22"/>
        </w:rPr>
        <w:t> </w:t>
      </w:r>
      <w:r w:rsidRPr="009D40C6">
        <w:rPr>
          <w:rFonts w:ascii="Times New Roman" w:hAnsi="Times New Roman"/>
          <w:sz w:val="22"/>
          <w:szCs w:val="22"/>
        </w:rPr>
        <w:t>tis.</w:t>
      </w:r>
      <w:r w:rsidRPr="009D40C6" w:rsidR="009D40C6">
        <w:rPr>
          <w:rFonts w:ascii="Times New Roman" w:hAnsi="Times New Roman"/>
          <w:sz w:val="22"/>
          <w:szCs w:val="22"/>
        </w:rPr>
        <w:t> </w:t>
      </w:r>
      <w:r w:rsidRPr="009D40C6">
        <w:rPr>
          <w:rFonts w:ascii="Times New Roman" w:hAnsi="Times New Roman"/>
          <w:sz w:val="22"/>
          <w:szCs w:val="22"/>
        </w:rPr>
        <w:t>eur.</w:t>
      </w:r>
    </w:p>
    <w:p w:rsidR="00BD35AE" w:rsidRPr="00BD35AE" w:rsidP="00335007">
      <w:pPr>
        <w:bidi w:val="0"/>
        <w:spacing w:after="120" w:line="336" w:lineRule="auto"/>
        <w:jc w:val="both"/>
        <w:rPr>
          <w:rFonts w:ascii="Times New Roman" w:hAnsi="Times New Roman"/>
          <w:sz w:val="22"/>
          <w:szCs w:val="22"/>
        </w:rPr>
      </w:pPr>
      <w:r w:rsidRPr="00550996">
        <w:rPr>
          <w:rFonts w:ascii="Times New Roman" w:hAnsi="Times New Roman"/>
          <w:b/>
          <w:sz w:val="22"/>
          <w:szCs w:val="22"/>
        </w:rPr>
        <w:t>Výdavky verejného zdravotného poistenia</w:t>
      </w:r>
      <w:r w:rsidRPr="00BD35AE">
        <w:rPr>
          <w:rFonts w:ascii="Times New Roman" w:hAnsi="Times New Roman"/>
          <w:sz w:val="22"/>
          <w:szCs w:val="22"/>
        </w:rPr>
        <w:t xml:space="preserve"> boli rozpočtované v sume 3 731 975 tis. eur, skutočnosť však bola o 260 889 tis. eur vyššia. Výdavky na </w:t>
      </w:r>
      <w:r w:rsidR="00AE0232">
        <w:rPr>
          <w:rFonts w:ascii="Times New Roman" w:hAnsi="Times New Roman"/>
          <w:sz w:val="22"/>
          <w:szCs w:val="22"/>
        </w:rPr>
        <w:t>verejné zdravotné poistenie boli</w:t>
      </w:r>
      <w:r w:rsidRPr="00BD35AE">
        <w:rPr>
          <w:rFonts w:ascii="Times New Roman" w:hAnsi="Times New Roman"/>
          <w:sz w:val="22"/>
          <w:szCs w:val="22"/>
        </w:rPr>
        <w:t xml:space="preserve"> kompenzované </w:t>
      </w:r>
      <w:r w:rsidR="001A666A">
        <w:rPr>
          <w:rFonts w:ascii="Times New Roman" w:hAnsi="Times New Roman"/>
          <w:sz w:val="22"/>
          <w:szCs w:val="22"/>
        </w:rPr>
        <w:t xml:space="preserve">vyššími príjmami a celkový prebytok bol oproti rozpočtu vyšší o </w:t>
      </w:r>
      <w:r w:rsidRPr="00BD35AE">
        <w:rPr>
          <w:rFonts w:ascii="Times New Roman" w:hAnsi="Times New Roman"/>
          <w:sz w:val="22"/>
          <w:szCs w:val="22"/>
        </w:rPr>
        <w:t>20 408 tis. eur.</w:t>
      </w:r>
    </w:p>
    <w:p w:rsidR="00AE0232" w:rsidP="00AE0232">
      <w:pPr>
        <w:bidi w:val="0"/>
        <w:spacing w:after="120" w:line="336" w:lineRule="auto"/>
        <w:jc w:val="both"/>
        <w:rPr>
          <w:rFonts w:ascii="Times New Roman" w:hAnsi="Times New Roman"/>
          <w:sz w:val="22"/>
          <w:szCs w:val="22"/>
        </w:rPr>
      </w:pPr>
      <w:r w:rsidRPr="00FE08C3" w:rsidR="00BD35AE">
        <w:rPr>
          <w:rFonts w:ascii="Times New Roman" w:hAnsi="Times New Roman"/>
          <w:b/>
          <w:sz w:val="22"/>
          <w:szCs w:val="22"/>
        </w:rPr>
        <w:t>Odvody do rozpočtu EÚ</w:t>
      </w:r>
      <w:r w:rsidR="00000EE1">
        <w:rPr>
          <w:rFonts w:ascii="Times New Roman" w:hAnsi="Times New Roman"/>
          <w:sz w:val="22"/>
          <w:szCs w:val="22"/>
        </w:rPr>
        <w:t xml:space="preserve"> </w:t>
      </w:r>
      <w:r w:rsidRPr="00FE08C3" w:rsidR="00BD35AE">
        <w:rPr>
          <w:rFonts w:ascii="Times New Roman" w:hAnsi="Times New Roman"/>
          <w:sz w:val="22"/>
          <w:szCs w:val="22"/>
        </w:rPr>
        <w:t xml:space="preserve">dosiahli úsporu v sume </w:t>
      </w:r>
      <w:r w:rsidRPr="00FE08C3" w:rsidR="001A666A">
        <w:rPr>
          <w:rFonts w:ascii="Times New Roman" w:hAnsi="Times New Roman"/>
          <w:sz w:val="22"/>
          <w:szCs w:val="22"/>
        </w:rPr>
        <w:t>10</w:t>
      </w:r>
      <w:r w:rsidR="00596EB0">
        <w:rPr>
          <w:rFonts w:ascii="Times New Roman" w:hAnsi="Times New Roman"/>
          <w:sz w:val="22"/>
          <w:szCs w:val="22"/>
        </w:rPr>
        <w:t>0</w:t>
      </w:r>
      <w:r w:rsidRPr="00FE08C3" w:rsidR="001A666A">
        <w:rPr>
          <w:rFonts w:ascii="Times New Roman" w:hAnsi="Times New Roman"/>
          <w:sz w:val="22"/>
          <w:szCs w:val="22"/>
        </w:rPr>
        <w:t xml:space="preserve"> </w:t>
      </w:r>
      <w:r w:rsidR="00596EB0">
        <w:rPr>
          <w:rFonts w:ascii="Times New Roman" w:hAnsi="Times New Roman"/>
          <w:sz w:val="22"/>
          <w:szCs w:val="22"/>
        </w:rPr>
        <w:t>4</w:t>
      </w:r>
      <w:r w:rsidRPr="00FE08C3" w:rsidR="001A666A">
        <w:rPr>
          <w:rFonts w:ascii="Times New Roman" w:hAnsi="Times New Roman"/>
          <w:sz w:val="22"/>
          <w:szCs w:val="22"/>
        </w:rPr>
        <w:t>91</w:t>
      </w:r>
      <w:r w:rsidRPr="00FE08C3" w:rsidR="00BD35AE">
        <w:rPr>
          <w:rFonts w:ascii="Times New Roman" w:hAnsi="Times New Roman"/>
          <w:sz w:val="22"/>
          <w:szCs w:val="22"/>
        </w:rPr>
        <w:t xml:space="preserve"> tis. eur. </w:t>
      </w:r>
      <w:r w:rsidRPr="00FE08C3" w:rsidR="000B4F92">
        <w:rPr>
          <w:rFonts w:ascii="Times New Roman" w:hAnsi="Times New Roman"/>
          <w:sz w:val="22"/>
          <w:szCs w:val="22"/>
        </w:rPr>
        <w:t xml:space="preserve">Časové rozlíšenie odvodov SR do rozpočtu EÚ predstavuje rozdiel medzi odvodmi SR do rozpočtu EÚ na hotovostnom princípe a </w:t>
      </w:r>
      <w:r w:rsidRPr="00AE0232" w:rsidR="000B4F92">
        <w:rPr>
          <w:rFonts w:ascii="Times New Roman" w:hAnsi="Times New Roman"/>
          <w:sz w:val="22"/>
          <w:szCs w:val="22"/>
        </w:rPr>
        <w:t>na akruálnom princípe.</w:t>
      </w:r>
      <w:r w:rsidRPr="00AE0232" w:rsidR="008F1540">
        <w:rPr>
          <w:rFonts w:ascii="Times New Roman" w:hAnsi="Times New Roman"/>
          <w:sz w:val="22"/>
          <w:szCs w:val="22"/>
        </w:rPr>
        <w:t xml:space="preserve"> </w:t>
      </w:r>
      <w:r w:rsidRPr="00AE0232" w:rsidR="000B4F92">
        <w:rPr>
          <w:rFonts w:ascii="Times New Roman" w:hAnsi="Times New Roman"/>
          <w:sz w:val="22"/>
          <w:szCs w:val="22"/>
        </w:rPr>
        <w:t xml:space="preserve">Tento faktor zvýšil saldo verejnej správy o </w:t>
      </w:r>
      <w:r w:rsidRPr="00AE0232" w:rsidR="00BD35AE">
        <w:rPr>
          <w:rFonts w:ascii="Times New Roman" w:hAnsi="Times New Roman"/>
          <w:sz w:val="22"/>
          <w:szCs w:val="22"/>
        </w:rPr>
        <w:t>38 025 tis. eur</w:t>
      </w:r>
      <w:r w:rsidRPr="00AE0232" w:rsidR="000B4F92">
        <w:rPr>
          <w:rFonts w:ascii="Times New Roman" w:hAnsi="Times New Roman"/>
          <w:sz w:val="22"/>
          <w:szCs w:val="22"/>
        </w:rPr>
        <w:t>.</w:t>
      </w:r>
      <w:r w:rsidRPr="00AE0232" w:rsidR="00BD35AE">
        <w:rPr>
          <w:rFonts w:ascii="Times New Roman" w:hAnsi="Times New Roman"/>
          <w:sz w:val="22"/>
          <w:szCs w:val="22"/>
        </w:rPr>
        <w:t xml:space="preserve"> </w:t>
      </w:r>
      <w:r w:rsidRPr="00AE0232" w:rsidR="008F1540">
        <w:rPr>
          <w:rFonts w:ascii="Times New Roman" w:hAnsi="Times New Roman"/>
          <w:sz w:val="22"/>
          <w:szCs w:val="22"/>
        </w:rPr>
        <w:t>Negatívny vplyv</w:t>
      </w:r>
      <w:r w:rsidRPr="00AE0232" w:rsidR="00BD35AE">
        <w:rPr>
          <w:rFonts w:ascii="Times New Roman" w:hAnsi="Times New Roman"/>
          <w:sz w:val="22"/>
          <w:szCs w:val="22"/>
        </w:rPr>
        <w:t xml:space="preserve"> vznikol v dôsledku noviel rozpočtu EÚ, ktoré akruálne prislúchajú </w:t>
      </w:r>
      <w:r w:rsidRPr="00AE0232">
        <w:rPr>
          <w:rFonts w:ascii="Times New Roman" w:hAnsi="Times New Roman"/>
          <w:sz w:val="22"/>
          <w:szCs w:val="22"/>
        </w:rPr>
        <w:t xml:space="preserve">danému </w:t>
      </w:r>
      <w:r w:rsidRPr="00AE0232" w:rsidR="00BD35AE">
        <w:rPr>
          <w:rFonts w:ascii="Times New Roman" w:hAnsi="Times New Roman"/>
          <w:sz w:val="22"/>
          <w:szCs w:val="22"/>
        </w:rPr>
        <w:t>rozpočt</w:t>
      </w:r>
      <w:r w:rsidRPr="00AE0232">
        <w:rPr>
          <w:rFonts w:ascii="Times New Roman" w:hAnsi="Times New Roman"/>
          <w:sz w:val="22"/>
          <w:szCs w:val="22"/>
        </w:rPr>
        <w:t>ovému roku avšak na hotovostnom princípe sa premietli do zníženia odvodov SR v nasledujúcom rozpočtovom roku</w:t>
      </w:r>
      <w:r w:rsidR="003B73F0">
        <w:rPr>
          <w:rFonts w:ascii="Times New Roman" w:hAnsi="Times New Roman"/>
          <w:sz w:val="22"/>
          <w:szCs w:val="22"/>
        </w:rPr>
        <w:t xml:space="preserve"> resp. predchádzajúcom rozpočtovom roku.</w:t>
      </w:r>
    </w:p>
    <w:p w:rsidR="008B7DEB" w:rsidRPr="00C06F26" w:rsidP="00BD35AE">
      <w:pPr>
        <w:bidi w:val="0"/>
        <w:spacing w:after="120" w:line="336" w:lineRule="auto"/>
        <w:jc w:val="both"/>
        <w:rPr>
          <w:rFonts w:ascii="Times New Roman" w:hAnsi="Times New Roman"/>
          <w:sz w:val="22"/>
          <w:szCs w:val="22"/>
        </w:rPr>
      </w:pPr>
      <w:r w:rsidRPr="00C06F26">
        <w:rPr>
          <w:rFonts w:ascii="Times New Roman" w:hAnsi="Times New Roman"/>
          <w:sz w:val="22"/>
          <w:szCs w:val="22"/>
        </w:rPr>
        <w:t xml:space="preserve">Vyšší objem výdavkov na </w:t>
      </w:r>
      <w:r w:rsidRPr="00C06F26">
        <w:rPr>
          <w:rFonts w:ascii="Times New Roman" w:hAnsi="Times New Roman"/>
          <w:b/>
          <w:sz w:val="22"/>
          <w:szCs w:val="22"/>
        </w:rPr>
        <w:t>spolufinancovanie projektov EU</w:t>
      </w:r>
      <w:r w:rsidRPr="00C06F26">
        <w:rPr>
          <w:rFonts w:ascii="Times New Roman" w:hAnsi="Times New Roman"/>
          <w:sz w:val="22"/>
          <w:szCs w:val="22"/>
        </w:rPr>
        <w:t xml:space="preserve"> zo štátneho rozpočtu o 87</w:t>
      </w:r>
      <w:r w:rsidR="00AE0232">
        <w:rPr>
          <w:rFonts w:ascii="Times New Roman" w:hAnsi="Times New Roman"/>
          <w:sz w:val="22"/>
          <w:szCs w:val="22"/>
        </w:rPr>
        <w:t> </w:t>
      </w:r>
      <w:r>
        <w:rPr>
          <w:rFonts w:ascii="Times New Roman" w:hAnsi="Times New Roman"/>
          <w:sz w:val="22"/>
          <w:szCs w:val="22"/>
        </w:rPr>
        <w:t>166</w:t>
      </w:r>
      <w:r w:rsidR="00AE0232">
        <w:rPr>
          <w:rFonts w:ascii="Times New Roman" w:hAnsi="Times New Roman"/>
          <w:sz w:val="22"/>
          <w:szCs w:val="22"/>
        </w:rPr>
        <w:t> tis. </w:t>
      </w:r>
      <w:r w:rsidRPr="00C06F26">
        <w:rPr>
          <w:rFonts w:ascii="Times New Roman" w:hAnsi="Times New Roman"/>
          <w:sz w:val="22"/>
          <w:szCs w:val="22"/>
        </w:rPr>
        <w:t>eur bol v hlavnej miere spôsobený využitím finančných prostriedkov v</w:t>
      </w:r>
      <w:r w:rsidR="002D72F1">
        <w:rPr>
          <w:rFonts w:ascii="Times New Roman" w:hAnsi="Times New Roman"/>
          <w:sz w:val="22"/>
          <w:szCs w:val="22"/>
        </w:rPr>
        <w:t>iazaných v zmysle § 8 zákona č. </w:t>
      </w:r>
      <w:r w:rsidRPr="00C06F26">
        <w:rPr>
          <w:rFonts w:ascii="Times New Roman" w:hAnsi="Times New Roman"/>
          <w:sz w:val="22"/>
          <w:szCs w:val="22"/>
        </w:rPr>
        <w:t>523/2004 Z. z. o rozpočtových pravidlách verejnej správy.</w:t>
      </w:r>
    </w:p>
    <w:p w:rsidR="008B7DEB" w:rsidRPr="005E6330" w:rsidP="008B7DEB">
      <w:pPr>
        <w:bidi w:val="0"/>
        <w:spacing w:after="120" w:line="336" w:lineRule="auto"/>
        <w:jc w:val="both"/>
        <w:rPr>
          <w:rFonts w:ascii="Times New Roman" w:hAnsi="Times New Roman"/>
          <w:sz w:val="22"/>
          <w:szCs w:val="22"/>
        </w:rPr>
      </w:pPr>
      <w:r w:rsidR="0020302E">
        <w:rPr>
          <w:rFonts w:ascii="Times New Roman" w:hAnsi="Times New Roman"/>
          <w:sz w:val="22"/>
          <w:szCs w:val="22"/>
        </w:rPr>
        <w:t xml:space="preserve">Pod </w:t>
      </w:r>
      <w:r w:rsidRPr="0020302E" w:rsidR="0020302E">
        <w:rPr>
          <w:rFonts w:ascii="Times New Roman" w:hAnsi="Times New Roman"/>
          <w:b/>
          <w:sz w:val="22"/>
          <w:szCs w:val="22"/>
        </w:rPr>
        <w:t>f</w:t>
      </w:r>
      <w:r w:rsidRPr="0020302E">
        <w:rPr>
          <w:rFonts w:ascii="Times New Roman" w:hAnsi="Times New Roman"/>
          <w:b/>
          <w:sz w:val="22"/>
          <w:szCs w:val="22"/>
        </w:rPr>
        <w:t xml:space="preserve">inančnou </w:t>
      </w:r>
      <w:r w:rsidRPr="0020302E" w:rsidR="0020302E">
        <w:rPr>
          <w:rFonts w:ascii="Times New Roman" w:hAnsi="Times New Roman"/>
          <w:b/>
          <w:sz w:val="22"/>
          <w:szCs w:val="22"/>
        </w:rPr>
        <w:t>korekciou</w:t>
      </w:r>
      <w:r w:rsidR="0020302E">
        <w:rPr>
          <w:rFonts w:ascii="Times New Roman" w:hAnsi="Times New Roman"/>
          <w:b/>
          <w:sz w:val="22"/>
          <w:szCs w:val="22"/>
        </w:rPr>
        <w:t xml:space="preserve"> k fondom EÚ</w:t>
      </w:r>
      <w:r w:rsidRPr="0020302E">
        <w:rPr>
          <w:rFonts w:ascii="Times New Roman" w:hAnsi="Times New Roman"/>
          <w:sz w:val="22"/>
          <w:szCs w:val="22"/>
        </w:rPr>
        <w:t xml:space="preserve"> sa</w:t>
      </w:r>
      <w:r w:rsidRPr="005E6330">
        <w:rPr>
          <w:rFonts w:ascii="Times New Roman" w:hAnsi="Times New Roman"/>
          <w:sz w:val="22"/>
          <w:szCs w:val="22"/>
        </w:rPr>
        <w:t xml:space="preserve"> rozumie porušenie uplatniteľného práva Únie alebo vnútroštátneho práva v súvislosti s výdavkami, ktoré boli vykázané Európskej komisii alebo v súvislosti s výdavkami schvaľovanými na národnej úrovni, v dôsledku čoho Slovenskej republike nie sú preplatené výdavky, ktoré </w:t>
      </w:r>
      <w:r w:rsidR="0020302E">
        <w:rPr>
          <w:rFonts w:ascii="Times New Roman" w:hAnsi="Times New Roman"/>
          <w:sz w:val="22"/>
          <w:szCs w:val="22"/>
        </w:rPr>
        <w:t>potom</w:t>
      </w:r>
      <w:r w:rsidRPr="005E6330">
        <w:rPr>
          <w:rFonts w:ascii="Times New Roman" w:hAnsi="Times New Roman"/>
          <w:sz w:val="22"/>
          <w:szCs w:val="22"/>
        </w:rPr>
        <w:t xml:space="preserve"> musí pokryť štátny rozpočet. Negatívny vplyv na saldo verejnej správy 2015 mali finančné kor</w:t>
      </w:r>
      <w:r w:rsidR="0020302E">
        <w:rPr>
          <w:rFonts w:ascii="Times New Roman" w:hAnsi="Times New Roman"/>
          <w:sz w:val="22"/>
          <w:szCs w:val="22"/>
        </w:rPr>
        <w:t>ekcie vo výške 226 134 tis. eur, z</w:t>
      </w:r>
      <w:r w:rsidRPr="005E6330">
        <w:rPr>
          <w:rFonts w:ascii="Times New Roman" w:hAnsi="Times New Roman"/>
          <w:sz w:val="22"/>
          <w:szCs w:val="22"/>
        </w:rPr>
        <w:t> toho v dôsledku zníženia pohľadávky voči EU z dôvodu systémových korekcií v sume 189 587 tis. eur a</w:t>
      </w:r>
      <w:r w:rsidR="002060EF">
        <w:rPr>
          <w:rFonts w:ascii="Times New Roman" w:hAnsi="Times New Roman"/>
          <w:sz w:val="22"/>
          <w:szCs w:val="22"/>
        </w:rPr>
        <w:t xml:space="preserve"> individuálnych korekcií v sume </w:t>
      </w:r>
      <w:r w:rsidRPr="005E6330">
        <w:rPr>
          <w:rFonts w:ascii="Times New Roman" w:hAnsi="Times New Roman"/>
          <w:sz w:val="22"/>
          <w:szCs w:val="22"/>
        </w:rPr>
        <w:t>36</w:t>
      </w:r>
      <w:r w:rsidR="002060EF">
        <w:rPr>
          <w:rFonts w:ascii="Times New Roman" w:hAnsi="Times New Roman"/>
          <w:sz w:val="22"/>
          <w:szCs w:val="22"/>
        </w:rPr>
        <w:t> </w:t>
      </w:r>
      <w:r w:rsidRPr="005E6330">
        <w:rPr>
          <w:rFonts w:ascii="Times New Roman" w:hAnsi="Times New Roman"/>
          <w:sz w:val="22"/>
          <w:szCs w:val="22"/>
        </w:rPr>
        <w:t>547</w:t>
      </w:r>
      <w:r w:rsidR="002060EF">
        <w:rPr>
          <w:rFonts w:ascii="Times New Roman" w:hAnsi="Times New Roman"/>
          <w:sz w:val="22"/>
          <w:szCs w:val="22"/>
        </w:rPr>
        <w:t> </w:t>
      </w:r>
      <w:r w:rsidRPr="005E6330">
        <w:rPr>
          <w:rFonts w:ascii="Times New Roman" w:hAnsi="Times New Roman"/>
          <w:sz w:val="22"/>
          <w:szCs w:val="22"/>
        </w:rPr>
        <w:t xml:space="preserve">tis. eur. Systémová </w:t>
      </w:r>
      <w:r w:rsidR="0020302E">
        <w:rPr>
          <w:rFonts w:ascii="Times New Roman" w:hAnsi="Times New Roman"/>
          <w:sz w:val="22"/>
          <w:szCs w:val="22"/>
        </w:rPr>
        <w:t>korekcia</w:t>
      </w:r>
      <w:r w:rsidRPr="005E6330">
        <w:rPr>
          <w:rFonts w:ascii="Times New Roman" w:hAnsi="Times New Roman"/>
          <w:sz w:val="22"/>
          <w:szCs w:val="22"/>
        </w:rPr>
        <w:t xml:space="preserve"> vzniká v dôsledku opakujúceho sa nedostatku zisteného v rámci viacerých projektov, je dôsledkom závažného nedostatku účinného fungovania systémov riadenia a kontroly, a to vrátane nestanovenia vhodných postupov.</w:t>
      </w:r>
      <w:r>
        <w:rPr>
          <w:rFonts w:ascii="Times New Roman" w:hAnsi="Times New Roman"/>
          <w:sz w:val="22"/>
          <w:szCs w:val="22"/>
        </w:rPr>
        <w:t xml:space="preserve"> </w:t>
      </w:r>
      <w:r w:rsidRPr="005E6330">
        <w:rPr>
          <w:rFonts w:ascii="Times New Roman" w:hAnsi="Times New Roman"/>
          <w:sz w:val="22"/>
          <w:szCs w:val="22"/>
        </w:rPr>
        <w:t>Individuálna nezrovnalosť je zistený nedostatok</w:t>
      </w:r>
      <w:r w:rsidRPr="00AE0232" w:rsidR="00AE0232">
        <w:rPr>
          <w:rFonts w:ascii="Times New Roman" w:hAnsi="Times New Roman"/>
          <w:sz w:val="22"/>
          <w:szCs w:val="22"/>
        </w:rPr>
        <w:t xml:space="preserve"> </w:t>
      </w:r>
      <w:r w:rsidR="00AE0232">
        <w:rPr>
          <w:rFonts w:ascii="Times New Roman" w:hAnsi="Times New Roman"/>
          <w:sz w:val="22"/>
          <w:szCs w:val="22"/>
        </w:rPr>
        <w:t>(</w:t>
      </w:r>
      <w:r w:rsidRPr="005E6330" w:rsidR="00AE0232">
        <w:rPr>
          <w:rFonts w:ascii="Times New Roman" w:hAnsi="Times New Roman"/>
          <w:sz w:val="22"/>
          <w:szCs w:val="22"/>
        </w:rPr>
        <w:t>jednorazová chyba</w:t>
      </w:r>
      <w:r w:rsidR="00AE0232">
        <w:rPr>
          <w:rFonts w:ascii="Times New Roman" w:hAnsi="Times New Roman"/>
          <w:sz w:val="22"/>
          <w:szCs w:val="22"/>
        </w:rPr>
        <w:t>)</w:t>
      </w:r>
      <w:r w:rsidRPr="005E6330">
        <w:rPr>
          <w:rFonts w:ascii="Times New Roman" w:hAnsi="Times New Roman"/>
          <w:sz w:val="22"/>
          <w:szCs w:val="22"/>
        </w:rPr>
        <w:t>, ktorý sa v</w:t>
      </w:r>
      <w:r w:rsidR="00AE0232">
        <w:rPr>
          <w:rFonts w:ascii="Times New Roman" w:hAnsi="Times New Roman"/>
          <w:sz w:val="22"/>
          <w:szCs w:val="22"/>
        </w:rPr>
        <w:t>iaže k jednej operácii, resp. k </w:t>
      </w:r>
      <w:r w:rsidR="00374FD9">
        <w:rPr>
          <w:rFonts w:ascii="Times New Roman" w:hAnsi="Times New Roman"/>
          <w:sz w:val="22"/>
          <w:szCs w:val="22"/>
        </w:rPr>
        <w:t>jednému projektu a je</w:t>
      </w:r>
      <w:r w:rsidRPr="005E6330">
        <w:rPr>
          <w:rFonts w:ascii="Times New Roman" w:hAnsi="Times New Roman"/>
          <w:sz w:val="22"/>
          <w:szCs w:val="22"/>
        </w:rPr>
        <w:t xml:space="preserve"> nezávisl</w:t>
      </w:r>
      <w:r w:rsidR="00374FD9">
        <w:rPr>
          <w:rFonts w:ascii="Times New Roman" w:hAnsi="Times New Roman"/>
          <w:sz w:val="22"/>
          <w:szCs w:val="22"/>
        </w:rPr>
        <w:t>ý</w:t>
      </w:r>
      <w:r w:rsidRPr="005E6330">
        <w:rPr>
          <w:rFonts w:ascii="Times New Roman" w:hAnsi="Times New Roman"/>
          <w:sz w:val="22"/>
          <w:szCs w:val="22"/>
        </w:rPr>
        <w:t xml:space="preserve"> od iných chýb alebo nedostatkov v systéme riadenia a kontroly.</w:t>
      </w:r>
    </w:p>
    <w:p w:rsidR="00535354" w:rsidP="008B7DEB">
      <w:pPr>
        <w:bidi w:val="0"/>
        <w:spacing w:after="120" w:line="336" w:lineRule="auto"/>
        <w:jc w:val="both"/>
        <w:rPr>
          <w:rFonts w:ascii="Times New Roman" w:hAnsi="Times New Roman"/>
          <w:sz w:val="22"/>
          <w:szCs w:val="22"/>
        </w:rPr>
      </w:pPr>
      <w:r w:rsidR="002060EF">
        <w:rPr>
          <w:rFonts w:ascii="Times New Roman" w:hAnsi="Times New Roman"/>
          <w:sz w:val="22"/>
          <w:szCs w:val="22"/>
        </w:rPr>
        <w:t>Negatívny</w:t>
      </w:r>
      <w:r w:rsidR="0020302E">
        <w:rPr>
          <w:rFonts w:ascii="Times New Roman" w:hAnsi="Times New Roman"/>
          <w:sz w:val="22"/>
          <w:szCs w:val="22"/>
        </w:rPr>
        <w:t xml:space="preserve"> vplyv mala </w:t>
      </w:r>
      <w:r w:rsidRPr="0020302E" w:rsidR="0020302E">
        <w:rPr>
          <w:rFonts w:ascii="Times New Roman" w:hAnsi="Times New Roman"/>
          <w:b/>
          <w:sz w:val="22"/>
          <w:szCs w:val="22"/>
        </w:rPr>
        <w:t>korekcia</w:t>
      </w:r>
      <w:r w:rsidR="00DC0A28">
        <w:rPr>
          <w:rFonts w:ascii="Times New Roman" w:hAnsi="Times New Roman"/>
          <w:b/>
          <w:sz w:val="22"/>
          <w:szCs w:val="22"/>
        </w:rPr>
        <w:t xml:space="preserve"> - vyrovnanie</w:t>
      </w:r>
      <w:r w:rsidRPr="0020302E" w:rsidR="0020302E">
        <w:rPr>
          <w:rFonts w:ascii="Times New Roman" w:hAnsi="Times New Roman"/>
          <w:b/>
          <w:sz w:val="22"/>
          <w:szCs w:val="22"/>
        </w:rPr>
        <w:t xml:space="preserve"> </w:t>
      </w:r>
      <w:r w:rsidR="0020302E">
        <w:rPr>
          <w:rFonts w:ascii="Times New Roman" w:hAnsi="Times New Roman"/>
          <w:b/>
          <w:sz w:val="22"/>
          <w:szCs w:val="22"/>
        </w:rPr>
        <w:t xml:space="preserve">k fondom EÚ </w:t>
      </w:r>
      <w:r w:rsidRPr="0020302E" w:rsidR="008B7DEB">
        <w:rPr>
          <w:rFonts w:ascii="Times New Roman" w:hAnsi="Times New Roman"/>
          <w:b/>
          <w:sz w:val="22"/>
          <w:szCs w:val="22"/>
        </w:rPr>
        <w:t>z ukončenia I. pr</w:t>
      </w:r>
      <w:r w:rsidRPr="0020302E" w:rsidR="0020302E">
        <w:rPr>
          <w:rFonts w:ascii="Times New Roman" w:hAnsi="Times New Roman"/>
          <w:b/>
          <w:sz w:val="22"/>
          <w:szCs w:val="22"/>
        </w:rPr>
        <w:t>ogramového obdobia</w:t>
      </w:r>
      <w:r w:rsidR="0020302E">
        <w:rPr>
          <w:rFonts w:ascii="Times New Roman" w:hAnsi="Times New Roman"/>
          <w:sz w:val="22"/>
          <w:szCs w:val="22"/>
        </w:rPr>
        <w:t xml:space="preserve"> v sume 17 153 </w:t>
      </w:r>
      <w:r w:rsidRPr="00535354" w:rsidR="008B7DEB">
        <w:rPr>
          <w:rFonts w:ascii="Times New Roman" w:hAnsi="Times New Roman"/>
          <w:sz w:val="22"/>
          <w:szCs w:val="22"/>
        </w:rPr>
        <w:t>tis. eur, o túto položku bolo potrebné</w:t>
      </w:r>
      <w:r w:rsidR="00374FD9">
        <w:rPr>
          <w:rFonts w:ascii="Times New Roman" w:hAnsi="Times New Roman"/>
          <w:sz w:val="22"/>
          <w:szCs w:val="22"/>
        </w:rPr>
        <w:t xml:space="preserve"> upraviť zmenu stavu pohľadávky</w:t>
      </w:r>
      <w:r w:rsidR="00DC0A28">
        <w:rPr>
          <w:rFonts w:ascii="Times New Roman" w:hAnsi="Times New Roman"/>
          <w:sz w:val="22"/>
          <w:szCs w:val="22"/>
        </w:rPr>
        <w:t xml:space="preserve"> ako upravujúcej položky z dôvodu ukončenia I. programového obdobia. </w:t>
      </w:r>
      <w:r w:rsidRPr="00535354" w:rsidR="008B7DEB">
        <w:rPr>
          <w:rFonts w:ascii="Times New Roman" w:hAnsi="Times New Roman"/>
          <w:sz w:val="22"/>
          <w:szCs w:val="22"/>
        </w:rPr>
        <w:t xml:space="preserve">Pri jej výpočte boli </w:t>
      </w:r>
      <w:r w:rsidR="00CB2590">
        <w:rPr>
          <w:rFonts w:ascii="Times New Roman" w:hAnsi="Times New Roman"/>
          <w:sz w:val="22"/>
          <w:szCs w:val="22"/>
        </w:rPr>
        <w:t>sumarizované</w:t>
      </w:r>
      <w:r w:rsidRPr="00535354" w:rsidR="008B7DEB">
        <w:rPr>
          <w:rFonts w:ascii="Times New Roman" w:hAnsi="Times New Roman"/>
          <w:sz w:val="22"/>
          <w:szCs w:val="22"/>
        </w:rPr>
        <w:t xml:space="preserve"> všetky príjmy a</w:t>
      </w:r>
      <w:r w:rsidR="00591304">
        <w:rPr>
          <w:rFonts w:ascii="Times New Roman" w:hAnsi="Times New Roman"/>
          <w:sz w:val="22"/>
          <w:szCs w:val="22"/>
        </w:rPr>
        <w:t xml:space="preserve"> </w:t>
      </w:r>
      <w:r w:rsidR="0020302E">
        <w:rPr>
          <w:rFonts w:ascii="Times New Roman" w:hAnsi="Times New Roman"/>
          <w:sz w:val="22"/>
          <w:szCs w:val="22"/>
        </w:rPr>
        <w:t>výdavky</w:t>
      </w:r>
      <w:r w:rsidR="00CB2590">
        <w:rPr>
          <w:rFonts w:ascii="Times New Roman" w:hAnsi="Times New Roman"/>
          <w:sz w:val="22"/>
          <w:szCs w:val="22"/>
        </w:rPr>
        <w:t> </w:t>
      </w:r>
      <w:r w:rsidRPr="00535354" w:rsidR="008B7DEB">
        <w:rPr>
          <w:rFonts w:ascii="Times New Roman" w:hAnsi="Times New Roman"/>
          <w:sz w:val="22"/>
          <w:szCs w:val="22"/>
        </w:rPr>
        <w:t>prostried</w:t>
      </w:r>
      <w:r w:rsidR="00CB2590">
        <w:rPr>
          <w:rFonts w:ascii="Times New Roman" w:hAnsi="Times New Roman"/>
          <w:sz w:val="22"/>
          <w:szCs w:val="22"/>
        </w:rPr>
        <w:t xml:space="preserve">kov </w:t>
      </w:r>
      <w:r w:rsidRPr="00535354" w:rsidR="008B7DEB">
        <w:rPr>
          <w:rFonts w:ascii="Times New Roman" w:hAnsi="Times New Roman"/>
          <w:sz w:val="22"/>
          <w:szCs w:val="22"/>
        </w:rPr>
        <w:t xml:space="preserve">EÚ I. programového obdobia </w:t>
      </w:r>
      <w:r w:rsidR="00374FD9">
        <w:rPr>
          <w:rFonts w:ascii="Times New Roman" w:hAnsi="Times New Roman"/>
          <w:sz w:val="22"/>
          <w:szCs w:val="22"/>
        </w:rPr>
        <w:t>(</w:t>
      </w:r>
      <w:r w:rsidRPr="00535354" w:rsidR="008B7DEB">
        <w:rPr>
          <w:rFonts w:ascii="Times New Roman" w:hAnsi="Times New Roman"/>
          <w:sz w:val="22"/>
          <w:szCs w:val="22"/>
        </w:rPr>
        <w:t>2004-20</w:t>
      </w:r>
      <w:r w:rsidR="00335007">
        <w:rPr>
          <w:rFonts w:ascii="Times New Roman" w:hAnsi="Times New Roman"/>
          <w:sz w:val="22"/>
          <w:szCs w:val="22"/>
        </w:rPr>
        <w:t>06</w:t>
      </w:r>
      <w:r w:rsidR="00374FD9">
        <w:rPr>
          <w:rFonts w:ascii="Times New Roman" w:hAnsi="Times New Roman"/>
          <w:sz w:val="22"/>
          <w:szCs w:val="22"/>
        </w:rPr>
        <w:t>)</w:t>
      </w:r>
      <w:r w:rsidR="00DC0A28">
        <w:rPr>
          <w:rFonts w:ascii="Times New Roman" w:hAnsi="Times New Roman"/>
          <w:sz w:val="22"/>
          <w:szCs w:val="22"/>
        </w:rPr>
        <w:t>, ktoré bolo definitívne ukončené v roku 2015. N</w:t>
      </w:r>
      <w:r w:rsidR="00374FD9">
        <w:rPr>
          <w:rFonts w:ascii="Times New Roman" w:hAnsi="Times New Roman"/>
          <w:sz w:val="22"/>
          <w:szCs w:val="22"/>
        </w:rPr>
        <w:t xml:space="preserve">a základe rozdielu </w:t>
      </w:r>
      <w:r w:rsidR="00DC0A28">
        <w:rPr>
          <w:rFonts w:ascii="Times New Roman" w:hAnsi="Times New Roman"/>
          <w:sz w:val="22"/>
          <w:szCs w:val="22"/>
        </w:rPr>
        <w:t>príjmov a výdavkov sa následne vypočítala upravujúca položka (štatistická pohľadávka) tak, aby bol zabezpečený</w:t>
      </w:r>
      <w:r w:rsidRPr="00535354" w:rsidR="008B7DEB">
        <w:rPr>
          <w:rFonts w:ascii="Times New Roman" w:hAnsi="Times New Roman"/>
          <w:sz w:val="22"/>
          <w:szCs w:val="22"/>
        </w:rPr>
        <w:t xml:space="preserve"> neutrálny dopad </w:t>
      </w:r>
      <w:r w:rsidR="0020302E">
        <w:rPr>
          <w:rFonts w:ascii="Times New Roman" w:hAnsi="Times New Roman"/>
          <w:sz w:val="22"/>
          <w:szCs w:val="22"/>
        </w:rPr>
        <w:t xml:space="preserve">finančných tokov </w:t>
      </w:r>
      <w:r w:rsidRPr="00535354" w:rsidR="008B7DEB">
        <w:rPr>
          <w:rFonts w:ascii="Times New Roman" w:hAnsi="Times New Roman"/>
          <w:sz w:val="22"/>
          <w:szCs w:val="22"/>
        </w:rPr>
        <w:t xml:space="preserve">EÚ </w:t>
      </w:r>
      <w:r w:rsidR="0020302E">
        <w:rPr>
          <w:rFonts w:ascii="Times New Roman" w:hAnsi="Times New Roman"/>
          <w:sz w:val="22"/>
          <w:szCs w:val="22"/>
        </w:rPr>
        <w:t>na saldo verejnej správy</w:t>
      </w:r>
      <w:r w:rsidRPr="00535354" w:rsidR="008B7DEB">
        <w:rPr>
          <w:rFonts w:ascii="Times New Roman" w:hAnsi="Times New Roman"/>
          <w:sz w:val="22"/>
          <w:szCs w:val="22"/>
        </w:rPr>
        <w:t xml:space="preserve">. </w:t>
      </w:r>
      <w:r w:rsidR="00591304">
        <w:rPr>
          <w:rFonts w:ascii="Times New Roman" w:hAnsi="Times New Roman"/>
          <w:sz w:val="22"/>
          <w:szCs w:val="22"/>
        </w:rPr>
        <w:t>Táto pohľadávka bola následne z</w:t>
      </w:r>
      <w:r w:rsidRPr="00535354" w:rsidR="008B7DEB">
        <w:rPr>
          <w:rFonts w:ascii="Times New Roman" w:hAnsi="Times New Roman"/>
          <w:sz w:val="22"/>
          <w:szCs w:val="22"/>
        </w:rPr>
        <w:t>nížená o výšku systémových korekcií za I. programové obdobie</w:t>
      </w:r>
      <w:r w:rsidRPr="00535354" w:rsidR="008B7DEB">
        <w:rPr>
          <w:rFonts w:ascii="Times New Roman" w:hAnsi="Times New Roman"/>
          <w:color w:val="1F497D"/>
          <w:sz w:val="22"/>
          <w:szCs w:val="22"/>
        </w:rPr>
        <w:t>,</w:t>
      </w:r>
      <w:r w:rsidRPr="00535354" w:rsidR="008B7DEB">
        <w:rPr>
          <w:rFonts w:ascii="Times New Roman" w:hAnsi="Times New Roman"/>
          <w:sz w:val="22"/>
          <w:szCs w:val="22"/>
        </w:rPr>
        <w:t xml:space="preserve"> ako aj o</w:t>
      </w:r>
      <w:r w:rsidR="007E0BA3">
        <w:rPr>
          <w:rFonts w:ascii="Times New Roman" w:hAnsi="Times New Roman"/>
          <w:sz w:val="22"/>
          <w:szCs w:val="22"/>
        </w:rPr>
        <w:t xml:space="preserve"> dopočet zmeny </w:t>
      </w:r>
      <w:r w:rsidR="00C719C8">
        <w:rPr>
          <w:rFonts w:ascii="Times New Roman" w:hAnsi="Times New Roman"/>
          <w:sz w:val="22"/>
          <w:szCs w:val="22"/>
        </w:rPr>
        <w:t xml:space="preserve">stavu </w:t>
      </w:r>
      <w:r w:rsidR="007E0BA3">
        <w:rPr>
          <w:rFonts w:ascii="Times New Roman" w:hAnsi="Times New Roman"/>
          <w:sz w:val="22"/>
          <w:szCs w:val="22"/>
        </w:rPr>
        <w:t>pohľadávky</w:t>
      </w:r>
      <w:r w:rsidR="00DC0A28">
        <w:rPr>
          <w:rFonts w:ascii="Times New Roman" w:hAnsi="Times New Roman"/>
          <w:sz w:val="22"/>
          <w:szCs w:val="22"/>
        </w:rPr>
        <w:t>,</w:t>
      </w:r>
      <w:r w:rsidR="007E0BA3">
        <w:rPr>
          <w:rFonts w:ascii="Times New Roman" w:hAnsi="Times New Roman"/>
          <w:sz w:val="22"/>
          <w:szCs w:val="22"/>
        </w:rPr>
        <w:t xml:space="preserve"> </w:t>
      </w:r>
      <w:r w:rsidRPr="00535354" w:rsidR="008B7DEB">
        <w:rPr>
          <w:rFonts w:ascii="Times New Roman" w:hAnsi="Times New Roman"/>
          <w:sz w:val="22"/>
          <w:szCs w:val="22"/>
        </w:rPr>
        <w:t>o ktorú s</w:t>
      </w:r>
      <w:r w:rsidR="007E0BA3">
        <w:rPr>
          <w:rFonts w:ascii="Times New Roman" w:hAnsi="Times New Roman"/>
          <w:sz w:val="22"/>
          <w:szCs w:val="22"/>
        </w:rPr>
        <w:t>a u</w:t>
      </w:r>
      <w:r w:rsidRPr="00535354" w:rsidR="008B7DEB">
        <w:rPr>
          <w:rFonts w:ascii="Times New Roman" w:hAnsi="Times New Roman"/>
          <w:sz w:val="22"/>
          <w:szCs w:val="22"/>
        </w:rPr>
        <w:t>prav</w:t>
      </w:r>
      <w:r w:rsidR="007E0BA3">
        <w:rPr>
          <w:rFonts w:ascii="Times New Roman" w:hAnsi="Times New Roman"/>
          <w:sz w:val="22"/>
          <w:szCs w:val="22"/>
        </w:rPr>
        <w:t xml:space="preserve">oval schodok </w:t>
      </w:r>
      <w:r w:rsidRPr="00535354" w:rsidR="008B7DEB">
        <w:rPr>
          <w:rFonts w:ascii="Times New Roman" w:hAnsi="Times New Roman"/>
          <w:sz w:val="22"/>
          <w:szCs w:val="22"/>
        </w:rPr>
        <w:t>v </w:t>
      </w:r>
      <w:r w:rsidR="007E0BA3">
        <w:rPr>
          <w:rFonts w:ascii="Times New Roman" w:hAnsi="Times New Roman"/>
          <w:sz w:val="22"/>
          <w:szCs w:val="22"/>
        </w:rPr>
        <w:t>minulosti</w:t>
      </w:r>
      <w:r w:rsidRPr="00535354" w:rsidR="008B7DEB">
        <w:rPr>
          <w:rFonts w:ascii="Times New Roman" w:hAnsi="Times New Roman"/>
          <w:sz w:val="22"/>
          <w:szCs w:val="22"/>
        </w:rPr>
        <w:t>.</w:t>
      </w:r>
    </w:p>
    <w:p w:rsidR="008B7DEB" w:rsidRPr="00594DAD" w:rsidP="008B7DEB">
      <w:pPr>
        <w:bidi w:val="0"/>
        <w:spacing w:after="120" w:line="336" w:lineRule="auto"/>
        <w:jc w:val="both"/>
        <w:rPr>
          <w:rFonts w:ascii="Times New Roman" w:hAnsi="Times New Roman"/>
          <w:sz w:val="22"/>
          <w:szCs w:val="22"/>
        </w:rPr>
      </w:pPr>
      <w:r w:rsidRPr="00594DAD">
        <w:rPr>
          <w:rFonts w:ascii="Times New Roman" w:hAnsi="Times New Roman"/>
          <w:sz w:val="22"/>
          <w:szCs w:val="22"/>
        </w:rPr>
        <w:t xml:space="preserve">Na </w:t>
      </w:r>
      <w:r w:rsidRPr="00594DAD">
        <w:rPr>
          <w:rFonts w:ascii="Times New Roman" w:hAnsi="Times New Roman"/>
          <w:b/>
          <w:sz w:val="22"/>
          <w:szCs w:val="22"/>
        </w:rPr>
        <w:t>zmenu stavu pohľadávok</w:t>
      </w:r>
      <w:r w:rsidRPr="00594DAD">
        <w:rPr>
          <w:rFonts w:ascii="Times New Roman" w:hAnsi="Times New Roman"/>
          <w:sz w:val="22"/>
          <w:szCs w:val="22"/>
        </w:rPr>
        <w:t xml:space="preserve"> vplývali poskytnuté preddavky na dlhodobý hmotný majetok v rámci Ministerstva obrany SR na nákup vojenskej techniky v sume 74 000 tis. eur, odvody z prevádzky lotérií a hier na verejnoprospešný účel (príjem bol zaznamenaný na Finančnej správe SR) v sume 20 800 tis. eur a nárast pohľadávok voči Slovenskej pošte, a.s. z elektronických kolkov v sume 15 000 tis. eur. </w:t>
      </w:r>
    </w:p>
    <w:p w:rsidR="00BD35AE" w:rsidRPr="00BD35AE" w:rsidP="008B7DEB">
      <w:pPr>
        <w:bidi w:val="0"/>
        <w:spacing w:after="120" w:line="336" w:lineRule="auto"/>
        <w:jc w:val="both"/>
        <w:rPr>
          <w:rFonts w:ascii="Times New Roman" w:hAnsi="Times New Roman"/>
          <w:sz w:val="22"/>
          <w:szCs w:val="22"/>
        </w:rPr>
      </w:pPr>
      <w:r w:rsidRPr="00BD35AE">
        <w:rPr>
          <w:rFonts w:ascii="Times New Roman" w:hAnsi="Times New Roman"/>
          <w:b/>
          <w:sz w:val="22"/>
          <w:szCs w:val="22"/>
        </w:rPr>
        <w:t>Zdravotnícke zariadenia</w:t>
      </w:r>
      <w:r w:rsidRPr="00BD35AE">
        <w:rPr>
          <w:rFonts w:ascii="Times New Roman" w:hAnsi="Times New Roman"/>
          <w:sz w:val="22"/>
          <w:szCs w:val="22"/>
        </w:rPr>
        <w:t xml:space="preserve"> zaradené do verejnej správy dosiahli schodok 69 371 tis. eur. </w:t>
      </w:r>
      <w:r w:rsidR="00923131">
        <w:rPr>
          <w:rFonts w:ascii="Times New Roman" w:hAnsi="Times New Roman"/>
          <w:sz w:val="22"/>
          <w:szCs w:val="22"/>
        </w:rPr>
        <w:t>Na jeseň 2014</w:t>
      </w:r>
      <w:r w:rsidRPr="00923131" w:rsidR="00923131">
        <w:rPr>
          <w:rFonts w:ascii="Times New Roman" w:hAnsi="Times New Roman"/>
          <w:sz w:val="22"/>
          <w:szCs w:val="22"/>
        </w:rPr>
        <w:t xml:space="preserve"> </w:t>
      </w:r>
      <w:r w:rsidR="00923131">
        <w:rPr>
          <w:rFonts w:ascii="Times New Roman" w:hAnsi="Times New Roman"/>
          <w:sz w:val="22"/>
          <w:szCs w:val="22"/>
        </w:rPr>
        <w:t>podľa metodiky ESA 2010 boli</w:t>
      </w:r>
      <w:r w:rsidRPr="00923131" w:rsidR="00923131">
        <w:rPr>
          <w:rFonts w:ascii="Times New Roman" w:hAnsi="Times New Roman"/>
          <w:sz w:val="22"/>
          <w:szCs w:val="22"/>
        </w:rPr>
        <w:t xml:space="preserve"> </w:t>
      </w:r>
      <w:r w:rsidR="00923131">
        <w:rPr>
          <w:rFonts w:ascii="Times New Roman" w:hAnsi="Times New Roman"/>
          <w:sz w:val="22"/>
          <w:szCs w:val="22"/>
        </w:rPr>
        <w:t>do sektora verejnej správy zaradené ďalšie zdravotnícke zariadenia, ktorých rozpočty neboli však súčasťou schváleného rozpočtu na rok 2015. Z tohto</w:t>
      </w:r>
      <w:r w:rsidR="0020302E">
        <w:rPr>
          <w:rFonts w:ascii="Times New Roman" w:hAnsi="Times New Roman"/>
          <w:sz w:val="22"/>
          <w:szCs w:val="22"/>
        </w:rPr>
        <w:t xml:space="preserve"> </w:t>
      </w:r>
      <w:r w:rsidR="00923131">
        <w:rPr>
          <w:rFonts w:ascii="Times New Roman" w:hAnsi="Times New Roman"/>
          <w:sz w:val="22"/>
          <w:szCs w:val="22"/>
        </w:rPr>
        <w:t xml:space="preserve">dôvodu </w:t>
      </w:r>
      <w:r w:rsidRPr="00BD35AE">
        <w:rPr>
          <w:rFonts w:ascii="Times New Roman" w:hAnsi="Times New Roman"/>
          <w:sz w:val="22"/>
          <w:szCs w:val="22"/>
        </w:rPr>
        <w:t>bola vytvorená rezerva vo výške 50 000 tis. eur, ktorá súvisela s predpokladaným hospodárením týchto zariadení a prevzatím ich záväzkov.</w:t>
      </w:r>
      <w:r w:rsidR="00B01143">
        <w:rPr>
          <w:rFonts w:ascii="Times New Roman" w:hAnsi="Times New Roman"/>
          <w:sz w:val="22"/>
          <w:szCs w:val="22"/>
        </w:rPr>
        <w:t xml:space="preserve"> Výsledný negatívny vplyv na saldo bol 19 371 tis. eur.</w:t>
      </w:r>
      <w:r w:rsidR="00F5419D">
        <w:rPr>
          <w:rFonts w:ascii="Times New Roman" w:hAnsi="Times New Roman"/>
          <w:sz w:val="22"/>
          <w:szCs w:val="22"/>
        </w:rPr>
        <w:t xml:space="preserve"> </w:t>
      </w:r>
      <w:r w:rsidRPr="003A1B99" w:rsidR="00F5419D">
        <w:rPr>
          <w:rFonts w:ascii="Times New Roman" w:hAnsi="Times New Roman"/>
          <w:sz w:val="22"/>
          <w:szCs w:val="22"/>
        </w:rPr>
        <w:t>Dá sa očakávať, že po systémových organizačných a personálnych reformách budú tieto zariadenia hospodáriť s vyrovnaným rozpočtom.</w:t>
      </w:r>
      <w:r w:rsidR="00F5419D">
        <w:rPr>
          <w:rFonts w:ascii="Times New Roman" w:hAnsi="Times New Roman"/>
          <w:sz w:val="22"/>
          <w:szCs w:val="22"/>
        </w:rPr>
        <w:t xml:space="preserve"> </w:t>
      </w:r>
    </w:p>
    <w:p w:rsidR="00A65178" w:rsidP="008B7DEB">
      <w:pPr>
        <w:bidi w:val="0"/>
        <w:spacing w:after="120" w:line="336" w:lineRule="auto"/>
        <w:jc w:val="both"/>
        <w:rPr>
          <w:rFonts w:ascii="Times New Roman" w:hAnsi="Times New Roman"/>
          <w:color w:val="000000"/>
        </w:rPr>
      </w:pPr>
      <w:r w:rsidR="008B7DEB">
        <w:rPr>
          <w:rFonts w:ascii="Times New Roman" w:hAnsi="Times New Roman"/>
          <w:sz w:val="22"/>
          <w:szCs w:val="22"/>
        </w:rPr>
        <w:t xml:space="preserve">Schodok v sume 12 596 </w:t>
      </w:r>
      <w:r w:rsidR="00CB2590">
        <w:rPr>
          <w:rFonts w:ascii="Times New Roman" w:hAnsi="Times New Roman"/>
          <w:sz w:val="22"/>
          <w:szCs w:val="22"/>
        </w:rPr>
        <w:t xml:space="preserve">tis. eur </w:t>
      </w:r>
      <w:r w:rsidR="00522D05">
        <w:rPr>
          <w:rFonts w:ascii="Times New Roman" w:hAnsi="Times New Roman"/>
          <w:sz w:val="22"/>
          <w:szCs w:val="22"/>
        </w:rPr>
        <w:t>dosiahli</w:t>
      </w:r>
      <w:r w:rsidR="008B7DEB">
        <w:rPr>
          <w:rFonts w:ascii="Times New Roman" w:hAnsi="Times New Roman"/>
          <w:sz w:val="22"/>
          <w:szCs w:val="22"/>
        </w:rPr>
        <w:t xml:space="preserve"> </w:t>
      </w:r>
      <w:r w:rsidRPr="000C2386" w:rsidR="008B7DEB">
        <w:rPr>
          <w:rFonts w:ascii="Times New Roman" w:hAnsi="Times New Roman"/>
          <w:b/>
          <w:sz w:val="22"/>
          <w:szCs w:val="22"/>
        </w:rPr>
        <w:t>ostatné subjekty verejnej správy</w:t>
      </w:r>
      <w:r w:rsidR="008B7DEB">
        <w:rPr>
          <w:rFonts w:ascii="Times New Roman" w:hAnsi="Times New Roman"/>
          <w:sz w:val="22"/>
          <w:szCs w:val="22"/>
        </w:rPr>
        <w:t>, ktor</w:t>
      </w:r>
      <w:r w:rsidR="00522D05">
        <w:rPr>
          <w:rFonts w:ascii="Times New Roman" w:hAnsi="Times New Roman"/>
          <w:sz w:val="22"/>
          <w:szCs w:val="22"/>
        </w:rPr>
        <w:t>ými</w:t>
      </w:r>
      <w:r w:rsidR="008B7DEB">
        <w:rPr>
          <w:rFonts w:ascii="Times New Roman" w:hAnsi="Times New Roman"/>
          <w:sz w:val="22"/>
          <w:szCs w:val="22"/>
        </w:rPr>
        <w:t xml:space="preserve"> sú </w:t>
      </w:r>
      <w:r w:rsidR="00522D05">
        <w:rPr>
          <w:rFonts w:ascii="Times New Roman" w:hAnsi="Times New Roman"/>
          <w:sz w:val="22"/>
          <w:szCs w:val="22"/>
        </w:rPr>
        <w:t xml:space="preserve">hlavne obecné obchodné spoločnosti, </w:t>
      </w:r>
      <w:r w:rsidRPr="00921D01" w:rsidR="00522D05">
        <w:rPr>
          <w:rFonts w:ascii="Times New Roman" w:hAnsi="Times New Roman"/>
          <w:sz w:val="22"/>
          <w:szCs w:val="22"/>
        </w:rPr>
        <w:t>neziskové organizácie a</w:t>
      </w:r>
      <w:r w:rsidR="00522D05">
        <w:rPr>
          <w:rFonts w:ascii="Times New Roman" w:hAnsi="Times New Roman"/>
          <w:sz w:val="22"/>
          <w:szCs w:val="22"/>
        </w:rPr>
        <w:t xml:space="preserve"> záujmové</w:t>
      </w:r>
      <w:r w:rsidRPr="00921D01" w:rsidR="00522D05">
        <w:rPr>
          <w:rFonts w:ascii="Times New Roman" w:hAnsi="Times New Roman"/>
          <w:sz w:val="22"/>
          <w:szCs w:val="22"/>
        </w:rPr>
        <w:t xml:space="preserve"> združenia s minimálnym počtom zamestnancov</w:t>
      </w:r>
      <w:r w:rsidR="00522D05">
        <w:rPr>
          <w:rFonts w:ascii="Times New Roman" w:hAnsi="Times New Roman"/>
          <w:sz w:val="22"/>
          <w:szCs w:val="22"/>
        </w:rPr>
        <w:t>.</w:t>
      </w:r>
      <w:r w:rsidR="00F5419D">
        <w:rPr>
          <w:rFonts w:ascii="Times New Roman" w:hAnsi="Times New Roman"/>
          <w:sz w:val="22"/>
          <w:szCs w:val="22"/>
        </w:rPr>
        <w:t xml:space="preserve"> </w:t>
      </w:r>
      <w:r w:rsidRPr="00A65178">
        <w:rPr>
          <w:rFonts w:ascii="Times New Roman" w:hAnsi="Times New Roman"/>
          <w:sz w:val="22"/>
          <w:szCs w:val="22"/>
        </w:rPr>
        <w:t>Ide najmä o tie organizácie územnej samosprávy, ktoré boli štatisticky zaradené do sektora verejnej správy koncom roku 2014 a v priebehu roka 2015, pričom úroveň poskytovania dát o ich hospodárení podľa požiadaviek medzinárodnej štatistiky je zatiaľ nedostatočná</w:t>
      </w:r>
      <w:r>
        <w:rPr>
          <w:rFonts w:ascii="Times New Roman" w:hAnsi="Times New Roman"/>
          <w:sz w:val="22"/>
          <w:szCs w:val="22"/>
        </w:rPr>
        <w:t>.</w:t>
      </w:r>
    </w:p>
    <w:p w:rsidR="008B7DEB" w:rsidRPr="00C2780F" w:rsidP="008B7DEB">
      <w:pPr>
        <w:bidi w:val="0"/>
        <w:spacing w:after="120" w:line="336" w:lineRule="auto"/>
        <w:jc w:val="both"/>
        <w:rPr>
          <w:rFonts w:ascii="Times New Roman" w:hAnsi="Times New Roman"/>
          <w:sz w:val="22"/>
          <w:szCs w:val="22"/>
        </w:rPr>
      </w:pPr>
      <w:r w:rsidRPr="000C2386">
        <w:rPr>
          <w:rFonts w:ascii="Times New Roman" w:hAnsi="Times New Roman"/>
          <w:b/>
          <w:sz w:val="22"/>
          <w:szCs w:val="22"/>
        </w:rPr>
        <w:t>Železničná spoločnosť Slovensko, a.s.</w:t>
      </w:r>
      <w:r w:rsidRPr="000C2386">
        <w:rPr>
          <w:rFonts w:ascii="Times New Roman" w:hAnsi="Times New Roman"/>
          <w:sz w:val="22"/>
          <w:szCs w:val="22"/>
        </w:rPr>
        <w:t xml:space="preserve"> nebola rozpočtovaná </w:t>
      </w:r>
      <w:r w:rsidR="00522D05">
        <w:rPr>
          <w:rFonts w:ascii="Times New Roman" w:hAnsi="Times New Roman"/>
          <w:sz w:val="22"/>
          <w:szCs w:val="22"/>
        </w:rPr>
        <w:t xml:space="preserve">pre rok 2015 </w:t>
      </w:r>
      <w:r w:rsidRPr="000C2386">
        <w:rPr>
          <w:rFonts w:ascii="Times New Roman" w:hAnsi="Times New Roman"/>
          <w:sz w:val="22"/>
          <w:szCs w:val="22"/>
        </w:rPr>
        <w:t xml:space="preserve">v dôsledku nejasného postoja </w:t>
      </w:r>
      <w:r w:rsidR="003A0FCA">
        <w:rPr>
          <w:rFonts w:ascii="Times New Roman" w:hAnsi="Times New Roman"/>
          <w:sz w:val="22"/>
          <w:szCs w:val="22"/>
        </w:rPr>
        <w:t xml:space="preserve">Eurostatu </w:t>
      </w:r>
      <w:r w:rsidRPr="000C2386">
        <w:rPr>
          <w:rFonts w:ascii="Times New Roman" w:hAnsi="Times New Roman"/>
          <w:sz w:val="22"/>
          <w:szCs w:val="22"/>
        </w:rPr>
        <w:t>k </w:t>
      </w:r>
      <w:r w:rsidR="00102571">
        <w:rPr>
          <w:rFonts w:ascii="Times New Roman" w:hAnsi="Times New Roman"/>
          <w:sz w:val="22"/>
          <w:szCs w:val="22"/>
        </w:rPr>
        <w:t>jej</w:t>
      </w:r>
      <w:r w:rsidRPr="000C2386">
        <w:rPr>
          <w:rFonts w:ascii="Times New Roman" w:hAnsi="Times New Roman"/>
          <w:sz w:val="22"/>
          <w:szCs w:val="22"/>
        </w:rPr>
        <w:t xml:space="preserve"> zaradeniu resp. nezaradeniu do sektora </w:t>
      </w:r>
      <w:r w:rsidR="00102571">
        <w:rPr>
          <w:rFonts w:ascii="Times New Roman" w:hAnsi="Times New Roman"/>
          <w:sz w:val="22"/>
          <w:szCs w:val="22"/>
        </w:rPr>
        <w:t>verejnej správy</w:t>
      </w:r>
      <w:r w:rsidR="003A0FCA">
        <w:rPr>
          <w:rFonts w:ascii="Times New Roman" w:hAnsi="Times New Roman"/>
          <w:sz w:val="22"/>
          <w:szCs w:val="22"/>
        </w:rPr>
        <w:t>.</w:t>
      </w:r>
      <w:r w:rsidR="00522D05">
        <w:rPr>
          <w:rFonts w:ascii="Times New Roman" w:hAnsi="Times New Roman"/>
          <w:sz w:val="22"/>
          <w:szCs w:val="22"/>
        </w:rPr>
        <w:t xml:space="preserve"> Pri jesennej notifikácii v roku 2015</w:t>
      </w:r>
      <w:r w:rsidR="003A0FCA">
        <w:rPr>
          <w:rFonts w:ascii="Times New Roman" w:hAnsi="Times New Roman"/>
          <w:sz w:val="22"/>
          <w:szCs w:val="22"/>
        </w:rPr>
        <w:t xml:space="preserve"> </w:t>
      </w:r>
      <w:r w:rsidRPr="00C2780F" w:rsidR="003A0FCA">
        <w:rPr>
          <w:rFonts w:ascii="Times New Roman" w:hAnsi="Times New Roman"/>
          <w:sz w:val="22"/>
          <w:szCs w:val="22"/>
        </w:rPr>
        <w:t>Eurosta</w:t>
      </w:r>
      <w:r w:rsidR="003A0FCA">
        <w:rPr>
          <w:rFonts w:ascii="Times New Roman" w:hAnsi="Times New Roman"/>
          <w:sz w:val="22"/>
          <w:szCs w:val="22"/>
        </w:rPr>
        <w:t xml:space="preserve">t preveroval trhovosť jednotky najmä pri posudzovaní dotácií </w:t>
      </w:r>
      <w:r w:rsidRPr="000C2386">
        <w:rPr>
          <w:rFonts w:ascii="Times New Roman" w:hAnsi="Times New Roman"/>
          <w:sz w:val="22"/>
          <w:szCs w:val="22"/>
        </w:rPr>
        <w:t>na výkony vo verejnom záujme (osobná preprava)</w:t>
      </w:r>
      <w:r>
        <w:rPr>
          <w:rFonts w:ascii="Times New Roman" w:hAnsi="Times New Roman"/>
          <w:sz w:val="22"/>
          <w:szCs w:val="22"/>
        </w:rPr>
        <w:t xml:space="preserve">. </w:t>
      </w:r>
      <w:r w:rsidRPr="00C2780F" w:rsidR="00C2780F">
        <w:rPr>
          <w:rFonts w:ascii="Times New Roman" w:hAnsi="Times New Roman"/>
          <w:sz w:val="22"/>
          <w:szCs w:val="22"/>
        </w:rPr>
        <w:t>Pre rok 2015 hospodárenie spoločnosti skončilo sumou 2 117 tis. eur</w:t>
      </w:r>
      <w:r w:rsidR="00C2780F">
        <w:rPr>
          <w:rFonts w:ascii="Times New Roman" w:hAnsi="Times New Roman"/>
          <w:sz w:val="22"/>
          <w:szCs w:val="22"/>
        </w:rPr>
        <w:t>.</w:t>
      </w:r>
    </w:p>
    <w:p w:rsidR="008B7DEB" w:rsidRPr="000C2386" w:rsidP="008B7DEB">
      <w:pPr>
        <w:bidi w:val="0"/>
        <w:spacing w:after="120" w:line="336" w:lineRule="auto"/>
        <w:jc w:val="both"/>
        <w:rPr>
          <w:rFonts w:ascii="Times New Roman" w:hAnsi="Times New Roman"/>
          <w:sz w:val="22"/>
          <w:szCs w:val="22"/>
        </w:rPr>
      </w:pPr>
      <w:r w:rsidRPr="000C2386">
        <w:rPr>
          <w:rFonts w:ascii="Times New Roman" w:hAnsi="Times New Roman"/>
          <w:b/>
          <w:sz w:val="22"/>
          <w:szCs w:val="22"/>
        </w:rPr>
        <w:t>MH Invest, s.r.o.</w:t>
      </w:r>
      <w:r w:rsidRPr="000C2386">
        <w:rPr>
          <w:rFonts w:ascii="Times New Roman" w:hAnsi="Times New Roman"/>
          <w:sz w:val="22"/>
          <w:szCs w:val="22"/>
        </w:rPr>
        <w:t xml:space="preserve"> </w:t>
      </w:r>
      <w:r>
        <w:rPr>
          <w:rFonts w:ascii="Times New Roman" w:hAnsi="Times New Roman"/>
          <w:sz w:val="22"/>
          <w:szCs w:val="22"/>
        </w:rPr>
        <w:t xml:space="preserve">zlepšil saldo schodku </w:t>
      </w:r>
      <w:r w:rsidRPr="000C2386">
        <w:rPr>
          <w:rFonts w:ascii="Times New Roman" w:hAnsi="Times New Roman"/>
          <w:sz w:val="22"/>
          <w:szCs w:val="22"/>
        </w:rPr>
        <w:t xml:space="preserve">v dôsledku nevyčerpania výdavkov </w:t>
      </w:r>
      <w:r>
        <w:rPr>
          <w:rFonts w:ascii="Times New Roman" w:hAnsi="Times New Roman"/>
          <w:sz w:val="22"/>
          <w:szCs w:val="22"/>
        </w:rPr>
        <w:t xml:space="preserve">v sume 40 619 tis. eur </w:t>
      </w:r>
      <w:r w:rsidRPr="000C2386">
        <w:rPr>
          <w:rFonts w:ascii="Times New Roman" w:hAnsi="Times New Roman"/>
          <w:sz w:val="22"/>
          <w:szCs w:val="22"/>
        </w:rPr>
        <w:t>určených na výstavbu priemyselnej zóny Nitra Mlynárce, ktoré získ</w:t>
      </w:r>
      <w:r>
        <w:rPr>
          <w:rFonts w:ascii="Times New Roman" w:hAnsi="Times New Roman"/>
          <w:sz w:val="22"/>
          <w:szCs w:val="22"/>
        </w:rPr>
        <w:t>ali zo štátnych finančných aktív.</w:t>
      </w:r>
    </w:p>
    <w:p w:rsidR="008B7DEB" w:rsidP="008B7DEB">
      <w:pPr>
        <w:bidi w:val="0"/>
        <w:spacing w:after="120" w:line="336" w:lineRule="auto"/>
        <w:jc w:val="both"/>
        <w:rPr>
          <w:rFonts w:ascii="Times New Roman" w:hAnsi="Times New Roman"/>
          <w:sz w:val="22"/>
          <w:szCs w:val="22"/>
        </w:rPr>
      </w:pPr>
      <w:r>
        <w:rPr>
          <w:rFonts w:ascii="Times New Roman" w:hAnsi="Times New Roman"/>
          <w:sz w:val="22"/>
          <w:szCs w:val="22"/>
        </w:rPr>
        <w:t xml:space="preserve">Rozpočet </w:t>
      </w:r>
      <w:r w:rsidR="00C2780F">
        <w:rPr>
          <w:rFonts w:ascii="Times New Roman" w:hAnsi="Times New Roman"/>
          <w:sz w:val="22"/>
          <w:szCs w:val="22"/>
        </w:rPr>
        <w:t>ne</w:t>
      </w:r>
      <w:r>
        <w:rPr>
          <w:rFonts w:ascii="Times New Roman" w:hAnsi="Times New Roman"/>
          <w:sz w:val="22"/>
          <w:szCs w:val="22"/>
        </w:rPr>
        <w:t xml:space="preserve">počítal s príjmami </w:t>
      </w:r>
      <w:r w:rsidRPr="000C2386">
        <w:rPr>
          <w:rFonts w:ascii="Times New Roman" w:hAnsi="Times New Roman"/>
          <w:sz w:val="22"/>
          <w:szCs w:val="22"/>
        </w:rPr>
        <w:t>z </w:t>
      </w:r>
      <w:r w:rsidRPr="00D8498A">
        <w:rPr>
          <w:rFonts w:ascii="Times New Roman" w:hAnsi="Times New Roman"/>
          <w:b/>
          <w:sz w:val="22"/>
          <w:szCs w:val="22"/>
        </w:rPr>
        <w:t>II. piliera Sociálnej poisťovne</w:t>
      </w:r>
      <w:r w:rsidR="00535354">
        <w:rPr>
          <w:rFonts w:ascii="Times New Roman" w:hAnsi="Times New Roman"/>
          <w:sz w:val="22"/>
          <w:szCs w:val="22"/>
        </w:rPr>
        <w:t>,</w:t>
      </w:r>
      <w:r>
        <w:rPr>
          <w:rFonts w:ascii="Times New Roman" w:hAnsi="Times New Roman"/>
          <w:sz w:val="22"/>
          <w:szCs w:val="22"/>
        </w:rPr>
        <w:t xml:space="preserve"> ich vylúčenie </w:t>
      </w:r>
      <w:r w:rsidR="00EC45BF">
        <w:rPr>
          <w:rFonts w:ascii="Times New Roman" w:hAnsi="Times New Roman"/>
          <w:sz w:val="22"/>
          <w:szCs w:val="22"/>
        </w:rPr>
        <w:t>z akruálnych príjmov verejnej správy negatívne</w:t>
      </w:r>
      <w:r w:rsidRPr="000C2386">
        <w:rPr>
          <w:rFonts w:ascii="Times New Roman" w:hAnsi="Times New Roman"/>
          <w:sz w:val="22"/>
          <w:szCs w:val="22"/>
        </w:rPr>
        <w:t xml:space="preserve"> vplývalo na schodok verejnej správy sumou 579</w:t>
      </w:r>
      <w:r w:rsidR="001F08C4">
        <w:rPr>
          <w:rFonts w:ascii="Times New Roman" w:hAnsi="Times New Roman"/>
          <w:sz w:val="22"/>
          <w:szCs w:val="22"/>
        </w:rPr>
        <w:t> </w:t>
      </w:r>
      <w:r w:rsidRPr="000C2386">
        <w:rPr>
          <w:rFonts w:ascii="Times New Roman" w:hAnsi="Times New Roman"/>
          <w:sz w:val="22"/>
          <w:szCs w:val="22"/>
        </w:rPr>
        <w:t>356</w:t>
      </w:r>
      <w:r w:rsidR="001F08C4">
        <w:rPr>
          <w:rFonts w:ascii="Times New Roman" w:hAnsi="Times New Roman"/>
          <w:sz w:val="22"/>
          <w:szCs w:val="22"/>
        </w:rPr>
        <w:t> tis. </w:t>
      </w:r>
      <w:r w:rsidRPr="000C2386">
        <w:rPr>
          <w:rFonts w:ascii="Times New Roman" w:hAnsi="Times New Roman"/>
          <w:sz w:val="22"/>
          <w:szCs w:val="22"/>
        </w:rPr>
        <w:t>eur.</w:t>
      </w:r>
    </w:p>
    <w:p w:rsidR="003B04E4" w:rsidP="008B7DEB">
      <w:pPr>
        <w:bidi w:val="0"/>
        <w:spacing w:after="120" w:line="336" w:lineRule="auto"/>
        <w:jc w:val="both"/>
        <w:rPr>
          <w:rFonts w:ascii="Times New Roman" w:hAnsi="Times New Roman"/>
          <w:sz w:val="22"/>
          <w:szCs w:val="22"/>
        </w:rPr>
      </w:pPr>
      <w:r w:rsidRPr="002D72F1">
        <w:rPr>
          <w:rFonts w:ascii="Times New Roman" w:hAnsi="Times New Roman"/>
          <w:sz w:val="22"/>
          <w:szCs w:val="22"/>
        </w:rPr>
        <w:t>Eurostat neuznal príjm</w:t>
      </w:r>
      <w:r w:rsidR="00640B35">
        <w:rPr>
          <w:rFonts w:ascii="Times New Roman" w:hAnsi="Times New Roman"/>
          <w:sz w:val="22"/>
          <w:szCs w:val="22"/>
        </w:rPr>
        <w:t>y</w:t>
      </w:r>
      <w:r w:rsidRPr="002D72F1">
        <w:rPr>
          <w:rFonts w:ascii="Times New Roman" w:hAnsi="Times New Roman"/>
          <w:sz w:val="22"/>
          <w:szCs w:val="22"/>
        </w:rPr>
        <w:t xml:space="preserve"> splátok </w:t>
      </w:r>
      <w:r w:rsidRPr="00AE3F63">
        <w:rPr>
          <w:rFonts w:ascii="Times New Roman" w:hAnsi="Times New Roman"/>
          <w:b/>
          <w:sz w:val="22"/>
          <w:szCs w:val="22"/>
        </w:rPr>
        <w:t>návratnej finančnej výpomoci od spoločnosti Cargo</w:t>
      </w:r>
      <w:r w:rsidR="00AE3F63">
        <w:rPr>
          <w:rFonts w:ascii="Times New Roman" w:hAnsi="Times New Roman"/>
          <w:b/>
          <w:sz w:val="22"/>
          <w:szCs w:val="22"/>
        </w:rPr>
        <w:t>, a.s.</w:t>
      </w:r>
      <w:r w:rsidRPr="002D72F1">
        <w:rPr>
          <w:rFonts w:ascii="Times New Roman" w:hAnsi="Times New Roman"/>
          <w:sz w:val="22"/>
          <w:szCs w:val="22"/>
        </w:rPr>
        <w:t xml:space="preserve"> vo výške viac ako 117 2</w:t>
      </w:r>
      <w:r>
        <w:rPr>
          <w:rFonts w:ascii="Times New Roman" w:hAnsi="Times New Roman"/>
          <w:sz w:val="22"/>
          <w:szCs w:val="22"/>
        </w:rPr>
        <w:t>20 tis. eur. Rozpočtovaná suma bola 97 720 tis. eur, čo sa rovná negatívnemu vplyvu na schodok verejnej správy.</w:t>
      </w:r>
      <w:r w:rsidR="0025125B">
        <w:rPr>
          <w:rFonts w:ascii="Times New Roman" w:hAnsi="Times New Roman"/>
          <w:sz w:val="22"/>
          <w:szCs w:val="22"/>
        </w:rPr>
        <w:t xml:space="preserve"> </w:t>
      </w:r>
    </w:p>
    <w:p w:rsidR="008B7DEB" w:rsidP="008B7DEB">
      <w:pPr>
        <w:bidi w:val="0"/>
        <w:spacing w:after="120" w:line="336" w:lineRule="auto"/>
        <w:jc w:val="both"/>
        <w:rPr>
          <w:rFonts w:ascii="Times New Roman" w:hAnsi="Times New Roman"/>
          <w:sz w:val="22"/>
          <w:szCs w:val="22"/>
        </w:rPr>
      </w:pPr>
      <w:r w:rsidRPr="000C2386">
        <w:rPr>
          <w:rFonts w:ascii="Times New Roman" w:hAnsi="Times New Roman"/>
          <w:sz w:val="22"/>
          <w:szCs w:val="22"/>
        </w:rPr>
        <w:t xml:space="preserve">Zhoršenie hospodárenia </w:t>
      </w:r>
      <w:r w:rsidRPr="000C2386">
        <w:rPr>
          <w:rFonts w:ascii="Times New Roman" w:hAnsi="Times New Roman"/>
          <w:b/>
          <w:sz w:val="22"/>
          <w:szCs w:val="22"/>
        </w:rPr>
        <w:t>územnej samosprávy</w:t>
      </w:r>
      <w:r w:rsidRPr="000C2386">
        <w:rPr>
          <w:rFonts w:ascii="Times New Roman" w:hAnsi="Times New Roman"/>
          <w:sz w:val="22"/>
          <w:szCs w:val="22"/>
        </w:rPr>
        <w:t xml:space="preserve"> negatívne vplýval</w:t>
      </w:r>
      <w:r w:rsidR="00102571">
        <w:rPr>
          <w:rFonts w:ascii="Times New Roman" w:hAnsi="Times New Roman"/>
          <w:sz w:val="22"/>
          <w:szCs w:val="22"/>
        </w:rPr>
        <w:t>o na schodok sumou 152 090 tis. </w:t>
      </w:r>
      <w:r w:rsidRPr="000C2386">
        <w:rPr>
          <w:rFonts w:ascii="Times New Roman" w:hAnsi="Times New Roman"/>
          <w:sz w:val="22"/>
          <w:szCs w:val="22"/>
        </w:rPr>
        <w:t xml:space="preserve">eur, z čoho </w:t>
      </w:r>
      <w:r>
        <w:rPr>
          <w:rFonts w:ascii="Times New Roman" w:hAnsi="Times New Roman"/>
          <w:sz w:val="22"/>
          <w:szCs w:val="22"/>
        </w:rPr>
        <w:t>obce sumou 80 </w:t>
      </w:r>
      <w:r w:rsidR="00C2780F">
        <w:rPr>
          <w:rFonts w:ascii="Times New Roman" w:hAnsi="Times New Roman"/>
          <w:sz w:val="22"/>
          <w:szCs w:val="22"/>
        </w:rPr>
        <w:t>479</w:t>
      </w:r>
      <w:r>
        <w:rPr>
          <w:rFonts w:ascii="Times New Roman" w:hAnsi="Times New Roman"/>
          <w:sz w:val="22"/>
          <w:szCs w:val="22"/>
        </w:rPr>
        <w:t xml:space="preserve"> tis. eur a VUC sumou 65 715 tis. eur. Za územnú samosprávu sa v tomto prípade považujú samotné obce, vyššie územné celky a ich rozpočtové organizácie a dopravné podniky samosprávy.</w:t>
      </w:r>
    </w:p>
    <w:p w:rsidR="008B7DEB" w:rsidP="00912D82">
      <w:pPr>
        <w:bidi w:val="0"/>
        <w:spacing w:line="336" w:lineRule="auto"/>
        <w:jc w:val="both"/>
        <w:rPr>
          <w:rFonts w:ascii="Times New Roman" w:hAnsi="Times New Roman"/>
          <w:sz w:val="22"/>
          <w:szCs w:val="22"/>
        </w:rPr>
      </w:pPr>
      <w:r w:rsidRPr="006E50E2">
        <w:rPr>
          <w:rFonts w:ascii="Times New Roman" w:hAnsi="Times New Roman"/>
          <w:sz w:val="22"/>
          <w:szCs w:val="22"/>
        </w:rPr>
        <w:t>Saldo verejnej správy podľa jednotlivých subjek</w:t>
      </w:r>
      <w:r>
        <w:rPr>
          <w:rFonts w:ascii="Times New Roman" w:hAnsi="Times New Roman"/>
          <w:sz w:val="22"/>
          <w:szCs w:val="22"/>
        </w:rPr>
        <w:t>tov v roku 2015</w:t>
      </w:r>
      <w:r w:rsidRPr="006E50E2">
        <w:rPr>
          <w:rFonts w:ascii="Times New Roman" w:hAnsi="Times New Roman"/>
          <w:sz w:val="22"/>
          <w:szCs w:val="22"/>
        </w:rPr>
        <w:t xml:space="preserve"> </w:t>
      </w:r>
      <w:r w:rsidR="00102571">
        <w:rPr>
          <w:rFonts w:ascii="Times New Roman" w:hAnsi="Times New Roman"/>
          <w:sz w:val="22"/>
          <w:szCs w:val="22"/>
        </w:rPr>
        <w:t>obsahuje</w:t>
      </w:r>
      <w:r w:rsidRPr="006E50E2">
        <w:rPr>
          <w:rFonts w:ascii="Times New Roman" w:hAnsi="Times New Roman"/>
          <w:sz w:val="22"/>
          <w:szCs w:val="22"/>
        </w:rPr>
        <w:t xml:space="preserve"> nasledovná tabuľka.</w:t>
      </w:r>
    </w:p>
    <w:tbl>
      <w:tblPr>
        <w:tblStyle w:val="TableNormal"/>
        <w:tblW w:w="8936" w:type="dxa"/>
        <w:tblCellMar>
          <w:left w:w="70" w:type="dxa"/>
          <w:right w:w="70" w:type="dxa"/>
        </w:tblCellMar>
        <w:tblLook w:val="04A0"/>
      </w:tblPr>
      <w:tblGrid>
        <w:gridCol w:w="3402"/>
        <w:gridCol w:w="1123"/>
        <w:gridCol w:w="1123"/>
        <w:gridCol w:w="1123"/>
        <w:gridCol w:w="1025"/>
        <w:gridCol w:w="1140"/>
      </w:tblGrid>
      <w:tr>
        <w:tblPrEx>
          <w:tblW w:w="8936" w:type="dxa"/>
          <w:tblCellMar>
            <w:left w:w="70" w:type="dxa"/>
            <w:right w:w="70" w:type="dxa"/>
          </w:tblCellMar>
          <w:tblLook w:val="04A0"/>
        </w:tblPrEx>
        <w:trPr>
          <w:trHeight w:val="330"/>
        </w:trPr>
        <w:tc>
          <w:tcPr>
            <w:tcW w:w="7796" w:type="dxa"/>
            <w:gridSpan w:val="5"/>
            <w:tcBorders>
              <w:top w:val="nil"/>
              <w:left w:val="nil"/>
              <w:bottom w:val="nil"/>
              <w:right w:val="nil"/>
            </w:tcBorders>
            <w:shd w:val="clear" w:color="000000" w:fill="000000"/>
            <w:noWrap/>
            <w:textDirection w:val="lrTb"/>
            <w:vAlign w:val="center"/>
            <w:hideMark/>
          </w:tcPr>
          <w:p w:rsidR="008B7DEB" w:rsidRPr="008A2A71" w:rsidP="00510434">
            <w:pPr>
              <w:tabs>
                <w:tab w:val="left" w:pos="3785"/>
              </w:tabs>
              <w:bidi w:val="0"/>
              <w:rPr>
                <w:rFonts w:ascii="Times New Roman" w:hAnsi="Times New Roman"/>
                <w:b/>
                <w:bCs/>
                <w:color w:val="FFFFFF"/>
                <w:sz w:val="20"/>
                <w:szCs w:val="20"/>
              </w:rPr>
            </w:pPr>
            <w:r>
              <w:rPr>
                <w:rFonts w:ascii="Times New Roman" w:hAnsi="Times New Roman"/>
                <w:b/>
                <w:bCs/>
                <w:color w:val="FFFFFF"/>
                <w:sz w:val="20"/>
                <w:szCs w:val="20"/>
              </w:rPr>
              <w:t>S</w:t>
            </w:r>
            <w:r w:rsidRPr="008A2A71">
              <w:rPr>
                <w:rFonts w:ascii="Times New Roman" w:hAnsi="Times New Roman"/>
                <w:b/>
                <w:bCs/>
                <w:color w:val="FFFFFF"/>
                <w:sz w:val="20"/>
                <w:szCs w:val="20"/>
              </w:rPr>
              <w:t xml:space="preserve">chodok verejnej správy podľa jednotlivých subjektov </w:t>
            </w:r>
            <w:r w:rsidR="00F022DD">
              <w:rPr>
                <w:rFonts w:ascii="Times New Roman" w:hAnsi="Times New Roman"/>
                <w:b/>
                <w:bCs/>
                <w:color w:val="FFFFFF"/>
                <w:sz w:val="20"/>
                <w:szCs w:val="20"/>
              </w:rPr>
              <w:t>v metodike ESA2010</w:t>
            </w:r>
          </w:p>
        </w:tc>
        <w:tc>
          <w:tcPr>
            <w:tcW w:w="1140" w:type="dxa"/>
            <w:tcBorders>
              <w:top w:val="nil"/>
              <w:left w:val="nil"/>
              <w:bottom w:val="nil"/>
              <w:right w:val="single" w:sz="8" w:space="0" w:color="auto"/>
            </w:tcBorders>
            <w:shd w:val="clear" w:color="000000" w:fill="000000"/>
            <w:noWrap/>
            <w:textDirection w:val="lrTb"/>
            <w:vAlign w:val="center"/>
            <w:hideMark/>
          </w:tcPr>
          <w:p w:rsidR="008B7DEB" w:rsidRPr="008A2A71" w:rsidP="00510434">
            <w:pPr>
              <w:bidi w:val="0"/>
              <w:jc w:val="right"/>
              <w:rPr>
                <w:rFonts w:ascii="Times New Roman" w:hAnsi="Times New Roman"/>
                <w:b/>
                <w:bCs/>
                <w:color w:val="FFFFFF"/>
                <w:sz w:val="20"/>
                <w:szCs w:val="20"/>
              </w:rPr>
            </w:pPr>
            <w:r w:rsidRPr="008A2A71">
              <w:rPr>
                <w:rFonts w:ascii="Times New Roman" w:hAnsi="Times New Roman"/>
                <w:b/>
                <w:bCs/>
                <w:color w:val="FFFFFF"/>
                <w:sz w:val="20"/>
                <w:szCs w:val="20"/>
              </w:rPr>
              <w:t>v tis. eur</w:t>
            </w:r>
          </w:p>
        </w:tc>
      </w:tr>
      <w:tr>
        <w:tblPrEx>
          <w:tblW w:w="8936" w:type="dxa"/>
          <w:tblCellMar>
            <w:left w:w="70" w:type="dxa"/>
            <w:right w:w="70" w:type="dxa"/>
          </w:tblCellMar>
          <w:tblLook w:val="04A0"/>
        </w:tblPrEx>
        <w:trPr>
          <w:trHeight w:val="330"/>
        </w:trPr>
        <w:tc>
          <w:tcPr>
            <w:tcW w:w="3402" w:type="dxa"/>
            <w:tcBorders>
              <w:top w:val="single" w:sz="4" w:space="0" w:color="auto"/>
              <w:left w:val="nil"/>
              <w:bottom w:val="nil"/>
              <w:right w:val="nil"/>
            </w:tcBorders>
            <w:shd w:val="clear" w:color="000000" w:fill="BFBFBF"/>
            <w:noWrap/>
            <w:textDirection w:val="lrTb"/>
            <w:vAlign w:val="center"/>
            <w:hideMark/>
          </w:tcPr>
          <w:p w:rsidR="008B7DEB" w:rsidRPr="008A2A71" w:rsidP="00510434">
            <w:pPr>
              <w:bidi w:val="0"/>
              <w:rPr>
                <w:rFonts w:ascii="Times New Roman" w:hAnsi="Times New Roman"/>
                <w:b/>
                <w:bCs/>
                <w:sz w:val="20"/>
                <w:szCs w:val="20"/>
              </w:rPr>
            </w:pPr>
            <w:r w:rsidRPr="008A2A71">
              <w:rPr>
                <w:rFonts w:ascii="Times New Roman" w:hAnsi="Times New Roman"/>
                <w:b/>
                <w:bCs/>
                <w:sz w:val="20"/>
                <w:szCs w:val="20"/>
              </w:rPr>
              <w:t> </w:t>
            </w:r>
          </w:p>
        </w:tc>
        <w:tc>
          <w:tcPr>
            <w:tcW w:w="1123" w:type="dxa"/>
            <w:tcBorders>
              <w:top w:val="single" w:sz="4" w:space="0" w:color="auto"/>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2013</w:t>
            </w:r>
          </w:p>
        </w:tc>
        <w:tc>
          <w:tcPr>
            <w:tcW w:w="1123" w:type="dxa"/>
            <w:tcBorders>
              <w:top w:val="single" w:sz="4" w:space="0" w:color="auto"/>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2014</w:t>
            </w:r>
          </w:p>
        </w:tc>
        <w:tc>
          <w:tcPr>
            <w:tcW w:w="1123" w:type="dxa"/>
            <w:tcBorders>
              <w:top w:val="single" w:sz="4" w:space="0" w:color="auto"/>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2015</w:t>
            </w:r>
          </w:p>
        </w:tc>
        <w:tc>
          <w:tcPr>
            <w:tcW w:w="1025" w:type="dxa"/>
            <w:tcBorders>
              <w:top w:val="single" w:sz="4" w:space="0" w:color="auto"/>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2015</w:t>
            </w:r>
          </w:p>
        </w:tc>
        <w:tc>
          <w:tcPr>
            <w:tcW w:w="1140" w:type="dxa"/>
            <w:tcBorders>
              <w:top w:val="single" w:sz="4" w:space="0" w:color="auto"/>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2015</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BFBFBF"/>
            <w:noWrap/>
            <w:textDirection w:val="lrTb"/>
            <w:vAlign w:val="center"/>
            <w:hideMark/>
          </w:tcPr>
          <w:p w:rsidR="008B7DEB" w:rsidRPr="008A2A71" w:rsidP="00510434">
            <w:pPr>
              <w:bidi w:val="0"/>
              <w:rPr>
                <w:rFonts w:ascii="Times New Roman" w:hAnsi="Times New Roman"/>
                <w:b/>
                <w:bCs/>
                <w:sz w:val="20"/>
                <w:szCs w:val="20"/>
              </w:rPr>
            </w:pPr>
            <w:r w:rsidRPr="008A2A71">
              <w:rPr>
                <w:rFonts w:ascii="Times New Roman" w:hAnsi="Times New Roman"/>
                <w:b/>
                <w:bCs/>
                <w:sz w:val="20"/>
                <w:szCs w:val="20"/>
              </w:rPr>
              <w:t> </w:t>
            </w:r>
          </w:p>
        </w:tc>
        <w:tc>
          <w:tcPr>
            <w:tcW w:w="1123" w:type="dxa"/>
            <w:tcBorders>
              <w:top w:val="nil"/>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Skutočnosť</w:t>
            </w:r>
          </w:p>
        </w:tc>
        <w:tc>
          <w:tcPr>
            <w:tcW w:w="1123" w:type="dxa"/>
            <w:tcBorders>
              <w:top w:val="nil"/>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Skutočnosť</w:t>
            </w:r>
          </w:p>
        </w:tc>
        <w:tc>
          <w:tcPr>
            <w:tcW w:w="1123" w:type="dxa"/>
            <w:tcBorders>
              <w:top w:val="nil"/>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Skutočnosť</w:t>
            </w:r>
          </w:p>
        </w:tc>
        <w:tc>
          <w:tcPr>
            <w:tcW w:w="1025" w:type="dxa"/>
            <w:tcBorders>
              <w:top w:val="nil"/>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sidRPr="008A2A71">
              <w:rPr>
                <w:rFonts w:ascii="Times New Roman" w:hAnsi="Times New Roman"/>
                <w:b/>
                <w:bCs/>
                <w:sz w:val="20"/>
                <w:szCs w:val="20"/>
              </w:rPr>
              <w:t>Rozpočet</w:t>
            </w:r>
          </w:p>
        </w:tc>
        <w:tc>
          <w:tcPr>
            <w:tcW w:w="1140" w:type="dxa"/>
            <w:tcBorders>
              <w:top w:val="nil"/>
              <w:left w:val="nil"/>
              <w:bottom w:val="nil"/>
              <w:right w:val="nil"/>
            </w:tcBorders>
            <w:shd w:val="clear" w:color="000000" w:fill="BFBFBF"/>
            <w:noWrap/>
            <w:textDirection w:val="lrTb"/>
            <w:vAlign w:val="center"/>
            <w:hideMark/>
          </w:tcPr>
          <w:p w:rsidR="008B7DEB" w:rsidRPr="008A2A71" w:rsidP="00510434">
            <w:pPr>
              <w:bidi w:val="0"/>
              <w:jc w:val="center"/>
              <w:rPr>
                <w:rFonts w:ascii="Times New Roman" w:hAnsi="Times New Roman"/>
                <w:b/>
                <w:bCs/>
                <w:sz w:val="20"/>
                <w:szCs w:val="20"/>
              </w:rPr>
            </w:pPr>
            <w:r>
              <w:rPr>
                <w:rFonts w:ascii="Times New Roman" w:hAnsi="Times New Roman"/>
                <w:b/>
                <w:bCs/>
                <w:sz w:val="20"/>
                <w:szCs w:val="20"/>
              </w:rPr>
              <w:t>(</w:t>
            </w:r>
            <w:r w:rsidRPr="008A2A71">
              <w:rPr>
                <w:rFonts w:ascii="Times New Roman" w:hAnsi="Times New Roman"/>
                <w:b/>
                <w:bCs/>
                <w:sz w:val="20"/>
                <w:szCs w:val="20"/>
              </w:rPr>
              <w:t xml:space="preserve">S </w:t>
            </w:r>
            <w:r>
              <w:rPr>
                <w:rFonts w:ascii="Times New Roman" w:hAnsi="Times New Roman"/>
                <w:b/>
                <w:bCs/>
                <w:sz w:val="20"/>
                <w:szCs w:val="20"/>
              </w:rPr>
              <w:t xml:space="preserve">– </w:t>
            </w:r>
            <w:r w:rsidRPr="008A2A71">
              <w:rPr>
                <w:rFonts w:ascii="Times New Roman" w:hAnsi="Times New Roman"/>
                <w:b/>
                <w:bCs/>
                <w:sz w:val="20"/>
                <w:szCs w:val="20"/>
              </w:rPr>
              <w:t>R</w:t>
            </w:r>
            <w:r>
              <w:rPr>
                <w:rFonts w:ascii="Times New Roman" w:hAnsi="Times New Roman"/>
                <w:b/>
                <w:bCs/>
                <w:sz w:val="20"/>
                <w:szCs w:val="20"/>
              </w:rPr>
              <w:t>)</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Štátny rozpočet</w:t>
            </w:r>
            <w:r w:rsidRPr="008A2A71">
              <w:rPr>
                <w:rFonts w:ascii="Times New Roman" w:hAnsi="Times New Roman"/>
                <w:sz w:val="20"/>
                <w:szCs w:val="20"/>
                <w:vertAlign w:val="superscript"/>
              </w:rPr>
              <w:t>1</w:t>
            </w:r>
            <w:r w:rsidRPr="008A2A71">
              <w:rPr>
                <w:rFonts w:ascii="Times New Roman" w:hAnsi="Times New Roman"/>
                <w:color w:val="000000"/>
                <w:sz w:val="20"/>
                <w:szCs w:val="20"/>
                <w:vertAlign w:val="superscript"/>
              </w:rPr>
              <w:t>)</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-2 247 424</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-1 857 506</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-1 651 005</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-2 623 829</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972 824</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Štátne fondy</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250 641</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209 094</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232 156</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314 422</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-82 266</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Verejné vysoké školy</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47 938</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-15 602</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-1 390</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100</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-1 490</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Neziskové organizácie štátu</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3 315</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-3 459</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-8 688</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268</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-8 956</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Fond národného majetku SR</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-147 325</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-216 769</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-849 458</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-11 417</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-838 041</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Slovenský pozemkový fond</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9 931</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16 657</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4 725</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6 407</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-1 682</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Národný rezolučný fond</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33 510</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0</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33 510</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Rozhlas a televízia Slovenska</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3 469</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-1 467</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5 775</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1 050</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4 725</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Národná diaľničná spoločnosť, a.s.</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147 160</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3 677</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5 827</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37 177</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-31 350</w:t>
            </w:r>
          </w:p>
        </w:tc>
      </w:tr>
      <w:tr>
        <w:tblPrEx>
          <w:tblW w:w="8936" w:type="dxa"/>
          <w:tblCellMar>
            <w:left w:w="70" w:type="dxa"/>
            <w:right w:w="70" w:type="dxa"/>
          </w:tblCellMar>
          <w:tblLook w:val="04A0"/>
        </w:tblPrEx>
        <w:trPr>
          <w:trHeight w:val="330"/>
        </w:trPr>
        <w:tc>
          <w:tcPr>
            <w:tcW w:w="3402"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Agentúra pre núdzové zásoby ropy a ropných výrobkov</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-41 352</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29 135</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-6 229</w:t>
            </w:r>
          </w:p>
        </w:tc>
        <w:tc>
          <w:tcPr>
            <w:tcW w:w="1025"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-3 247</w:t>
            </w:r>
          </w:p>
        </w:tc>
        <w:tc>
          <w:tcPr>
            <w:tcW w:w="1140"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-2 982</w:t>
            </w:r>
          </w:p>
        </w:tc>
      </w:tr>
      <w:tr>
        <w:tblPrEx>
          <w:tblW w:w="8936" w:type="dxa"/>
          <w:tblCellMar>
            <w:left w:w="70" w:type="dxa"/>
            <w:right w:w="70" w:type="dxa"/>
          </w:tblCellMar>
          <w:tblLook w:val="04A0"/>
        </w:tblPrEx>
        <w:trPr>
          <w:trHeight w:val="330"/>
        </w:trPr>
        <w:tc>
          <w:tcPr>
            <w:tcW w:w="3402"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Sociálna poisťovňa</w:t>
            </w:r>
          </w:p>
        </w:tc>
        <w:tc>
          <w:tcPr>
            <w:tcW w:w="1123"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-198 705</w:t>
            </w:r>
          </w:p>
        </w:tc>
        <w:tc>
          <w:tcPr>
            <w:tcW w:w="1123"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-38 573</w:t>
            </w:r>
          </w:p>
        </w:tc>
        <w:tc>
          <w:tcPr>
            <w:tcW w:w="1123"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-224 034</w:t>
            </w:r>
          </w:p>
        </w:tc>
        <w:tc>
          <w:tcPr>
            <w:tcW w:w="1025"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33 900</w:t>
            </w:r>
          </w:p>
        </w:tc>
        <w:tc>
          <w:tcPr>
            <w:tcW w:w="1140"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-257 934</w:t>
            </w:r>
          </w:p>
        </w:tc>
      </w:tr>
      <w:tr>
        <w:tblPrEx>
          <w:tblW w:w="8936" w:type="dxa"/>
          <w:tblCellMar>
            <w:left w:w="70" w:type="dxa"/>
            <w:right w:w="70" w:type="dxa"/>
          </w:tblCellMar>
          <w:tblLook w:val="04A0"/>
        </w:tblPrEx>
        <w:trPr>
          <w:trHeight w:val="330"/>
        </w:trPr>
        <w:tc>
          <w:tcPr>
            <w:tcW w:w="3402"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Verejné zdravotné poistenie</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5 167</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-70 068</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53 664</w:t>
            </w:r>
          </w:p>
        </w:tc>
        <w:tc>
          <w:tcPr>
            <w:tcW w:w="1025"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33 256</w:t>
            </w:r>
          </w:p>
        </w:tc>
        <w:tc>
          <w:tcPr>
            <w:tcW w:w="1140"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20 408</w:t>
            </w:r>
          </w:p>
        </w:tc>
      </w:tr>
      <w:tr>
        <w:tblPrEx>
          <w:tblW w:w="8936" w:type="dxa"/>
          <w:tblCellMar>
            <w:left w:w="70" w:type="dxa"/>
            <w:right w:w="70" w:type="dxa"/>
          </w:tblCellMar>
          <w:tblLook w:val="04A0"/>
        </w:tblPrEx>
        <w:trPr>
          <w:trHeight w:val="330"/>
        </w:trPr>
        <w:tc>
          <w:tcPr>
            <w:tcW w:w="3402"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Vyššie územné celky</w:t>
            </w:r>
          </w:p>
        </w:tc>
        <w:tc>
          <w:tcPr>
            <w:tcW w:w="1123"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53 741</w:t>
            </w:r>
          </w:p>
        </w:tc>
        <w:tc>
          <w:tcPr>
            <w:tcW w:w="1123"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16 604</w:t>
            </w:r>
          </w:p>
        </w:tc>
        <w:tc>
          <w:tcPr>
            <w:tcW w:w="1123"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58 123</w:t>
            </w:r>
          </w:p>
        </w:tc>
        <w:tc>
          <w:tcPr>
            <w:tcW w:w="1025"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123 838</w:t>
            </w:r>
          </w:p>
        </w:tc>
        <w:tc>
          <w:tcPr>
            <w:tcW w:w="1140" w:type="dxa"/>
            <w:tcBorders>
              <w:top w:val="single" w:sz="4" w:space="0" w:color="auto"/>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-65 715</w:t>
            </w:r>
          </w:p>
        </w:tc>
      </w:tr>
      <w:tr>
        <w:tblPrEx>
          <w:tblW w:w="8936" w:type="dxa"/>
          <w:tblCellMar>
            <w:left w:w="70" w:type="dxa"/>
            <w:right w:w="70" w:type="dxa"/>
          </w:tblCellMar>
          <w:tblLook w:val="04A0"/>
        </w:tblPrEx>
        <w:trPr>
          <w:trHeight w:val="330"/>
        </w:trPr>
        <w:tc>
          <w:tcPr>
            <w:tcW w:w="3402"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Obce</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115 951</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-11 099</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64 558</w:t>
            </w:r>
          </w:p>
        </w:tc>
        <w:tc>
          <w:tcPr>
            <w:tcW w:w="1025"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145 037</w:t>
            </w:r>
          </w:p>
        </w:tc>
        <w:tc>
          <w:tcPr>
            <w:tcW w:w="1140"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-80 479</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Príspevkové organizácie zaradené do verejnej správy</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22 175</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-9 687</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10 176</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-1 129</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11 305</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Zdravotnícke zariadenia zaradené do verejnej správy</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-30 198</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-61 935</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-69 371</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0</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-69 371</w:t>
            </w:r>
          </w:p>
        </w:tc>
      </w:tr>
      <w:tr>
        <w:tblPrEx>
          <w:tblW w:w="8936" w:type="dxa"/>
          <w:tblCellMar>
            <w:left w:w="70" w:type="dxa"/>
            <w:right w:w="70" w:type="dxa"/>
          </w:tblCellMar>
          <w:tblLook w:val="04A0"/>
        </w:tblPrEx>
        <w:trPr>
          <w:trHeight w:val="330"/>
        </w:trPr>
        <w:tc>
          <w:tcPr>
            <w:tcW w:w="3402"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 xml:space="preserve">Ostatné subjekty verejnej správy </w:t>
            </w:r>
            <w:r w:rsidRPr="008A2A71">
              <w:rPr>
                <w:rFonts w:ascii="Times New Roman" w:hAnsi="Times New Roman"/>
                <w:sz w:val="20"/>
                <w:szCs w:val="20"/>
                <w:vertAlign w:val="superscript"/>
              </w:rPr>
              <w:t>2)</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192</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-7 314</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-12 596</w:t>
            </w:r>
          </w:p>
        </w:tc>
        <w:tc>
          <w:tcPr>
            <w:tcW w:w="1025"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0</w:t>
            </w:r>
          </w:p>
        </w:tc>
        <w:tc>
          <w:tcPr>
            <w:tcW w:w="1140"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-12 596</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Železnice Slovenskej republiky</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58 251</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36 050</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-16 044</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0</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-16 044</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Železničná spoločnosť Slovensko, a.s.</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-37 579</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-26 391</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2 117</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0</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2 117</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Eximbanka SR</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-2 845</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19 644</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-766</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395</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-1 161</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Slovenská konsolidačná, a.s.</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-3 889</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-919</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-330</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1 837</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-2 167</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Slovenská reštrukturalizačná, s.r.o.</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14 494</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0</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14 494</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MH Invest, s.r.o.</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n.a</w:t>
            </w:r>
            <w:r w:rsidRPr="008A2A71">
              <w:rPr>
                <w:rFonts w:ascii="Times New Roman" w:hAnsi="Times New Roman"/>
                <w:sz w:val="20"/>
                <w:szCs w:val="20"/>
                <w:vertAlign w:val="superscript"/>
              </w:rPr>
              <w:t>.3)</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40 619</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0</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40 619</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sz w:val="20"/>
                <w:szCs w:val="20"/>
              </w:rPr>
            </w:pPr>
            <w:r w:rsidRPr="008A2A71">
              <w:rPr>
                <w:rFonts w:ascii="Times New Roman" w:hAnsi="Times New Roman"/>
                <w:sz w:val="20"/>
                <w:szCs w:val="20"/>
              </w:rPr>
              <w:t>Dopravné podniky</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-46 100</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-4 069</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1 827</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sz w:val="20"/>
                <w:szCs w:val="20"/>
              </w:rPr>
            </w:pPr>
            <w:r w:rsidRPr="008A2A71">
              <w:rPr>
                <w:rFonts w:ascii="Times New Roman" w:hAnsi="Times New Roman"/>
                <w:sz w:val="20"/>
                <w:szCs w:val="20"/>
              </w:rPr>
              <w:t>-5 896</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shd w:val="clear" w:color="000000" w:fill="FFFFFF"/>
            <w:noWrap/>
            <w:textDirection w:val="lrTb"/>
            <w:vAlign w:val="center"/>
            <w:hideMark/>
          </w:tcPr>
          <w:p w:rsidR="008B7DEB" w:rsidRPr="008A2A71" w:rsidP="00510434">
            <w:pPr>
              <w:bidi w:val="0"/>
              <w:rPr>
                <w:rFonts w:ascii="Times New Roman" w:hAnsi="Times New Roman"/>
                <w:b/>
                <w:bCs/>
                <w:sz w:val="20"/>
                <w:szCs w:val="20"/>
              </w:rPr>
            </w:pPr>
            <w:r w:rsidRPr="008A2A71">
              <w:rPr>
                <w:rFonts w:ascii="Times New Roman" w:hAnsi="Times New Roman"/>
                <w:b/>
                <w:bCs/>
                <w:sz w:val="20"/>
                <w:szCs w:val="20"/>
              </w:rPr>
              <w:t>Schodok verejnej správy spolu</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-1 991 386</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-2 036 028</w:t>
            </w:r>
          </w:p>
        </w:tc>
        <w:tc>
          <w:tcPr>
            <w:tcW w:w="1123"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-2 318 236</w:t>
            </w:r>
          </w:p>
        </w:tc>
        <w:tc>
          <w:tcPr>
            <w:tcW w:w="1025"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-1 940 108</w:t>
            </w:r>
          </w:p>
        </w:tc>
        <w:tc>
          <w:tcPr>
            <w:tcW w:w="1140" w:type="dxa"/>
            <w:tcBorders>
              <w:top w:val="nil"/>
              <w:left w:val="nil"/>
              <w:bottom w:val="nil"/>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-378 128</w:t>
            </w:r>
          </w:p>
        </w:tc>
      </w:tr>
      <w:tr>
        <w:tblPrEx>
          <w:tblW w:w="8936" w:type="dxa"/>
          <w:tblCellMar>
            <w:left w:w="70" w:type="dxa"/>
            <w:right w:w="70" w:type="dxa"/>
          </w:tblCellMar>
          <w:tblLook w:val="04A0"/>
        </w:tblPrEx>
        <w:trPr>
          <w:trHeight w:val="330"/>
        </w:trPr>
        <w:tc>
          <w:tcPr>
            <w:tcW w:w="3402"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rPr>
                <w:rFonts w:ascii="Times New Roman" w:hAnsi="Times New Roman"/>
                <w:b/>
                <w:bCs/>
                <w:sz w:val="20"/>
                <w:szCs w:val="20"/>
              </w:rPr>
            </w:pPr>
            <w:r w:rsidRPr="008A2A71">
              <w:rPr>
                <w:rFonts w:ascii="Times New Roman" w:hAnsi="Times New Roman"/>
                <w:b/>
                <w:bCs/>
                <w:sz w:val="20"/>
                <w:szCs w:val="20"/>
              </w:rPr>
              <w:t xml:space="preserve">           % z HDP</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-2,70</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-2,69</w:t>
            </w:r>
          </w:p>
        </w:tc>
        <w:tc>
          <w:tcPr>
            <w:tcW w:w="1123"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-2,97</w:t>
            </w:r>
          </w:p>
        </w:tc>
        <w:tc>
          <w:tcPr>
            <w:tcW w:w="1025"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-2,49</w:t>
            </w:r>
          </w:p>
        </w:tc>
        <w:tc>
          <w:tcPr>
            <w:tcW w:w="1140" w:type="dxa"/>
            <w:tcBorders>
              <w:top w:val="nil"/>
              <w:left w:val="nil"/>
              <w:bottom w:val="single" w:sz="4" w:space="0" w:color="auto"/>
              <w:right w:val="nil"/>
            </w:tcBorders>
            <w:shd w:val="clear" w:color="000000" w:fill="FFFFFF"/>
            <w:noWrap/>
            <w:textDirection w:val="lrTb"/>
            <w:vAlign w:val="center"/>
            <w:hideMark/>
          </w:tcPr>
          <w:p w:rsidR="008B7DEB" w:rsidRPr="008A2A71" w:rsidP="00510434">
            <w:pPr>
              <w:bidi w:val="0"/>
              <w:jc w:val="right"/>
              <w:rPr>
                <w:rFonts w:ascii="Times New Roman" w:hAnsi="Times New Roman"/>
                <w:b/>
                <w:bCs/>
                <w:sz w:val="20"/>
                <w:szCs w:val="20"/>
              </w:rPr>
            </w:pPr>
            <w:r w:rsidRPr="008A2A71">
              <w:rPr>
                <w:rFonts w:ascii="Times New Roman" w:hAnsi="Times New Roman"/>
                <w:b/>
                <w:bCs/>
                <w:sz w:val="20"/>
                <w:szCs w:val="20"/>
              </w:rPr>
              <w:t>-0,48</w:t>
            </w:r>
          </w:p>
        </w:tc>
      </w:tr>
      <w:tr>
        <w:tblPrEx>
          <w:tblW w:w="8936" w:type="dxa"/>
          <w:tblCellMar>
            <w:left w:w="70" w:type="dxa"/>
            <w:right w:w="70" w:type="dxa"/>
          </w:tblCellMar>
          <w:tblLook w:val="04A0"/>
        </w:tblPrEx>
        <w:trPr>
          <w:trHeight w:val="330"/>
        </w:trPr>
        <w:tc>
          <w:tcPr>
            <w:tcW w:w="3402" w:type="dxa"/>
            <w:tcBorders>
              <w:top w:val="nil"/>
              <w:left w:val="nil"/>
              <w:bottom w:val="nil"/>
              <w:right w:val="nil"/>
            </w:tcBorders>
            <w:noWrap/>
            <w:textDirection w:val="lrTb"/>
            <w:vAlign w:val="center"/>
            <w:hideMark/>
          </w:tcPr>
          <w:p w:rsidR="008B7DEB" w:rsidRPr="008A2A71" w:rsidP="00510434">
            <w:pPr>
              <w:bidi w:val="0"/>
              <w:jc w:val="right"/>
              <w:rPr>
                <w:rFonts w:ascii="Times New Roman" w:hAnsi="Times New Roman"/>
                <w:b/>
                <w:bCs/>
                <w:sz w:val="20"/>
                <w:szCs w:val="20"/>
              </w:rPr>
            </w:pPr>
          </w:p>
        </w:tc>
        <w:tc>
          <w:tcPr>
            <w:tcW w:w="1123" w:type="dxa"/>
            <w:tcBorders>
              <w:top w:val="nil"/>
              <w:left w:val="nil"/>
              <w:bottom w:val="nil"/>
              <w:right w:val="nil"/>
            </w:tcBorders>
            <w:noWrap/>
            <w:textDirection w:val="lrTb"/>
            <w:vAlign w:val="center"/>
            <w:hideMark/>
          </w:tcPr>
          <w:p w:rsidR="008B7DEB" w:rsidRPr="008A2A71" w:rsidP="00510434">
            <w:pPr>
              <w:bidi w:val="0"/>
              <w:rPr>
                <w:rFonts w:ascii="Times New Roman" w:hAnsi="Times New Roman"/>
                <w:sz w:val="20"/>
                <w:szCs w:val="20"/>
              </w:rPr>
            </w:pPr>
          </w:p>
        </w:tc>
        <w:tc>
          <w:tcPr>
            <w:tcW w:w="1123" w:type="dxa"/>
            <w:tcBorders>
              <w:top w:val="nil"/>
              <w:left w:val="nil"/>
              <w:bottom w:val="nil"/>
              <w:right w:val="nil"/>
            </w:tcBorders>
            <w:noWrap/>
            <w:textDirection w:val="lrTb"/>
            <w:vAlign w:val="center"/>
            <w:hideMark/>
          </w:tcPr>
          <w:p w:rsidR="008B7DEB" w:rsidRPr="008A2A71" w:rsidP="00510434">
            <w:pPr>
              <w:bidi w:val="0"/>
              <w:rPr>
                <w:rFonts w:ascii="Times New Roman" w:hAnsi="Times New Roman"/>
                <w:sz w:val="20"/>
                <w:szCs w:val="20"/>
              </w:rPr>
            </w:pPr>
          </w:p>
        </w:tc>
        <w:tc>
          <w:tcPr>
            <w:tcW w:w="1123" w:type="dxa"/>
            <w:tcBorders>
              <w:top w:val="nil"/>
              <w:left w:val="nil"/>
              <w:bottom w:val="nil"/>
              <w:right w:val="nil"/>
            </w:tcBorders>
            <w:noWrap/>
            <w:textDirection w:val="lrTb"/>
            <w:vAlign w:val="center"/>
            <w:hideMark/>
          </w:tcPr>
          <w:p w:rsidR="008B7DEB" w:rsidRPr="008A2A71" w:rsidP="00510434">
            <w:pPr>
              <w:bidi w:val="0"/>
              <w:jc w:val="right"/>
              <w:rPr>
                <w:rFonts w:ascii="Times New Roman" w:hAnsi="Times New Roman"/>
                <w:sz w:val="20"/>
                <w:szCs w:val="20"/>
              </w:rPr>
            </w:pPr>
          </w:p>
        </w:tc>
        <w:tc>
          <w:tcPr>
            <w:tcW w:w="1025" w:type="dxa"/>
            <w:tcBorders>
              <w:top w:val="nil"/>
              <w:left w:val="nil"/>
              <w:bottom w:val="nil"/>
              <w:right w:val="nil"/>
            </w:tcBorders>
            <w:noWrap/>
            <w:textDirection w:val="lrTb"/>
            <w:vAlign w:val="center"/>
            <w:hideMark/>
          </w:tcPr>
          <w:p w:rsidR="008B7DEB" w:rsidRPr="008A2A71" w:rsidP="00510434">
            <w:pPr>
              <w:bidi w:val="0"/>
              <w:jc w:val="right"/>
              <w:rPr>
                <w:rFonts w:ascii="Times New Roman" w:hAnsi="Times New Roman"/>
                <w:sz w:val="20"/>
                <w:szCs w:val="20"/>
              </w:rPr>
            </w:pPr>
          </w:p>
        </w:tc>
        <w:tc>
          <w:tcPr>
            <w:tcW w:w="1140" w:type="dxa"/>
            <w:tcBorders>
              <w:top w:val="nil"/>
              <w:left w:val="nil"/>
              <w:bottom w:val="nil"/>
              <w:right w:val="nil"/>
            </w:tcBorders>
            <w:noWrap/>
            <w:textDirection w:val="lrTb"/>
            <w:vAlign w:val="top"/>
            <w:hideMark/>
          </w:tcPr>
          <w:p w:rsidR="008B7DEB" w:rsidRPr="008A2A71" w:rsidP="00510434">
            <w:pPr>
              <w:bidi w:val="0"/>
              <w:jc w:val="right"/>
              <w:rPr>
                <w:rFonts w:ascii="Times New Roman" w:hAnsi="Times New Roman"/>
                <w:sz w:val="16"/>
                <w:szCs w:val="16"/>
              </w:rPr>
            </w:pPr>
            <w:r w:rsidRPr="008A2A71">
              <w:rPr>
                <w:rFonts w:ascii="Times New Roman" w:hAnsi="Times New Roman"/>
                <w:sz w:val="16"/>
                <w:szCs w:val="16"/>
              </w:rPr>
              <w:t>Zdroj: MF SR</w:t>
            </w:r>
          </w:p>
        </w:tc>
      </w:tr>
      <w:tr>
        <w:tblPrEx>
          <w:tblW w:w="8936" w:type="dxa"/>
          <w:tblCellMar>
            <w:left w:w="70" w:type="dxa"/>
            <w:right w:w="70" w:type="dxa"/>
          </w:tblCellMar>
          <w:tblLook w:val="04A0"/>
        </w:tblPrEx>
        <w:trPr>
          <w:trHeight w:val="330"/>
        </w:trPr>
        <w:tc>
          <w:tcPr>
            <w:tcW w:w="8936" w:type="dxa"/>
            <w:gridSpan w:val="6"/>
            <w:tcBorders>
              <w:top w:val="nil"/>
              <w:left w:val="nil"/>
              <w:bottom w:val="nil"/>
              <w:right w:val="nil"/>
            </w:tcBorders>
            <w:noWrap/>
            <w:textDirection w:val="lrTb"/>
            <w:vAlign w:val="center"/>
            <w:hideMark/>
          </w:tcPr>
          <w:p w:rsidR="008B7DEB" w:rsidRPr="008A2A71" w:rsidP="00912D82">
            <w:pPr>
              <w:bidi w:val="0"/>
              <w:rPr>
                <w:rFonts w:ascii="Times New Roman" w:hAnsi="Times New Roman"/>
                <w:color w:val="000000"/>
                <w:sz w:val="20"/>
                <w:szCs w:val="20"/>
              </w:rPr>
            </w:pPr>
            <w:r w:rsidRPr="008A2A71">
              <w:rPr>
                <w:rFonts w:ascii="Times New Roman" w:hAnsi="Times New Roman"/>
                <w:color w:val="000000"/>
                <w:sz w:val="20"/>
                <w:szCs w:val="20"/>
                <w:vertAlign w:val="superscript"/>
              </w:rPr>
              <w:t xml:space="preserve">1) </w:t>
            </w:r>
            <w:r w:rsidRPr="008A2A71">
              <w:rPr>
                <w:rFonts w:ascii="Times New Roman" w:hAnsi="Times New Roman"/>
                <w:color w:val="000000"/>
                <w:sz w:val="20"/>
                <w:szCs w:val="20"/>
              </w:rPr>
              <w:t>Vrátane štátnych finančných aktív, mimorozpočtových účtov a salda účtu štátneho dlhu</w:t>
            </w:r>
          </w:p>
        </w:tc>
      </w:tr>
      <w:tr>
        <w:tblPrEx>
          <w:tblW w:w="8936" w:type="dxa"/>
          <w:tblCellMar>
            <w:left w:w="70" w:type="dxa"/>
            <w:right w:w="70" w:type="dxa"/>
          </w:tblCellMar>
          <w:tblLook w:val="04A0"/>
        </w:tblPrEx>
        <w:trPr>
          <w:trHeight w:val="330"/>
        </w:trPr>
        <w:tc>
          <w:tcPr>
            <w:tcW w:w="8936" w:type="dxa"/>
            <w:gridSpan w:val="6"/>
            <w:tcBorders>
              <w:top w:val="nil"/>
              <w:left w:val="nil"/>
              <w:bottom w:val="nil"/>
              <w:right w:val="nil"/>
            </w:tcBorders>
            <w:textDirection w:val="lrTb"/>
            <w:vAlign w:val="center"/>
            <w:hideMark/>
          </w:tcPr>
          <w:p w:rsidR="008B7DEB" w:rsidRPr="008A2A71" w:rsidP="00912D82">
            <w:pPr>
              <w:bidi w:val="0"/>
              <w:rPr>
                <w:rFonts w:ascii="Times New Roman" w:hAnsi="Times New Roman"/>
                <w:color w:val="000000"/>
                <w:sz w:val="20"/>
                <w:szCs w:val="20"/>
              </w:rPr>
            </w:pPr>
            <w:r w:rsidRPr="008A2A71">
              <w:rPr>
                <w:rFonts w:ascii="Times New Roman" w:hAnsi="Times New Roman"/>
                <w:color w:val="000000"/>
                <w:sz w:val="20"/>
                <w:szCs w:val="20"/>
                <w:vertAlign w:val="superscript"/>
              </w:rPr>
              <w:t xml:space="preserve">2) </w:t>
            </w:r>
            <w:r w:rsidRPr="008A2A71">
              <w:rPr>
                <w:rFonts w:ascii="Times New Roman" w:hAnsi="Times New Roman"/>
                <w:color w:val="000000"/>
                <w:sz w:val="20"/>
                <w:szCs w:val="20"/>
              </w:rPr>
              <w:t>Vrátane neziskových organizácií obcí zaradených do sektora</w:t>
            </w:r>
            <w:r w:rsidR="00102571">
              <w:rPr>
                <w:rFonts w:ascii="Times New Roman" w:hAnsi="Times New Roman"/>
                <w:color w:val="000000"/>
                <w:sz w:val="20"/>
                <w:szCs w:val="20"/>
              </w:rPr>
              <w:t xml:space="preserve"> verejnej správy</w:t>
            </w:r>
          </w:p>
        </w:tc>
      </w:tr>
      <w:tr>
        <w:tblPrEx>
          <w:tblW w:w="8936" w:type="dxa"/>
          <w:tblCellMar>
            <w:left w:w="70" w:type="dxa"/>
            <w:right w:w="70" w:type="dxa"/>
          </w:tblCellMar>
          <w:tblLook w:val="04A0"/>
        </w:tblPrEx>
        <w:trPr>
          <w:trHeight w:val="330"/>
        </w:trPr>
        <w:tc>
          <w:tcPr>
            <w:tcW w:w="8936" w:type="dxa"/>
            <w:gridSpan w:val="6"/>
            <w:tcBorders>
              <w:top w:val="nil"/>
              <w:left w:val="nil"/>
              <w:bottom w:val="nil"/>
              <w:right w:val="nil"/>
            </w:tcBorders>
            <w:noWrap/>
            <w:textDirection w:val="lrTb"/>
            <w:vAlign w:val="center"/>
            <w:hideMark/>
          </w:tcPr>
          <w:p w:rsidR="008B7DEB" w:rsidRPr="008A2A71" w:rsidP="00510434">
            <w:pPr>
              <w:bidi w:val="0"/>
              <w:rPr>
                <w:rFonts w:ascii="Times New Roman" w:hAnsi="Times New Roman"/>
                <w:color w:val="000000"/>
                <w:sz w:val="20"/>
                <w:szCs w:val="20"/>
              </w:rPr>
            </w:pPr>
            <w:r w:rsidRPr="008A2A71">
              <w:rPr>
                <w:rFonts w:ascii="Times New Roman" w:hAnsi="Times New Roman"/>
                <w:color w:val="000000"/>
                <w:sz w:val="20"/>
                <w:szCs w:val="20"/>
                <w:vertAlign w:val="superscript"/>
              </w:rPr>
              <w:t xml:space="preserve">3) </w:t>
            </w:r>
            <w:r w:rsidRPr="008A2A71">
              <w:rPr>
                <w:rFonts w:ascii="Times New Roman" w:hAnsi="Times New Roman"/>
                <w:color w:val="000000"/>
                <w:sz w:val="20"/>
                <w:szCs w:val="20"/>
              </w:rPr>
              <w:t>V roku 2014 vykázaný v ostatných subjektoch ústrednej správy</w:t>
            </w:r>
          </w:p>
        </w:tc>
      </w:tr>
    </w:tbl>
    <w:p w:rsidR="004F439D" w:rsidP="00A64D0A">
      <w:pPr>
        <w:pStyle w:val="Heading2"/>
        <w:numPr>
          <w:ilvl w:val="1"/>
          <w:numId w:val="19"/>
        </w:numPr>
        <w:bidi w:val="0"/>
        <w:spacing w:before="0" w:beforeAutospacing="0" w:line="336" w:lineRule="auto"/>
        <w:ind w:left="357" w:hanging="357"/>
        <w:rPr>
          <w:rFonts w:ascii="Times New Roman" w:hAnsi="Times New Roman"/>
        </w:rPr>
      </w:pPr>
      <w:bookmarkStart w:id="16" w:name="_Toc353445344"/>
      <w:r w:rsidR="00951A7B">
        <w:rPr>
          <w:rFonts w:ascii="Times New Roman" w:hAnsi="Times New Roman"/>
        </w:rPr>
        <w:br w:type="page"/>
      </w:r>
      <w:bookmarkStart w:id="17" w:name="_Toc449622829"/>
      <w:r w:rsidRPr="006E50E2" w:rsidR="00AC074A">
        <w:rPr>
          <w:rFonts w:ascii="Times New Roman" w:hAnsi="Times New Roman"/>
        </w:rPr>
        <w:t>D</w:t>
      </w:r>
      <w:r w:rsidRPr="006E50E2">
        <w:rPr>
          <w:rFonts w:ascii="Times New Roman" w:hAnsi="Times New Roman"/>
        </w:rPr>
        <w:t>lh verejnej správy</w:t>
      </w:r>
      <w:bookmarkEnd w:id="17"/>
      <w:r w:rsidRPr="006E50E2">
        <w:rPr>
          <w:rFonts w:ascii="Times New Roman" w:hAnsi="Times New Roman"/>
        </w:rPr>
        <w:t xml:space="preserve"> </w:t>
      </w:r>
      <w:bookmarkEnd w:id="16"/>
    </w:p>
    <w:p w:rsidR="008B7DEB" w:rsidP="008B7DEB">
      <w:pPr>
        <w:bidi w:val="0"/>
        <w:spacing w:after="120" w:line="336" w:lineRule="auto"/>
        <w:jc w:val="both"/>
        <w:rPr>
          <w:rFonts w:ascii="Times New Roman" w:hAnsi="Times New Roman"/>
          <w:sz w:val="22"/>
          <w:szCs w:val="22"/>
        </w:rPr>
      </w:pPr>
      <w:r w:rsidRPr="00620AF2">
        <w:rPr>
          <w:rFonts w:ascii="Times New Roman" w:hAnsi="Times New Roman"/>
          <w:sz w:val="22"/>
          <w:szCs w:val="22"/>
        </w:rPr>
        <w:t xml:space="preserve">K 31.12.2015 dosiahol </w:t>
      </w:r>
      <w:r w:rsidRPr="00620AF2">
        <w:rPr>
          <w:rFonts w:ascii="Times New Roman" w:hAnsi="Times New Roman"/>
          <w:b/>
          <w:sz w:val="22"/>
          <w:szCs w:val="22"/>
        </w:rPr>
        <w:t>dlh verejnej správy</w:t>
      </w:r>
      <w:r w:rsidRPr="00620AF2">
        <w:rPr>
          <w:rFonts w:ascii="Times New Roman" w:hAnsi="Times New Roman"/>
          <w:sz w:val="22"/>
          <w:szCs w:val="22"/>
        </w:rPr>
        <w:t xml:space="preserve"> hodnotu 41 305 732 tis. eur, čo predstavuje </w:t>
      </w:r>
      <w:r w:rsidR="00620AF2">
        <w:rPr>
          <w:rFonts w:ascii="Times New Roman" w:hAnsi="Times New Roman"/>
          <w:b/>
          <w:sz w:val="22"/>
          <w:szCs w:val="22"/>
        </w:rPr>
        <w:t>52,9</w:t>
      </w:r>
      <w:r w:rsidR="00522D05">
        <w:rPr>
          <w:rFonts w:ascii="Times New Roman" w:hAnsi="Times New Roman"/>
          <w:b/>
          <w:sz w:val="22"/>
          <w:szCs w:val="22"/>
        </w:rPr>
        <w:t>1</w:t>
      </w:r>
      <w:r w:rsidR="00620AF2">
        <w:rPr>
          <w:rFonts w:ascii="Times New Roman" w:hAnsi="Times New Roman"/>
          <w:b/>
          <w:sz w:val="22"/>
          <w:szCs w:val="22"/>
        </w:rPr>
        <w:t> % </w:t>
      </w:r>
      <w:r w:rsidRPr="00620AF2" w:rsidR="00620AF2">
        <w:rPr>
          <w:rFonts w:ascii="Times New Roman" w:hAnsi="Times New Roman"/>
          <w:b/>
          <w:sz w:val="22"/>
          <w:szCs w:val="22"/>
        </w:rPr>
        <w:t>HDP</w:t>
      </w:r>
      <w:r w:rsidRPr="00620AF2">
        <w:rPr>
          <w:rFonts w:ascii="Times New Roman" w:hAnsi="Times New Roman"/>
          <w:sz w:val="22"/>
          <w:szCs w:val="22"/>
        </w:rPr>
        <w:t>.</w:t>
      </w:r>
      <w:r>
        <w:rPr>
          <w:rFonts w:ascii="Times New Roman" w:hAnsi="Times New Roman"/>
          <w:b/>
          <w:sz w:val="22"/>
          <w:szCs w:val="22"/>
        </w:rPr>
        <w:t xml:space="preserve"> </w:t>
      </w:r>
      <w:r w:rsidRPr="00620AF2" w:rsidR="00620AF2">
        <w:rPr>
          <w:rFonts w:ascii="Times New Roman" w:hAnsi="Times New Roman"/>
          <w:sz w:val="22"/>
          <w:szCs w:val="22"/>
        </w:rPr>
        <w:t>D</w:t>
      </w:r>
      <w:r w:rsidRPr="00620AF2">
        <w:rPr>
          <w:rFonts w:ascii="Times New Roman" w:hAnsi="Times New Roman"/>
          <w:sz w:val="22"/>
          <w:szCs w:val="22"/>
        </w:rPr>
        <w:t>l</w:t>
      </w:r>
      <w:r w:rsidRPr="006E50E2">
        <w:rPr>
          <w:rFonts w:ascii="Times New Roman" w:hAnsi="Times New Roman"/>
          <w:sz w:val="22"/>
          <w:szCs w:val="22"/>
        </w:rPr>
        <w:t>h verejnej správy je konsolidovaný ukazovateľ, čo znamená, že pôžičky medzi jednotlivými subjektmi verejnej správy sú vylúčené.</w:t>
      </w:r>
      <w:r w:rsidR="001504AC">
        <w:rPr>
          <w:rFonts w:ascii="Times New Roman" w:hAnsi="Times New Roman"/>
          <w:sz w:val="22"/>
          <w:szCs w:val="22"/>
        </w:rPr>
        <w:t xml:space="preserve"> Podiel dlhu na HDP sa medziročne znížil o 0,99 %.</w:t>
      </w:r>
    </w:p>
    <w:tbl>
      <w:tblPr>
        <w:tblStyle w:val="TableNormal"/>
        <w:tblW w:w="5000" w:type="pct"/>
        <w:tblLayout w:type="fixed"/>
        <w:tblCellMar>
          <w:left w:w="70" w:type="dxa"/>
          <w:right w:w="70" w:type="dxa"/>
        </w:tblCellMar>
        <w:tblLook w:val="04A0"/>
      </w:tblPr>
      <w:tblGrid>
        <w:gridCol w:w="3186"/>
        <w:gridCol w:w="1134"/>
        <w:gridCol w:w="1134"/>
        <w:gridCol w:w="1136"/>
        <w:gridCol w:w="1136"/>
        <w:gridCol w:w="1202"/>
      </w:tblGrid>
      <w:tr>
        <w:tblPrEx>
          <w:tblW w:w="5000" w:type="pct"/>
          <w:tblLayout w:type="fixed"/>
          <w:tblCellMar>
            <w:left w:w="70" w:type="dxa"/>
            <w:right w:w="70" w:type="dxa"/>
          </w:tblCellMar>
          <w:tblLook w:val="04A0"/>
        </w:tblPrEx>
        <w:trPr>
          <w:trHeight w:val="329"/>
        </w:trPr>
        <w:tc>
          <w:tcPr>
            <w:tcW w:w="5000" w:type="pct"/>
            <w:gridSpan w:val="6"/>
            <w:tcBorders>
              <w:top w:val="nil"/>
              <w:left w:val="nil"/>
              <w:bottom w:val="nil"/>
              <w:right w:val="nil"/>
            </w:tcBorders>
            <w:shd w:val="clear" w:color="000000" w:fill="000000"/>
            <w:noWrap/>
            <w:textDirection w:val="lrTb"/>
            <w:vAlign w:val="center"/>
            <w:hideMark/>
          </w:tcPr>
          <w:p w:rsidR="00F022DD" w:rsidRPr="00F022DD" w:rsidP="00F022DD">
            <w:pPr>
              <w:bidi w:val="0"/>
              <w:rPr>
                <w:rFonts w:ascii="Times New Roman" w:hAnsi="Times New Roman"/>
                <w:b/>
                <w:bCs/>
                <w:color w:val="FFFFFF"/>
                <w:sz w:val="20"/>
                <w:szCs w:val="20"/>
              </w:rPr>
            </w:pPr>
            <w:r w:rsidRPr="00F022DD">
              <w:rPr>
                <w:rFonts w:ascii="Times New Roman" w:hAnsi="Times New Roman"/>
                <w:b/>
                <w:bCs/>
                <w:color w:val="FFFFFF"/>
                <w:sz w:val="20"/>
                <w:szCs w:val="20"/>
              </w:rPr>
              <w:t>Hrubý dlh verejnej správy(stav k 31.12.)                                                                                        v tis. eur</w:t>
            </w:r>
          </w:p>
        </w:tc>
      </w:tr>
      <w:tr>
        <w:tblPrEx>
          <w:tblW w:w="5000" w:type="pct"/>
          <w:tblLayout w:type="fixed"/>
          <w:tblCellMar>
            <w:left w:w="70" w:type="dxa"/>
            <w:right w:w="70" w:type="dxa"/>
          </w:tblCellMar>
          <w:tblLook w:val="04A0"/>
        </w:tblPrEx>
        <w:trPr>
          <w:trHeight w:val="252"/>
        </w:trPr>
        <w:tc>
          <w:tcPr>
            <w:tcW w:w="1785" w:type="pct"/>
            <w:tcBorders>
              <w:top w:val="nil"/>
              <w:left w:val="nil"/>
              <w:bottom w:val="nil"/>
              <w:right w:val="nil"/>
            </w:tcBorders>
            <w:shd w:val="clear" w:color="000000" w:fill="BFBFBF"/>
            <w:noWrap/>
            <w:textDirection w:val="lrTb"/>
            <w:vAlign w:val="bottom"/>
            <w:hideMark/>
          </w:tcPr>
          <w:p w:rsidR="008B7DEB" w:rsidRPr="00F022DD" w:rsidP="00510434">
            <w:pPr>
              <w:bidi w:val="0"/>
              <w:jc w:val="center"/>
              <w:rPr>
                <w:rFonts w:ascii="Times New Roman" w:hAnsi="Times New Roman"/>
                <w:b/>
                <w:bCs/>
                <w:sz w:val="20"/>
                <w:szCs w:val="20"/>
              </w:rPr>
            </w:pPr>
            <w:r w:rsidRPr="00F022DD">
              <w:rPr>
                <w:rFonts w:ascii="Times New Roman" w:hAnsi="Times New Roman"/>
                <w:b/>
                <w:bCs/>
                <w:sz w:val="20"/>
                <w:szCs w:val="20"/>
              </w:rPr>
              <w:t> </w:t>
            </w:r>
          </w:p>
        </w:tc>
        <w:tc>
          <w:tcPr>
            <w:tcW w:w="635" w:type="pct"/>
            <w:tcBorders>
              <w:top w:val="nil"/>
              <w:left w:val="nil"/>
              <w:bottom w:val="nil"/>
              <w:right w:val="nil"/>
            </w:tcBorders>
            <w:shd w:val="clear" w:color="000000" w:fill="BFBFBF"/>
            <w:noWrap/>
            <w:textDirection w:val="lrTb"/>
            <w:vAlign w:val="top"/>
            <w:hideMark/>
          </w:tcPr>
          <w:p w:rsidR="008B7DEB" w:rsidRPr="00F022DD" w:rsidP="00510434">
            <w:pPr>
              <w:bidi w:val="0"/>
              <w:jc w:val="center"/>
              <w:rPr>
                <w:rFonts w:ascii="Times New Roman" w:hAnsi="Times New Roman"/>
                <w:b/>
                <w:bCs/>
                <w:sz w:val="20"/>
                <w:szCs w:val="20"/>
              </w:rPr>
            </w:pPr>
            <w:r w:rsidRPr="00F022DD">
              <w:rPr>
                <w:rFonts w:ascii="Times New Roman" w:hAnsi="Times New Roman"/>
                <w:b/>
                <w:bCs/>
                <w:sz w:val="20"/>
                <w:szCs w:val="20"/>
              </w:rPr>
              <w:t>2013</w:t>
            </w:r>
          </w:p>
        </w:tc>
        <w:tc>
          <w:tcPr>
            <w:tcW w:w="635" w:type="pct"/>
            <w:tcBorders>
              <w:top w:val="nil"/>
              <w:left w:val="nil"/>
              <w:bottom w:val="nil"/>
              <w:right w:val="nil"/>
            </w:tcBorders>
            <w:shd w:val="clear" w:color="000000" w:fill="BFBFBF"/>
            <w:noWrap/>
            <w:textDirection w:val="lrTb"/>
            <w:vAlign w:val="top"/>
            <w:hideMark/>
          </w:tcPr>
          <w:p w:rsidR="008B7DEB" w:rsidRPr="00F022DD" w:rsidP="00510434">
            <w:pPr>
              <w:bidi w:val="0"/>
              <w:jc w:val="center"/>
              <w:rPr>
                <w:rFonts w:ascii="Times New Roman" w:hAnsi="Times New Roman"/>
                <w:b/>
                <w:bCs/>
                <w:sz w:val="20"/>
                <w:szCs w:val="20"/>
              </w:rPr>
            </w:pPr>
            <w:r w:rsidRPr="00F022DD">
              <w:rPr>
                <w:rFonts w:ascii="Times New Roman" w:hAnsi="Times New Roman"/>
                <w:b/>
                <w:bCs/>
                <w:sz w:val="20"/>
                <w:szCs w:val="20"/>
              </w:rPr>
              <w:t>2014</w:t>
            </w:r>
          </w:p>
        </w:tc>
        <w:tc>
          <w:tcPr>
            <w:tcW w:w="636" w:type="pct"/>
            <w:tcBorders>
              <w:top w:val="nil"/>
              <w:left w:val="nil"/>
              <w:bottom w:val="nil"/>
              <w:right w:val="nil"/>
            </w:tcBorders>
            <w:shd w:val="clear" w:color="auto" w:fill="BFBFBF"/>
            <w:noWrap/>
            <w:textDirection w:val="lrTb"/>
            <w:vAlign w:val="top"/>
            <w:hideMark/>
          </w:tcPr>
          <w:p w:rsidR="008B7DEB" w:rsidRPr="00F022DD" w:rsidP="00510434">
            <w:pPr>
              <w:bidi w:val="0"/>
              <w:jc w:val="center"/>
              <w:rPr>
                <w:rFonts w:ascii="Times New Roman" w:hAnsi="Times New Roman"/>
                <w:b/>
                <w:bCs/>
                <w:sz w:val="20"/>
                <w:szCs w:val="20"/>
              </w:rPr>
            </w:pPr>
            <w:r w:rsidRPr="00F022DD">
              <w:rPr>
                <w:rFonts w:ascii="Times New Roman" w:hAnsi="Times New Roman"/>
                <w:b/>
                <w:bCs/>
                <w:sz w:val="20"/>
                <w:szCs w:val="20"/>
              </w:rPr>
              <w:t>2015 Skutočnosť</w:t>
            </w:r>
          </w:p>
        </w:tc>
        <w:tc>
          <w:tcPr>
            <w:tcW w:w="636" w:type="pct"/>
            <w:tcBorders>
              <w:top w:val="nil"/>
              <w:left w:val="nil"/>
              <w:bottom w:val="nil"/>
              <w:right w:val="nil"/>
            </w:tcBorders>
            <w:shd w:val="clear" w:color="000000" w:fill="BFBFBF"/>
            <w:noWrap/>
            <w:textDirection w:val="lrTb"/>
            <w:vAlign w:val="top"/>
            <w:hideMark/>
          </w:tcPr>
          <w:p w:rsidR="008B7DEB" w:rsidRPr="00F022DD" w:rsidP="00510434">
            <w:pPr>
              <w:bidi w:val="0"/>
              <w:jc w:val="center"/>
              <w:rPr>
                <w:rFonts w:ascii="Times New Roman" w:hAnsi="Times New Roman"/>
                <w:b/>
                <w:bCs/>
                <w:sz w:val="20"/>
                <w:szCs w:val="20"/>
              </w:rPr>
            </w:pPr>
            <w:r w:rsidRPr="00F022DD">
              <w:rPr>
                <w:rFonts w:ascii="Times New Roman" w:hAnsi="Times New Roman"/>
                <w:b/>
                <w:bCs/>
                <w:sz w:val="20"/>
                <w:szCs w:val="20"/>
              </w:rPr>
              <w:t>2015 Rozpočet</w:t>
            </w:r>
          </w:p>
        </w:tc>
        <w:tc>
          <w:tcPr>
            <w:tcW w:w="672" w:type="pct"/>
            <w:tcBorders>
              <w:top w:val="nil"/>
              <w:left w:val="nil"/>
              <w:bottom w:val="nil"/>
              <w:right w:val="nil"/>
            </w:tcBorders>
            <w:shd w:val="clear" w:color="000000" w:fill="BFBFBF"/>
            <w:noWrap/>
            <w:textDirection w:val="lrTb"/>
            <w:vAlign w:val="bottom"/>
            <w:hideMark/>
          </w:tcPr>
          <w:p w:rsidR="008B7DEB" w:rsidRPr="00F022DD" w:rsidP="00510434">
            <w:pPr>
              <w:bidi w:val="0"/>
              <w:jc w:val="center"/>
              <w:rPr>
                <w:rFonts w:ascii="Times New Roman" w:hAnsi="Times New Roman"/>
                <w:b/>
                <w:bCs/>
                <w:sz w:val="20"/>
                <w:szCs w:val="20"/>
              </w:rPr>
            </w:pPr>
            <w:r w:rsidRPr="00F022DD">
              <w:rPr>
                <w:rFonts w:ascii="Times New Roman" w:hAnsi="Times New Roman"/>
                <w:b/>
                <w:bCs/>
                <w:sz w:val="20"/>
                <w:szCs w:val="20"/>
              </w:rPr>
              <w:t>2015            (S – R)</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b/>
                <w:sz w:val="20"/>
                <w:szCs w:val="20"/>
              </w:rPr>
            </w:pPr>
            <w:r w:rsidRPr="00F022DD">
              <w:rPr>
                <w:rFonts w:ascii="Times New Roman" w:hAnsi="Times New Roman"/>
                <w:b/>
                <w:sz w:val="20"/>
                <w:szCs w:val="20"/>
              </w:rPr>
              <w:t>Hrubý dlh verejnej správy (v tis. eur)</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40 600 008</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40 725 018</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41 305 732</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42 374 161</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-1 068 429</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sz w:val="20"/>
                <w:szCs w:val="20"/>
              </w:rPr>
            </w:pPr>
            <w:r w:rsidRPr="00F022DD">
              <w:rPr>
                <w:rFonts w:ascii="Times New Roman" w:hAnsi="Times New Roman"/>
                <w:sz w:val="20"/>
                <w:szCs w:val="20"/>
              </w:rPr>
              <w:t>Štátny dlh (bez medzinárodných záväzkov)</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36 220 388</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36 593 676</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37 307 456</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38 458 143</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-1 150 687</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sz w:val="20"/>
                <w:szCs w:val="20"/>
              </w:rPr>
            </w:pPr>
            <w:r w:rsidRPr="00F022DD">
              <w:rPr>
                <w:rFonts w:ascii="Times New Roman" w:hAnsi="Times New Roman"/>
                <w:sz w:val="20"/>
                <w:szCs w:val="20"/>
              </w:rPr>
              <w:t>Medzinárodné záväzky SR v EFSF a ESM</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2 422 163</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2 656 207</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2 539 840</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2 675 062</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-135 222</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sz w:val="20"/>
                <w:szCs w:val="20"/>
              </w:rPr>
            </w:pPr>
            <w:r w:rsidRPr="00F022DD">
              <w:rPr>
                <w:rFonts w:ascii="Times New Roman" w:hAnsi="Times New Roman"/>
                <w:sz w:val="20"/>
                <w:szCs w:val="20"/>
              </w:rPr>
              <w:t>Verejné podniky zaradené do sektora verejnej správy</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850 207</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897 168</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778 900</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309 850</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469 050</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sz w:val="20"/>
                <w:szCs w:val="20"/>
              </w:rPr>
            </w:pPr>
            <w:r w:rsidRPr="00F022DD">
              <w:rPr>
                <w:rFonts w:ascii="Times New Roman" w:hAnsi="Times New Roman"/>
                <w:sz w:val="20"/>
                <w:szCs w:val="20"/>
              </w:rPr>
              <w:t>Ostatné subjekty verejnej správy</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1 107 250</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577 967</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679 536</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931 106</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-251 570</w:t>
            </w:r>
          </w:p>
        </w:tc>
      </w:tr>
      <w:tr>
        <w:tblPrEx>
          <w:tblW w:w="5000" w:type="pct"/>
          <w:tblLayout w:type="fixed"/>
          <w:tblCellMar>
            <w:left w:w="70" w:type="dxa"/>
            <w:right w:w="70" w:type="dxa"/>
          </w:tblCellMar>
          <w:tblLook w:val="04A0"/>
        </w:tblPrEx>
        <w:trPr>
          <w:trHeight w:val="329"/>
        </w:trPr>
        <w:tc>
          <w:tcPr>
            <w:tcW w:w="1785" w:type="pct"/>
            <w:tcBorders>
              <w:top w:val="nil"/>
              <w:left w:val="nil"/>
              <w:bottom w:val="single" w:sz="4" w:space="0" w:color="auto"/>
              <w:right w:val="nil"/>
            </w:tcBorders>
            <w:noWrap/>
            <w:textDirection w:val="lrTb"/>
            <w:vAlign w:val="bottom"/>
            <w:hideMark/>
          </w:tcPr>
          <w:p w:rsidR="008B7DEB" w:rsidRPr="00F022DD" w:rsidP="00510434">
            <w:pPr>
              <w:bidi w:val="0"/>
              <w:rPr>
                <w:rFonts w:ascii="Times New Roman" w:hAnsi="Times New Roman"/>
                <w:i/>
                <w:sz w:val="20"/>
                <w:szCs w:val="20"/>
              </w:rPr>
            </w:pPr>
            <w:r w:rsidRPr="00F022DD">
              <w:rPr>
                <w:rFonts w:ascii="Times New Roman" w:hAnsi="Times New Roman"/>
                <w:i/>
                <w:sz w:val="20"/>
                <w:szCs w:val="20"/>
              </w:rPr>
              <w:t xml:space="preserve">     - medziročná zmena dlhu</w:t>
            </w:r>
          </w:p>
        </w:tc>
        <w:tc>
          <w:tcPr>
            <w:tcW w:w="635" w:type="pct"/>
            <w:tcBorders>
              <w:top w:val="nil"/>
              <w:left w:val="nil"/>
              <w:bottom w:val="single" w:sz="4" w:space="0" w:color="auto"/>
              <w:right w:val="nil"/>
            </w:tcBorders>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2 674 300</w:t>
            </w:r>
          </w:p>
        </w:tc>
        <w:tc>
          <w:tcPr>
            <w:tcW w:w="635" w:type="pct"/>
            <w:tcBorders>
              <w:top w:val="nil"/>
              <w:left w:val="nil"/>
              <w:bottom w:val="single" w:sz="4" w:space="0" w:color="auto"/>
              <w:right w:val="nil"/>
            </w:tcBorders>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125 010</w:t>
            </w:r>
          </w:p>
        </w:tc>
        <w:tc>
          <w:tcPr>
            <w:tcW w:w="636" w:type="pct"/>
            <w:tcBorders>
              <w:top w:val="nil"/>
              <w:left w:val="nil"/>
              <w:bottom w:val="single" w:sz="4" w:space="0" w:color="auto"/>
              <w:right w:val="nil"/>
            </w:tcBorders>
            <w:shd w:val="clear" w:color="auto" w:fill="BFBFBF"/>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580 714</w:t>
            </w:r>
          </w:p>
        </w:tc>
        <w:tc>
          <w:tcPr>
            <w:tcW w:w="636" w:type="pct"/>
            <w:tcBorders>
              <w:top w:val="nil"/>
              <w:left w:val="nil"/>
              <w:bottom w:val="single" w:sz="4" w:space="0" w:color="auto"/>
              <w:right w:val="nil"/>
            </w:tcBorders>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1 649 143</w:t>
            </w:r>
          </w:p>
        </w:tc>
        <w:tc>
          <w:tcPr>
            <w:tcW w:w="672" w:type="pct"/>
            <w:tcBorders>
              <w:top w:val="nil"/>
              <w:left w:val="nil"/>
              <w:bottom w:val="single" w:sz="4" w:space="0" w:color="auto"/>
              <w:right w:val="nil"/>
            </w:tcBorders>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-1 068 429</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b/>
                <w:sz w:val="20"/>
                <w:szCs w:val="20"/>
              </w:rPr>
            </w:pPr>
            <w:r w:rsidRPr="00F022DD">
              <w:rPr>
                <w:rFonts w:ascii="Times New Roman" w:hAnsi="Times New Roman"/>
                <w:b/>
                <w:sz w:val="20"/>
                <w:szCs w:val="20"/>
              </w:rPr>
              <w:t>Hrubý dlh verejnej správy (v % HDP)</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54,99</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53,90</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52,91</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54,38</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b/>
                <w:color w:val="000000"/>
                <w:sz w:val="20"/>
                <w:szCs w:val="20"/>
              </w:rPr>
            </w:pPr>
            <w:r w:rsidRPr="00F022DD">
              <w:rPr>
                <w:rFonts w:ascii="Times New Roman" w:hAnsi="Times New Roman"/>
                <w:b/>
                <w:color w:val="000000"/>
                <w:sz w:val="20"/>
                <w:szCs w:val="20"/>
              </w:rPr>
              <w:t>-1,48</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sz w:val="20"/>
                <w:szCs w:val="20"/>
              </w:rPr>
            </w:pPr>
            <w:r w:rsidRPr="00F022DD">
              <w:rPr>
                <w:rFonts w:ascii="Times New Roman" w:hAnsi="Times New Roman"/>
                <w:sz w:val="20"/>
                <w:szCs w:val="20"/>
              </w:rPr>
              <w:t>Štátny dlh (bez medzinárodných záväzkov)</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49,06</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48,43</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47,79</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49,36</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-1,57</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sz w:val="20"/>
                <w:szCs w:val="20"/>
              </w:rPr>
            </w:pPr>
            <w:r w:rsidRPr="00F022DD">
              <w:rPr>
                <w:rFonts w:ascii="Times New Roman" w:hAnsi="Times New Roman"/>
                <w:sz w:val="20"/>
                <w:szCs w:val="20"/>
              </w:rPr>
              <w:t>Medzinárodné záväzky</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3,28</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3,52</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3,25</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3,43</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-0,18</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sz w:val="20"/>
                <w:szCs w:val="20"/>
              </w:rPr>
            </w:pPr>
            <w:r w:rsidRPr="00F022DD">
              <w:rPr>
                <w:rFonts w:ascii="Times New Roman" w:hAnsi="Times New Roman"/>
                <w:sz w:val="20"/>
                <w:szCs w:val="20"/>
              </w:rPr>
              <w:t>Podniky štátnej správy zaradené do verejnej správy</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1,15</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1,19</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1,00</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0,40</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0,60</w:t>
            </w:r>
          </w:p>
        </w:tc>
      </w:tr>
      <w:tr>
        <w:tblPrEx>
          <w:tblW w:w="5000" w:type="pct"/>
          <w:tblLayout w:type="fixed"/>
          <w:tblCellMar>
            <w:left w:w="70" w:type="dxa"/>
            <w:right w:w="70" w:type="dxa"/>
          </w:tblCellMar>
          <w:tblLook w:val="04A0"/>
        </w:tblPrEx>
        <w:trPr>
          <w:trHeight w:val="329"/>
        </w:trPr>
        <w:tc>
          <w:tcPr>
            <w:tcW w:w="1785" w:type="pct"/>
            <w:tcBorders>
              <w:top w:val="nil"/>
              <w:left w:val="nil"/>
              <w:bottom w:val="nil"/>
              <w:right w:val="nil"/>
            </w:tcBorders>
            <w:noWrap/>
            <w:textDirection w:val="lrTb"/>
            <w:vAlign w:val="bottom"/>
            <w:hideMark/>
          </w:tcPr>
          <w:p w:rsidR="008B7DEB" w:rsidRPr="00F022DD" w:rsidP="00510434">
            <w:pPr>
              <w:bidi w:val="0"/>
              <w:rPr>
                <w:rFonts w:ascii="Times New Roman" w:hAnsi="Times New Roman"/>
                <w:sz w:val="20"/>
                <w:szCs w:val="20"/>
              </w:rPr>
            </w:pPr>
            <w:r w:rsidRPr="00F022DD">
              <w:rPr>
                <w:rFonts w:ascii="Times New Roman" w:hAnsi="Times New Roman"/>
                <w:sz w:val="20"/>
                <w:szCs w:val="20"/>
              </w:rPr>
              <w:t>Ostatné subjekty verejnej správy</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1,50</w:t>
            </w:r>
          </w:p>
        </w:tc>
        <w:tc>
          <w:tcPr>
            <w:tcW w:w="635"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0,76</w:t>
            </w:r>
          </w:p>
        </w:tc>
        <w:tc>
          <w:tcPr>
            <w:tcW w:w="636" w:type="pct"/>
            <w:tcBorders>
              <w:top w:val="nil"/>
              <w:left w:val="nil"/>
              <w:bottom w:val="nil"/>
              <w:right w:val="nil"/>
            </w:tcBorders>
            <w:shd w:val="clear" w:color="auto" w:fill="BFBFBF"/>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0,87</w:t>
            </w:r>
          </w:p>
        </w:tc>
        <w:tc>
          <w:tcPr>
            <w:tcW w:w="636"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1,20</w:t>
            </w:r>
          </w:p>
        </w:tc>
        <w:tc>
          <w:tcPr>
            <w:tcW w:w="672" w:type="pct"/>
            <w:tcBorders>
              <w:top w:val="nil"/>
              <w:left w:val="nil"/>
              <w:bottom w:val="nil"/>
              <w:right w:val="nil"/>
            </w:tcBorders>
            <w:noWrap/>
            <w:textDirection w:val="lrTb"/>
            <w:vAlign w:val="bottom"/>
            <w:hideMark/>
          </w:tcPr>
          <w:p w:rsidR="008B7DEB" w:rsidRPr="00F022DD" w:rsidP="00510434">
            <w:pPr>
              <w:bidi w:val="0"/>
              <w:jc w:val="right"/>
              <w:rPr>
                <w:rFonts w:ascii="Times New Roman" w:hAnsi="Times New Roman"/>
                <w:color w:val="000000"/>
                <w:sz w:val="20"/>
                <w:szCs w:val="20"/>
              </w:rPr>
            </w:pPr>
            <w:r w:rsidRPr="00F022DD">
              <w:rPr>
                <w:rFonts w:ascii="Times New Roman" w:hAnsi="Times New Roman"/>
                <w:color w:val="000000"/>
                <w:sz w:val="20"/>
                <w:szCs w:val="20"/>
              </w:rPr>
              <w:t>-0,32</w:t>
            </w:r>
          </w:p>
        </w:tc>
      </w:tr>
      <w:tr>
        <w:tblPrEx>
          <w:tblW w:w="5000" w:type="pct"/>
          <w:tblLayout w:type="fixed"/>
          <w:tblCellMar>
            <w:left w:w="70" w:type="dxa"/>
            <w:right w:w="70" w:type="dxa"/>
          </w:tblCellMar>
          <w:tblLook w:val="04A0"/>
        </w:tblPrEx>
        <w:trPr>
          <w:trHeight w:val="329"/>
        </w:trPr>
        <w:tc>
          <w:tcPr>
            <w:tcW w:w="1785" w:type="pct"/>
            <w:tcBorders>
              <w:top w:val="nil"/>
              <w:left w:val="nil"/>
              <w:bottom w:val="single" w:sz="8" w:space="0" w:color="auto"/>
              <w:right w:val="nil"/>
            </w:tcBorders>
            <w:noWrap/>
            <w:textDirection w:val="lrTb"/>
            <w:vAlign w:val="bottom"/>
            <w:hideMark/>
          </w:tcPr>
          <w:p w:rsidR="008B7DEB" w:rsidRPr="00F022DD" w:rsidP="00510434">
            <w:pPr>
              <w:bidi w:val="0"/>
              <w:rPr>
                <w:rFonts w:ascii="Times New Roman" w:hAnsi="Times New Roman"/>
                <w:i/>
                <w:sz w:val="20"/>
                <w:szCs w:val="20"/>
              </w:rPr>
            </w:pPr>
            <w:r w:rsidRPr="00F022DD">
              <w:rPr>
                <w:rFonts w:ascii="Times New Roman" w:hAnsi="Times New Roman"/>
                <w:i/>
                <w:sz w:val="20"/>
                <w:szCs w:val="20"/>
              </w:rPr>
              <w:t xml:space="preserve">     - medziročná zmena dlhu</w:t>
            </w:r>
          </w:p>
        </w:tc>
        <w:tc>
          <w:tcPr>
            <w:tcW w:w="635" w:type="pct"/>
            <w:tcBorders>
              <w:top w:val="nil"/>
              <w:left w:val="nil"/>
              <w:bottom w:val="single" w:sz="8" w:space="0" w:color="auto"/>
              <w:right w:val="nil"/>
            </w:tcBorders>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 3,62</w:t>
            </w:r>
          </w:p>
        </w:tc>
        <w:tc>
          <w:tcPr>
            <w:tcW w:w="635" w:type="pct"/>
            <w:tcBorders>
              <w:top w:val="nil"/>
              <w:left w:val="nil"/>
              <w:bottom w:val="single" w:sz="8" w:space="0" w:color="auto"/>
              <w:right w:val="nil"/>
            </w:tcBorders>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0,17 </w:t>
            </w:r>
          </w:p>
        </w:tc>
        <w:tc>
          <w:tcPr>
            <w:tcW w:w="636" w:type="pct"/>
            <w:tcBorders>
              <w:top w:val="nil"/>
              <w:left w:val="nil"/>
              <w:bottom w:val="single" w:sz="8" w:space="0" w:color="auto"/>
              <w:right w:val="nil"/>
            </w:tcBorders>
            <w:shd w:val="clear" w:color="auto" w:fill="BFBFBF"/>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0,74 </w:t>
            </w:r>
          </w:p>
        </w:tc>
        <w:tc>
          <w:tcPr>
            <w:tcW w:w="636" w:type="pct"/>
            <w:tcBorders>
              <w:top w:val="nil"/>
              <w:left w:val="nil"/>
              <w:bottom w:val="single" w:sz="8" w:space="0" w:color="auto"/>
              <w:right w:val="nil"/>
            </w:tcBorders>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 2,12</w:t>
            </w:r>
          </w:p>
        </w:tc>
        <w:tc>
          <w:tcPr>
            <w:tcW w:w="672" w:type="pct"/>
            <w:tcBorders>
              <w:top w:val="nil"/>
              <w:left w:val="nil"/>
              <w:bottom w:val="single" w:sz="8" w:space="0" w:color="auto"/>
              <w:right w:val="nil"/>
            </w:tcBorders>
            <w:noWrap/>
            <w:textDirection w:val="lrTb"/>
            <w:vAlign w:val="bottom"/>
            <w:hideMark/>
          </w:tcPr>
          <w:p w:rsidR="008B7DEB" w:rsidRPr="00F022DD" w:rsidP="00510434">
            <w:pPr>
              <w:bidi w:val="0"/>
              <w:jc w:val="right"/>
              <w:rPr>
                <w:rFonts w:ascii="Times New Roman" w:hAnsi="Times New Roman"/>
                <w:i/>
                <w:color w:val="000000"/>
                <w:sz w:val="20"/>
                <w:szCs w:val="20"/>
              </w:rPr>
            </w:pPr>
            <w:r w:rsidRPr="00F022DD">
              <w:rPr>
                <w:rFonts w:ascii="Times New Roman" w:hAnsi="Times New Roman"/>
                <w:i/>
                <w:color w:val="000000"/>
                <w:sz w:val="20"/>
                <w:szCs w:val="20"/>
              </w:rPr>
              <w:t>-1,37 </w:t>
            </w:r>
          </w:p>
        </w:tc>
      </w:tr>
      <w:tr>
        <w:tblPrEx>
          <w:tblW w:w="5000" w:type="pct"/>
          <w:tblLayout w:type="fixed"/>
          <w:tblCellMar>
            <w:left w:w="70" w:type="dxa"/>
            <w:right w:w="70" w:type="dxa"/>
          </w:tblCellMar>
          <w:tblLook w:val="04A0"/>
        </w:tblPrEx>
        <w:trPr>
          <w:trHeight w:val="252"/>
        </w:trPr>
        <w:tc>
          <w:tcPr>
            <w:tcW w:w="1785" w:type="pct"/>
            <w:tcBorders>
              <w:top w:val="nil"/>
              <w:left w:val="nil"/>
              <w:bottom w:val="nil"/>
              <w:right w:val="nil"/>
            </w:tcBorders>
            <w:noWrap/>
            <w:textDirection w:val="lrTb"/>
            <w:vAlign w:val="center"/>
            <w:hideMark/>
          </w:tcPr>
          <w:p w:rsidR="008B7DEB" w:rsidRPr="00F022DD" w:rsidP="00510434">
            <w:pPr>
              <w:bidi w:val="0"/>
              <w:rPr>
                <w:rFonts w:ascii="Times New Roman" w:hAnsi="Times New Roman"/>
                <w:color w:val="000000"/>
                <w:sz w:val="18"/>
                <w:szCs w:val="18"/>
              </w:rPr>
            </w:pPr>
            <w:r w:rsidRPr="00F022DD">
              <w:rPr>
                <w:rFonts w:ascii="Times New Roman" w:hAnsi="Times New Roman"/>
                <w:color w:val="000000"/>
                <w:sz w:val="18"/>
                <w:szCs w:val="18"/>
              </w:rPr>
              <w:t>S - skutočnosť, R – rozpočet</w:t>
            </w:r>
          </w:p>
        </w:tc>
        <w:tc>
          <w:tcPr>
            <w:tcW w:w="635" w:type="pct"/>
            <w:tcBorders>
              <w:top w:val="nil"/>
              <w:left w:val="nil"/>
              <w:bottom w:val="nil"/>
              <w:right w:val="nil"/>
            </w:tcBorders>
            <w:noWrap/>
            <w:textDirection w:val="lrTb"/>
            <w:vAlign w:val="center"/>
            <w:hideMark/>
          </w:tcPr>
          <w:p w:rsidR="008B7DEB" w:rsidRPr="00F022DD" w:rsidP="00510434">
            <w:pPr>
              <w:bidi w:val="0"/>
              <w:rPr>
                <w:rFonts w:ascii="Times New Roman" w:hAnsi="Times New Roman"/>
                <w:color w:val="000000"/>
                <w:sz w:val="18"/>
                <w:szCs w:val="18"/>
              </w:rPr>
            </w:pPr>
          </w:p>
        </w:tc>
        <w:tc>
          <w:tcPr>
            <w:tcW w:w="635" w:type="pct"/>
            <w:tcBorders>
              <w:top w:val="nil"/>
              <w:left w:val="nil"/>
              <w:bottom w:val="nil"/>
              <w:right w:val="nil"/>
            </w:tcBorders>
            <w:noWrap/>
            <w:textDirection w:val="lrTb"/>
            <w:vAlign w:val="center"/>
            <w:hideMark/>
          </w:tcPr>
          <w:p w:rsidR="008B7DEB" w:rsidRPr="00F022DD" w:rsidP="00510434">
            <w:pPr>
              <w:bidi w:val="0"/>
              <w:rPr>
                <w:rFonts w:ascii="Times New Roman" w:hAnsi="Times New Roman"/>
                <w:sz w:val="18"/>
                <w:szCs w:val="18"/>
              </w:rPr>
            </w:pPr>
          </w:p>
        </w:tc>
        <w:tc>
          <w:tcPr>
            <w:tcW w:w="636" w:type="pct"/>
            <w:tcBorders>
              <w:top w:val="nil"/>
              <w:left w:val="nil"/>
              <w:bottom w:val="nil"/>
              <w:right w:val="nil"/>
            </w:tcBorders>
            <w:noWrap/>
            <w:textDirection w:val="lrTb"/>
            <w:vAlign w:val="center"/>
            <w:hideMark/>
          </w:tcPr>
          <w:p w:rsidR="008B7DEB" w:rsidRPr="00F022DD" w:rsidP="00510434">
            <w:pPr>
              <w:bidi w:val="0"/>
              <w:rPr>
                <w:rFonts w:ascii="Times New Roman" w:hAnsi="Times New Roman"/>
                <w:sz w:val="18"/>
                <w:szCs w:val="18"/>
              </w:rPr>
            </w:pPr>
          </w:p>
        </w:tc>
        <w:tc>
          <w:tcPr>
            <w:tcW w:w="636" w:type="pct"/>
            <w:tcBorders>
              <w:top w:val="nil"/>
              <w:left w:val="nil"/>
              <w:bottom w:val="nil"/>
              <w:right w:val="nil"/>
            </w:tcBorders>
            <w:noWrap/>
            <w:textDirection w:val="lrTb"/>
            <w:vAlign w:val="center"/>
            <w:hideMark/>
          </w:tcPr>
          <w:p w:rsidR="008B7DEB" w:rsidRPr="00F022DD" w:rsidP="00510434">
            <w:pPr>
              <w:bidi w:val="0"/>
              <w:rPr>
                <w:rFonts w:ascii="Times New Roman" w:hAnsi="Times New Roman"/>
                <w:sz w:val="18"/>
                <w:szCs w:val="18"/>
              </w:rPr>
            </w:pPr>
          </w:p>
        </w:tc>
        <w:tc>
          <w:tcPr>
            <w:tcW w:w="672" w:type="pct"/>
            <w:tcBorders>
              <w:top w:val="nil"/>
              <w:left w:val="nil"/>
              <w:bottom w:val="nil"/>
              <w:right w:val="nil"/>
            </w:tcBorders>
            <w:noWrap/>
            <w:textDirection w:val="lrTb"/>
            <w:vAlign w:val="center"/>
            <w:hideMark/>
          </w:tcPr>
          <w:p w:rsidR="008B7DEB" w:rsidRPr="00F022DD" w:rsidP="00510434">
            <w:pPr>
              <w:bidi w:val="0"/>
              <w:jc w:val="right"/>
              <w:rPr>
                <w:rFonts w:ascii="Times New Roman" w:hAnsi="Times New Roman"/>
                <w:color w:val="000000"/>
                <w:sz w:val="18"/>
                <w:szCs w:val="18"/>
              </w:rPr>
            </w:pPr>
            <w:r w:rsidRPr="00F022DD">
              <w:rPr>
                <w:rFonts w:ascii="Times New Roman" w:hAnsi="Times New Roman"/>
                <w:color w:val="000000"/>
                <w:sz w:val="18"/>
                <w:szCs w:val="18"/>
              </w:rPr>
              <w:t>Zdroj: MF SR</w:t>
            </w:r>
          </w:p>
        </w:tc>
      </w:tr>
    </w:tbl>
    <w:p w:rsidR="008B7DEB" w:rsidRPr="00DC3C42" w:rsidP="00F022DD">
      <w:pPr>
        <w:bidi w:val="0"/>
        <w:spacing w:before="120" w:after="120" w:line="336" w:lineRule="auto"/>
        <w:jc w:val="both"/>
        <w:rPr>
          <w:rFonts w:ascii="Times New Roman" w:hAnsi="Times New Roman"/>
          <w:sz w:val="22"/>
          <w:szCs w:val="22"/>
        </w:rPr>
      </w:pPr>
      <w:r w:rsidR="00EE1AB1">
        <w:rPr>
          <w:rFonts w:ascii="Times New Roman" w:hAnsi="Times New Roman"/>
          <w:b/>
          <w:sz w:val="22"/>
          <w:szCs w:val="22"/>
        </w:rPr>
        <w:t>Rast hrubého dlhu</w:t>
      </w:r>
      <w:r w:rsidRPr="004143CE">
        <w:rPr>
          <w:rFonts w:ascii="Times New Roman" w:hAnsi="Times New Roman"/>
          <w:b/>
          <w:sz w:val="22"/>
          <w:szCs w:val="22"/>
        </w:rPr>
        <w:t xml:space="preserve"> verejnej správy </w:t>
      </w:r>
      <w:r w:rsidR="00EE1AB1">
        <w:rPr>
          <w:rFonts w:ascii="Times New Roman" w:hAnsi="Times New Roman"/>
          <w:b/>
          <w:sz w:val="22"/>
          <w:szCs w:val="22"/>
        </w:rPr>
        <w:t>bol</w:t>
      </w:r>
      <w:r w:rsidRPr="004143CE">
        <w:rPr>
          <w:rFonts w:ascii="Times New Roman" w:hAnsi="Times New Roman"/>
          <w:b/>
          <w:sz w:val="22"/>
          <w:szCs w:val="22"/>
        </w:rPr>
        <w:t xml:space="preserve"> v roku 2015 o vyše 1 mld. eur nižší oproti predpokladom z rozpočtu</w:t>
      </w:r>
      <w:r w:rsidRPr="00DC3C42">
        <w:rPr>
          <w:rFonts w:ascii="Times New Roman" w:hAnsi="Times New Roman"/>
          <w:sz w:val="22"/>
          <w:szCs w:val="22"/>
        </w:rPr>
        <w:t>. Slovensko hospodárilo v roku 2015 s najmä výrazne nižším hotovostným schodkom, čo umožnilo Agentúre pre riadenie dlhu a likvidity (ARDAL) znížiť potrebu nov</w:t>
      </w:r>
      <w:r w:rsidR="00522D05">
        <w:rPr>
          <w:rFonts w:ascii="Times New Roman" w:hAnsi="Times New Roman"/>
          <w:sz w:val="22"/>
          <w:szCs w:val="22"/>
        </w:rPr>
        <w:t>ých emisií</w:t>
      </w:r>
      <w:r w:rsidRPr="00DC3C42">
        <w:rPr>
          <w:rFonts w:ascii="Times New Roman" w:hAnsi="Times New Roman"/>
          <w:sz w:val="22"/>
          <w:szCs w:val="22"/>
        </w:rPr>
        <w:t xml:space="preserve"> na financovanie dlhu.</w:t>
      </w:r>
    </w:p>
    <w:p w:rsidR="008B7DEB" w:rsidRPr="00DC3C42" w:rsidP="00F022DD">
      <w:pPr>
        <w:bidi w:val="0"/>
        <w:spacing w:after="120" w:line="336" w:lineRule="auto"/>
        <w:jc w:val="both"/>
        <w:rPr>
          <w:rFonts w:ascii="Times New Roman" w:hAnsi="Times New Roman"/>
          <w:sz w:val="22"/>
          <w:szCs w:val="22"/>
        </w:rPr>
      </w:pPr>
      <w:r w:rsidRPr="00DC3C42">
        <w:rPr>
          <w:rFonts w:ascii="Times New Roman" w:hAnsi="Times New Roman"/>
          <w:sz w:val="22"/>
          <w:szCs w:val="22"/>
        </w:rPr>
        <w:t>Na základe rozhodnutia Eurostatu zo začiatku roku 2016 došlo k zaradeniu Železnične</w:t>
      </w:r>
      <w:r>
        <w:rPr>
          <w:rFonts w:ascii="Times New Roman" w:hAnsi="Times New Roman"/>
          <w:sz w:val="22"/>
          <w:szCs w:val="22"/>
        </w:rPr>
        <w:t>j</w:t>
      </w:r>
      <w:r w:rsidRPr="00DC3C42">
        <w:rPr>
          <w:rFonts w:ascii="Times New Roman" w:hAnsi="Times New Roman"/>
          <w:sz w:val="22"/>
          <w:szCs w:val="22"/>
        </w:rPr>
        <w:t xml:space="preserve"> spoločnosti Slovenska</w:t>
      </w:r>
      <w:r w:rsidR="00102571">
        <w:rPr>
          <w:rFonts w:ascii="Times New Roman" w:hAnsi="Times New Roman"/>
          <w:sz w:val="22"/>
          <w:szCs w:val="22"/>
        </w:rPr>
        <w:t>, a. s. (Z</w:t>
      </w:r>
      <w:r w:rsidRPr="00DC3C42">
        <w:rPr>
          <w:rFonts w:ascii="Times New Roman" w:hAnsi="Times New Roman"/>
          <w:sz w:val="22"/>
          <w:szCs w:val="22"/>
        </w:rPr>
        <w:t>SSK) do sektora verejnej správy. Toto rozhodnutie malo za následok nárast dlhu verejnej správy o sumu celko</w:t>
      </w:r>
      <w:r w:rsidR="00102571">
        <w:rPr>
          <w:rFonts w:ascii="Times New Roman" w:hAnsi="Times New Roman"/>
          <w:sz w:val="22"/>
          <w:szCs w:val="22"/>
        </w:rPr>
        <w:t>vého dlhu Z</w:t>
      </w:r>
      <w:r w:rsidRPr="00DC3C42">
        <w:rPr>
          <w:rFonts w:ascii="Times New Roman" w:hAnsi="Times New Roman"/>
          <w:sz w:val="22"/>
          <w:szCs w:val="22"/>
        </w:rPr>
        <w:t>SSK, ktorý predstavo</w:t>
      </w:r>
      <w:r>
        <w:rPr>
          <w:rFonts w:ascii="Times New Roman" w:hAnsi="Times New Roman"/>
          <w:sz w:val="22"/>
          <w:szCs w:val="22"/>
        </w:rPr>
        <w:t xml:space="preserve">val ku koncu roka 2015 </w:t>
      </w:r>
      <w:r w:rsidR="004143CE">
        <w:rPr>
          <w:rFonts w:ascii="Times New Roman" w:hAnsi="Times New Roman"/>
          <w:sz w:val="22"/>
          <w:szCs w:val="22"/>
        </w:rPr>
        <w:t>výšku</w:t>
      </w:r>
      <w:r>
        <w:rPr>
          <w:rFonts w:ascii="Times New Roman" w:hAnsi="Times New Roman"/>
          <w:sz w:val="22"/>
          <w:szCs w:val="22"/>
        </w:rPr>
        <w:t xml:space="preserve"> 311 792 tis. e</w:t>
      </w:r>
      <w:r w:rsidRPr="00DC3C42">
        <w:rPr>
          <w:rFonts w:ascii="Times New Roman" w:hAnsi="Times New Roman"/>
          <w:sz w:val="22"/>
          <w:szCs w:val="22"/>
        </w:rPr>
        <w:t>ur (0,4 % HDP).</w:t>
      </w:r>
    </w:p>
    <w:p w:rsidR="008B7DEB" w:rsidRPr="00DC3C42" w:rsidP="00F022DD">
      <w:pPr>
        <w:bidi w:val="0"/>
        <w:spacing w:after="120" w:line="336" w:lineRule="auto"/>
        <w:jc w:val="both"/>
        <w:rPr>
          <w:rFonts w:ascii="Times New Roman" w:hAnsi="Times New Roman"/>
          <w:sz w:val="22"/>
          <w:szCs w:val="22"/>
        </w:rPr>
      </w:pPr>
      <w:r w:rsidRPr="00DC3C42">
        <w:rPr>
          <w:rFonts w:ascii="Times New Roman" w:hAnsi="Times New Roman"/>
          <w:sz w:val="22"/>
          <w:szCs w:val="22"/>
        </w:rPr>
        <w:t xml:space="preserve">Významným vplyvom na dlh bola zmena výšky záruky, ktorou Slovensko ručí v európskom záchrannom mechanizme EFSF. </w:t>
      </w:r>
      <w:r>
        <w:rPr>
          <w:rFonts w:ascii="Times New Roman" w:hAnsi="Times New Roman"/>
          <w:sz w:val="22"/>
          <w:szCs w:val="22"/>
        </w:rPr>
        <w:t xml:space="preserve">Dňa 27. 02. 2015 Grécko využilo pôvodne určené prostriedky </w:t>
      </w:r>
      <w:r w:rsidRPr="00365170">
        <w:rPr>
          <w:rFonts w:ascii="Times New Roman" w:hAnsi="Times New Roman"/>
          <w:sz w:val="22"/>
          <w:szCs w:val="22"/>
        </w:rPr>
        <w:t>na rekapitalizáciu gréckych bánk (Helénsky fond finančnej stability</w:t>
      </w:r>
      <w:r w:rsidR="00102571">
        <w:rPr>
          <w:rFonts w:ascii="Times New Roman" w:hAnsi="Times New Roman"/>
          <w:sz w:val="22"/>
          <w:szCs w:val="22"/>
        </w:rPr>
        <w:t xml:space="preserve"> (HFSF) v sume 10 900 000 tis. </w:t>
      </w:r>
      <w:r w:rsidRPr="00365170">
        <w:rPr>
          <w:rFonts w:ascii="Times New Roman" w:hAnsi="Times New Roman"/>
          <w:sz w:val="22"/>
          <w:szCs w:val="22"/>
        </w:rPr>
        <w:t>eur na splatenie dlhopisov vydaných EFSF – plné splatenie tranže z 30.</w:t>
      </w:r>
      <w:r w:rsidR="00F022DD">
        <w:rPr>
          <w:rFonts w:ascii="Times New Roman" w:hAnsi="Times New Roman"/>
          <w:sz w:val="22"/>
          <w:szCs w:val="22"/>
        </w:rPr>
        <w:t xml:space="preserve"> </w:t>
      </w:r>
      <w:r w:rsidRPr="00365170">
        <w:rPr>
          <w:rFonts w:ascii="Times New Roman" w:hAnsi="Times New Roman"/>
          <w:sz w:val="22"/>
          <w:szCs w:val="22"/>
        </w:rPr>
        <w:t>5.</w:t>
      </w:r>
      <w:r w:rsidR="00F022DD">
        <w:rPr>
          <w:rFonts w:ascii="Times New Roman" w:hAnsi="Times New Roman"/>
          <w:sz w:val="22"/>
          <w:szCs w:val="22"/>
        </w:rPr>
        <w:t xml:space="preserve"> </w:t>
      </w:r>
      <w:r w:rsidRPr="00365170">
        <w:rPr>
          <w:rFonts w:ascii="Times New Roman" w:hAnsi="Times New Roman"/>
          <w:sz w:val="22"/>
          <w:szCs w:val="22"/>
        </w:rPr>
        <w:t>2013 v sume 7 200 000 tis. eur a čiastočné splatenie tranže z 19.</w:t>
      </w:r>
      <w:r w:rsidR="00F022DD">
        <w:rPr>
          <w:rFonts w:ascii="Times New Roman" w:hAnsi="Times New Roman"/>
          <w:sz w:val="22"/>
          <w:szCs w:val="22"/>
        </w:rPr>
        <w:t xml:space="preserve"> </w:t>
      </w:r>
      <w:r w:rsidRPr="00365170">
        <w:rPr>
          <w:rFonts w:ascii="Times New Roman" w:hAnsi="Times New Roman"/>
          <w:sz w:val="22"/>
          <w:szCs w:val="22"/>
        </w:rPr>
        <w:t>2.</w:t>
      </w:r>
      <w:r w:rsidR="00F022DD">
        <w:rPr>
          <w:rFonts w:ascii="Times New Roman" w:hAnsi="Times New Roman"/>
          <w:sz w:val="22"/>
          <w:szCs w:val="22"/>
        </w:rPr>
        <w:t xml:space="preserve"> </w:t>
      </w:r>
      <w:r w:rsidRPr="00365170">
        <w:rPr>
          <w:rFonts w:ascii="Times New Roman" w:hAnsi="Times New Roman"/>
          <w:sz w:val="22"/>
          <w:szCs w:val="22"/>
        </w:rPr>
        <w:t>2012 v sume 3 </w:t>
      </w:r>
      <w:r w:rsidR="009D40C6">
        <w:rPr>
          <w:rFonts w:ascii="Times New Roman" w:hAnsi="Times New Roman"/>
          <w:sz w:val="22"/>
          <w:szCs w:val="22"/>
        </w:rPr>
        <w:t>700 000 tis. </w:t>
      </w:r>
      <w:r w:rsidRPr="00365170">
        <w:rPr>
          <w:rFonts w:ascii="Times New Roman" w:hAnsi="Times New Roman"/>
          <w:sz w:val="22"/>
          <w:szCs w:val="22"/>
        </w:rPr>
        <w:t>eur.</w:t>
      </w:r>
      <w:r>
        <w:rPr>
          <w:rFonts w:ascii="Times New Roman" w:hAnsi="Times New Roman"/>
          <w:sz w:val="22"/>
          <w:szCs w:val="22"/>
        </w:rPr>
        <w:t xml:space="preserve"> </w:t>
      </w:r>
      <w:r w:rsidRPr="00DC3C42">
        <w:rPr>
          <w:rFonts w:ascii="Times New Roman" w:hAnsi="Times New Roman"/>
          <w:sz w:val="22"/>
          <w:szCs w:val="22"/>
        </w:rPr>
        <w:t>Podiel SR na EFSF predstavuje 1,067</w:t>
      </w:r>
      <w:r w:rsidR="00D20471">
        <w:rPr>
          <w:rFonts w:ascii="Times New Roman" w:hAnsi="Times New Roman"/>
          <w:sz w:val="22"/>
          <w:szCs w:val="22"/>
        </w:rPr>
        <w:t xml:space="preserve"> </w:t>
      </w:r>
      <w:r w:rsidRPr="00DC3C42">
        <w:rPr>
          <w:rFonts w:ascii="Times New Roman" w:hAnsi="Times New Roman"/>
          <w:sz w:val="22"/>
          <w:szCs w:val="22"/>
        </w:rPr>
        <w:t xml:space="preserve">%, čo v tomto prípade znamenalo </w:t>
      </w:r>
      <w:r w:rsidR="00102571">
        <w:rPr>
          <w:rFonts w:ascii="Times New Roman" w:hAnsi="Times New Roman"/>
          <w:sz w:val="22"/>
          <w:szCs w:val="22"/>
        </w:rPr>
        <w:t>zníženie záväzku SR o 116 367 </w:t>
      </w:r>
      <w:r>
        <w:rPr>
          <w:rFonts w:ascii="Times New Roman" w:hAnsi="Times New Roman"/>
          <w:sz w:val="22"/>
          <w:szCs w:val="22"/>
        </w:rPr>
        <w:t>tis. e</w:t>
      </w:r>
      <w:r w:rsidRPr="00DC3C42">
        <w:rPr>
          <w:rFonts w:ascii="Times New Roman" w:hAnsi="Times New Roman"/>
          <w:sz w:val="22"/>
          <w:szCs w:val="22"/>
        </w:rPr>
        <w:t>ur.</w:t>
      </w:r>
    </w:p>
    <w:p w:rsidR="00522D05" w:rsidP="008B7DEB">
      <w:pPr>
        <w:bidi w:val="0"/>
        <w:spacing w:after="120" w:line="336" w:lineRule="auto"/>
        <w:jc w:val="both"/>
        <w:rPr>
          <w:rFonts w:ascii="Times New Roman" w:hAnsi="Times New Roman"/>
          <w:sz w:val="22"/>
          <w:szCs w:val="22"/>
        </w:rPr>
      </w:pPr>
      <w:r w:rsidRPr="00DC3C42" w:rsidR="008B7DEB">
        <w:rPr>
          <w:rFonts w:ascii="Times New Roman" w:hAnsi="Times New Roman"/>
          <w:sz w:val="22"/>
          <w:szCs w:val="22"/>
        </w:rPr>
        <w:t>Národn</w:t>
      </w:r>
      <w:r w:rsidR="009C44F3">
        <w:rPr>
          <w:rFonts w:ascii="Times New Roman" w:hAnsi="Times New Roman"/>
          <w:sz w:val="22"/>
          <w:szCs w:val="22"/>
        </w:rPr>
        <w:t>á</w:t>
      </w:r>
      <w:r w:rsidRPr="00DC3C42" w:rsidR="008B7DEB">
        <w:rPr>
          <w:rFonts w:ascii="Times New Roman" w:hAnsi="Times New Roman"/>
          <w:sz w:val="22"/>
          <w:szCs w:val="22"/>
        </w:rPr>
        <w:t xml:space="preserve"> diaľničn</w:t>
      </w:r>
      <w:r w:rsidR="009C44F3">
        <w:rPr>
          <w:rFonts w:ascii="Times New Roman" w:hAnsi="Times New Roman"/>
          <w:sz w:val="22"/>
          <w:szCs w:val="22"/>
        </w:rPr>
        <w:t>á spoločnosť</w:t>
      </w:r>
      <w:r w:rsidRPr="00DC3C42" w:rsidR="008B7DEB">
        <w:rPr>
          <w:rFonts w:ascii="Times New Roman" w:hAnsi="Times New Roman"/>
          <w:sz w:val="22"/>
          <w:szCs w:val="22"/>
        </w:rPr>
        <w:t xml:space="preserve"> </w:t>
      </w:r>
      <w:r w:rsidRPr="00DC3C42" w:rsidR="009C44F3">
        <w:rPr>
          <w:rFonts w:ascii="Times New Roman" w:hAnsi="Times New Roman"/>
          <w:sz w:val="22"/>
          <w:szCs w:val="22"/>
        </w:rPr>
        <w:t>(NDS)</w:t>
      </w:r>
      <w:r w:rsidR="009C44F3">
        <w:rPr>
          <w:rFonts w:ascii="Times New Roman" w:hAnsi="Times New Roman"/>
          <w:sz w:val="22"/>
          <w:szCs w:val="22"/>
        </w:rPr>
        <w:t xml:space="preserve"> splatila </w:t>
      </w:r>
      <w:r w:rsidRPr="00DC3C42" w:rsidR="008B7DEB">
        <w:rPr>
          <w:rFonts w:ascii="Times New Roman" w:hAnsi="Times New Roman"/>
          <w:sz w:val="22"/>
          <w:szCs w:val="22"/>
        </w:rPr>
        <w:t xml:space="preserve">v roku 2015 </w:t>
      </w:r>
      <w:r>
        <w:rPr>
          <w:rFonts w:ascii="Times New Roman" w:hAnsi="Times New Roman"/>
          <w:sz w:val="22"/>
          <w:szCs w:val="22"/>
        </w:rPr>
        <w:t xml:space="preserve">okrem bankových úverov aj </w:t>
      </w:r>
      <w:r w:rsidR="009C44F3">
        <w:rPr>
          <w:rFonts w:ascii="Times New Roman" w:hAnsi="Times New Roman"/>
          <w:sz w:val="22"/>
          <w:szCs w:val="22"/>
        </w:rPr>
        <w:t xml:space="preserve">svoj </w:t>
      </w:r>
      <w:r>
        <w:rPr>
          <w:rFonts w:ascii="Times New Roman" w:hAnsi="Times New Roman"/>
          <w:sz w:val="22"/>
          <w:szCs w:val="22"/>
        </w:rPr>
        <w:t xml:space="preserve">dlhový </w:t>
      </w:r>
      <w:r w:rsidRPr="00DC3C42" w:rsidR="009C44F3">
        <w:rPr>
          <w:rFonts w:ascii="Times New Roman" w:hAnsi="Times New Roman"/>
          <w:sz w:val="22"/>
          <w:szCs w:val="22"/>
        </w:rPr>
        <w:t>záväz</w:t>
      </w:r>
      <w:r w:rsidR="009C44F3">
        <w:rPr>
          <w:rFonts w:ascii="Times New Roman" w:hAnsi="Times New Roman"/>
          <w:sz w:val="22"/>
          <w:szCs w:val="22"/>
        </w:rPr>
        <w:t>ok</w:t>
      </w:r>
      <w:r w:rsidRPr="009C44F3" w:rsidR="009C44F3">
        <w:rPr>
          <w:rFonts w:ascii="Times New Roman" w:hAnsi="Times New Roman"/>
          <w:sz w:val="22"/>
          <w:szCs w:val="22"/>
        </w:rPr>
        <w:t xml:space="preserve"> </w:t>
      </w:r>
      <w:r w:rsidRPr="00DC3C42" w:rsidR="009C44F3">
        <w:rPr>
          <w:rFonts w:ascii="Times New Roman" w:hAnsi="Times New Roman"/>
          <w:sz w:val="22"/>
          <w:szCs w:val="22"/>
        </w:rPr>
        <w:t>za poskytnuté služby firme Sky Toll</w:t>
      </w:r>
      <w:r w:rsidR="009C44F3">
        <w:rPr>
          <w:rFonts w:ascii="Times New Roman" w:hAnsi="Times New Roman"/>
          <w:sz w:val="22"/>
          <w:szCs w:val="22"/>
        </w:rPr>
        <w:t xml:space="preserve"> vo výške 40 000 tis. e</w:t>
      </w:r>
      <w:r w:rsidRPr="00DC3C42" w:rsidR="009C44F3">
        <w:rPr>
          <w:rFonts w:ascii="Times New Roman" w:hAnsi="Times New Roman"/>
          <w:sz w:val="22"/>
          <w:szCs w:val="22"/>
        </w:rPr>
        <w:t>ur</w:t>
      </w:r>
      <w:r w:rsidR="009C44F3">
        <w:rPr>
          <w:rFonts w:ascii="Times New Roman" w:hAnsi="Times New Roman"/>
          <w:sz w:val="22"/>
          <w:szCs w:val="22"/>
        </w:rPr>
        <w:t xml:space="preserve">. </w:t>
      </w:r>
    </w:p>
    <w:p w:rsidR="008B7DEB" w:rsidRPr="00DC3C42" w:rsidP="008B7DEB">
      <w:pPr>
        <w:bidi w:val="0"/>
        <w:spacing w:after="120" w:line="336" w:lineRule="auto"/>
        <w:jc w:val="both"/>
        <w:rPr>
          <w:rFonts w:ascii="Times New Roman" w:hAnsi="Times New Roman"/>
          <w:sz w:val="22"/>
          <w:szCs w:val="22"/>
        </w:rPr>
      </w:pPr>
      <w:r w:rsidRPr="004143CE">
        <w:rPr>
          <w:rFonts w:ascii="Times New Roman" w:hAnsi="Times New Roman"/>
          <w:sz w:val="22"/>
          <w:szCs w:val="22"/>
        </w:rPr>
        <w:t>V rozpočte pre rok 2015 sa v súvislosti s hospodárením zdravotníc</w:t>
      </w:r>
      <w:r w:rsidRPr="004143CE" w:rsidR="00F61DD8">
        <w:rPr>
          <w:rFonts w:ascii="Times New Roman" w:hAnsi="Times New Roman"/>
          <w:sz w:val="22"/>
          <w:szCs w:val="22"/>
        </w:rPr>
        <w:t>kych zariadení pôvodne rátalo s </w:t>
      </w:r>
      <w:r w:rsidRPr="004143CE">
        <w:rPr>
          <w:rFonts w:ascii="Times New Roman" w:hAnsi="Times New Roman"/>
          <w:sz w:val="22"/>
          <w:szCs w:val="22"/>
        </w:rPr>
        <w:t xml:space="preserve">prevzatím záväzkov zdravotníckych zariadení v sume 50 000 tis. eur. </w:t>
      </w:r>
      <w:r w:rsidR="00F70120">
        <w:rPr>
          <w:rFonts w:ascii="Times New Roman" w:hAnsi="Times New Roman"/>
          <w:sz w:val="22"/>
          <w:szCs w:val="22"/>
        </w:rPr>
        <w:t>Z</w:t>
      </w:r>
      <w:r w:rsidRPr="004143CE">
        <w:rPr>
          <w:rFonts w:ascii="Times New Roman" w:hAnsi="Times New Roman"/>
          <w:sz w:val="22"/>
          <w:szCs w:val="22"/>
        </w:rPr>
        <w:t xml:space="preserve"> dôvodu opatrnosti a predpokladu ich oddlžovania </w:t>
      </w:r>
      <w:r w:rsidR="00F70120">
        <w:rPr>
          <w:rFonts w:ascii="Times New Roman" w:hAnsi="Times New Roman"/>
          <w:sz w:val="22"/>
          <w:szCs w:val="22"/>
        </w:rPr>
        <w:t xml:space="preserve">sa ich </w:t>
      </w:r>
      <w:r w:rsidRPr="004143CE">
        <w:rPr>
          <w:rFonts w:ascii="Times New Roman" w:hAnsi="Times New Roman"/>
          <w:sz w:val="22"/>
          <w:szCs w:val="22"/>
        </w:rPr>
        <w:t>rastúce záväzky zaznamenali aj do úrovne dlhu bez ohľadu na ich charakter (záväzky z</w:t>
      </w:r>
      <w:r w:rsidRPr="004143CE" w:rsidR="00F61DD8">
        <w:rPr>
          <w:rFonts w:ascii="Times New Roman" w:hAnsi="Times New Roman"/>
          <w:sz w:val="22"/>
          <w:szCs w:val="22"/>
        </w:rPr>
        <w:t> </w:t>
      </w:r>
      <w:r w:rsidRPr="004143CE">
        <w:rPr>
          <w:rFonts w:ascii="Times New Roman" w:hAnsi="Times New Roman"/>
          <w:sz w:val="22"/>
          <w:szCs w:val="22"/>
        </w:rPr>
        <w:t xml:space="preserve">obchodných vzťahov, ktoré tvoria väčšinu súčasných záväzkov zdravotníckych zariadení, nie sú súčasťou dlhu). </w:t>
      </w:r>
      <w:r w:rsidR="00F70120">
        <w:rPr>
          <w:rFonts w:ascii="Times New Roman" w:hAnsi="Times New Roman"/>
          <w:sz w:val="22"/>
          <w:szCs w:val="22"/>
        </w:rPr>
        <w:t xml:space="preserve">Na základe predložených finančných výkazov zdravotníckych zariadení </w:t>
      </w:r>
      <w:r w:rsidRPr="004143CE">
        <w:rPr>
          <w:rFonts w:ascii="Times New Roman" w:hAnsi="Times New Roman"/>
          <w:sz w:val="22"/>
          <w:szCs w:val="22"/>
        </w:rPr>
        <w:t xml:space="preserve"> sa do dlhu zaznamenali iba </w:t>
      </w:r>
      <w:r w:rsidR="006B790A">
        <w:rPr>
          <w:rFonts w:ascii="Times New Roman" w:hAnsi="Times New Roman"/>
          <w:sz w:val="22"/>
          <w:szCs w:val="22"/>
        </w:rPr>
        <w:t>záväzky z úverov,</w:t>
      </w:r>
      <w:r w:rsidRPr="004143CE">
        <w:rPr>
          <w:rFonts w:ascii="Times New Roman" w:hAnsi="Times New Roman"/>
          <w:sz w:val="22"/>
          <w:szCs w:val="22"/>
        </w:rPr>
        <w:t xml:space="preserve"> čo prispelo k celkovému poklesu úrovne dlhu verejnej správy.</w:t>
      </w:r>
      <w:r w:rsidRPr="00DC3C42">
        <w:rPr>
          <w:rFonts w:ascii="Times New Roman" w:hAnsi="Times New Roman"/>
          <w:sz w:val="22"/>
          <w:szCs w:val="22"/>
        </w:rPr>
        <w:t xml:space="preserve"> </w:t>
      </w:r>
    </w:p>
    <w:p w:rsidR="008B7DEB" w:rsidP="008B7DEB">
      <w:pPr>
        <w:bidi w:val="0"/>
        <w:spacing w:after="120" w:line="336" w:lineRule="auto"/>
        <w:jc w:val="both"/>
        <w:rPr>
          <w:rFonts w:ascii="Times New Roman" w:hAnsi="Times New Roman"/>
          <w:sz w:val="22"/>
          <w:szCs w:val="22"/>
        </w:rPr>
      </w:pPr>
      <w:r w:rsidRPr="00DC3C42">
        <w:rPr>
          <w:rFonts w:ascii="Times New Roman" w:hAnsi="Times New Roman"/>
          <w:sz w:val="22"/>
          <w:szCs w:val="22"/>
        </w:rPr>
        <w:t>Ďalším pozitívnym príspevkom k zmene dlhu bolo hospodár</w:t>
      </w:r>
      <w:r w:rsidR="00B20333">
        <w:rPr>
          <w:rFonts w:ascii="Times New Roman" w:hAnsi="Times New Roman"/>
          <w:sz w:val="22"/>
          <w:szCs w:val="22"/>
        </w:rPr>
        <w:t>enie Eximbanky, ktorej výnosy z </w:t>
      </w:r>
      <w:r w:rsidRPr="00DC3C42">
        <w:rPr>
          <w:rFonts w:ascii="Times New Roman" w:hAnsi="Times New Roman"/>
          <w:sz w:val="22"/>
          <w:szCs w:val="22"/>
        </w:rPr>
        <w:t>finančných operácii a nárast vkladov pozitívne ovplyvnili výšku záväzkov.</w:t>
      </w:r>
    </w:p>
    <w:p w:rsidR="00B20333" w:rsidRPr="00DC3C42" w:rsidP="008B7DEB">
      <w:pPr>
        <w:bidi w:val="0"/>
        <w:spacing w:after="120" w:line="336" w:lineRule="auto"/>
        <w:jc w:val="both"/>
        <w:rPr>
          <w:rFonts w:ascii="Times New Roman" w:hAnsi="Times New Roman"/>
          <w:sz w:val="22"/>
          <w:szCs w:val="22"/>
        </w:rPr>
      </w:pPr>
      <w:r w:rsidR="004143CE">
        <w:rPr>
          <w:rFonts w:ascii="Times New Roman" w:hAnsi="Times New Roman"/>
          <w:sz w:val="22"/>
          <w:szCs w:val="22"/>
        </w:rPr>
        <w:t>Vyšší rast nominálneho HDP oproti predpokladu v rozpočte spôsobil</w:t>
      </w:r>
      <w:r>
        <w:rPr>
          <w:rFonts w:ascii="Times New Roman" w:hAnsi="Times New Roman"/>
          <w:sz w:val="22"/>
          <w:szCs w:val="22"/>
        </w:rPr>
        <w:t xml:space="preserve"> zníženie dlhu verejnej správy medziročne o 1,8 </w:t>
      </w:r>
      <w:r w:rsidR="004143CE">
        <w:rPr>
          <w:rFonts w:ascii="Times New Roman" w:hAnsi="Times New Roman"/>
          <w:sz w:val="22"/>
          <w:szCs w:val="22"/>
        </w:rPr>
        <w:t>p.b.</w:t>
      </w:r>
    </w:p>
    <w:tbl>
      <w:tblPr>
        <w:tblStyle w:val="TableNormal"/>
        <w:tblW w:w="9460" w:type="dxa"/>
        <w:tblCellMar>
          <w:left w:w="70" w:type="dxa"/>
          <w:right w:w="70" w:type="dxa"/>
        </w:tblCellMar>
        <w:tblLook w:val="04A0"/>
      </w:tblPr>
      <w:tblGrid>
        <w:gridCol w:w="4536"/>
        <w:gridCol w:w="993"/>
        <w:gridCol w:w="992"/>
        <w:gridCol w:w="1025"/>
        <w:gridCol w:w="957"/>
        <w:gridCol w:w="957"/>
      </w:tblGrid>
      <w:tr>
        <w:tblPrEx>
          <w:tblW w:w="9460" w:type="dxa"/>
          <w:tblCellMar>
            <w:left w:w="70" w:type="dxa"/>
            <w:right w:w="70" w:type="dxa"/>
          </w:tblCellMar>
          <w:tblLook w:val="04A0"/>
        </w:tblPrEx>
        <w:trPr>
          <w:trHeight w:val="329"/>
        </w:trPr>
        <w:tc>
          <w:tcPr>
            <w:tcW w:w="4536" w:type="dxa"/>
            <w:tcBorders>
              <w:top w:val="nil"/>
              <w:left w:val="nil"/>
              <w:bottom w:val="nil"/>
              <w:right w:val="nil"/>
            </w:tcBorders>
            <w:shd w:val="clear" w:color="000000" w:fill="000000"/>
            <w:noWrap/>
            <w:textDirection w:val="lrTb"/>
            <w:vAlign w:val="center"/>
            <w:hideMark/>
          </w:tcPr>
          <w:p w:rsidR="008B7DEB" w:rsidRPr="007B4F06" w:rsidP="00510434">
            <w:pPr>
              <w:bidi w:val="0"/>
              <w:rPr>
                <w:rFonts w:ascii="Times New Roman" w:hAnsi="Times New Roman"/>
                <w:b/>
                <w:bCs/>
                <w:color w:val="FFFFFF"/>
                <w:sz w:val="18"/>
                <w:szCs w:val="18"/>
              </w:rPr>
            </w:pPr>
            <w:r w:rsidRPr="007B4F06">
              <w:rPr>
                <w:rFonts w:ascii="Times New Roman" w:hAnsi="Times New Roman"/>
                <w:b/>
                <w:bCs/>
                <w:color w:val="FFFFFF"/>
                <w:sz w:val="18"/>
                <w:szCs w:val="18"/>
              </w:rPr>
              <w:t xml:space="preserve">Medziročná zmena hrubého dlhu verejnej správy </w:t>
            </w:r>
          </w:p>
        </w:tc>
        <w:tc>
          <w:tcPr>
            <w:tcW w:w="993" w:type="dxa"/>
            <w:tcBorders>
              <w:top w:val="nil"/>
              <w:left w:val="nil"/>
              <w:bottom w:val="nil"/>
              <w:right w:val="nil"/>
            </w:tcBorders>
            <w:shd w:val="clear" w:color="000000" w:fill="000000"/>
            <w:noWrap/>
            <w:textDirection w:val="lrTb"/>
            <w:vAlign w:val="bottom"/>
            <w:hideMark/>
          </w:tcPr>
          <w:p w:rsidR="008B7DEB" w:rsidRPr="007B4F06" w:rsidP="00510434">
            <w:pPr>
              <w:bidi w:val="0"/>
              <w:rPr>
                <w:rFonts w:ascii="Times New Roman" w:hAnsi="Times New Roman"/>
                <w:color w:val="000000"/>
                <w:sz w:val="18"/>
                <w:szCs w:val="18"/>
              </w:rPr>
            </w:pPr>
            <w:r w:rsidRPr="007B4F06">
              <w:rPr>
                <w:rFonts w:ascii="Times New Roman" w:hAnsi="Times New Roman"/>
                <w:color w:val="000000"/>
                <w:sz w:val="18"/>
                <w:szCs w:val="18"/>
              </w:rPr>
              <w:t> </w:t>
            </w:r>
          </w:p>
        </w:tc>
        <w:tc>
          <w:tcPr>
            <w:tcW w:w="992" w:type="dxa"/>
            <w:tcBorders>
              <w:top w:val="nil"/>
              <w:left w:val="nil"/>
              <w:bottom w:val="nil"/>
              <w:right w:val="nil"/>
            </w:tcBorders>
            <w:shd w:val="clear" w:color="000000" w:fill="000000"/>
            <w:noWrap/>
            <w:textDirection w:val="lrTb"/>
            <w:vAlign w:val="bottom"/>
            <w:hideMark/>
          </w:tcPr>
          <w:p w:rsidR="008B7DEB" w:rsidRPr="007B4F06" w:rsidP="00510434">
            <w:pPr>
              <w:bidi w:val="0"/>
              <w:rPr>
                <w:rFonts w:ascii="Times New Roman" w:hAnsi="Times New Roman"/>
                <w:color w:val="000000"/>
                <w:sz w:val="18"/>
                <w:szCs w:val="18"/>
              </w:rPr>
            </w:pPr>
            <w:r w:rsidRPr="007B4F06">
              <w:rPr>
                <w:rFonts w:ascii="Times New Roman" w:hAnsi="Times New Roman"/>
                <w:color w:val="000000"/>
                <w:sz w:val="18"/>
                <w:szCs w:val="18"/>
              </w:rPr>
              <w:t> </w:t>
            </w:r>
          </w:p>
        </w:tc>
        <w:tc>
          <w:tcPr>
            <w:tcW w:w="1025" w:type="dxa"/>
            <w:tcBorders>
              <w:top w:val="nil"/>
              <w:left w:val="nil"/>
              <w:bottom w:val="none" w:sz="0" w:space="0" w:color="auto"/>
              <w:right w:val="nil"/>
            </w:tcBorders>
            <w:shd w:val="clear" w:color="000000" w:fill="000000"/>
            <w:noWrap/>
            <w:textDirection w:val="lrTb"/>
            <w:vAlign w:val="bottom"/>
            <w:hideMark/>
          </w:tcPr>
          <w:p w:rsidR="008B7DEB" w:rsidRPr="007B4F06" w:rsidP="00510434">
            <w:pPr>
              <w:bidi w:val="0"/>
              <w:rPr>
                <w:rFonts w:ascii="Times New Roman" w:hAnsi="Times New Roman"/>
                <w:color w:val="000000"/>
                <w:sz w:val="18"/>
                <w:szCs w:val="18"/>
              </w:rPr>
            </w:pPr>
            <w:r w:rsidRPr="007B4F06">
              <w:rPr>
                <w:rFonts w:ascii="Times New Roman" w:hAnsi="Times New Roman"/>
                <w:color w:val="000000"/>
                <w:sz w:val="18"/>
                <w:szCs w:val="18"/>
              </w:rPr>
              <w:t> </w:t>
            </w:r>
          </w:p>
        </w:tc>
        <w:tc>
          <w:tcPr>
            <w:tcW w:w="957" w:type="dxa"/>
            <w:tcBorders>
              <w:top w:val="nil"/>
              <w:left w:val="nil"/>
              <w:bottom w:val="nil"/>
              <w:right w:val="nil"/>
            </w:tcBorders>
            <w:shd w:val="clear" w:color="000000" w:fill="000000"/>
            <w:noWrap/>
            <w:textDirection w:val="lrTb"/>
            <w:vAlign w:val="bottom"/>
            <w:hideMark/>
          </w:tcPr>
          <w:p w:rsidR="008B7DEB" w:rsidRPr="007B4F06" w:rsidP="00510434">
            <w:pPr>
              <w:bidi w:val="0"/>
              <w:rPr>
                <w:rFonts w:ascii="Times New Roman" w:hAnsi="Times New Roman"/>
                <w:color w:val="000000"/>
                <w:sz w:val="18"/>
                <w:szCs w:val="18"/>
              </w:rPr>
            </w:pPr>
            <w:r w:rsidRPr="007B4F06">
              <w:rPr>
                <w:rFonts w:ascii="Times New Roman" w:hAnsi="Times New Roman"/>
                <w:color w:val="000000"/>
                <w:sz w:val="18"/>
                <w:szCs w:val="18"/>
              </w:rPr>
              <w:t> </w:t>
            </w:r>
          </w:p>
        </w:tc>
        <w:tc>
          <w:tcPr>
            <w:tcW w:w="957" w:type="dxa"/>
            <w:tcBorders>
              <w:top w:val="nil"/>
              <w:left w:val="nil"/>
              <w:bottom w:val="nil"/>
              <w:right w:val="nil"/>
            </w:tcBorders>
            <w:shd w:val="clear" w:color="000000" w:fill="000000"/>
            <w:noWrap/>
            <w:textDirection w:val="lrTb"/>
            <w:vAlign w:val="center"/>
            <w:hideMark/>
          </w:tcPr>
          <w:p w:rsidR="008B7DEB" w:rsidRPr="007B4F06" w:rsidP="00510434">
            <w:pPr>
              <w:bidi w:val="0"/>
              <w:jc w:val="right"/>
              <w:rPr>
                <w:rFonts w:ascii="Times New Roman" w:hAnsi="Times New Roman"/>
                <w:b/>
                <w:bCs/>
                <w:color w:val="FFFFFF"/>
                <w:sz w:val="18"/>
                <w:szCs w:val="18"/>
              </w:rPr>
            </w:pPr>
            <w:r w:rsidRPr="007B4F06">
              <w:rPr>
                <w:rFonts w:ascii="Times New Roman" w:hAnsi="Times New Roman"/>
                <w:b/>
                <w:bCs/>
                <w:color w:val="FFFFFF"/>
                <w:sz w:val="18"/>
                <w:szCs w:val="18"/>
              </w:rPr>
              <w:t>v tis. eur</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shd w:val="clear" w:color="000000" w:fill="BFBFBF"/>
            <w:noWrap/>
            <w:textDirection w:val="lrTb"/>
            <w:vAlign w:val="bottom"/>
            <w:hideMark/>
          </w:tcPr>
          <w:p w:rsidR="008B7DEB" w:rsidRPr="007B4F06" w:rsidP="00510434">
            <w:pPr>
              <w:bidi w:val="0"/>
              <w:rPr>
                <w:rFonts w:ascii="Times New Roman" w:hAnsi="Times New Roman"/>
                <w:color w:val="000000"/>
                <w:sz w:val="18"/>
                <w:szCs w:val="18"/>
              </w:rPr>
            </w:pPr>
            <w:r w:rsidRPr="007B4F06">
              <w:rPr>
                <w:rFonts w:ascii="Times New Roman" w:hAnsi="Times New Roman"/>
                <w:color w:val="000000"/>
                <w:sz w:val="18"/>
                <w:szCs w:val="18"/>
              </w:rPr>
              <w:t> </w:t>
            </w:r>
          </w:p>
        </w:tc>
        <w:tc>
          <w:tcPr>
            <w:tcW w:w="993" w:type="dxa"/>
            <w:tcBorders>
              <w:top w:val="nil"/>
              <w:left w:val="nil"/>
              <w:bottom w:val="nil"/>
              <w:right w:val="nil"/>
            </w:tcBorders>
            <w:shd w:val="clear" w:color="000000" w:fill="BFBFBF"/>
            <w:noWrap/>
            <w:textDirection w:val="lrTb"/>
            <w:vAlign w:val="top"/>
            <w:hideMark/>
          </w:tcPr>
          <w:p w:rsidR="008B7DEB" w:rsidRPr="007B4F06" w:rsidP="00510434">
            <w:pPr>
              <w:bidi w:val="0"/>
              <w:jc w:val="center"/>
              <w:rPr>
                <w:rFonts w:ascii="Times New Roman" w:hAnsi="Times New Roman"/>
                <w:b/>
                <w:bCs/>
                <w:color w:val="000000"/>
                <w:sz w:val="18"/>
                <w:szCs w:val="18"/>
              </w:rPr>
            </w:pPr>
            <w:r w:rsidRPr="007B4F06">
              <w:rPr>
                <w:rFonts w:ascii="Times New Roman" w:hAnsi="Times New Roman"/>
                <w:b/>
                <w:bCs/>
                <w:color w:val="000000"/>
                <w:sz w:val="18"/>
                <w:szCs w:val="18"/>
              </w:rPr>
              <w:t>2 013</w:t>
            </w:r>
          </w:p>
        </w:tc>
        <w:tc>
          <w:tcPr>
            <w:tcW w:w="992" w:type="dxa"/>
            <w:tcBorders>
              <w:top w:val="nil"/>
              <w:left w:val="nil"/>
              <w:bottom w:val="nil"/>
              <w:right w:val="nil"/>
            </w:tcBorders>
            <w:shd w:val="clear" w:color="000000" w:fill="BFBFBF"/>
            <w:noWrap/>
            <w:textDirection w:val="lrTb"/>
            <w:vAlign w:val="top"/>
            <w:hideMark/>
          </w:tcPr>
          <w:p w:rsidR="008B7DEB" w:rsidRPr="007B4F06" w:rsidP="00510434">
            <w:pPr>
              <w:bidi w:val="0"/>
              <w:jc w:val="center"/>
              <w:rPr>
                <w:rFonts w:ascii="Times New Roman" w:hAnsi="Times New Roman"/>
                <w:b/>
                <w:bCs/>
                <w:color w:val="000000"/>
                <w:sz w:val="18"/>
                <w:szCs w:val="18"/>
              </w:rPr>
            </w:pPr>
            <w:r w:rsidRPr="007B4F06">
              <w:rPr>
                <w:rFonts w:ascii="Times New Roman" w:hAnsi="Times New Roman"/>
                <w:b/>
                <w:bCs/>
                <w:color w:val="000000"/>
                <w:sz w:val="18"/>
                <w:szCs w:val="18"/>
              </w:rPr>
              <w:t>2014</w:t>
            </w:r>
          </w:p>
        </w:tc>
        <w:tc>
          <w:tcPr>
            <w:tcW w:w="1025" w:type="dxa"/>
            <w:tcBorders>
              <w:top w:val="nil"/>
              <w:left w:val="nil"/>
              <w:bottom w:val="nil"/>
              <w:right w:val="nil"/>
            </w:tcBorders>
            <w:shd w:val="clear" w:color="auto" w:fill="BFBFBF"/>
            <w:noWrap/>
            <w:textDirection w:val="lrTb"/>
            <w:vAlign w:val="top"/>
            <w:hideMark/>
          </w:tcPr>
          <w:p w:rsidR="008B7DEB" w:rsidRPr="007B4F06" w:rsidP="00510434">
            <w:pPr>
              <w:bidi w:val="0"/>
              <w:jc w:val="center"/>
              <w:rPr>
                <w:rFonts w:ascii="Times New Roman" w:hAnsi="Times New Roman"/>
                <w:b/>
                <w:bCs/>
                <w:color w:val="000000"/>
                <w:sz w:val="18"/>
                <w:szCs w:val="18"/>
              </w:rPr>
            </w:pPr>
            <w:r w:rsidRPr="007B4F06">
              <w:rPr>
                <w:rFonts w:ascii="Times New Roman" w:hAnsi="Times New Roman"/>
                <w:b/>
                <w:bCs/>
                <w:color w:val="000000"/>
                <w:sz w:val="18"/>
                <w:szCs w:val="18"/>
              </w:rPr>
              <w:t>2015 S</w:t>
            </w:r>
            <w:r>
              <w:rPr>
                <w:rFonts w:ascii="Times New Roman" w:hAnsi="Times New Roman"/>
                <w:b/>
                <w:bCs/>
                <w:color w:val="000000"/>
                <w:sz w:val="18"/>
                <w:szCs w:val="18"/>
              </w:rPr>
              <w:t>kutočnosť</w:t>
            </w:r>
          </w:p>
        </w:tc>
        <w:tc>
          <w:tcPr>
            <w:tcW w:w="957" w:type="dxa"/>
            <w:tcBorders>
              <w:top w:val="nil"/>
              <w:left w:val="nil"/>
              <w:bottom w:val="nil"/>
              <w:right w:val="nil"/>
            </w:tcBorders>
            <w:shd w:val="clear" w:color="000000" w:fill="BFBFBF"/>
            <w:noWrap/>
            <w:textDirection w:val="lrTb"/>
            <w:vAlign w:val="top"/>
            <w:hideMark/>
          </w:tcPr>
          <w:p w:rsidR="008B7DEB" w:rsidRPr="007B4F06" w:rsidP="00510434">
            <w:pPr>
              <w:bidi w:val="0"/>
              <w:jc w:val="center"/>
              <w:rPr>
                <w:rFonts w:ascii="Times New Roman" w:hAnsi="Times New Roman"/>
                <w:b/>
                <w:bCs/>
                <w:color w:val="000000"/>
                <w:sz w:val="18"/>
                <w:szCs w:val="18"/>
              </w:rPr>
            </w:pPr>
            <w:r w:rsidRPr="007B4F06">
              <w:rPr>
                <w:rFonts w:ascii="Times New Roman" w:hAnsi="Times New Roman"/>
                <w:b/>
                <w:bCs/>
                <w:color w:val="000000"/>
                <w:sz w:val="18"/>
                <w:szCs w:val="18"/>
              </w:rPr>
              <w:t>2015 R</w:t>
            </w:r>
            <w:r>
              <w:rPr>
                <w:rFonts w:ascii="Times New Roman" w:hAnsi="Times New Roman"/>
                <w:b/>
                <w:bCs/>
                <w:color w:val="000000"/>
                <w:sz w:val="18"/>
                <w:szCs w:val="18"/>
              </w:rPr>
              <w:t>ozpočet</w:t>
            </w:r>
          </w:p>
        </w:tc>
        <w:tc>
          <w:tcPr>
            <w:tcW w:w="957" w:type="dxa"/>
            <w:tcBorders>
              <w:top w:val="nil"/>
              <w:left w:val="nil"/>
              <w:bottom w:val="nil"/>
              <w:right w:val="nil"/>
            </w:tcBorders>
            <w:shd w:val="clear" w:color="000000" w:fill="BFBFBF"/>
            <w:noWrap/>
            <w:textDirection w:val="lrTb"/>
            <w:vAlign w:val="top"/>
            <w:hideMark/>
          </w:tcPr>
          <w:p w:rsidR="008B7DEB" w:rsidRPr="007B4F06" w:rsidP="00510434">
            <w:pPr>
              <w:bidi w:val="0"/>
              <w:jc w:val="center"/>
              <w:rPr>
                <w:rFonts w:ascii="Times New Roman" w:hAnsi="Times New Roman"/>
                <w:b/>
                <w:bCs/>
                <w:color w:val="000000"/>
                <w:sz w:val="18"/>
                <w:szCs w:val="18"/>
              </w:rPr>
            </w:pPr>
            <w:r w:rsidRPr="007B4F06">
              <w:rPr>
                <w:rFonts w:ascii="Times New Roman" w:hAnsi="Times New Roman"/>
                <w:b/>
                <w:bCs/>
                <w:color w:val="000000"/>
                <w:sz w:val="18"/>
                <w:szCs w:val="18"/>
              </w:rPr>
              <w:t xml:space="preserve">2015 </w:t>
            </w:r>
            <w:r>
              <w:rPr>
                <w:rFonts w:ascii="Times New Roman" w:hAnsi="Times New Roman"/>
                <w:b/>
                <w:bCs/>
                <w:color w:val="000000"/>
                <w:sz w:val="18"/>
                <w:szCs w:val="18"/>
              </w:rPr>
              <w:t xml:space="preserve">       (</w:t>
            </w:r>
            <w:r w:rsidRPr="007B4F06">
              <w:rPr>
                <w:rFonts w:ascii="Times New Roman" w:hAnsi="Times New Roman"/>
                <w:b/>
                <w:bCs/>
                <w:color w:val="000000"/>
                <w:sz w:val="18"/>
                <w:szCs w:val="18"/>
              </w:rPr>
              <w:t xml:space="preserve">S </w:t>
            </w:r>
            <w:r>
              <w:rPr>
                <w:rFonts w:ascii="Times New Roman" w:hAnsi="Times New Roman"/>
                <w:b/>
                <w:bCs/>
                <w:color w:val="000000"/>
                <w:sz w:val="18"/>
                <w:szCs w:val="18"/>
              </w:rPr>
              <w:t>–</w:t>
            </w:r>
            <w:r w:rsidRPr="007B4F06">
              <w:rPr>
                <w:rFonts w:ascii="Times New Roman" w:hAnsi="Times New Roman"/>
                <w:b/>
                <w:bCs/>
                <w:color w:val="000000"/>
                <w:sz w:val="18"/>
                <w:szCs w:val="18"/>
              </w:rPr>
              <w:t xml:space="preserve"> R</w:t>
            </w:r>
            <w:r>
              <w:rPr>
                <w:rFonts w:ascii="Times New Roman" w:hAnsi="Times New Roman"/>
                <w:b/>
                <w:bCs/>
                <w:color w:val="000000"/>
                <w:sz w:val="18"/>
                <w:szCs w:val="18"/>
              </w:rPr>
              <w:t>)</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4143CE" w:rsidP="00510434">
            <w:pPr>
              <w:bidi w:val="0"/>
              <w:rPr>
                <w:rFonts w:ascii="Times New Roman" w:hAnsi="Times New Roman"/>
                <w:b/>
                <w:color w:val="000000"/>
                <w:sz w:val="18"/>
                <w:szCs w:val="18"/>
              </w:rPr>
            </w:pPr>
            <w:r w:rsidRPr="004143CE">
              <w:rPr>
                <w:rFonts w:ascii="Times New Roman" w:hAnsi="Times New Roman"/>
                <w:b/>
                <w:color w:val="000000"/>
                <w:sz w:val="18"/>
                <w:szCs w:val="18"/>
              </w:rPr>
              <w:t>Celková medziročná zmena hrubého dlhu VS</w:t>
            </w:r>
          </w:p>
        </w:tc>
        <w:tc>
          <w:tcPr>
            <w:tcW w:w="993"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2 674 300</w:t>
            </w:r>
          </w:p>
        </w:tc>
        <w:tc>
          <w:tcPr>
            <w:tcW w:w="992"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125 010</w:t>
            </w:r>
          </w:p>
        </w:tc>
        <w:tc>
          <w:tcPr>
            <w:tcW w:w="1025" w:type="dxa"/>
            <w:tcBorders>
              <w:top w:val="nil"/>
              <w:left w:val="nil"/>
              <w:bottom w:val="nil"/>
              <w:right w:val="nil"/>
            </w:tcBorders>
            <w:shd w:val="clear" w:color="auto" w:fill="BFBFBF"/>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580 714</w:t>
            </w:r>
          </w:p>
        </w:tc>
        <w:tc>
          <w:tcPr>
            <w:tcW w:w="957"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1 649 143</w:t>
            </w:r>
          </w:p>
        </w:tc>
        <w:tc>
          <w:tcPr>
            <w:tcW w:w="957"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-1 068 429</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4143CE" w:rsidP="00510434">
            <w:pPr>
              <w:bidi w:val="0"/>
              <w:rPr>
                <w:rFonts w:ascii="Times New Roman" w:hAnsi="Times New Roman"/>
                <w:b/>
                <w:color w:val="000000"/>
                <w:sz w:val="18"/>
                <w:szCs w:val="18"/>
              </w:rPr>
            </w:pPr>
            <w:r w:rsidRPr="004143CE">
              <w:rPr>
                <w:rFonts w:ascii="Times New Roman" w:hAnsi="Times New Roman"/>
                <w:b/>
                <w:color w:val="000000"/>
                <w:sz w:val="18"/>
                <w:szCs w:val="18"/>
              </w:rPr>
              <w:t>1. Štátny dlh</w:t>
            </w:r>
          </w:p>
        </w:tc>
        <w:tc>
          <w:tcPr>
            <w:tcW w:w="993"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2 706 089</w:t>
            </w:r>
          </w:p>
        </w:tc>
        <w:tc>
          <w:tcPr>
            <w:tcW w:w="992"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607 332</w:t>
            </w:r>
          </w:p>
        </w:tc>
        <w:tc>
          <w:tcPr>
            <w:tcW w:w="1025" w:type="dxa"/>
            <w:tcBorders>
              <w:top w:val="nil"/>
              <w:left w:val="nil"/>
              <w:bottom w:val="nil"/>
              <w:right w:val="nil"/>
            </w:tcBorders>
            <w:shd w:val="clear" w:color="auto" w:fill="BFBFBF"/>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597 413</w:t>
            </w:r>
          </w:p>
        </w:tc>
        <w:tc>
          <w:tcPr>
            <w:tcW w:w="957"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1 814 129</w:t>
            </w:r>
          </w:p>
        </w:tc>
        <w:tc>
          <w:tcPr>
            <w:tcW w:w="957"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-1 216 716</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deficit štátneho rozpočtu na hotovostnom princípe</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2 023 259</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2 923 371</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1 932 596</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2 983 637</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-1 051 041</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prostriedky Štátnej pokladnice využité na financovanie dlhu</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-463 069</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-2 376 697</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-1 262 265</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-1 086 930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-175 335</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vklady klientov v Štátnej pokladnici nepatriacich do VS</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16 734</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-4 525</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87 190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87 190</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podiel SR na dlhu EFSF</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400 795</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102 204</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-116 367</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-116 367</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vklady SR do ESM</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263 680</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131 840</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emisný diskont</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50 684</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6 057</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11 177</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1 448</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9 729</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splatenie dlhopisov (diskont)</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-68 295</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-113 335</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-87 349</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-83 754</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-3 595</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xml:space="preserve"> - pôžička Agentúry pre núdzové zásoby ropy a ropných výrobkov</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465 208</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-38 626</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-7 289</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-7 289</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xml:space="preserve"> - kurzové zmeny</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-12 657</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38</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4 136</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4 136</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xml:space="preserve"> - zábezpeky</w:t>
            </w:r>
          </w:p>
        </w:tc>
        <w:tc>
          <w:tcPr>
            <w:tcW w:w="993"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p>
        </w:tc>
        <w:tc>
          <w:tcPr>
            <w:tcW w:w="992" w:type="dxa"/>
            <w:tcBorders>
              <w:top w:val="nil"/>
              <w:left w:val="nil"/>
              <w:bottom w:val="nil"/>
              <w:right w:val="nil"/>
            </w:tcBorders>
            <w:noWrap/>
            <w:textDirection w:val="lrTb"/>
            <w:vAlign w:val="bottom"/>
            <w:hideMark/>
          </w:tcPr>
          <w:p w:rsidR="008B7DEB" w:rsidRPr="007B4F06" w:rsidP="00510434">
            <w:pPr>
              <w:bidi w:val="0"/>
              <w:rPr>
                <w:rFonts w:ascii="Times New Roman" w:hAnsi="Times New Roman"/>
                <w:sz w:val="18"/>
                <w:szCs w:val="18"/>
              </w:rPr>
            </w:pP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29 622</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29 622</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180" w:firstLineChars="100"/>
              <w:rPr>
                <w:rFonts w:ascii="Times New Roman" w:hAnsi="Times New Roman"/>
                <w:color w:val="000000"/>
                <w:sz w:val="18"/>
                <w:szCs w:val="18"/>
              </w:rPr>
            </w:pPr>
            <w:r w:rsidRPr="007B4F06">
              <w:rPr>
                <w:rFonts w:ascii="Times New Roman" w:hAnsi="Times New Roman"/>
                <w:color w:val="000000"/>
                <w:sz w:val="18"/>
                <w:szCs w:val="18"/>
              </w:rPr>
              <w:t xml:space="preserve"> - ostatné</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29 750</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-22 995</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5 962</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-273</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6 234</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4143CE" w:rsidP="004143CE">
            <w:pPr>
              <w:bidi w:val="0"/>
              <w:ind w:firstLine="180" w:firstLineChars="100"/>
              <w:rPr>
                <w:rFonts w:ascii="Times New Roman" w:hAnsi="Times New Roman"/>
                <w:b/>
                <w:color w:val="000000"/>
                <w:sz w:val="18"/>
                <w:szCs w:val="18"/>
              </w:rPr>
            </w:pPr>
            <w:r w:rsidRPr="004143CE">
              <w:rPr>
                <w:rFonts w:ascii="Times New Roman" w:hAnsi="Times New Roman"/>
                <w:b/>
                <w:color w:val="000000"/>
                <w:sz w:val="18"/>
                <w:szCs w:val="18"/>
              </w:rPr>
              <w:t>2. Saldo prijatých a splatených úverov ostatných subjektov VS</w:t>
            </w:r>
            <w:r w:rsidRPr="004143CE" w:rsidR="004143CE">
              <w:rPr>
                <w:rFonts w:ascii="Times New Roman" w:hAnsi="Times New Roman"/>
                <w:b/>
                <w:color w:val="000000"/>
                <w:sz w:val="18"/>
                <w:szCs w:val="18"/>
              </w:rPr>
              <w:t>, z toho:</w:t>
            </w:r>
          </w:p>
        </w:tc>
        <w:tc>
          <w:tcPr>
            <w:tcW w:w="993"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-32 312</w:t>
            </w:r>
          </w:p>
        </w:tc>
        <w:tc>
          <w:tcPr>
            <w:tcW w:w="992"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-473 861</w:t>
            </w:r>
          </w:p>
        </w:tc>
        <w:tc>
          <w:tcPr>
            <w:tcW w:w="1025" w:type="dxa"/>
            <w:tcBorders>
              <w:top w:val="nil"/>
              <w:left w:val="nil"/>
              <w:bottom w:val="nil"/>
              <w:right w:val="nil"/>
            </w:tcBorders>
            <w:shd w:val="clear" w:color="auto" w:fill="BFBFBF"/>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-15 599</w:t>
            </w:r>
          </w:p>
        </w:tc>
        <w:tc>
          <w:tcPr>
            <w:tcW w:w="957"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-102 009</w:t>
            </w:r>
          </w:p>
        </w:tc>
        <w:tc>
          <w:tcPr>
            <w:tcW w:w="957"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86 410</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360" w:firstLineChars="200"/>
              <w:rPr>
                <w:rFonts w:ascii="Times New Roman" w:hAnsi="Times New Roman"/>
                <w:color w:val="000000"/>
                <w:sz w:val="18"/>
                <w:szCs w:val="18"/>
              </w:rPr>
            </w:pPr>
            <w:r w:rsidRPr="007B4F06">
              <w:rPr>
                <w:rFonts w:ascii="Times New Roman" w:hAnsi="Times New Roman"/>
                <w:color w:val="000000"/>
                <w:sz w:val="18"/>
                <w:szCs w:val="18"/>
              </w:rPr>
              <w:t>Železnice Slovenskej republiky</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-130 503</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-611</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148</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148</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360" w:firstLineChars="200"/>
              <w:rPr>
                <w:rFonts w:ascii="Times New Roman" w:hAnsi="Times New Roman"/>
                <w:color w:val="000000"/>
                <w:sz w:val="18"/>
                <w:szCs w:val="18"/>
              </w:rPr>
            </w:pPr>
            <w:r w:rsidRPr="007B4F06">
              <w:rPr>
                <w:rFonts w:ascii="Times New Roman" w:hAnsi="Times New Roman"/>
                <w:color w:val="000000"/>
                <w:sz w:val="18"/>
                <w:szCs w:val="18"/>
              </w:rPr>
              <w:t>Železničná spoločnosť Slovensko, a.s.</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3 673</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5 514</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-9 439</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-9 439</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360" w:firstLineChars="200"/>
              <w:rPr>
                <w:rFonts w:ascii="Times New Roman" w:hAnsi="Times New Roman"/>
                <w:color w:val="000000"/>
                <w:sz w:val="18"/>
                <w:szCs w:val="18"/>
              </w:rPr>
            </w:pPr>
            <w:r w:rsidRPr="007B4F06">
              <w:rPr>
                <w:rFonts w:ascii="Times New Roman" w:hAnsi="Times New Roman"/>
                <w:color w:val="000000"/>
                <w:sz w:val="18"/>
                <w:szCs w:val="18"/>
              </w:rPr>
              <w:t>Národná diaľničná spoločnosť, a.s.</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22 857</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-53 882</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-77 164</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-37 177</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-39 987</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360" w:firstLineChars="200"/>
              <w:rPr>
                <w:rFonts w:ascii="Times New Roman" w:hAnsi="Times New Roman"/>
                <w:color w:val="000000"/>
                <w:sz w:val="18"/>
                <w:szCs w:val="18"/>
              </w:rPr>
            </w:pPr>
            <w:r w:rsidRPr="007B4F06">
              <w:rPr>
                <w:rFonts w:ascii="Times New Roman" w:hAnsi="Times New Roman"/>
                <w:color w:val="000000"/>
                <w:sz w:val="18"/>
                <w:szCs w:val="18"/>
              </w:rPr>
              <w:t>Exportno-importná banka Slovenskej republiky</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74 472</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11 209</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-64 656</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-64 656</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7B4F06" w:rsidP="00510434">
            <w:pPr>
              <w:bidi w:val="0"/>
              <w:ind w:firstLine="360" w:firstLineChars="200"/>
              <w:rPr>
                <w:rFonts w:ascii="Times New Roman" w:hAnsi="Times New Roman"/>
                <w:color w:val="000000"/>
                <w:sz w:val="18"/>
                <w:szCs w:val="18"/>
              </w:rPr>
            </w:pPr>
            <w:r w:rsidRPr="007B4F06">
              <w:rPr>
                <w:rFonts w:ascii="Times New Roman" w:hAnsi="Times New Roman"/>
                <w:color w:val="000000"/>
                <w:sz w:val="18"/>
                <w:szCs w:val="18"/>
              </w:rPr>
              <w:t>Agentúra pre núdzové zásoby ropy a ropných výrobkov</w:t>
            </w:r>
          </w:p>
        </w:tc>
        <w:tc>
          <w:tcPr>
            <w:tcW w:w="993"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520 000</w:t>
            </w:r>
          </w:p>
        </w:tc>
        <w:tc>
          <w:tcPr>
            <w:tcW w:w="992"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1025" w:type="dxa"/>
            <w:tcBorders>
              <w:top w:val="nil"/>
              <w:left w:val="nil"/>
              <w:bottom w:val="nil"/>
              <w:right w:val="nil"/>
            </w:tcBorders>
            <w:shd w:val="clear" w:color="auto" w:fill="BFBFBF"/>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c>
          <w:tcPr>
            <w:tcW w:w="957" w:type="dxa"/>
            <w:tcBorders>
              <w:top w:val="nil"/>
              <w:left w:val="nil"/>
              <w:bottom w:val="nil"/>
              <w:right w:val="nil"/>
            </w:tcBorders>
            <w:noWrap/>
            <w:textDirection w:val="lrTb"/>
            <w:vAlign w:val="bottom"/>
            <w:hideMark/>
          </w:tcPr>
          <w:p w:rsidR="008B7DEB" w:rsidRPr="007B4F06" w:rsidP="00510434">
            <w:pPr>
              <w:bidi w:val="0"/>
              <w:jc w:val="right"/>
              <w:rPr>
                <w:rFonts w:ascii="Times New Roman" w:hAnsi="Times New Roman"/>
                <w:color w:val="000000"/>
                <w:sz w:val="18"/>
                <w:szCs w:val="18"/>
              </w:rPr>
            </w:pPr>
            <w:r w:rsidRPr="007B4F06">
              <w:rPr>
                <w:rFonts w:ascii="Times New Roman" w:hAnsi="Times New Roman"/>
                <w:color w:val="000000"/>
                <w:sz w:val="18"/>
                <w:szCs w:val="18"/>
              </w:rPr>
              <w:t>0</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bottom"/>
            <w:hideMark/>
          </w:tcPr>
          <w:p w:rsidR="008B7DEB" w:rsidRPr="004143CE" w:rsidP="004143CE">
            <w:pPr>
              <w:bidi w:val="0"/>
              <w:ind w:firstLine="180" w:firstLineChars="100"/>
              <w:rPr>
                <w:rFonts w:ascii="Times New Roman" w:hAnsi="Times New Roman"/>
                <w:b/>
                <w:color w:val="000000"/>
                <w:sz w:val="18"/>
                <w:szCs w:val="18"/>
              </w:rPr>
            </w:pPr>
            <w:r w:rsidRPr="004143CE">
              <w:rPr>
                <w:rFonts w:ascii="Times New Roman" w:hAnsi="Times New Roman"/>
                <w:b/>
                <w:color w:val="000000"/>
                <w:sz w:val="18"/>
                <w:szCs w:val="18"/>
              </w:rPr>
              <w:t>3. Hospodárenie nemocníc</w:t>
            </w:r>
          </w:p>
        </w:tc>
        <w:tc>
          <w:tcPr>
            <w:tcW w:w="993"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523</w:t>
            </w:r>
          </w:p>
        </w:tc>
        <w:tc>
          <w:tcPr>
            <w:tcW w:w="992"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-8 461</w:t>
            </w:r>
          </w:p>
        </w:tc>
        <w:tc>
          <w:tcPr>
            <w:tcW w:w="1025" w:type="dxa"/>
            <w:tcBorders>
              <w:top w:val="nil"/>
              <w:left w:val="nil"/>
              <w:bottom w:val="nil"/>
              <w:right w:val="nil"/>
            </w:tcBorders>
            <w:shd w:val="clear" w:color="auto" w:fill="BFBFBF"/>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-1 100</w:t>
            </w:r>
          </w:p>
        </w:tc>
        <w:tc>
          <w:tcPr>
            <w:tcW w:w="957"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50 000</w:t>
            </w:r>
          </w:p>
        </w:tc>
        <w:tc>
          <w:tcPr>
            <w:tcW w:w="957" w:type="dxa"/>
            <w:tcBorders>
              <w:top w:val="nil"/>
              <w:left w:val="nil"/>
              <w:bottom w:val="nil"/>
              <w:right w:val="nil"/>
            </w:tcBorders>
            <w:noWrap/>
            <w:textDirection w:val="lrTb"/>
            <w:vAlign w:val="bottom"/>
            <w:hideMark/>
          </w:tcPr>
          <w:p w:rsidR="008B7DEB" w:rsidRPr="004143CE" w:rsidP="00510434">
            <w:pPr>
              <w:bidi w:val="0"/>
              <w:jc w:val="right"/>
              <w:rPr>
                <w:rFonts w:ascii="Times New Roman" w:hAnsi="Times New Roman"/>
                <w:b/>
                <w:color w:val="000000"/>
                <w:sz w:val="18"/>
                <w:szCs w:val="18"/>
              </w:rPr>
            </w:pPr>
            <w:r w:rsidRPr="004143CE">
              <w:rPr>
                <w:rFonts w:ascii="Times New Roman" w:hAnsi="Times New Roman"/>
                <w:b/>
                <w:color w:val="000000"/>
                <w:sz w:val="18"/>
                <w:szCs w:val="18"/>
              </w:rPr>
              <w:t>-51 100</w:t>
            </w:r>
          </w:p>
        </w:tc>
      </w:tr>
      <w:tr>
        <w:tblPrEx>
          <w:tblW w:w="9460" w:type="dxa"/>
          <w:tblCellMar>
            <w:left w:w="70" w:type="dxa"/>
            <w:right w:w="70" w:type="dxa"/>
          </w:tblCellMar>
          <w:tblLook w:val="04A0"/>
        </w:tblPrEx>
        <w:trPr>
          <w:trHeight w:val="261"/>
        </w:trPr>
        <w:tc>
          <w:tcPr>
            <w:tcW w:w="4536" w:type="dxa"/>
            <w:tcBorders>
              <w:top w:val="nil"/>
              <w:left w:val="nil"/>
              <w:bottom w:val="single" w:sz="4" w:space="0" w:color="auto"/>
              <w:right w:val="nil"/>
            </w:tcBorders>
            <w:noWrap/>
            <w:textDirection w:val="lrTb"/>
            <w:vAlign w:val="bottom"/>
            <w:hideMark/>
          </w:tcPr>
          <w:p w:rsidR="008B7DEB" w:rsidRPr="007B4F06" w:rsidP="00510434">
            <w:pPr>
              <w:bidi w:val="0"/>
              <w:rPr>
                <w:rFonts w:ascii="Times New Roman" w:hAnsi="Times New Roman"/>
                <w:b/>
                <w:bCs/>
                <w:color w:val="000000"/>
                <w:sz w:val="18"/>
                <w:szCs w:val="18"/>
              </w:rPr>
            </w:pPr>
            <w:r w:rsidRPr="007B4F06">
              <w:rPr>
                <w:rFonts w:ascii="Times New Roman" w:hAnsi="Times New Roman"/>
                <w:b/>
                <w:bCs/>
                <w:color w:val="000000"/>
                <w:sz w:val="18"/>
                <w:szCs w:val="18"/>
              </w:rPr>
              <w:t>Hrubý dlh verejnej správy (k 31.12.)</w:t>
            </w:r>
          </w:p>
        </w:tc>
        <w:tc>
          <w:tcPr>
            <w:tcW w:w="993" w:type="dxa"/>
            <w:tcBorders>
              <w:top w:val="nil"/>
              <w:left w:val="nil"/>
              <w:bottom w:val="single" w:sz="4" w:space="0" w:color="auto"/>
              <w:right w:val="nil"/>
            </w:tcBorders>
            <w:noWrap/>
            <w:textDirection w:val="lrTb"/>
            <w:vAlign w:val="bottom"/>
            <w:hideMark/>
          </w:tcPr>
          <w:p w:rsidR="008B7DEB" w:rsidRPr="007B4F06" w:rsidP="00510434">
            <w:pPr>
              <w:bidi w:val="0"/>
              <w:jc w:val="right"/>
              <w:rPr>
                <w:rFonts w:ascii="Times New Roman" w:hAnsi="Times New Roman"/>
                <w:b/>
                <w:bCs/>
                <w:color w:val="000000"/>
                <w:sz w:val="18"/>
                <w:szCs w:val="18"/>
              </w:rPr>
            </w:pPr>
            <w:r w:rsidRPr="007B4F06">
              <w:rPr>
                <w:rFonts w:ascii="Times New Roman" w:hAnsi="Times New Roman"/>
                <w:b/>
                <w:bCs/>
                <w:color w:val="000000"/>
                <w:sz w:val="18"/>
                <w:szCs w:val="18"/>
              </w:rPr>
              <w:t>40 600 008</w:t>
            </w:r>
          </w:p>
        </w:tc>
        <w:tc>
          <w:tcPr>
            <w:tcW w:w="992" w:type="dxa"/>
            <w:tcBorders>
              <w:top w:val="nil"/>
              <w:left w:val="nil"/>
              <w:bottom w:val="single" w:sz="4" w:space="0" w:color="auto"/>
              <w:right w:val="nil"/>
            </w:tcBorders>
            <w:noWrap/>
            <w:textDirection w:val="lrTb"/>
            <w:vAlign w:val="bottom"/>
            <w:hideMark/>
          </w:tcPr>
          <w:p w:rsidR="008B7DEB" w:rsidRPr="007B4F06" w:rsidP="00510434">
            <w:pPr>
              <w:bidi w:val="0"/>
              <w:jc w:val="right"/>
              <w:rPr>
                <w:rFonts w:ascii="Times New Roman" w:hAnsi="Times New Roman"/>
                <w:b/>
                <w:bCs/>
                <w:color w:val="000000"/>
                <w:sz w:val="18"/>
                <w:szCs w:val="18"/>
              </w:rPr>
            </w:pPr>
            <w:r w:rsidRPr="007B4F06">
              <w:rPr>
                <w:rFonts w:ascii="Times New Roman" w:hAnsi="Times New Roman"/>
                <w:b/>
                <w:bCs/>
                <w:color w:val="000000"/>
                <w:sz w:val="18"/>
                <w:szCs w:val="18"/>
              </w:rPr>
              <w:t>40 725 018</w:t>
            </w:r>
          </w:p>
        </w:tc>
        <w:tc>
          <w:tcPr>
            <w:tcW w:w="1025" w:type="dxa"/>
            <w:tcBorders>
              <w:top w:val="nil"/>
              <w:left w:val="nil"/>
              <w:bottom w:val="single" w:sz="4" w:space="0" w:color="auto"/>
              <w:right w:val="nil"/>
            </w:tcBorders>
            <w:shd w:val="clear" w:color="auto" w:fill="BFBFBF"/>
            <w:noWrap/>
            <w:textDirection w:val="lrTb"/>
            <w:vAlign w:val="bottom"/>
            <w:hideMark/>
          </w:tcPr>
          <w:p w:rsidR="008B7DEB" w:rsidRPr="007B4F06" w:rsidP="00510434">
            <w:pPr>
              <w:bidi w:val="0"/>
              <w:jc w:val="right"/>
              <w:rPr>
                <w:rFonts w:ascii="Times New Roman" w:hAnsi="Times New Roman"/>
                <w:b/>
                <w:bCs/>
                <w:color w:val="000000"/>
                <w:sz w:val="18"/>
                <w:szCs w:val="18"/>
              </w:rPr>
            </w:pPr>
            <w:r w:rsidRPr="007B4F06">
              <w:rPr>
                <w:rFonts w:ascii="Times New Roman" w:hAnsi="Times New Roman"/>
                <w:b/>
                <w:bCs/>
                <w:color w:val="000000"/>
                <w:sz w:val="18"/>
                <w:szCs w:val="18"/>
              </w:rPr>
              <w:t>41 305 732</w:t>
            </w:r>
          </w:p>
        </w:tc>
        <w:tc>
          <w:tcPr>
            <w:tcW w:w="957" w:type="dxa"/>
            <w:tcBorders>
              <w:top w:val="nil"/>
              <w:left w:val="nil"/>
              <w:bottom w:val="single" w:sz="4" w:space="0" w:color="auto"/>
              <w:right w:val="nil"/>
            </w:tcBorders>
            <w:noWrap/>
            <w:textDirection w:val="lrTb"/>
            <w:vAlign w:val="bottom"/>
            <w:hideMark/>
          </w:tcPr>
          <w:p w:rsidR="008B7DEB" w:rsidRPr="007B4F06" w:rsidP="00510434">
            <w:pPr>
              <w:bidi w:val="0"/>
              <w:jc w:val="right"/>
              <w:rPr>
                <w:rFonts w:ascii="Times New Roman" w:hAnsi="Times New Roman"/>
                <w:b/>
                <w:bCs/>
                <w:color w:val="000000"/>
                <w:sz w:val="18"/>
                <w:szCs w:val="18"/>
              </w:rPr>
            </w:pPr>
            <w:r w:rsidRPr="007B4F06">
              <w:rPr>
                <w:rFonts w:ascii="Times New Roman" w:hAnsi="Times New Roman"/>
                <w:b/>
                <w:bCs/>
                <w:color w:val="000000"/>
                <w:sz w:val="18"/>
                <w:szCs w:val="18"/>
              </w:rPr>
              <w:t>42 374 161</w:t>
            </w:r>
          </w:p>
        </w:tc>
        <w:tc>
          <w:tcPr>
            <w:tcW w:w="957" w:type="dxa"/>
            <w:tcBorders>
              <w:top w:val="nil"/>
              <w:left w:val="nil"/>
              <w:bottom w:val="single" w:sz="4" w:space="0" w:color="auto"/>
              <w:right w:val="nil"/>
            </w:tcBorders>
            <w:noWrap/>
            <w:textDirection w:val="lrTb"/>
            <w:vAlign w:val="bottom"/>
            <w:hideMark/>
          </w:tcPr>
          <w:p w:rsidR="008B7DEB" w:rsidRPr="007B4F06" w:rsidP="00510434">
            <w:pPr>
              <w:bidi w:val="0"/>
              <w:jc w:val="right"/>
              <w:rPr>
                <w:rFonts w:ascii="Times New Roman" w:hAnsi="Times New Roman"/>
                <w:b/>
                <w:bCs/>
                <w:color w:val="000000"/>
                <w:sz w:val="18"/>
                <w:szCs w:val="18"/>
              </w:rPr>
            </w:pPr>
            <w:r w:rsidRPr="007B4F06">
              <w:rPr>
                <w:rFonts w:ascii="Times New Roman" w:hAnsi="Times New Roman"/>
                <w:b/>
                <w:bCs/>
                <w:color w:val="000000"/>
                <w:sz w:val="18"/>
                <w:szCs w:val="18"/>
              </w:rPr>
              <w:t>-1 068 429</w:t>
            </w:r>
          </w:p>
        </w:tc>
      </w:tr>
      <w:tr>
        <w:tblPrEx>
          <w:tblW w:w="9460" w:type="dxa"/>
          <w:tblCellMar>
            <w:left w:w="70" w:type="dxa"/>
            <w:right w:w="70" w:type="dxa"/>
          </w:tblCellMar>
          <w:tblLook w:val="04A0"/>
        </w:tblPrEx>
        <w:trPr>
          <w:trHeight w:val="261"/>
        </w:trPr>
        <w:tc>
          <w:tcPr>
            <w:tcW w:w="4536" w:type="dxa"/>
            <w:tcBorders>
              <w:top w:val="nil"/>
              <w:left w:val="nil"/>
              <w:bottom w:val="nil"/>
              <w:right w:val="nil"/>
            </w:tcBorders>
            <w:noWrap/>
            <w:textDirection w:val="lrTb"/>
            <w:vAlign w:val="center"/>
            <w:hideMark/>
          </w:tcPr>
          <w:p w:rsidR="008B7DEB" w:rsidRPr="00167724" w:rsidP="00510434">
            <w:pPr>
              <w:bidi w:val="0"/>
              <w:rPr>
                <w:rFonts w:ascii="Times New Roman" w:hAnsi="Times New Roman"/>
                <w:color w:val="000000"/>
                <w:sz w:val="18"/>
                <w:szCs w:val="18"/>
              </w:rPr>
            </w:pPr>
            <w:r w:rsidRPr="00167724">
              <w:rPr>
                <w:rFonts w:ascii="Times New Roman" w:hAnsi="Times New Roman"/>
                <w:color w:val="000000"/>
                <w:sz w:val="18"/>
                <w:szCs w:val="18"/>
              </w:rPr>
              <w:t>S - skutočnosť, R - rozpočet</w:t>
            </w:r>
          </w:p>
        </w:tc>
        <w:tc>
          <w:tcPr>
            <w:tcW w:w="993" w:type="dxa"/>
            <w:tcBorders>
              <w:top w:val="nil"/>
              <w:left w:val="nil"/>
              <w:bottom w:val="nil"/>
              <w:right w:val="nil"/>
            </w:tcBorders>
            <w:noWrap/>
            <w:textDirection w:val="lrTb"/>
            <w:vAlign w:val="center"/>
            <w:hideMark/>
          </w:tcPr>
          <w:p w:rsidR="008B7DEB" w:rsidRPr="00167724" w:rsidP="00510434">
            <w:pPr>
              <w:bidi w:val="0"/>
              <w:rPr>
                <w:rFonts w:ascii="Times New Roman" w:hAnsi="Times New Roman"/>
                <w:color w:val="000000"/>
                <w:sz w:val="18"/>
                <w:szCs w:val="18"/>
              </w:rPr>
            </w:pPr>
          </w:p>
        </w:tc>
        <w:tc>
          <w:tcPr>
            <w:tcW w:w="992" w:type="dxa"/>
            <w:tcBorders>
              <w:top w:val="nil"/>
              <w:left w:val="nil"/>
              <w:bottom w:val="nil"/>
              <w:right w:val="nil"/>
            </w:tcBorders>
            <w:noWrap/>
            <w:textDirection w:val="lrTb"/>
            <w:vAlign w:val="center"/>
            <w:hideMark/>
          </w:tcPr>
          <w:p w:rsidR="008B7DEB" w:rsidRPr="00167724" w:rsidP="00510434">
            <w:pPr>
              <w:bidi w:val="0"/>
              <w:rPr>
                <w:rFonts w:ascii="Times New Roman" w:hAnsi="Times New Roman"/>
                <w:sz w:val="18"/>
                <w:szCs w:val="18"/>
              </w:rPr>
            </w:pPr>
          </w:p>
        </w:tc>
        <w:tc>
          <w:tcPr>
            <w:tcW w:w="1025" w:type="dxa"/>
            <w:tcBorders>
              <w:top w:val="nil"/>
              <w:left w:val="nil"/>
              <w:bottom w:val="nil"/>
              <w:right w:val="nil"/>
            </w:tcBorders>
            <w:noWrap/>
            <w:textDirection w:val="lrTb"/>
            <w:vAlign w:val="center"/>
            <w:hideMark/>
          </w:tcPr>
          <w:p w:rsidR="008B7DEB" w:rsidRPr="00167724" w:rsidP="00510434">
            <w:pPr>
              <w:bidi w:val="0"/>
              <w:rPr>
                <w:rFonts w:ascii="Times New Roman" w:hAnsi="Times New Roman"/>
                <w:sz w:val="18"/>
                <w:szCs w:val="18"/>
              </w:rPr>
            </w:pPr>
          </w:p>
        </w:tc>
        <w:tc>
          <w:tcPr>
            <w:tcW w:w="1914" w:type="dxa"/>
            <w:gridSpan w:val="2"/>
            <w:tcBorders>
              <w:top w:val="nil"/>
              <w:left w:val="nil"/>
              <w:bottom w:val="nil"/>
              <w:right w:val="nil"/>
            </w:tcBorders>
            <w:noWrap/>
            <w:textDirection w:val="lrTb"/>
            <w:vAlign w:val="center"/>
            <w:hideMark/>
          </w:tcPr>
          <w:p w:rsidR="008B7DEB" w:rsidRPr="00167724" w:rsidP="00510434">
            <w:pPr>
              <w:bidi w:val="0"/>
              <w:jc w:val="right"/>
              <w:rPr>
                <w:rFonts w:ascii="Times New Roman" w:hAnsi="Times New Roman"/>
                <w:color w:val="000000"/>
                <w:sz w:val="18"/>
                <w:szCs w:val="18"/>
              </w:rPr>
            </w:pPr>
            <w:r w:rsidRPr="00167724">
              <w:rPr>
                <w:rFonts w:ascii="Times New Roman" w:hAnsi="Times New Roman"/>
                <w:color w:val="000000"/>
                <w:sz w:val="18"/>
                <w:szCs w:val="18"/>
              </w:rPr>
              <w:t>Zdroj: MF SR</w:t>
            </w:r>
          </w:p>
        </w:tc>
      </w:tr>
    </w:tbl>
    <w:p w:rsidR="00716E2B" w:rsidP="00716E2B">
      <w:pPr>
        <w:pStyle w:val="Heading2"/>
        <w:numPr>
          <w:ilvl w:val="1"/>
          <w:numId w:val="19"/>
        </w:numPr>
        <w:bidi w:val="0"/>
        <w:spacing w:line="336" w:lineRule="auto"/>
        <w:rPr>
          <w:rFonts w:ascii="Times New Roman" w:hAnsi="Times New Roman"/>
        </w:rPr>
      </w:pPr>
      <w:bookmarkStart w:id="18" w:name="_Toc447284899"/>
      <w:bookmarkStart w:id="19" w:name="_Toc449622830"/>
      <w:r>
        <w:rPr>
          <w:rFonts w:ascii="Times New Roman" w:hAnsi="Times New Roman"/>
        </w:rPr>
        <w:t>Vybrané vplyvy na saldo a dlh verejnej správy</w:t>
      </w:r>
      <w:bookmarkEnd w:id="18"/>
      <w:bookmarkEnd w:id="19"/>
    </w:p>
    <w:p w:rsidR="00716E2B" w:rsidRPr="004143CE" w:rsidP="002D72F1">
      <w:pPr>
        <w:bidi w:val="0"/>
        <w:spacing w:after="120" w:line="336" w:lineRule="auto"/>
        <w:jc w:val="both"/>
        <w:rPr>
          <w:rFonts w:ascii="Times New Roman" w:hAnsi="Times New Roman"/>
          <w:sz w:val="22"/>
          <w:szCs w:val="22"/>
        </w:rPr>
      </w:pPr>
      <w:r w:rsidRPr="00E85368">
        <w:rPr>
          <w:rFonts w:ascii="Times New Roman" w:hAnsi="Times New Roman"/>
          <w:sz w:val="22"/>
          <w:szCs w:val="22"/>
        </w:rPr>
        <w:t xml:space="preserve">V roku </w:t>
      </w:r>
      <w:r w:rsidRPr="004143CE">
        <w:rPr>
          <w:rFonts w:ascii="Times New Roman" w:hAnsi="Times New Roman"/>
          <w:sz w:val="22"/>
          <w:szCs w:val="22"/>
        </w:rPr>
        <w:t xml:space="preserve">2015 bol </w:t>
      </w:r>
      <w:r w:rsidRPr="004143CE">
        <w:rPr>
          <w:rFonts w:ascii="Times New Roman" w:hAnsi="Times New Roman"/>
          <w:b/>
          <w:sz w:val="22"/>
          <w:szCs w:val="22"/>
        </w:rPr>
        <w:t>schodok verejnej správy</w:t>
      </w:r>
      <w:r w:rsidRPr="004143CE">
        <w:rPr>
          <w:rFonts w:ascii="Times New Roman" w:hAnsi="Times New Roman"/>
          <w:sz w:val="22"/>
          <w:szCs w:val="22"/>
        </w:rPr>
        <w:t xml:space="preserve"> vo výške </w:t>
      </w:r>
      <w:r w:rsidRPr="004143CE">
        <w:rPr>
          <w:rFonts w:ascii="Times New Roman" w:hAnsi="Times New Roman"/>
          <w:b/>
          <w:sz w:val="22"/>
          <w:szCs w:val="22"/>
        </w:rPr>
        <w:t>2,97 % HDP</w:t>
      </w:r>
      <w:r w:rsidRPr="004143CE">
        <w:rPr>
          <w:rFonts w:ascii="Times New Roman" w:hAnsi="Times New Roman"/>
          <w:sz w:val="22"/>
          <w:szCs w:val="22"/>
        </w:rPr>
        <w:t xml:space="preserve"> ovplyvnený niekoľkými vybranými vplyvmi. </w:t>
      </w:r>
    </w:p>
    <w:p w:rsidR="004143CE" w:rsidRPr="002D72F1" w:rsidP="002D72F1">
      <w:pPr>
        <w:bidi w:val="0"/>
        <w:spacing w:after="120" w:line="336" w:lineRule="auto"/>
        <w:jc w:val="both"/>
        <w:rPr>
          <w:rFonts w:ascii="Times New Roman" w:hAnsi="Times New Roman"/>
          <w:sz w:val="22"/>
          <w:szCs w:val="22"/>
        </w:rPr>
      </w:pPr>
      <w:r w:rsidRPr="002D72F1">
        <w:rPr>
          <w:rFonts w:ascii="Times New Roman" w:hAnsi="Times New Roman"/>
          <w:sz w:val="22"/>
          <w:szCs w:val="22"/>
        </w:rPr>
        <w:t xml:space="preserve">Po prvé, </w:t>
      </w:r>
      <w:r w:rsidRPr="002D72F1">
        <w:rPr>
          <w:rFonts w:ascii="Times New Roman" w:hAnsi="Times New Roman"/>
          <w:b/>
          <w:sz w:val="22"/>
          <w:szCs w:val="22"/>
        </w:rPr>
        <w:t>úpravy na základe rozhodnutia Eurostatu</w:t>
      </w:r>
      <w:r w:rsidRPr="002D72F1">
        <w:rPr>
          <w:rFonts w:ascii="Times New Roman" w:hAnsi="Times New Roman"/>
          <w:sz w:val="22"/>
          <w:szCs w:val="22"/>
        </w:rPr>
        <w:t xml:space="preserve"> prispeli k zhoršeniu schodku verejnej správy v roku 2015 o 0,4 % HDP. Eurostat aj napriek konzultáciám a vysvetleniu transakcií neuznal príjmy splátok návratnej finančnej výpomoci od spoločnosti Cargo vo výške viac ako 117 220 tis. eur. Rozhodnutie Eurostatu o preklasifikovaní tejto splátky na kategóriu neovplyvňujúcu príjmy spôsobilo, že jedna transakcia dvakrát negatívne ovplyvnila hospodárenie verejnej správy. Okrem toho Eurostat neuznal ani príjmy Štátneho fondu rozvoja bývania vo výške takmer 198 509 tis. eur, ktoré pochádzajú z prostriedkov EÚ a sú určené na poskytovanie návratných zdrojov financovania.</w:t>
      </w:r>
    </w:p>
    <w:p w:rsidR="00716E2B" w:rsidP="00716E2B">
      <w:pPr>
        <w:bidi w:val="0"/>
        <w:spacing w:after="120" w:line="336" w:lineRule="auto"/>
        <w:jc w:val="both"/>
        <w:rPr>
          <w:rFonts w:ascii="Times New Roman" w:hAnsi="Times New Roman"/>
          <w:sz w:val="22"/>
          <w:szCs w:val="22"/>
        </w:rPr>
      </w:pPr>
      <w:r w:rsidRPr="002D72F1" w:rsidR="004143CE">
        <w:rPr>
          <w:rFonts w:ascii="Times New Roman" w:hAnsi="Times New Roman"/>
          <w:sz w:val="22"/>
          <w:szCs w:val="22"/>
        </w:rPr>
        <w:t>Po druhé</w:t>
      </w:r>
      <w:r w:rsidRPr="002D72F1">
        <w:rPr>
          <w:rFonts w:ascii="Times New Roman" w:hAnsi="Times New Roman"/>
          <w:sz w:val="22"/>
          <w:szCs w:val="22"/>
        </w:rPr>
        <w:t xml:space="preserve">, k zlepšeniu schodku verejnej správy o 0,06 % HDP prispelo </w:t>
      </w:r>
      <w:r w:rsidRPr="002D72F1">
        <w:rPr>
          <w:rFonts w:ascii="Times New Roman" w:hAnsi="Times New Roman"/>
          <w:b/>
          <w:sz w:val="22"/>
          <w:szCs w:val="22"/>
        </w:rPr>
        <w:t>zaradenie troch nových subjektov do sektora verejnej správy</w:t>
      </w:r>
      <w:r w:rsidRPr="002D72F1">
        <w:rPr>
          <w:rFonts w:ascii="Times New Roman" w:hAnsi="Times New Roman"/>
          <w:sz w:val="22"/>
          <w:szCs w:val="22"/>
        </w:rPr>
        <w:t>. Išlo o zaradenie Národného rezolučného fondu, Slovenskej reštrukturalizačnej, s.</w:t>
      </w:r>
      <w:r w:rsidRPr="002D72F1" w:rsidR="00632877">
        <w:rPr>
          <w:rFonts w:ascii="Times New Roman" w:hAnsi="Times New Roman"/>
          <w:sz w:val="22"/>
          <w:szCs w:val="22"/>
        </w:rPr>
        <w:t xml:space="preserve"> </w:t>
      </w:r>
      <w:r w:rsidRPr="002D72F1">
        <w:rPr>
          <w:rFonts w:ascii="Times New Roman" w:hAnsi="Times New Roman"/>
          <w:sz w:val="22"/>
          <w:szCs w:val="22"/>
        </w:rPr>
        <w:t>r.</w:t>
      </w:r>
      <w:r w:rsidRPr="002D72F1" w:rsidR="00632877">
        <w:rPr>
          <w:rFonts w:ascii="Times New Roman" w:hAnsi="Times New Roman"/>
          <w:sz w:val="22"/>
          <w:szCs w:val="22"/>
        </w:rPr>
        <w:t xml:space="preserve"> </w:t>
      </w:r>
      <w:r w:rsidRPr="002D72F1">
        <w:rPr>
          <w:rFonts w:ascii="Times New Roman" w:hAnsi="Times New Roman"/>
          <w:sz w:val="22"/>
          <w:szCs w:val="22"/>
        </w:rPr>
        <w:t xml:space="preserve">o. a  Železničnej spoločnosti Slovensko, a.s. </w:t>
      </w:r>
      <w:r w:rsidRPr="002D72F1" w:rsidR="004143CE">
        <w:rPr>
          <w:rFonts w:ascii="Times New Roman" w:hAnsi="Times New Roman"/>
          <w:sz w:val="22"/>
          <w:szCs w:val="22"/>
        </w:rPr>
        <w:t>V</w:t>
      </w:r>
      <w:r w:rsidRPr="002D72F1">
        <w:rPr>
          <w:rFonts w:ascii="Times New Roman" w:hAnsi="Times New Roman"/>
          <w:sz w:val="22"/>
          <w:szCs w:val="22"/>
        </w:rPr>
        <w:t xml:space="preserve"> čase prípravy rozpočtu </w:t>
      </w:r>
      <w:r w:rsidRPr="002D72F1" w:rsidR="004143CE">
        <w:rPr>
          <w:rFonts w:ascii="Times New Roman" w:hAnsi="Times New Roman"/>
          <w:sz w:val="22"/>
          <w:szCs w:val="22"/>
        </w:rPr>
        <w:t xml:space="preserve">na rok 2015 </w:t>
      </w:r>
      <w:r w:rsidRPr="002D72F1">
        <w:rPr>
          <w:rFonts w:ascii="Times New Roman" w:hAnsi="Times New Roman"/>
          <w:sz w:val="22"/>
          <w:szCs w:val="22"/>
        </w:rPr>
        <w:t>sa o týchto subjektoch neuvažovalo ako o subjektoch patriacich do sektora verejn</w:t>
      </w:r>
      <w:r>
        <w:rPr>
          <w:rFonts w:ascii="Times New Roman" w:hAnsi="Times New Roman"/>
          <w:sz w:val="22"/>
          <w:szCs w:val="22"/>
        </w:rPr>
        <w:t xml:space="preserve">ej správy. </w:t>
      </w:r>
    </w:p>
    <w:p w:rsidR="00716E2B" w:rsidRPr="00E85368" w:rsidP="00716E2B">
      <w:pPr>
        <w:bidi w:val="0"/>
        <w:spacing w:after="120" w:line="336" w:lineRule="auto"/>
        <w:jc w:val="both"/>
        <w:rPr>
          <w:rFonts w:ascii="Times New Roman" w:hAnsi="Times New Roman"/>
          <w:sz w:val="22"/>
          <w:szCs w:val="22"/>
        </w:rPr>
      </w:pPr>
      <w:r w:rsidRPr="00E85368">
        <w:rPr>
          <w:rFonts w:ascii="Times New Roman" w:hAnsi="Times New Roman"/>
          <w:sz w:val="22"/>
          <w:szCs w:val="22"/>
        </w:rPr>
        <w:t xml:space="preserve">V prípade, že by nenastali úpravy schodku na základe rozhodnutia Eurostatu </w:t>
      </w:r>
      <w:r>
        <w:rPr>
          <w:rFonts w:ascii="Times New Roman" w:hAnsi="Times New Roman"/>
          <w:sz w:val="22"/>
          <w:szCs w:val="22"/>
        </w:rPr>
        <w:t xml:space="preserve">v roku 2015 by schodok verejnej správy dosiahol úroveň </w:t>
      </w:r>
      <w:r w:rsidRPr="004143CE">
        <w:rPr>
          <w:rFonts w:ascii="Times New Roman" w:hAnsi="Times New Roman"/>
          <w:b/>
          <w:sz w:val="22"/>
          <w:szCs w:val="22"/>
        </w:rPr>
        <w:t>2,5</w:t>
      </w:r>
      <w:r w:rsidR="000A15B7">
        <w:rPr>
          <w:rFonts w:ascii="Times New Roman" w:hAnsi="Times New Roman"/>
          <w:b/>
          <w:sz w:val="22"/>
          <w:szCs w:val="22"/>
        </w:rPr>
        <w:t>6</w:t>
      </w:r>
      <w:r w:rsidRPr="004143CE">
        <w:rPr>
          <w:rFonts w:ascii="Times New Roman" w:hAnsi="Times New Roman"/>
          <w:b/>
          <w:sz w:val="22"/>
          <w:szCs w:val="22"/>
        </w:rPr>
        <w:t> % HDP</w:t>
      </w:r>
      <w:r w:rsidRPr="00DA736A">
        <w:rPr>
          <w:rFonts w:ascii="Times New Roman" w:hAnsi="Times New Roman"/>
          <w:sz w:val="22"/>
          <w:szCs w:val="22"/>
        </w:rPr>
        <w:t>.</w:t>
      </w:r>
      <w:r>
        <w:rPr>
          <w:rFonts w:ascii="Times New Roman" w:hAnsi="Times New Roman"/>
          <w:sz w:val="22"/>
          <w:szCs w:val="22"/>
        </w:rPr>
        <w:t xml:space="preserve"> Ak </w:t>
      </w:r>
      <w:r w:rsidRPr="00E85368">
        <w:rPr>
          <w:rFonts w:ascii="Times New Roman" w:hAnsi="Times New Roman"/>
          <w:sz w:val="22"/>
          <w:szCs w:val="22"/>
        </w:rPr>
        <w:t xml:space="preserve">by zároveň neboli do sektora verejnej správy zaradené nové subjekty, schodok verejnej správy v roku 2015 by dosiahol úroveň </w:t>
      </w:r>
      <w:r w:rsidRPr="00E85368">
        <w:rPr>
          <w:rFonts w:ascii="Times New Roman" w:hAnsi="Times New Roman"/>
          <w:b/>
          <w:sz w:val="22"/>
          <w:szCs w:val="22"/>
        </w:rPr>
        <w:t>2,63 % HDP</w:t>
      </w:r>
      <w:r w:rsidRPr="00E85368">
        <w:rPr>
          <w:rFonts w:ascii="Times New Roman" w:hAnsi="Times New Roman"/>
          <w:sz w:val="22"/>
          <w:szCs w:val="22"/>
        </w:rPr>
        <w:t>.</w:t>
      </w:r>
    </w:p>
    <w:tbl>
      <w:tblPr>
        <w:tblStyle w:val="TableNormal"/>
        <w:tblW w:w="5000" w:type="pct"/>
        <w:tblCellMar>
          <w:left w:w="70" w:type="dxa"/>
          <w:right w:w="70" w:type="dxa"/>
        </w:tblCellMar>
        <w:tblLook w:val="04A0"/>
      </w:tblPr>
      <w:tblGrid>
        <w:gridCol w:w="7798"/>
        <w:gridCol w:w="1130"/>
      </w:tblGrid>
      <w:tr>
        <w:tblPrEx>
          <w:tblW w:w="5000" w:type="pct"/>
          <w:tblCellMar>
            <w:left w:w="70" w:type="dxa"/>
            <w:right w:w="70" w:type="dxa"/>
          </w:tblCellMar>
          <w:tblLook w:val="04A0"/>
        </w:tblPrEx>
        <w:trPr>
          <w:trHeight w:val="330"/>
        </w:trPr>
        <w:tc>
          <w:tcPr>
            <w:tcW w:w="4367" w:type="pct"/>
            <w:tcBorders>
              <w:top w:val="nil"/>
              <w:left w:val="nil"/>
              <w:bottom w:val="single" w:sz="4" w:space="0" w:color="auto"/>
              <w:right w:val="nil"/>
            </w:tcBorders>
            <w:shd w:val="clear" w:color="000000" w:fill="000000"/>
            <w:noWrap/>
            <w:textDirection w:val="lrTb"/>
            <w:vAlign w:val="center"/>
            <w:hideMark/>
          </w:tcPr>
          <w:p w:rsidR="00716E2B" w:rsidRPr="003851EC" w:rsidP="00C97AF6">
            <w:pPr>
              <w:bidi w:val="0"/>
              <w:rPr>
                <w:rFonts w:ascii="Times New Roman" w:hAnsi="Times New Roman"/>
                <w:b/>
                <w:bCs/>
                <w:color w:val="FFFFFF"/>
                <w:sz w:val="20"/>
                <w:szCs w:val="20"/>
              </w:rPr>
            </w:pPr>
            <w:r w:rsidRPr="003851EC">
              <w:rPr>
                <w:rFonts w:ascii="Times New Roman" w:hAnsi="Times New Roman"/>
                <w:b/>
                <w:bCs/>
                <w:color w:val="FFFFFF"/>
                <w:sz w:val="20"/>
                <w:szCs w:val="20"/>
              </w:rPr>
              <w:t>Vybrané vplyvy na saldo verejnej správy</w:t>
            </w:r>
          </w:p>
        </w:tc>
        <w:tc>
          <w:tcPr>
            <w:tcW w:w="633" w:type="pct"/>
            <w:tcBorders>
              <w:top w:val="nil"/>
              <w:left w:val="nil"/>
              <w:bottom w:val="single" w:sz="4" w:space="0" w:color="auto"/>
              <w:right w:val="nil"/>
            </w:tcBorders>
            <w:shd w:val="clear" w:color="000000" w:fill="000000"/>
            <w:noWrap/>
            <w:textDirection w:val="lrTb"/>
            <w:vAlign w:val="center"/>
            <w:hideMark/>
          </w:tcPr>
          <w:p w:rsidR="00716E2B" w:rsidRPr="003851EC" w:rsidP="00C97AF6">
            <w:pPr>
              <w:bidi w:val="0"/>
              <w:jc w:val="right"/>
              <w:rPr>
                <w:rFonts w:ascii="Times New Roman" w:hAnsi="Times New Roman"/>
                <w:b/>
                <w:bCs/>
                <w:color w:val="FFFFFF"/>
                <w:sz w:val="20"/>
                <w:szCs w:val="20"/>
              </w:rPr>
            </w:pPr>
            <w:r w:rsidRPr="003851EC">
              <w:rPr>
                <w:rFonts w:ascii="Times New Roman" w:hAnsi="Times New Roman"/>
                <w:b/>
                <w:bCs/>
                <w:color w:val="FFFFFF"/>
                <w:sz w:val="20"/>
                <w:szCs w:val="20"/>
              </w:rPr>
              <w:t>% z HDP</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BFBFBF"/>
            <w:noWrap/>
            <w:textDirection w:val="lrTb"/>
            <w:vAlign w:val="bottom"/>
            <w:hideMark/>
          </w:tcPr>
          <w:p w:rsidR="00716E2B" w:rsidRPr="003851EC" w:rsidP="00C97AF6">
            <w:pPr>
              <w:bidi w:val="0"/>
              <w:rPr>
                <w:rFonts w:ascii="Arial Narrow" w:hAnsi="Arial Narrow"/>
                <w:color w:val="000000"/>
                <w:sz w:val="22"/>
                <w:szCs w:val="22"/>
              </w:rPr>
            </w:pPr>
            <w:r w:rsidRPr="003851EC">
              <w:rPr>
                <w:rFonts w:ascii="Arial Narrow" w:hAnsi="Arial Narrow"/>
                <w:color w:val="000000"/>
                <w:sz w:val="22"/>
                <w:szCs w:val="22"/>
              </w:rPr>
              <w:t> </w:t>
            </w:r>
          </w:p>
        </w:tc>
        <w:tc>
          <w:tcPr>
            <w:tcW w:w="633" w:type="pct"/>
            <w:tcBorders>
              <w:top w:val="single" w:sz="4" w:space="0" w:color="auto"/>
              <w:left w:val="nil"/>
              <w:bottom w:val="nil"/>
              <w:right w:val="nil"/>
            </w:tcBorders>
            <w:shd w:val="clear" w:color="000000" w:fill="BFBFBF"/>
            <w:noWrap/>
            <w:textDirection w:val="lrTb"/>
            <w:vAlign w:val="center"/>
            <w:hideMark/>
          </w:tcPr>
          <w:p w:rsidR="00716E2B" w:rsidRPr="003851EC" w:rsidP="00C97AF6">
            <w:pPr>
              <w:bidi w:val="0"/>
              <w:jc w:val="center"/>
              <w:rPr>
                <w:rFonts w:ascii="Times New Roman" w:hAnsi="Times New Roman"/>
                <w:b/>
                <w:bCs/>
                <w:sz w:val="20"/>
                <w:szCs w:val="20"/>
              </w:rPr>
            </w:pPr>
            <w:r w:rsidRPr="003851EC">
              <w:rPr>
                <w:rFonts w:ascii="Times New Roman" w:hAnsi="Times New Roman"/>
                <w:b/>
                <w:bCs/>
                <w:sz w:val="20"/>
                <w:szCs w:val="20"/>
              </w:rPr>
              <w:t>2015</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FFFFFF"/>
            <w:noWrap/>
            <w:textDirection w:val="lrTb"/>
            <w:vAlign w:val="center"/>
            <w:hideMark/>
          </w:tcPr>
          <w:p w:rsidR="00716E2B" w:rsidRPr="003851EC" w:rsidP="00C97AF6">
            <w:pPr>
              <w:bidi w:val="0"/>
              <w:rPr>
                <w:rFonts w:ascii="Times New Roman" w:hAnsi="Times New Roman"/>
                <w:b/>
                <w:bCs/>
                <w:sz w:val="20"/>
                <w:szCs w:val="20"/>
              </w:rPr>
            </w:pPr>
            <w:r w:rsidRPr="003851EC">
              <w:rPr>
                <w:rFonts w:ascii="Times New Roman" w:hAnsi="Times New Roman"/>
                <w:b/>
                <w:bCs/>
                <w:sz w:val="20"/>
                <w:szCs w:val="20"/>
              </w:rPr>
              <w:t xml:space="preserve">Schodok verejnej správy </w:t>
            </w:r>
          </w:p>
        </w:tc>
        <w:tc>
          <w:tcPr>
            <w:tcW w:w="633" w:type="pct"/>
            <w:tcBorders>
              <w:top w:val="nil"/>
              <w:left w:val="nil"/>
              <w:bottom w:val="nil"/>
              <w:right w:val="nil"/>
            </w:tcBorders>
            <w:shd w:val="clear" w:color="000000" w:fill="FFFFFF"/>
            <w:noWrap/>
            <w:textDirection w:val="lrTb"/>
            <w:vAlign w:val="center"/>
            <w:hideMark/>
          </w:tcPr>
          <w:p w:rsidR="00716E2B" w:rsidRPr="003851EC" w:rsidP="002D72F1">
            <w:pPr>
              <w:bidi w:val="0"/>
              <w:jc w:val="right"/>
              <w:rPr>
                <w:rFonts w:ascii="Times New Roman" w:hAnsi="Times New Roman"/>
                <w:b/>
                <w:bCs/>
                <w:sz w:val="20"/>
                <w:szCs w:val="20"/>
              </w:rPr>
            </w:pPr>
            <w:r w:rsidRPr="003851EC">
              <w:rPr>
                <w:rFonts w:ascii="Times New Roman" w:hAnsi="Times New Roman"/>
                <w:b/>
                <w:bCs/>
                <w:sz w:val="20"/>
                <w:szCs w:val="20"/>
              </w:rPr>
              <w:t>-2,97</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FFFFFF"/>
            <w:noWrap/>
            <w:textDirection w:val="lrTb"/>
            <w:vAlign w:val="center"/>
            <w:hideMark/>
          </w:tcPr>
          <w:p w:rsidR="00716E2B" w:rsidRPr="003851EC" w:rsidP="00C97AF6">
            <w:pPr>
              <w:bidi w:val="0"/>
              <w:rPr>
                <w:rFonts w:ascii="Times New Roman" w:hAnsi="Times New Roman"/>
                <w:b/>
                <w:bCs/>
                <w:sz w:val="20"/>
                <w:szCs w:val="20"/>
              </w:rPr>
            </w:pPr>
            <w:r>
              <w:rPr>
                <w:rFonts w:ascii="Times New Roman" w:hAnsi="Times New Roman"/>
                <w:b/>
                <w:bCs/>
                <w:sz w:val="20"/>
                <w:szCs w:val="20"/>
              </w:rPr>
              <w:t xml:space="preserve">   Ú</w:t>
            </w:r>
            <w:r w:rsidRPr="003851EC">
              <w:rPr>
                <w:rFonts w:ascii="Times New Roman" w:hAnsi="Times New Roman"/>
                <w:b/>
                <w:bCs/>
                <w:sz w:val="20"/>
                <w:szCs w:val="20"/>
              </w:rPr>
              <w:t>pravy na základe rozhodnutia Eurostatu:</w:t>
            </w:r>
          </w:p>
        </w:tc>
        <w:tc>
          <w:tcPr>
            <w:tcW w:w="633" w:type="pct"/>
            <w:tcBorders>
              <w:top w:val="nil"/>
              <w:left w:val="nil"/>
              <w:bottom w:val="nil"/>
              <w:right w:val="nil"/>
            </w:tcBorders>
            <w:shd w:val="clear" w:color="000000" w:fill="FFFFFF"/>
            <w:noWrap/>
            <w:textDirection w:val="lrTb"/>
            <w:vAlign w:val="center"/>
            <w:hideMark/>
          </w:tcPr>
          <w:p w:rsidR="00716E2B" w:rsidRPr="003851EC" w:rsidP="002D72F1">
            <w:pPr>
              <w:bidi w:val="0"/>
              <w:jc w:val="right"/>
              <w:rPr>
                <w:rFonts w:ascii="Times New Roman" w:hAnsi="Times New Roman"/>
                <w:sz w:val="20"/>
                <w:szCs w:val="20"/>
              </w:rPr>
            </w:pPr>
            <w:r>
              <w:rPr>
                <w:rFonts w:ascii="Times New Roman" w:hAnsi="Times New Roman"/>
                <w:sz w:val="20"/>
                <w:szCs w:val="20"/>
              </w:rPr>
              <w:t>0,404</w:t>
            </w:r>
            <w:r w:rsidRPr="003851EC">
              <w:rPr>
                <w:rFonts w:ascii="Times New Roman" w:hAnsi="Times New Roman"/>
                <w:sz w:val="20"/>
                <w:szCs w:val="20"/>
              </w:rPr>
              <w:t> </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FFFFFF"/>
            <w:noWrap/>
            <w:textDirection w:val="lrTb"/>
            <w:vAlign w:val="center"/>
            <w:hideMark/>
          </w:tcPr>
          <w:p w:rsidR="00716E2B" w:rsidRPr="003851EC" w:rsidP="00716E2B">
            <w:pPr>
              <w:numPr>
                <w:numId w:val="40"/>
              </w:numPr>
              <w:bidi w:val="0"/>
              <w:rPr>
                <w:rFonts w:ascii="Times New Roman" w:hAnsi="Times New Roman"/>
                <w:sz w:val="20"/>
                <w:szCs w:val="20"/>
              </w:rPr>
            </w:pPr>
            <w:r w:rsidRPr="003851EC">
              <w:rPr>
                <w:rFonts w:ascii="Times New Roman" w:hAnsi="Times New Roman"/>
                <w:sz w:val="20"/>
                <w:szCs w:val="20"/>
              </w:rPr>
              <w:t>Príjem splátok návratnej finančnej výpomoci do spoločnosti Cargo</w:t>
            </w:r>
          </w:p>
        </w:tc>
        <w:tc>
          <w:tcPr>
            <w:tcW w:w="633" w:type="pct"/>
            <w:tcBorders>
              <w:top w:val="nil"/>
              <w:left w:val="nil"/>
              <w:bottom w:val="nil"/>
              <w:right w:val="nil"/>
            </w:tcBorders>
            <w:shd w:val="clear" w:color="000000" w:fill="FFFFFF"/>
            <w:noWrap/>
            <w:textDirection w:val="lrTb"/>
            <w:vAlign w:val="center"/>
            <w:hideMark/>
          </w:tcPr>
          <w:p w:rsidR="00716E2B" w:rsidRPr="003851EC" w:rsidP="002D72F1">
            <w:pPr>
              <w:bidi w:val="0"/>
              <w:jc w:val="right"/>
              <w:rPr>
                <w:rFonts w:ascii="Times New Roman" w:hAnsi="Times New Roman"/>
                <w:sz w:val="20"/>
                <w:szCs w:val="20"/>
              </w:rPr>
            </w:pPr>
            <w:r w:rsidRPr="003851EC">
              <w:rPr>
                <w:rFonts w:ascii="Times New Roman" w:hAnsi="Times New Roman"/>
                <w:sz w:val="20"/>
                <w:szCs w:val="20"/>
              </w:rPr>
              <w:t>0,150</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FFFFFF"/>
            <w:noWrap/>
            <w:textDirection w:val="lrTb"/>
            <w:vAlign w:val="center"/>
            <w:hideMark/>
          </w:tcPr>
          <w:p w:rsidR="00716E2B" w:rsidRPr="003851EC" w:rsidP="00716E2B">
            <w:pPr>
              <w:numPr>
                <w:numId w:val="40"/>
              </w:numPr>
              <w:bidi w:val="0"/>
              <w:rPr>
                <w:rFonts w:ascii="Times New Roman" w:hAnsi="Times New Roman"/>
                <w:sz w:val="20"/>
                <w:szCs w:val="20"/>
              </w:rPr>
            </w:pPr>
            <w:r w:rsidRPr="003851EC">
              <w:rPr>
                <w:rFonts w:ascii="Times New Roman" w:hAnsi="Times New Roman"/>
                <w:sz w:val="20"/>
                <w:szCs w:val="20"/>
              </w:rPr>
              <w:t>Neuznanie príjmov ŠFRB z EÚ na poskytovanie návratných zdrojov financovania</w:t>
            </w:r>
          </w:p>
        </w:tc>
        <w:tc>
          <w:tcPr>
            <w:tcW w:w="633" w:type="pct"/>
            <w:tcBorders>
              <w:top w:val="nil"/>
              <w:left w:val="nil"/>
              <w:bottom w:val="nil"/>
              <w:right w:val="nil"/>
            </w:tcBorders>
            <w:shd w:val="clear" w:color="000000" w:fill="FFFFFF"/>
            <w:noWrap/>
            <w:textDirection w:val="lrTb"/>
            <w:vAlign w:val="center"/>
            <w:hideMark/>
          </w:tcPr>
          <w:p w:rsidR="00716E2B" w:rsidRPr="003851EC" w:rsidP="002D72F1">
            <w:pPr>
              <w:bidi w:val="0"/>
              <w:jc w:val="right"/>
              <w:rPr>
                <w:rFonts w:ascii="Times New Roman" w:hAnsi="Times New Roman"/>
                <w:sz w:val="20"/>
                <w:szCs w:val="20"/>
              </w:rPr>
            </w:pPr>
            <w:r w:rsidRPr="003851EC">
              <w:rPr>
                <w:rFonts w:ascii="Times New Roman" w:hAnsi="Times New Roman"/>
                <w:sz w:val="20"/>
                <w:szCs w:val="20"/>
              </w:rPr>
              <w:t>0,254</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FFFFFF"/>
            <w:noWrap/>
            <w:textDirection w:val="lrTb"/>
            <w:vAlign w:val="center"/>
            <w:hideMark/>
          </w:tcPr>
          <w:p w:rsidR="00716E2B" w:rsidRPr="003851EC" w:rsidP="00C97AF6">
            <w:pPr>
              <w:bidi w:val="0"/>
              <w:rPr>
                <w:rFonts w:ascii="Times New Roman" w:hAnsi="Times New Roman"/>
                <w:b/>
                <w:bCs/>
                <w:sz w:val="20"/>
                <w:szCs w:val="20"/>
              </w:rPr>
            </w:pPr>
            <w:r>
              <w:rPr>
                <w:rFonts w:ascii="Times New Roman" w:hAnsi="Times New Roman"/>
                <w:b/>
                <w:bCs/>
                <w:sz w:val="20"/>
                <w:szCs w:val="20"/>
              </w:rPr>
              <w:t xml:space="preserve">    Novozaradené subjekty do verej</w:t>
            </w:r>
            <w:r w:rsidRPr="003851EC">
              <w:rPr>
                <w:rFonts w:ascii="Times New Roman" w:hAnsi="Times New Roman"/>
                <w:b/>
                <w:bCs/>
                <w:sz w:val="20"/>
                <w:szCs w:val="20"/>
              </w:rPr>
              <w:t>nej správy:</w:t>
            </w:r>
          </w:p>
        </w:tc>
        <w:tc>
          <w:tcPr>
            <w:tcW w:w="633" w:type="pct"/>
            <w:tcBorders>
              <w:top w:val="nil"/>
              <w:left w:val="nil"/>
              <w:bottom w:val="nil"/>
              <w:right w:val="nil"/>
            </w:tcBorders>
            <w:shd w:val="clear" w:color="000000" w:fill="FFFFFF"/>
            <w:noWrap/>
            <w:textDirection w:val="lrTb"/>
            <w:vAlign w:val="center"/>
            <w:hideMark/>
          </w:tcPr>
          <w:p w:rsidR="00716E2B" w:rsidRPr="003851EC" w:rsidP="002D72F1">
            <w:pPr>
              <w:bidi w:val="0"/>
              <w:jc w:val="right"/>
              <w:rPr>
                <w:rFonts w:ascii="Times New Roman" w:hAnsi="Times New Roman"/>
                <w:sz w:val="20"/>
                <w:szCs w:val="20"/>
              </w:rPr>
            </w:pPr>
            <w:r>
              <w:rPr>
                <w:rFonts w:ascii="Times New Roman" w:hAnsi="Times New Roman"/>
                <w:sz w:val="20"/>
                <w:szCs w:val="20"/>
              </w:rPr>
              <w:t>-0,064</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FFFFFF"/>
            <w:noWrap/>
            <w:textDirection w:val="lrTb"/>
            <w:vAlign w:val="center"/>
            <w:hideMark/>
          </w:tcPr>
          <w:p w:rsidR="00716E2B" w:rsidRPr="003851EC" w:rsidP="00716E2B">
            <w:pPr>
              <w:numPr>
                <w:numId w:val="40"/>
              </w:numPr>
              <w:bidi w:val="0"/>
              <w:rPr>
                <w:rFonts w:ascii="Times New Roman" w:hAnsi="Times New Roman"/>
                <w:sz w:val="20"/>
                <w:szCs w:val="20"/>
              </w:rPr>
            </w:pPr>
            <w:r w:rsidRPr="003851EC">
              <w:rPr>
                <w:rFonts w:ascii="Times New Roman" w:hAnsi="Times New Roman"/>
                <w:sz w:val="20"/>
                <w:szCs w:val="20"/>
              </w:rPr>
              <w:t>Národný rezolučný fond</w:t>
            </w:r>
          </w:p>
        </w:tc>
        <w:tc>
          <w:tcPr>
            <w:tcW w:w="633" w:type="pct"/>
            <w:tcBorders>
              <w:top w:val="nil"/>
              <w:left w:val="nil"/>
              <w:bottom w:val="nil"/>
              <w:right w:val="nil"/>
            </w:tcBorders>
            <w:shd w:val="clear" w:color="000000" w:fill="FFFFFF"/>
            <w:noWrap/>
            <w:textDirection w:val="lrTb"/>
            <w:vAlign w:val="center"/>
            <w:hideMark/>
          </w:tcPr>
          <w:p w:rsidR="00716E2B" w:rsidRPr="003851EC" w:rsidP="002D72F1">
            <w:pPr>
              <w:bidi w:val="0"/>
              <w:jc w:val="right"/>
              <w:rPr>
                <w:rFonts w:ascii="Times New Roman" w:hAnsi="Times New Roman"/>
                <w:sz w:val="20"/>
                <w:szCs w:val="20"/>
              </w:rPr>
            </w:pPr>
            <w:r w:rsidRPr="003851EC">
              <w:rPr>
                <w:rFonts w:ascii="Times New Roman" w:hAnsi="Times New Roman"/>
                <w:sz w:val="20"/>
                <w:szCs w:val="20"/>
              </w:rPr>
              <w:t>-0,043</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FFFFFF"/>
            <w:noWrap/>
            <w:textDirection w:val="lrTb"/>
            <w:vAlign w:val="center"/>
            <w:hideMark/>
          </w:tcPr>
          <w:p w:rsidR="00716E2B" w:rsidRPr="003851EC" w:rsidP="00716E2B">
            <w:pPr>
              <w:numPr>
                <w:numId w:val="40"/>
              </w:numPr>
              <w:bidi w:val="0"/>
              <w:rPr>
                <w:rFonts w:ascii="Times New Roman" w:hAnsi="Times New Roman"/>
                <w:sz w:val="20"/>
                <w:szCs w:val="20"/>
              </w:rPr>
            </w:pPr>
            <w:r w:rsidRPr="003851EC">
              <w:rPr>
                <w:rFonts w:ascii="Times New Roman" w:hAnsi="Times New Roman"/>
                <w:sz w:val="20"/>
                <w:szCs w:val="20"/>
              </w:rPr>
              <w:t>Slovenská reštrukturalizačná, s.r.o.</w:t>
            </w:r>
          </w:p>
        </w:tc>
        <w:tc>
          <w:tcPr>
            <w:tcW w:w="633" w:type="pct"/>
            <w:tcBorders>
              <w:top w:val="nil"/>
              <w:left w:val="nil"/>
              <w:bottom w:val="nil"/>
              <w:right w:val="nil"/>
            </w:tcBorders>
            <w:shd w:val="clear" w:color="000000" w:fill="FFFFFF"/>
            <w:noWrap/>
            <w:textDirection w:val="lrTb"/>
            <w:vAlign w:val="center"/>
            <w:hideMark/>
          </w:tcPr>
          <w:p w:rsidR="00716E2B" w:rsidRPr="003851EC" w:rsidP="002D72F1">
            <w:pPr>
              <w:bidi w:val="0"/>
              <w:jc w:val="right"/>
              <w:rPr>
                <w:rFonts w:ascii="Times New Roman" w:hAnsi="Times New Roman"/>
                <w:sz w:val="20"/>
                <w:szCs w:val="20"/>
              </w:rPr>
            </w:pPr>
            <w:r w:rsidRPr="003851EC">
              <w:rPr>
                <w:rFonts w:ascii="Times New Roman" w:hAnsi="Times New Roman"/>
                <w:sz w:val="20"/>
                <w:szCs w:val="20"/>
              </w:rPr>
              <w:t>-0,019</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shd w:val="clear" w:color="000000" w:fill="FFFFFF"/>
            <w:noWrap/>
            <w:textDirection w:val="lrTb"/>
            <w:vAlign w:val="center"/>
            <w:hideMark/>
          </w:tcPr>
          <w:p w:rsidR="00716E2B" w:rsidRPr="003851EC" w:rsidP="00716E2B">
            <w:pPr>
              <w:numPr>
                <w:numId w:val="40"/>
              </w:numPr>
              <w:bidi w:val="0"/>
              <w:rPr>
                <w:rFonts w:ascii="Times New Roman" w:hAnsi="Times New Roman"/>
                <w:sz w:val="20"/>
                <w:szCs w:val="20"/>
              </w:rPr>
            </w:pPr>
            <w:r w:rsidRPr="003851EC">
              <w:rPr>
                <w:rFonts w:ascii="Times New Roman" w:hAnsi="Times New Roman"/>
                <w:sz w:val="20"/>
                <w:szCs w:val="20"/>
              </w:rPr>
              <w:t>Železničná spoločnosť Slovensko, a.s.</w:t>
            </w:r>
          </w:p>
        </w:tc>
        <w:tc>
          <w:tcPr>
            <w:tcW w:w="633" w:type="pct"/>
            <w:tcBorders>
              <w:top w:val="nil"/>
              <w:left w:val="nil"/>
              <w:bottom w:val="nil"/>
              <w:right w:val="nil"/>
            </w:tcBorders>
            <w:shd w:val="clear" w:color="000000" w:fill="FFFFFF"/>
            <w:noWrap/>
            <w:textDirection w:val="lrTb"/>
            <w:vAlign w:val="center"/>
            <w:hideMark/>
          </w:tcPr>
          <w:p w:rsidR="00716E2B" w:rsidRPr="003851EC" w:rsidP="002D72F1">
            <w:pPr>
              <w:bidi w:val="0"/>
              <w:jc w:val="right"/>
              <w:rPr>
                <w:rFonts w:ascii="Times New Roman" w:hAnsi="Times New Roman"/>
                <w:sz w:val="20"/>
                <w:szCs w:val="20"/>
              </w:rPr>
            </w:pPr>
            <w:r w:rsidRPr="003851EC">
              <w:rPr>
                <w:rFonts w:ascii="Times New Roman" w:hAnsi="Times New Roman"/>
                <w:sz w:val="20"/>
                <w:szCs w:val="20"/>
              </w:rPr>
              <w:t>-0,003</w:t>
            </w:r>
          </w:p>
        </w:tc>
      </w:tr>
      <w:tr>
        <w:tblPrEx>
          <w:tblW w:w="5000" w:type="pct"/>
          <w:tblCellMar>
            <w:left w:w="70" w:type="dxa"/>
            <w:right w:w="70" w:type="dxa"/>
          </w:tblCellMar>
          <w:tblLook w:val="04A0"/>
        </w:tblPrEx>
        <w:trPr>
          <w:trHeight w:val="330"/>
        </w:trPr>
        <w:tc>
          <w:tcPr>
            <w:tcW w:w="4367" w:type="pct"/>
            <w:tcBorders>
              <w:top w:val="nil"/>
              <w:left w:val="nil"/>
              <w:bottom w:val="single" w:sz="4" w:space="0" w:color="auto"/>
              <w:right w:val="nil"/>
            </w:tcBorders>
            <w:shd w:val="clear" w:color="000000" w:fill="FFFFFF"/>
            <w:noWrap/>
            <w:textDirection w:val="lrTb"/>
            <w:vAlign w:val="center"/>
            <w:hideMark/>
          </w:tcPr>
          <w:p w:rsidR="00716E2B" w:rsidRPr="003851EC" w:rsidP="00C97AF6">
            <w:pPr>
              <w:bidi w:val="0"/>
              <w:rPr>
                <w:rFonts w:ascii="Times New Roman" w:hAnsi="Times New Roman"/>
                <w:b/>
                <w:bCs/>
                <w:sz w:val="20"/>
                <w:szCs w:val="20"/>
              </w:rPr>
            </w:pPr>
            <w:r w:rsidRPr="003851EC">
              <w:rPr>
                <w:rFonts w:ascii="Times New Roman" w:hAnsi="Times New Roman"/>
                <w:b/>
                <w:bCs/>
                <w:sz w:val="20"/>
                <w:szCs w:val="20"/>
              </w:rPr>
              <w:t xml:space="preserve">Schodok verejnej správy </w:t>
            </w:r>
            <w:r w:rsidR="001D001C">
              <w:rPr>
                <w:rFonts w:ascii="Times New Roman" w:hAnsi="Times New Roman"/>
                <w:b/>
                <w:bCs/>
                <w:sz w:val="20"/>
                <w:szCs w:val="20"/>
              </w:rPr>
              <w:t>–</w:t>
            </w:r>
            <w:r w:rsidRPr="003851EC">
              <w:rPr>
                <w:rFonts w:ascii="Times New Roman" w:hAnsi="Times New Roman"/>
                <w:b/>
                <w:bCs/>
                <w:sz w:val="20"/>
                <w:szCs w:val="20"/>
              </w:rPr>
              <w:t xml:space="preserve"> očistený</w:t>
            </w:r>
            <w:r w:rsidR="001D001C">
              <w:rPr>
                <w:rFonts w:ascii="Times New Roman" w:hAnsi="Times New Roman"/>
                <w:b/>
                <w:bCs/>
                <w:sz w:val="20"/>
                <w:szCs w:val="20"/>
              </w:rPr>
              <w:t xml:space="preserve"> o vybrané vplyvy</w:t>
            </w:r>
          </w:p>
        </w:tc>
        <w:tc>
          <w:tcPr>
            <w:tcW w:w="633" w:type="pct"/>
            <w:tcBorders>
              <w:top w:val="nil"/>
              <w:left w:val="nil"/>
              <w:bottom w:val="single" w:sz="4" w:space="0" w:color="auto"/>
              <w:right w:val="nil"/>
            </w:tcBorders>
            <w:shd w:val="clear" w:color="000000" w:fill="FFFFFF"/>
            <w:noWrap/>
            <w:textDirection w:val="lrTb"/>
            <w:vAlign w:val="center"/>
            <w:hideMark/>
          </w:tcPr>
          <w:p w:rsidR="00716E2B" w:rsidRPr="003851EC" w:rsidP="002D72F1">
            <w:pPr>
              <w:bidi w:val="0"/>
              <w:jc w:val="right"/>
              <w:rPr>
                <w:rFonts w:ascii="Times New Roman" w:hAnsi="Times New Roman"/>
                <w:b/>
                <w:bCs/>
                <w:sz w:val="20"/>
                <w:szCs w:val="20"/>
              </w:rPr>
            </w:pPr>
            <w:r w:rsidRPr="003851EC">
              <w:rPr>
                <w:rFonts w:ascii="Times New Roman" w:hAnsi="Times New Roman"/>
                <w:b/>
                <w:bCs/>
                <w:sz w:val="20"/>
                <w:szCs w:val="20"/>
              </w:rPr>
              <w:t>-2,63</w:t>
            </w:r>
          </w:p>
        </w:tc>
      </w:tr>
      <w:tr>
        <w:tblPrEx>
          <w:tblW w:w="5000" w:type="pct"/>
          <w:tblCellMar>
            <w:left w:w="70" w:type="dxa"/>
            <w:right w:w="70" w:type="dxa"/>
          </w:tblCellMar>
          <w:tblLook w:val="04A0"/>
        </w:tblPrEx>
        <w:trPr>
          <w:trHeight w:val="330"/>
        </w:trPr>
        <w:tc>
          <w:tcPr>
            <w:tcW w:w="4367" w:type="pct"/>
            <w:tcBorders>
              <w:top w:val="nil"/>
              <w:left w:val="nil"/>
              <w:bottom w:val="nil"/>
              <w:right w:val="nil"/>
            </w:tcBorders>
            <w:noWrap/>
            <w:textDirection w:val="lrTb"/>
            <w:vAlign w:val="bottom"/>
            <w:hideMark/>
          </w:tcPr>
          <w:p w:rsidR="00716E2B" w:rsidRPr="003851EC" w:rsidP="00C97AF6">
            <w:pPr>
              <w:bidi w:val="0"/>
              <w:jc w:val="right"/>
              <w:rPr>
                <w:rFonts w:ascii="Times New Roman" w:hAnsi="Times New Roman"/>
                <w:b/>
                <w:bCs/>
                <w:sz w:val="20"/>
                <w:szCs w:val="20"/>
              </w:rPr>
            </w:pPr>
          </w:p>
        </w:tc>
        <w:tc>
          <w:tcPr>
            <w:tcW w:w="633" w:type="pct"/>
            <w:tcBorders>
              <w:top w:val="nil"/>
              <w:left w:val="nil"/>
              <w:bottom w:val="nil"/>
              <w:right w:val="nil"/>
            </w:tcBorders>
            <w:noWrap/>
            <w:textDirection w:val="lrTb"/>
            <w:vAlign w:val="top"/>
            <w:hideMark/>
          </w:tcPr>
          <w:p w:rsidR="00716E2B" w:rsidRPr="003851EC" w:rsidP="00C97AF6">
            <w:pPr>
              <w:bidi w:val="0"/>
              <w:jc w:val="right"/>
              <w:rPr>
                <w:rFonts w:ascii="Times New Roman" w:hAnsi="Times New Roman"/>
                <w:sz w:val="16"/>
                <w:szCs w:val="16"/>
              </w:rPr>
            </w:pPr>
            <w:r w:rsidRPr="003851EC">
              <w:rPr>
                <w:rFonts w:ascii="Times New Roman" w:hAnsi="Times New Roman"/>
                <w:sz w:val="16"/>
                <w:szCs w:val="16"/>
              </w:rPr>
              <w:t>Zdroj: MF SR</w:t>
            </w:r>
          </w:p>
        </w:tc>
      </w:tr>
    </w:tbl>
    <w:p w:rsidR="00716E2B" w:rsidRPr="00D06462" w:rsidP="00D06462">
      <w:pPr>
        <w:bidi w:val="0"/>
        <w:spacing w:after="120" w:line="336" w:lineRule="auto"/>
        <w:jc w:val="both"/>
        <w:rPr>
          <w:rFonts w:ascii="Times New Roman" w:hAnsi="Times New Roman"/>
          <w:sz w:val="22"/>
          <w:szCs w:val="22"/>
        </w:rPr>
      </w:pPr>
      <w:r w:rsidRPr="004143CE">
        <w:rPr>
          <w:rFonts w:ascii="Times New Roman" w:hAnsi="Times New Roman"/>
          <w:b/>
          <w:sz w:val="22"/>
          <w:szCs w:val="22"/>
        </w:rPr>
        <w:t>Dlh verejnej správy</w:t>
      </w:r>
      <w:r w:rsidRPr="00D06462">
        <w:rPr>
          <w:rFonts w:ascii="Times New Roman" w:hAnsi="Times New Roman"/>
          <w:sz w:val="22"/>
          <w:szCs w:val="22"/>
        </w:rPr>
        <w:t xml:space="preserve"> ovplyvnilo zaradenie Železničnej spoločnosti Slovensko, a.s. </w:t>
      </w:r>
      <w:r w:rsidR="00DC1B53">
        <w:rPr>
          <w:rFonts w:ascii="Times New Roman" w:hAnsi="Times New Roman"/>
          <w:sz w:val="22"/>
          <w:szCs w:val="22"/>
        </w:rPr>
        <w:t>do sektora verejnej správy. Z</w:t>
      </w:r>
      <w:r w:rsidRPr="00D06462">
        <w:rPr>
          <w:rFonts w:ascii="Times New Roman" w:hAnsi="Times New Roman"/>
          <w:sz w:val="22"/>
          <w:szCs w:val="22"/>
        </w:rPr>
        <w:t>aradenie</w:t>
      </w:r>
      <w:r w:rsidR="00DC1B53">
        <w:rPr>
          <w:rFonts w:ascii="Times New Roman" w:hAnsi="Times New Roman"/>
          <w:sz w:val="22"/>
          <w:szCs w:val="22"/>
        </w:rPr>
        <w:t xml:space="preserve"> spoločnosti</w:t>
      </w:r>
      <w:r w:rsidRPr="00D06462">
        <w:rPr>
          <w:rFonts w:ascii="Times New Roman" w:hAnsi="Times New Roman"/>
          <w:sz w:val="22"/>
          <w:szCs w:val="22"/>
        </w:rPr>
        <w:t xml:space="preserve"> zvýšilo dlh o 311 231 tis. eur (0,4 % HDP). Zaradenie Národného rezolučného fondu a Slovenskej reštrukturalizačnej, s.</w:t>
      </w:r>
      <w:r w:rsidRPr="00D06462" w:rsidR="00C77244">
        <w:rPr>
          <w:rFonts w:ascii="Times New Roman" w:hAnsi="Times New Roman"/>
          <w:sz w:val="22"/>
          <w:szCs w:val="22"/>
        </w:rPr>
        <w:t xml:space="preserve"> </w:t>
      </w:r>
      <w:r w:rsidRPr="00D06462">
        <w:rPr>
          <w:rFonts w:ascii="Times New Roman" w:hAnsi="Times New Roman"/>
          <w:sz w:val="22"/>
          <w:szCs w:val="22"/>
        </w:rPr>
        <w:t>r.</w:t>
      </w:r>
      <w:r w:rsidRPr="00D06462" w:rsidR="00C77244">
        <w:rPr>
          <w:rFonts w:ascii="Times New Roman" w:hAnsi="Times New Roman"/>
          <w:sz w:val="22"/>
          <w:szCs w:val="22"/>
        </w:rPr>
        <w:t xml:space="preserve"> </w:t>
      </w:r>
      <w:r w:rsidRPr="00D06462">
        <w:rPr>
          <w:rFonts w:ascii="Times New Roman" w:hAnsi="Times New Roman"/>
          <w:sz w:val="22"/>
          <w:szCs w:val="22"/>
        </w:rPr>
        <w:t>o. výšku dlhu verejnej správy neovplyvnilo, vzhľadom na to, že výška ich dlhových záväzkov bola v roku 2015 nulová.</w:t>
      </w:r>
    </w:p>
    <w:p w:rsidR="00E54307" w:rsidP="00A64D0A">
      <w:pPr>
        <w:pStyle w:val="Heading2"/>
        <w:numPr>
          <w:ilvl w:val="1"/>
          <w:numId w:val="19"/>
        </w:numPr>
        <w:tabs>
          <w:tab w:val="clear" w:pos="1134"/>
        </w:tabs>
        <w:bidi w:val="0"/>
        <w:spacing w:before="0" w:beforeAutospacing="0" w:line="336" w:lineRule="auto"/>
        <w:ind w:left="357" w:hanging="357"/>
        <w:rPr>
          <w:rFonts w:ascii="Times New Roman" w:hAnsi="Times New Roman"/>
        </w:rPr>
      </w:pPr>
      <w:bookmarkStart w:id="20" w:name="_Toc449622831"/>
      <w:r w:rsidR="00597981">
        <w:rPr>
          <w:rFonts w:ascii="Times New Roman" w:hAnsi="Times New Roman"/>
        </w:rPr>
        <w:t>Porovnanie salda a dlhu verejnej správy v Európskej únii</w:t>
      </w:r>
      <w:bookmarkEnd w:id="20"/>
    </w:p>
    <w:p w:rsidR="00D265F6" w:rsidRPr="00E54307" w:rsidP="003C2255">
      <w:pPr>
        <w:bidi w:val="0"/>
        <w:spacing w:after="120" w:line="336" w:lineRule="auto"/>
        <w:jc w:val="both"/>
        <w:rPr>
          <w:rFonts w:ascii="Times New Roman" w:hAnsi="Times New Roman"/>
          <w:sz w:val="22"/>
          <w:szCs w:val="22"/>
        </w:rPr>
      </w:pPr>
      <w:r w:rsidRPr="00E54307">
        <w:rPr>
          <w:rFonts w:ascii="Times New Roman" w:hAnsi="Times New Roman"/>
          <w:sz w:val="22"/>
          <w:szCs w:val="22"/>
        </w:rPr>
        <w:t>V rámci Európskej únie (28 krajín) v roku 201</w:t>
      </w:r>
      <w:r>
        <w:rPr>
          <w:rFonts w:ascii="Times New Roman" w:hAnsi="Times New Roman"/>
          <w:sz w:val="22"/>
          <w:szCs w:val="22"/>
        </w:rPr>
        <w:t>5</w:t>
      </w:r>
      <w:r w:rsidRPr="00E54307">
        <w:rPr>
          <w:rFonts w:ascii="Times New Roman" w:hAnsi="Times New Roman"/>
          <w:sz w:val="22"/>
          <w:szCs w:val="22"/>
        </w:rPr>
        <w:t xml:space="preserve"> dosiahlo </w:t>
      </w:r>
      <w:r>
        <w:rPr>
          <w:rFonts w:ascii="Times New Roman" w:hAnsi="Times New Roman"/>
          <w:sz w:val="22"/>
          <w:szCs w:val="22"/>
        </w:rPr>
        <w:t>6</w:t>
      </w:r>
      <w:r w:rsidRPr="00E54307">
        <w:rPr>
          <w:rFonts w:ascii="Times New Roman" w:hAnsi="Times New Roman"/>
          <w:sz w:val="22"/>
          <w:szCs w:val="22"/>
        </w:rPr>
        <w:t xml:space="preserve"> krajín vyšší schodok a </w:t>
      </w:r>
      <w:r>
        <w:rPr>
          <w:rFonts w:ascii="Times New Roman" w:hAnsi="Times New Roman"/>
          <w:sz w:val="22"/>
          <w:szCs w:val="22"/>
        </w:rPr>
        <w:t xml:space="preserve">17 </w:t>
      </w:r>
      <w:r w:rsidRPr="00E54307">
        <w:rPr>
          <w:rFonts w:ascii="Times New Roman" w:hAnsi="Times New Roman"/>
          <w:sz w:val="22"/>
          <w:szCs w:val="22"/>
        </w:rPr>
        <w:t xml:space="preserve">krajín dosiahlo vyšší dlh verejnej správy ako Slovenská republika. </w:t>
      </w:r>
      <w:r w:rsidRPr="00E54307">
        <w:rPr>
          <w:rFonts w:ascii="Times New Roman" w:hAnsi="Times New Roman"/>
          <w:b/>
          <w:sz w:val="22"/>
          <w:szCs w:val="22"/>
        </w:rPr>
        <w:t xml:space="preserve">Priemerný schodok EÚ 28 bol </w:t>
      </w:r>
      <w:r>
        <w:rPr>
          <w:rFonts w:ascii="Times New Roman" w:hAnsi="Times New Roman"/>
          <w:b/>
          <w:sz w:val="22"/>
          <w:szCs w:val="22"/>
        </w:rPr>
        <w:t>2,4</w:t>
      </w:r>
      <w:r w:rsidRPr="00E54307">
        <w:rPr>
          <w:rFonts w:ascii="Times New Roman" w:hAnsi="Times New Roman"/>
          <w:b/>
          <w:sz w:val="22"/>
          <w:szCs w:val="22"/>
        </w:rPr>
        <w:t> % HDP</w:t>
      </w:r>
      <w:r w:rsidRPr="00E54307">
        <w:rPr>
          <w:rFonts w:ascii="Times New Roman" w:hAnsi="Times New Roman"/>
          <w:sz w:val="22"/>
          <w:szCs w:val="22"/>
        </w:rPr>
        <w:t xml:space="preserve"> (Slovensko </w:t>
      </w:r>
      <w:r w:rsidR="00102571">
        <w:rPr>
          <w:rFonts w:ascii="Times New Roman" w:hAnsi="Times New Roman"/>
          <w:sz w:val="22"/>
          <w:szCs w:val="22"/>
        </w:rPr>
        <w:t>2</w:t>
      </w:r>
      <w:r>
        <w:rPr>
          <w:rFonts w:ascii="Times New Roman" w:hAnsi="Times New Roman"/>
          <w:sz w:val="22"/>
          <w:szCs w:val="22"/>
        </w:rPr>
        <w:t>,</w:t>
      </w:r>
      <w:r w:rsidR="00102571">
        <w:rPr>
          <w:rFonts w:ascii="Times New Roman" w:hAnsi="Times New Roman"/>
          <w:sz w:val="22"/>
          <w:szCs w:val="22"/>
        </w:rPr>
        <w:t>97</w:t>
      </w:r>
      <w:r w:rsidRPr="00E54307">
        <w:rPr>
          <w:rFonts w:ascii="Times New Roman" w:hAnsi="Times New Roman"/>
          <w:sz w:val="22"/>
          <w:szCs w:val="22"/>
        </w:rPr>
        <w:t> % HDP) a </w:t>
      </w:r>
      <w:r w:rsidRPr="00E54307">
        <w:rPr>
          <w:rFonts w:ascii="Times New Roman" w:hAnsi="Times New Roman"/>
          <w:b/>
          <w:sz w:val="22"/>
          <w:szCs w:val="22"/>
        </w:rPr>
        <w:t xml:space="preserve">priemerný dlh verejnej správy EÚ 28 bol </w:t>
      </w:r>
      <w:r>
        <w:rPr>
          <w:rFonts w:ascii="Times New Roman" w:hAnsi="Times New Roman"/>
          <w:b/>
          <w:sz w:val="22"/>
          <w:szCs w:val="22"/>
        </w:rPr>
        <w:t>85,2</w:t>
      </w:r>
      <w:r w:rsidRPr="00E54307">
        <w:rPr>
          <w:rFonts w:ascii="Times New Roman" w:hAnsi="Times New Roman"/>
          <w:b/>
          <w:sz w:val="22"/>
          <w:szCs w:val="22"/>
        </w:rPr>
        <w:t> % HDP</w:t>
      </w:r>
      <w:r w:rsidRPr="00E54307">
        <w:rPr>
          <w:rFonts w:ascii="Times New Roman" w:hAnsi="Times New Roman"/>
          <w:sz w:val="22"/>
          <w:szCs w:val="22"/>
        </w:rPr>
        <w:t xml:space="preserve"> (Slovensko </w:t>
      </w:r>
      <w:r>
        <w:rPr>
          <w:rFonts w:ascii="Times New Roman" w:hAnsi="Times New Roman"/>
          <w:sz w:val="22"/>
          <w:szCs w:val="22"/>
        </w:rPr>
        <w:t>52,9</w:t>
      </w:r>
      <w:r w:rsidR="00102571">
        <w:rPr>
          <w:rFonts w:ascii="Times New Roman" w:hAnsi="Times New Roman"/>
          <w:sz w:val="22"/>
          <w:szCs w:val="22"/>
        </w:rPr>
        <w:t>1</w:t>
      </w:r>
      <w:r w:rsidRPr="00E54307">
        <w:rPr>
          <w:rFonts w:ascii="Times New Roman" w:hAnsi="Times New Roman"/>
          <w:sz w:val="22"/>
          <w:szCs w:val="22"/>
        </w:rPr>
        <w:t> % HDP)</w:t>
      </w:r>
      <w:r w:rsidRPr="00E54307">
        <w:rPr>
          <w:rFonts w:ascii="Times New Roman" w:hAnsi="Times New Roman" w:cs="Book Antiqua"/>
          <w:sz w:val="22"/>
          <w:szCs w:val="22"/>
        </w:rPr>
        <w:t xml:space="preserve"> </w:t>
      </w:r>
      <w:r w:rsidRPr="00E54307">
        <w:rPr>
          <w:rFonts w:ascii="Times New Roman" w:hAnsi="Times New Roman"/>
          <w:sz w:val="22"/>
          <w:szCs w:val="22"/>
        </w:rPr>
        <w:t>v roku 201</w:t>
      </w:r>
      <w:r>
        <w:rPr>
          <w:rFonts w:ascii="Times New Roman" w:hAnsi="Times New Roman"/>
          <w:sz w:val="22"/>
          <w:szCs w:val="22"/>
        </w:rPr>
        <w:t>5</w:t>
      </w:r>
      <w:r w:rsidRPr="00E54307">
        <w:rPr>
          <w:rFonts w:ascii="Times New Roman" w:hAnsi="Times New Roman"/>
          <w:sz w:val="22"/>
          <w:szCs w:val="22"/>
        </w:rPr>
        <w:t>.</w:t>
      </w:r>
    </w:p>
    <w:p w:rsidR="00D265F6" w:rsidRPr="00775252" w:rsidP="003C2255">
      <w:pPr>
        <w:bidi w:val="0"/>
        <w:spacing w:after="120" w:line="336" w:lineRule="auto"/>
        <w:jc w:val="both"/>
        <w:rPr>
          <w:rFonts w:ascii="Times New Roman" w:hAnsi="Times New Roman"/>
          <w:sz w:val="22"/>
          <w:szCs w:val="22"/>
        </w:rPr>
      </w:pPr>
      <w:r w:rsidRPr="00775252">
        <w:rPr>
          <w:rFonts w:ascii="Times New Roman" w:hAnsi="Times New Roman"/>
          <w:sz w:val="22"/>
          <w:szCs w:val="22"/>
        </w:rPr>
        <w:t xml:space="preserve">Najvyššie schodky verejnej </w:t>
      </w:r>
      <w:r>
        <w:rPr>
          <w:rFonts w:ascii="Times New Roman" w:hAnsi="Times New Roman"/>
          <w:sz w:val="22"/>
          <w:szCs w:val="22"/>
        </w:rPr>
        <w:t>správy v rámci EÚ 28 v roku 2015</w:t>
      </w:r>
      <w:r w:rsidRPr="00775252">
        <w:rPr>
          <w:rFonts w:ascii="Times New Roman" w:hAnsi="Times New Roman"/>
          <w:sz w:val="22"/>
          <w:szCs w:val="22"/>
        </w:rPr>
        <w:t xml:space="preserve"> vykázali podobne ako v predchádzajúc</w:t>
      </w:r>
      <w:r>
        <w:rPr>
          <w:rFonts w:ascii="Times New Roman" w:hAnsi="Times New Roman"/>
          <w:sz w:val="22"/>
          <w:szCs w:val="22"/>
        </w:rPr>
        <w:t>ich</w:t>
      </w:r>
      <w:r w:rsidRPr="00775252">
        <w:rPr>
          <w:rFonts w:ascii="Times New Roman" w:hAnsi="Times New Roman"/>
          <w:sz w:val="22"/>
          <w:szCs w:val="22"/>
        </w:rPr>
        <w:t xml:space="preserve"> rok</w:t>
      </w:r>
      <w:r>
        <w:rPr>
          <w:rFonts w:ascii="Times New Roman" w:hAnsi="Times New Roman"/>
          <w:sz w:val="22"/>
          <w:szCs w:val="22"/>
        </w:rPr>
        <w:t>och</w:t>
      </w:r>
      <w:r w:rsidRPr="00775252">
        <w:rPr>
          <w:rFonts w:ascii="Times New Roman" w:hAnsi="Times New Roman"/>
          <w:sz w:val="22"/>
          <w:szCs w:val="22"/>
        </w:rPr>
        <w:t xml:space="preserve"> krajiny najviac postihnuté ekonomickou a finančnou krízou</w:t>
      </w:r>
      <w:r>
        <w:rPr>
          <w:rFonts w:ascii="Times New Roman" w:hAnsi="Times New Roman"/>
          <w:sz w:val="22"/>
          <w:szCs w:val="22"/>
        </w:rPr>
        <w:t>.</w:t>
      </w:r>
      <w:r w:rsidRPr="00775252">
        <w:rPr>
          <w:rFonts w:ascii="Times New Roman" w:hAnsi="Times New Roman"/>
          <w:sz w:val="22"/>
          <w:szCs w:val="22"/>
        </w:rPr>
        <w:t xml:space="preserve"> Španielsko dosiahlo schodok </w:t>
      </w:r>
      <w:r>
        <w:rPr>
          <w:rFonts w:ascii="Times New Roman" w:hAnsi="Times New Roman"/>
          <w:sz w:val="22"/>
          <w:szCs w:val="22"/>
        </w:rPr>
        <w:t>5,1</w:t>
      </w:r>
      <w:r w:rsidRPr="00775252">
        <w:rPr>
          <w:rFonts w:ascii="Times New Roman" w:hAnsi="Times New Roman"/>
          <w:sz w:val="22"/>
          <w:szCs w:val="22"/>
        </w:rPr>
        <w:t xml:space="preserve"> % HDP, </w:t>
      </w:r>
      <w:r>
        <w:rPr>
          <w:rFonts w:ascii="Times New Roman" w:hAnsi="Times New Roman"/>
          <w:sz w:val="22"/>
          <w:szCs w:val="22"/>
        </w:rPr>
        <w:t>Portugalsko</w:t>
      </w:r>
      <w:r w:rsidR="00D35415">
        <w:rPr>
          <w:rFonts w:ascii="Times New Roman" w:hAnsi="Times New Roman"/>
          <w:sz w:val="22"/>
          <w:szCs w:val="22"/>
        </w:rPr>
        <w:t xml:space="preserve"> 4,4 % HDP</w:t>
      </w:r>
      <w:r w:rsidRPr="00775252">
        <w:rPr>
          <w:rFonts w:ascii="Times New Roman" w:hAnsi="Times New Roman"/>
          <w:sz w:val="22"/>
          <w:szCs w:val="22"/>
        </w:rPr>
        <w:t>. Úplne najvyšší schodok v roku 201</w:t>
      </w:r>
      <w:r>
        <w:rPr>
          <w:rFonts w:ascii="Times New Roman" w:hAnsi="Times New Roman"/>
          <w:sz w:val="22"/>
          <w:szCs w:val="22"/>
        </w:rPr>
        <w:t>5</w:t>
      </w:r>
      <w:r w:rsidRPr="00775252">
        <w:rPr>
          <w:rFonts w:ascii="Times New Roman" w:hAnsi="Times New Roman"/>
          <w:sz w:val="22"/>
          <w:szCs w:val="22"/>
        </w:rPr>
        <w:t xml:space="preserve"> vykázal</w:t>
      </w:r>
      <w:r>
        <w:rPr>
          <w:rFonts w:ascii="Times New Roman" w:hAnsi="Times New Roman"/>
          <w:sz w:val="22"/>
          <w:szCs w:val="22"/>
        </w:rPr>
        <w:t>o</w:t>
      </w:r>
      <w:r w:rsidRPr="00775252">
        <w:rPr>
          <w:rFonts w:ascii="Times New Roman" w:hAnsi="Times New Roman"/>
          <w:sz w:val="22"/>
          <w:szCs w:val="22"/>
        </w:rPr>
        <w:t xml:space="preserve"> </w:t>
      </w:r>
      <w:r>
        <w:rPr>
          <w:rFonts w:ascii="Times New Roman" w:hAnsi="Times New Roman"/>
          <w:sz w:val="22"/>
          <w:szCs w:val="22"/>
        </w:rPr>
        <w:t>Grécko</w:t>
      </w:r>
      <w:r w:rsidRPr="00775252">
        <w:rPr>
          <w:rFonts w:ascii="Times New Roman" w:hAnsi="Times New Roman"/>
          <w:sz w:val="22"/>
          <w:szCs w:val="22"/>
        </w:rPr>
        <w:t xml:space="preserve"> vo výške </w:t>
      </w:r>
      <w:r>
        <w:rPr>
          <w:rFonts w:ascii="Times New Roman" w:hAnsi="Times New Roman"/>
          <w:sz w:val="22"/>
          <w:szCs w:val="22"/>
        </w:rPr>
        <w:t>7</w:t>
      </w:r>
      <w:r w:rsidRPr="00775252">
        <w:rPr>
          <w:rFonts w:ascii="Times New Roman" w:hAnsi="Times New Roman"/>
          <w:sz w:val="22"/>
          <w:szCs w:val="22"/>
        </w:rPr>
        <w:t>,</w:t>
      </w:r>
      <w:r>
        <w:rPr>
          <w:rFonts w:ascii="Times New Roman" w:hAnsi="Times New Roman"/>
          <w:sz w:val="22"/>
          <w:szCs w:val="22"/>
        </w:rPr>
        <w:t>2</w:t>
      </w:r>
      <w:r w:rsidRPr="00775252">
        <w:rPr>
          <w:rFonts w:ascii="Times New Roman" w:hAnsi="Times New Roman"/>
          <w:sz w:val="22"/>
          <w:szCs w:val="22"/>
        </w:rPr>
        <w:t xml:space="preserve"> % HDP. Medzi krajiny s najnižším schodkom patrili tradične severské a pobaltské krajiny. </w:t>
      </w:r>
      <w:r>
        <w:rPr>
          <w:rFonts w:ascii="Times New Roman" w:hAnsi="Times New Roman"/>
          <w:sz w:val="22"/>
          <w:szCs w:val="22"/>
        </w:rPr>
        <w:t>Švédsko</w:t>
      </w:r>
      <w:r w:rsidRPr="00775252">
        <w:rPr>
          <w:rFonts w:ascii="Times New Roman" w:hAnsi="Times New Roman"/>
          <w:sz w:val="22"/>
          <w:szCs w:val="22"/>
        </w:rPr>
        <w:t xml:space="preserve"> spolu s</w:t>
      </w:r>
      <w:r>
        <w:rPr>
          <w:rFonts w:ascii="Times New Roman" w:hAnsi="Times New Roman"/>
          <w:sz w:val="22"/>
          <w:szCs w:val="22"/>
        </w:rPr>
        <w:t> </w:t>
      </w:r>
      <w:r w:rsidRPr="00775252">
        <w:rPr>
          <w:rFonts w:ascii="Times New Roman" w:hAnsi="Times New Roman"/>
          <w:sz w:val="22"/>
          <w:szCs w:val="22"/>
        </w:rPr>
        <w:t>Estónskom</w:t>
      </w:r>
      <w:r>
        <w:rPr>
          <w:rFonts w:ascii="Times New Roman" w:hAnsi="Times New Roman"/>
          <w:sz w:val="22"/>
          <w:szCs w:val="22"/>
        </w:rPr>
        <w:t>, Nemeckom</w:t>
      </w:r>
      <w:r w:rsidRPr="00775252">
        <w:rPr>
          <w:rFonts w:ascii="Times New Roman" w:hAnsi="Times New Roman"/>
          <w:sz w:val="22"/>
          <w:szCs w:val="22"/>
        </w:rPr>
        <w:t xml:space="preserve"> a Luxemburskom boli krajinami v rámci EÚ 28, ktoré za rok 201</w:t>
      </w:r>
      <w:r>
        <w:rPr>
          <w:rFonts w:ascii="Times New Roman" w:hAnsi="Times New Roman"/>
          <w:sz w:val="22"/>
          <w:szCs w:val="22"/>
        </w:rPr>
        <w:t>5</w:t>
      </w:r>
      <w:r w:rsidRPr="00775252">
        <w:rPr>
          <w:rFonts w:ascii="Times New Roman" w:hAnsi="Times New Roman"/>
          <w:sz w:val="22"/>
          <w:szCs w:val="22"/>
        </w:rPr>
        <w:t xml:space="preserve"> vykázali prebytok. Najväčší prebytok vykázalo </w:t>
      </w:r>
      <w:r>
        <w:rPr>
          <w:rFonts w:ascii="Times New Roman" w:hAnsi="Times New Roman"/>
          <w:sz w:val="22"/>
          <w:szCs w:val="22"/>
        </w:rPr>
        <w:t>Luxembursko</w:t>
      </w:r>
      <w:r w:rsidRPr="00775252">
        <w:rPr>
          <w:rFonts w:ascii="Times New Roman" w:hAnsi="Times New Roman"/>
          <w:sz w:val="22"/>
          <w:szCs w:val="22"/>
        </w:rPr>
        <w:t xml:space="preserve"> vo výške 1,2 % HDP.</w:t>
      </w:r>
      <w:r w:rsidR="005D49C5">
        <w:rPr>
          <w:rFonts w:ascii="Times New Roman" w:hAnsi="Times New Roman"/>
          <w:sz w:val="22"/>
          <w:szCs w:val="22"/>
        </w:rPr>
        <w:t xml:space="preserve"> </w:t>
      </w:r>
      <w:r w:rsidRPr="00775252">
        <w:rPr>
          <w:rFonts w:ascii="Times New Roman" w:hAnsi="Times New Roman"/>
          <w:sz w:val="22"/>
          <w:szCs w:val="22"/>
        </w:rPr>
        <w:t xml:space="preserve">Pohľad na najvyšší dlh verejnej správy ukazuje podobný výsledok ako pohľad na schodky, teda najvyššie dlhy vykázali krajiny najviac postihnuté ekonomickou a finančnou krízou, pričom sa medzi nimi nachádzajú aj krajiny s dlhodobo vysokými dlhmi ako Taliansko a Belgicko. </w:t>
      </w:r>
    </w:p>
    <w:p w:rsidR="00D265F6" w:rsidRPr="00E54307" w:rsidP="00951A7B">
      <w:pPr>
        <w:bidi w:val="0"/>
        <w:spacing w:line="336" w:lineRule="auto"/>
        <w:jc w:val="both"/>
        <w:rPr>
          <w:rFonts w:ascii="Times New Roman" w:hAnsi="Times New Roman"/>
          <w:sz w:val="22"/>
          <w:szCs w:val="22"/>
        </w:rPr>
      </w:pPr>
      <w:r w:rsidRPr="007B1498">
        <w:rPr>
          <w:rFonts w:ascii="Times New Roman" w:hAnsi="Times New Roman"/>
          <w:sz w:val="22"/>
          <w:szCs w:val="22"/>
        </w:rPr>
        <w:t>Najvyšší dlh verejnej správy v roku 201</w:t>
      </w:r>
      <w:r>
        <w:rPr>
          <w:rFonts w:ascii="Times New Roman" w:hAnsi="Times New Roman"/>
          <w:sz w:val="22"/>
          <w:szCs w:val="22"/>
        </w:rPr>
        <w:t>5</w:t>
      </w:r>
      <w:r w:rsidRPr="007B1498">
        <w:rPr>
          <w:rFonts w:ascii="Times New Roman" w:hAnsi="Times New Roman"/>
          <w:sz w:val="22"/>
          <w:szCs w:val="22"/>
        </w:rPr>
        <w:t xml:space="preserve"> vykázalo Grécko </w:t>
      </w:r>
      <w:r>
        <w:rPr>
          <w:rFonts w:ascii="Times New Roman" w:hAnsi="Times New Roman"/>
          <w:sz w:val="22"/>
          <w:szCs w:val="22"/>
        </w:rPr>
        <w:t>176</w:t>
      </w:r>
      <w:r w:rsidRPr="007B1498">
        <w:rPr>
          <w:rFonts w:ascii="Times New Roman" w:hAnsi="Times New Roman"/>
          <w:sz w:val="22"/>
          <w:szCs w:val="22"/>
        </w:rPr>
        <w:t>,</w:t>
      </w:r>
      <w:r>
        <w:rPr>
          <w:rFonts w:ascii="Times New Roman" w:hAnsi="Times New Roman"/>
          <w:sz w:val="22"/>
          <w:szCs w:val="22"/>
        </w:rPr>
        <w:t>9</w:t>
      </w:r>
      <w:r w:rsidRPr="007B1498">
        <w:rPr>
          <w:rFonts w:ascii="Times New Roman" w:hAnsi="Times New Roman"/>
          <w:sz w:val="22"/>
          <w:szCs w:val="22"/>
        </w:rPr>
        <w:t> % HDP, Taliansko 132,</w:t>
      </w:r>
      <w:r>
        <w:rPr>
          <w:rFonts w:ascii="Times New Roman" w:hAnsi="Times New Roman"/>
          <w:sz w:val="22"/>
          <w:szCs w:val="22"/>
        </w:rPr>
        <w:t>7</w:t>
      </w:r>
      <w:r w:rsidRPr="007B1498">
        <w:rPr>
          <w:rFonts w:ascii="Times New Roman" w:hAnsi="Times New Roman"/>
          <w:sz w:val="22"/>
          <w:szCs w:val="22"/>
        </w:rPr>
        <w:t> % HDP a Portugalsko 1</w:t>
      </w:r>
      <w:r>
        <w:rPr>
          <w:rFonts w:ascii="Times New Roman" w:hAnsi="Times New Roman"/>
          <w:sz w:val="22"/>
          <w:szCs w:val="22"/>
        </w:rPr>
        <w:t>29,0</w:t>
      </w:r>
      <w:r w:rsidRPr="007B1498">
        <w:rPr>
          <w:rFonts w:ascii="Times New Roman" w:hAnsi="Times New Roman"/>
          <w:sz w:val="22"/>
          <w:szCs w:val="22"/>
        </w:rPr>
        <w:t xml:space="preserve"> % HDP. Najnižší dlh vykázalo Estónsko vo výške </w:t>
      </w:r>
      <w:r w:rsidR="00C2780F">
        <w:rPr>
          <w:rFonts w:ascii="Times New Roman" w:hAnsi="Times New Roman"/>
          <w:sz w:val="22"/>
          <w:szCs w:val="22"/>
        </w:rPr>
        <w:t>9</w:t>
      </w:r>
      <w:r>
        <w:rPr>
          <w:rFonts w:ascii="Times New Roman" w:hAnsi="Times New Roman"/>
          <w:sz w:val="22"/>
          <w:szCs w:val="22"/>
        </w:rPr>
        <w:t>,</w:t>
      </w:r>
      <w:r w:rsidR="00C2780F">
        <w:rPr>
          <w:rFonts w:ascii="Times New Roman" w:hAnsi="Times New Roman"/>
          <w:sz w:val="22"/>
          <w:szCs w:val="22"/>
        </w:rPr>
        <w:t>7 % HDP. Slovensko so </w:t>
      </w:r>
      <w:r w:rsidRPr="007B1498">
        <w:rPr>
          <w:rFonts w:ascii="Times New Roman" w:hAnsi="Times New Roman"/>
          <w:sz w:val="22"/>
          <w:szCs w:val="22"/>
        </w:rPr>
        <w:t xml:space="preserve">svojím dlhom </w:t>
      </w:r>
      <w:r>
        <w:rPr>
          <w:rFonts w:ascii="Times New Roman" w:hAnsi="Times New Roman"/>
          <w:sz w:val="22"/>
          <w:szCs w:val="22"/>
        </w:rPr>
        <w:t>52,9</w:t>
      </w:r>
      <w:r w:rsidRPr="007B1498">
        <w:rPr>
          <w:rFonts w:ascii="Times New Roman" w:hAnsi="Times New Roman"/>
          <w:sz w:val="22"/>
          <w:szCs w:val="22"/>
        </w:rPr>
        <w:t xml:space="preserve"> % HDP patrí stále medzi krajiny s nižším dlhom, čo je dôležité z pohľadu dlhodobej udržateľnosti verejných financií.</w:t>
      </w:r>
    </w:p>
    <w:tbl>
      <w:tblPr>
        <w:tblStyle w:val="TableNormal"/>
        <w:tblW w:w="4961" w:type="pct"/>
        <w:tblInd w:w="70" w:type="dxa"/>
        <w:tblCellMar>
          <w:left w:w="70" w:type="dxa"/>
          <w:right w:w="70" w:type="dxa"/>
        </w:tblCellMar>
        <w:tblLook w:val="04A0"/>
      </w:tblPr>
      <w:tblGrid>
        <w:gridCol w:w="2056"/>
        <w:gridCol w:w="1004"/>
        <w:gridCol w:w="973"/>
        <w:gridCol w:w="976"/>
        <w:gridCol w:w="280"/>
        <w:gridCol w:w="1191"/>
        <w:gridCol w:w="1189"/>
        <w:gridCol w:w="1189"/>
      </w:tblGrid>
      <w:tr>
        <w:tblPrEx>
          <w:tblW w:w="4961" w:type="pct"/>
          <w:tblInd w:w="70" w:type="dxa"/>
          <w:tblCellMar>
            <w:left w:w="70" w:type="dxa"/>
            <w:right w:w="70" w:type="dxa"/>
          </w:tblCellMar>
          <w:tblLook w:val="04A0"/>
        </w:tblPrEx>
        <w:trPr>
          <w:trHeight w:val="330"/>
        </w:trPr>
        <w:tc>
          <w:tcPr>
            <w:tcW w:w="5000" w:type="pct"/>
            <w:gridSpan w:val="8"/>
            <w:tcBorders>
              <w:top w:val="nil"/>
              <w:left w:val="nil"/>
              <w:bottom w:val="nil"/>
              <w:right w:val="nil"/>
            </w:tcBorders>
            <w:shd w:val="clear" w:color="000000" w:fill="000000"/>
            <w:noWrap/>
            <w:textDirection w:val="lrTb"/>
            <w:vAlign w:val="center"/>
            <w:hideMark/>
          </w:tcPr>
          <w:p w:rsidR="00D265F6" w:rsidRPr="00CA49BD" w:rsidP="00D265F6">
            <w:pPr>
              <w:bidi w:val="0"/>
              <w:rPr>
                <w:rFonts w:ascii="Times New Roman" w:hAnsi="Times New Roman"/>
                <w:b/>
                <w:bCs/>
                <w:color w:val="FFFFFF"/>
                <w:sz w:val="20"/>
                <w:szCs w:val="20"/>
              </w:rPr>
            </w:pPr>
            <w:r w:rsidR="00DF3EDF">
              <w:rPr>
                <w:rFonts w:ascii="Times New Roman" w:hAnsi="Times New Roman"/>
              </w:rPr>
              <w:br w:type="page"/>
            </w:r>
            <w:r w:rsidRPr="00CA49BD">
              <w:rPr>
                <w:rFonts w:ascii="Times New Roman" w:hAnsi="Times New Roman"/>
                <w:b/>
                <w:bCs/>
                <w:color w:val="FFFFFF"/>
                <w:sz w:val="20"/>
                <w:szCs w:val="20"/>
              </w:rPr>
              <w:t>Saldo a dlh verejnej správy v EÚ 28 (% HDP)</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shd w:val="clear" w:color="000000" w:fill="C0C0C0"/>
            <w:textDirection w:val="lrTb"/>
            <w:vAlign w:val="center"/>
            <w:hideMark/>
          </w:tcPr>
          <w:p w:rsidR="00D265F6" w:rsidRPr="00CA49BD" w:rsidP="00D265F6">
            <w:pPr>
              <w:bidi w:val="0"/>
              <w:rPr>
                <w:rFonts w:ascii="Times New Roman" w:hAnsi="Times New Roman"/>
                <w:b/>
                <w:bCs/>
                <w:sz w:val="20"/>
                <w:szCs w:val="20"/>
              </w:rPr>
            </w:pPr>
            <w:r w:rsidRPr="00CA49BD">
              <w:rPr>
                <w:rFonts w:ascii="Times New Roman" w:hAnsi="Times New Roman"/>
                <w:b/>
                <w:bCs/>
                <w:sz w:val="20"/>
                <w:szCs w:val="20"/>
              </w:rPr>
              <w:t> </w:t>
            </w:r>
          </w:p>
        </w:tc>
        <w:tc>
          <w:tcPr>
            <w:tcW w:w="1667" w:type="pct"/>
            <w:gridSpan w:val="3"/>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 xml:space="preserve">Saldo verejnej správy </w:t>
            </w:r>
          </w:p>
        </w:tc>
        <w:tc>
          <w:tcPr>
            <w:tcW w:w="158" w:type="pct"/>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 </w:t>
            </w:r>
          </w:p>
        </w:tc>
        <w:tc>
          <w:tcPr>
            <w:tcW w:w="2015" w:type="pct"/>
            <w:gridSpan w:val="3"/>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 xml:space="preserve">Hrubý dlh verejnej správy </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shd w:val="clear" w:color="000000" w:fill="C0C0C0"/>
            <w:textDirection w:val="lrTb"/>
            <w:vAlign w:val="center"/>
            <w:hideMark/>
          </w:tcPr>
          <w:p w:rsidR="00D265F6" w:rsidRPr="00CA49BD" w:rsidP="00D265F6">
            <w:pPr>
              <w:bidi w:val="0"/>
              <w:rPr>
                <w:rFonts w:ascii="Times New Roman" w:hAnsi="Times New Roman"/>
                <w:b/>
                <w:bCs/>
                <w:sz w:val="20"/>
                <w:szCs w:val="20"/>
              </w:rPr>
            </w:pPr>
            <w:r w:rsidRPr="00CA49BD">
              <w:rPr>
                <w:rFonts w:ascii="Times New Roman" w:hAnsi="Times New Roman"/>
                <w:b/>
                <w:bCs/>
                <w:sz w:val="20"/>
                <w:szCs w:val="20"/>
              </w:rPr>
              <w:t> </w:t>
            </w:r>
          </w:p>
        </w:tc>
        <w:tc>
          <w:tcPr>
            <w:tcW w:w="567" w:type="pct"/>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2013</w:t>
            </w:r>
          </w:p>
        </w:tc>
        <w:tc>
          <w:tcPr>
            <w:tcW w:w="549" w:type="pct"/>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2014</w:t>
            </w:r>
          </w:p>
        </w:tc>
        <w:tc>
          <w:tcPr>
            <w:tcW w:w="551" w:type="pct"/>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2015</w:t>
            </w:r>
          </w:p>
        </w:tc>
        <w:tc>
          <w:tcPr>
            <w:tcW w:w="158" w:type="pct"/>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 </w:t>
            </w:r>
          </w:p>
        </w:tc>
        <w:tc>
          <w:tcPr>
            <w:tcW w:w="672" w:type="pct"/>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2013</w:t>
            </w:r>
          </w:p>
        </w:tc>
        <w:tc>
          <w:tcPr>
            <w:tcW w:w="671" w:type="pct"/>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2014</w:t>
            </w:r>
          </w:p>
        </w:tc>
        <w:tc>
          <w:tcPr>
            <w:tcW w:w="671" w:type="pct"/>
            <w:tcBorders>
              <w:top w:val="nil"/>
              <w:left w:val="nil"/>
              <w:bottom w:val="nil"/>
              <w:right w:val="nil"/>
            </w:tcBorders>
            <w:shd w:val="clear" w:color="000000" w:fill="C0C0C0"/>
            <w:textDirection w:val="lrTb"/>
            <w:vAlign w:val="center"/>
            <w:hideMark/>
          </w:tcPr>
          <w:p w:rsidR="00D265F6" w:rsidRPr="00CA49BD" w:rsidP="00D265F6">
            <w:pPr>
              <w:bidi w:val="0"/>
              <w:jc w:val="center"/>
              <w:rPr>
                <w:rFonts w:ascii="Times New Roman" w:hAnsi="Times New Roman"/>
                <w:b/>
                <w:bCs/>
                <w:sz w:val="20"/>
                <w:szCs w:val="20"/>
              </w:rPr>
            </w:pPr>
            <w:r w:rsidRPr="00CA49BD">
              <w:rPr>
                <w:rFonts w:ascii="Times New Roman" w:hAnsi="Times New Roman"/>
                <w:b/>
                <w:bCs/>
                <w:sz w:val="20"/>
                <w:szCs w:val="20"/>
              </w:rPr>
              <w:t>2015</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b/>
                <w:bCs/>
                <w:sz w:val="20"/>
                <w:szCs w:val="20"/>
              </w:rPr>
            </w:pPr>
            <w:r w:rsidRPr="00CA49BD">
              <w:rPr>
                <w:rFonts w:ascii="Times New Roman" w:hAnsi="Times New Roman"/>
                <w:b/>
                <w:bCs/>
                <w:sz w:val="20"/>
                <w:szCs w:val="20"/>
              </w:rPr>
              <w:t>EÚ (28 krajín)</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-3,3</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-3,0</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-2,4</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85,5</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86,8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85,2</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b/>
                <w:bCs/>
                <w:sz w:val="20"/>
                <w:szCs w:val="20"/>
              </w:rPr>
            </w:pPr>
            <w:r w:rsidRPr="00CA49BD">
              <w:rPr>
                <w:rFonts w:ascii="Times New Roman" w:hAnsi="Times New Roman"/>
                <w:b/>
                <w:bCs/>
                <w:sz w:val="20"/>
                <w:szCs w:val="20"/>
              </w:rPr>
              <w:t>Euro zóna</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-3,0</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-2,6</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-2,1</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91,1</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92,0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90,7</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Belgicko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-3,0</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-3,1</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-2,6</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105,2</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106,5</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106,0</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Bulharsko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-0,4</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-5,4</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-2,1</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17,1</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27,0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26,7</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Česká republika</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-1,3</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-1,9</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-0,4</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45,1</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42,7</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41,1</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Dánsko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-1,1</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1,5</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-2,1</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44,7</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44,8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40,2</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Nemecko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-0,1</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0,3</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0,7</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77,2</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74,7</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71,2</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Estónsko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-0,2</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0,8</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0,4</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9,9</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10,4</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9,7</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Írsko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-5,7</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-3,8</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-2,3</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120,0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107,5</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93,8</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Grécko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-13,0</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-3,6</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-7,2</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177,7</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180,1</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176,9</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Španielsko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-6,9</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-5,9</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-5,1</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93,7</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99,3</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99,2</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Francúzsko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-4,0</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-4,0</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-3,5</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92,4</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95,4</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95,8</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Chorvátsko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-5,3</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-5,5</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-3,2</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82,2</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86,5</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86,7</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Taliansko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-2,9</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-3,0</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-2,6</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129,0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132,5</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132,7</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Cyprus</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-4,9</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-8,9</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102,5</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108,2</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108,9</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Lotyšsko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-0,9</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-1,6</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-1,3</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39,1</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40,8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36,4</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Litva</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-2,6</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-0,7</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-0,2</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38,8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40,7</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42,7</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Luxembursko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0,8</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1,7</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1,2</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23,3</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22,9</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21,4</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Maďarsko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-2,6</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-2,3</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-2,0</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76,8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76,2</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75,3</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Malta</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-2,6</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-2,0</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-1,5</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68,6</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67,1</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63,9</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Holandsko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-2,4</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-2,4</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-1,8</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67,9</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68,2</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65,1</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Rakúsko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-1,3</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-2,7</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-1,2</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80,8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84,3</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86,2</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Poľsko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-4,0</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-3,3</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-2,6</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56,0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50,5</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51,3</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Portugalsko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-4,8</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-7,2</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-4,4</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129,0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130,2</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129,0</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Rumunsko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-2,1</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-0,9</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-0,7</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38,0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39,8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38,4</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Slovinsko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-15,0</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-5,0</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-2,9</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71,0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81,0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83,2</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b/>
                <w:bCs/>
                <w:sz w:val="20"/>
                <w:szCs w:val="20"/>
              </w:rPr>
            </w:pPr>
            <w:r w:rsidRPr="00CA49BD">
              <w:rPr>
                <w:rFonts w:ascii="Times New Roman" w:hAnsi="Times New Roman"/>
                <w:b/>
                <w:bCs/>
                <w:sz w:val="20"/>
                <w:szCs w:val="20"/>
              </w:rPr>
              <w:t>Slovensko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-2,7</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-2,7</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-3,0</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55,0</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53,9</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b/>
                <w:bCs/>
                <w:color w:val="000000"/>
                <w:sz w:val="20"/>
                <w:szCs w:val="20"/>
              </w:rPr>
            </w:pPr>
            <w:r w:rsidRPr="00CA49BD">
              <w:rPr>
                <w:rFonts w:ascii="Times New Roman" w:hAnsi="Times New Roman"/>
                <w:b/>
                <w:bCs/>
                <w:color w:val="000000"/>
                <w:sz w:val="20"/>
                <w:szCs w:val="20"/>
              </w:rPr>
              <w:t>52,9</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Fínsko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-2,6</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-3,2</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-2,7</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55,5</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59,3</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63,1</w:t>
            </w:r>
          </w:p>
        </w:tc>
      </w:tr>
      <w:tr>
        <w:tblPrEx>
          <w:tblW w:w="4961" w:type="pct"/>
          <w:tblInd w:w="70" w:type="dxa"/>
          <w:tblCellMar>
            <w:left w:w="70" w:type="dxa"/>
            <w:right w:w="70" w:type="dxa"/>
          </w:tblCellMar>
          <w:tblLook w:val="04A0"/>
        </w:tblPrEx>
        <w:trPr>
          <w:trHeight w:val="330"/>
        </w:trPr>
        <w:tc>
          <w:tcPr>
            <w:tcW w:w="1161" w:type="pct"/>
            <w:tcBorders>
              <w:top w:val="nil"/>
              <w:left w:val="nil"/>
              <w:bottom w:val="nil"/>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Švédsko</w:t>
            </w:r>
          </w:p>
        </w:tc>
        <w:tc>
          <w:tcPr>
            <w:tcW w:w="567"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-1,4</w:t>
            </w:r>
          </w:p>
        </w:tc>
        <w:tc>
          <w:tcPr>
            <w:tcW w:w="549"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-1,6</w:t>
            </w:r>
          </w:p>
        </w:tc>
        <w:tc>
          <w:tcPr>
            <w:tcW w:w="55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0,0</w:t>
            </w:r>
          </w:p>
        </w:tc>
        <w:tc>
          <w:tcPr>
            <w:tcW w:w="158"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p>
        </w:tc>
        <w:tc>
          <w:tcPr>
            <w:tcW w:w="672"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39,8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44,8</w:t>
            </w:r>
          </w:p>
        </w:tc>
        <w:tc>
          <w:tcPr>
            <w:tcW w:w="671" w:type="pct"/>
            <w:tcBorders>
              <w:top w:val="nil"/>
              <w:left w:val="nil"/>
              <w:bottom w:val="nil"/>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43,4</w:t>
            </w:r>
          </w:p>
        </w:tc>
      </w:tr>
      <w:tr>
        <w:tblPrEx>
          <w:tblW w:w="4961" w:type="pct"/>
          <w:tblInd w:w="70" w:type="dxa"/>
          <w:tblCellMar>
            <w:left w:w="70" w:type="dxa"/>
            <w:right w:w="70" w:type="dxa"/>
          </w:tblCellMar>
          <w:tblLook w:val="04A0"/>
        </w:tblPrEx>
        <w:trPr>
          <w:trHeight w:val="330"/>
        </w:trPr>
        <w:tc>
          <w:tcPr>
            <w:tcW w:w="1161" w:type="pct"/>
            <w:tcBorders>
              <w:top w:val="nil"/>
              <w:left w:val="nil"/>
              <w:bottom w:val="single" w:sz="4" w:space="0" w:color="000000"/>
              <w:right w:val="nil"/>
            </w:tcBorders>
            <w:noWrap/>
            <w:textDirection w:val="lrTb"/>
            <w:vAlign w:val="center"/>
            <w:hideMark/>
          </w:tcPr>
          <w:p w:rsidR="00D265F6" w:rsidRPr="00CA49BD" w:rsidP="00D265F6">
            <w:pPr>
              <w:bidi w:val="0"/>
              <w:rPr>
                <w:rFonts w:ascii="Times New Roman" w:hAnsi="Times New Roman"/>
                <w:sz w:val="20"/>
                <w:szCs w:val="20"/>
              </w:rPr>
            </w:pPr>
            <w:r w:rsidRPr="00CA49BD">
              <w:rPr>
                <w:rFonts w:ascii="Times New Roman" w:hAnsi="Times New Roman"/>
                <w:sz w:val="20"/>
                <w:szCs w:val="20"/>
              </w:rPr>
              <w:t>Veľká Británia</w:t>
            </w:r>
          </w:p>
        </w:tc>
        <w:tc>
          <w:tcPr>
            <w:tcW w:w="567" w:type="pct"/>
            <w:tcBorders>
              <w:top w:val="nil"/>
              <w:left w:val="nil"/>
              <w:bottom w:val="single" w:sz="4" w:space="0" w:color="auto"/>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-5,6</w:t>
            </w:r>
          </w:p>
        </w:tc>
        <w:tc>
          <w:tcPr>
            <w:tcW w:w="549" w:type="pct"/>
            <w:tcBorders>
              <w:top w:val="nil"/>
              <w:left w:val="nil"/>
              <w:bottom w:val="single" w:sz="4" w:space="0" w:color="auto"/>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-5,6</w:t>
            </w:r>
          </w:p>
        </w:tc>
        <w:tc>
          <w:tcPr>
            <w:tcW w:w="551" w:type="pct"/>
            <w:tcBorders>
              <w:top w:val="nil"/>
              <w:left w:val="nil"/>
              <w:bottom w:val="single" w:sz="4" w:space="0" w:color="auto"/>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-4,4</w:t>
            </w:r>
          </w:p>
        </w:tc>
        <w:tc>
          <w:tcPr>
            <w:tcW w:w="158" w:type="pct"/>
            <w:tcBorders>
              <w:top w:val="nil"/>
              <w:left w:val="nil"/>
              <w:bottom w:val="single" w:sz="4" w:space="0" w:color="auto"/>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 </w:t>
            </w:r>
          </w:p>
        </w:tc>
        <w:tc>
          <w:tcPr>
            <w:tcW w:w="672" w:type="pct"/>
            <w:tcBorders>
              <w:top w:val="nil"/>
              <w:left w:val="nil"/>
              <w:bottom w:val="single" w:sz="4" w:space="0" w:color="auto"/>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86,2</w:t>
            </w:r>
          </w:p>
        </w:tc>
        <w:tc>
          <w:tcPr>
            <w:tcW w:w="671" w:type="pct"/>
            <w:tcBorders>
              <w:top w:val="nil"/>
              <w:left w:val="nil"/>
              <w:bottom w:val="single" w:sz="4" w:space="0" w:color="auto"/>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88,2</w:t>
            </w:r>
          </w:p>
        </w:tc>
        <w:tc>
          <w:tcPr>
            <w:tcW w:w="671" w:type="pct"/>
            <w:tcBorders>
              <w:top w:val="nil"/>
              <w:left w:val="nil"/>
              <w:bottom w:val="single" w:sz="4" w:space="0" w:color="auto"/>
              <w:right w:val="nil"/>
            </w:tcBorders>
            <w:noWrap/>
            <w:textDirection w:val="lrTb"/>
            <w:vAlign w:val="center"/>
            <w:hideMark/>
          </w:tcPr>
          <w:p w:rsidR="00D265F6" w:rsidRPr="00CA49BD" w:rsidP="00D265F6">
            <w:pPr>
              <w:bidi w:val="0"/>
              <w:jc w:val="center"/>
              <w:rPr>
                <w:rFonts w:ascii="Times New Roman" w:hAnsi="Times New Roman"/>
                <w:color w:val="000000"/>
                <w:sz w:val="20"/>
                <w:szCs w:val="20"/>
              </w:rPr>
            </w:pPr>
            <w:r w:rsidRPr="00CA49BD">
              <w:rPr>
                <w:rFonts w:ascii="Times New Roman" w:hAnsi="Times New Roman"/>
                <w:color w:val="000000"/>
                <w:sz w:val="20"/>
                <w:szCs w:val="20"/>
              </w:rPr>
              <w:t>89,2</w:t>
            </w:r>
          </w:p>
        </w:tc>
      </w:tr>
    </w:tbl>
    <w:p w:rsidR="00D265F6" w:rsidRPr="00D265F6" w:rsidP="00D265F6">
      <w:pPr>
        <w:bidi w:val="0"/>
        <w:spacing w:after="120" w:line="336" w:lineRule="auto"/>
        <w:jc w:val="right"/>
        <w:rPr>
          <w:rFonts w:ascii="Times New Roman" w:hAnsi="Times New Roman"/>
          <w:sz w:val="18"/>
          <w:szCs w:val="18"/>
        </w:rPr>
      </w:pPr>
      <w:r w:rsidRPr="00D265F6">
        <w:rPr>
          <w:rFonts w:ascii="Times New Roman" w:hAnsi="Times New Roman"/>
          <w:sz w:val="18"/>
          <w:szCs w:val="18"/>
        </w:rPr>
        <w:t xml:space="preserve">Zdroj: </w:t>
      </w:r>
      <w:r w:rsidR="00C2780F">
        <w:rPr>
          <w:rFonts w:ascii="Times New Roman" w:hAnsi="Times New Roman"/>
          <w:sz w:val="18"/>
          <w:szCs w:val="18"/>
        </w:rPr>
        <w:t>Eurostat</w:t>
      </w:r>
    </w:p>
    <w:p w:rsidR="00F8582D" w:rsidRPr="006E50E2" w:rsidP="00150497">
      <w:pPr>
        <w:pStyle w:val="Heading1"/>
        <w:numPr>
          <w:numId w:val="0"/>
        </w:numPr>
        <w:bidi w:val="0"/>
        <w:spacing w:before="0" w:beforeAutospacing="0"/>
        <w:ind w:left="720" w:firstLine="0"/>
        <w:rPr>
          <w:rFonts w:ascii="Times New Roman" w:hAnsi="Times New Roman"/>
          <w:lang w:val="sk-SK"/>
        </w:rPr>
      </w:pPr>
      <w:bookmarkStart w:id="21" w:name="_Toc449622832"/>
      <w:r w:rsidRPr="006E50E2" w:rsidR="005B1E44">
        <w:rPr>
          <w:rFonts w:ascii="Times New Roman" w:hAnsi="Times New Roman"/>
          <w:lang w:val="sk-SK"/>
        </w:rPr>
        <w:t>3.</w:t>
      </w:r>
      <w:r w:rsidRPr="006E50E2" w:rsidR="004576A6">
        <w:rPr>
          <w:rFonts w:ascii="Times New Roman" w:hAnsi="Times New Roman"/>
          <w:lang w:val="sk-SK"/>
        </w:rPr>
        <w:tab/>
      </w:r>
      <w:r w:rsidRPr="006E50E2" w:rsidR="00801B5B">
        <w:rPr>
          <w:rFonts w:ascii="Times New Roman" w:hAnsi="Times New Roman"/>
          <w:lang w:val="sk-SK"/>
        </w:rPr>
        <w:t>Hospodárenie štátneho rozpočtu na hotovostnej báze</w:t>
      </w:r>
      <w:bookmarkEnd w:id="21"/>
    </w:p>
    <w:p w:rsidR="003B7E74" w:rsidRPr="00F856C9"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Rozpočet verejnej správy na roky 2015 až 2017 bol vypracovaný v intenciách Programového vyhlásenia vlády SR. Po tom, ako Rada Európskej únie pre ekonomické a finančné záležitosti schválila v priebehu roku 2014 ukončenie procedúry nadmerného deficitu pre Slovensko sa rozpočet verejnej správy na roky 2015 až 2017 aj naďalej zostavoval v súlade so základným cieľom fiškálnej politiky, ktorým je zabezpečenie efektívnych a</w:t>
      </w:r>
      <w:r w:rsidR="00D54AE2">
        <w:rPr>
          <w:rFonts w:ascii="Times New Roman" w:hAnsi="Times New Roman"/>
          <w:sz w:val="22"/>
          <w:szCs w:val="22"/>
        </w:rPr>
        <w:t xml:space="preserve"> </w:t>
      </w:r>
      <w:r w:rsidRPr="00F856C9">
        <w:rPr>
          <w:rFonts w:ascii="Times New Roman" w:hAnsi="Times New Roman"/>
          <w:sz w:val="22"/>
          <w:szCs w:val="22"/>
        </w:rPr>
        <w:t>dlhodobo udržateľných verejných financií. Splnenie uvedeného cieľa si vyžadovalo pokračovanie v konsolidácii aj v ďalších rokoch, a</w:t>
      </w:r>
      <w:r w:rsidR="00D54AE2">
        <w:rPr>
          <w:rFonts w:ascii="Times New Roman" w:hAnsi="Times New Roman"/>
          <w:sz w:val="22"/>
          <w:szCs w:val="22"/>
        </w:rPr>
        <w:t xml:space="preserve"> </w:t>
      </w:r>
      <w:r w:rsidRPr="00F856C9">
        <w:rPr>
          <w:rFonts w:ascii="Times New Roman" w:hAnsi="Times New Roman"/>
          <w:sz w:val="22"/>
          <w:szCs w:val="22"/>
        </w:rPr>
        <w:t>to takým spôsobom, aby konsolidácia verejných financií čo najmenej negatívne pôsobila na ekonomickú aktivitu a hospodársky rast Slovenska. Stratégia rozpočtovej politiky bola pri zostavovaní rozpočtu verejnej správy zameraná na zlepšovanie rozpočtovej pozície verejnej správy, ktoré smeruje k strednodobému rozpočtov</w:t>
      </w:r>
      <w:r w:rsidR="00D54AE2">
        <w:rPr>
          <w:rFonts w:ascii="Times New Roman" w:hAnsi="Times New Roman"/>
          <w:sz w:val="22"/>
          <w:szCs w:val="22"/>
        </w:rPr>
        <w:t xml:space="preserve">ému cieľu verejných financií, a </w:t>
      </w:r>
      <w:r w:rsidRPr="00F856C9">
        <w:rPr>
          <w:rFonts w:ascii="Times New Roman" w:hAnsi="Times New Roman"/>
          <w:sz w:val="22"/>
          <w:szCs w:val="22"/>
        </w:rPr>
        <w:t>to vyrovnanému štrukturálnemu deficitu.</w:t>
      </w:r>
    </w:p>
    <w:p w:rsidR="003B7E74" w:rsidRPr="00F856C9"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 xml:space="preserve">Rozpočet verejnej správy na roky 2015 až 2017 vychádzal z aktuálnej prognózy makroekonomického vývoja a vývoja daňových a odvodových príjmov do roku 2017. </w:t>
      </w:r>
    </w:p>
    <w:p w:rsidR="003B7E74" w:rsidRPr="00871B92" w:rsidP="003B7E74">
      <w:pPr>
        <w:bidi w:val="0"/>
        <w:spacing w:after="120" w:line="336" w:lineRule="auto"/>
        <w:jc w:val="both"/>
        <w:rPr>
          <w:rFonts w:ascii="Times New Roman" w:hAnsi="Times New Roman"/>
          <w:sz w:val="22"/>
          <w:szCs w:val="22"/>
        </w:rPr>
      </w:pPr>
      <w:r w:rsidRPr="00185BF7">
        <w:rPr>
          <w:rFonts w:ascii="Times New Roman" w:hAnsi="Times New Roman"/>
          <w:b/>
          <w:sz w:val="22"/>
          <w:szCs w:val="22"/>
        </w:rPr>
        <w:t>Hlavný rozpočtový cieľ vlády SR v roku 2015 bol stanovený v podobe deficitu verejnej správy vo výške 2,49</w:t>
      </w:r>
      <w:r w:rsidRPr="00185BF7">
        <w:rPr>
          <w:rFonts w:ascii="Times New Roman" w:hAnsi="Times New Roman"/>
          <w:b/>
          <w:bCs/>
          <w:sz w:val="22"/>
          <w:szCs w:val="22"/>
        </w:rPr>
        <w:t xml:space="preserve"> % HDP.</w:t>
      </w:r>
      <w:r w:rsidRPr="00F856C9">
        <w:rPr>
          <w:rFonts w:ascii="Times New Roman" w:hAnsi="Times New Roman"/>
          <w:b/>
          <w:bCs/>
          <w:sz w:val="22"/>
          <w:szCs w:val="22"/>
        </w:rPr>
        <w:t xml:space="preserve"> </w:t>
      </w:r>
      <w:r w:rsidRPr="00F856C9">
        <w:rPr>
          <w:rFonts w:ascii="Times New Roman" w:hAnsi="Times New Roman"/>
          <w:bCs/>
          <w:sz w:val="22"/>
          <w:szCs w:val="22"/>
        </w:rPr>
        <w:t xml:space="preserve">Slovensko tak pokračovalo v rešpektovaní európskych fiškálnych pravidiel a ústavného zákona o rozpočtovej zodpovednosti, ako aj záväzkov vyplývajúcich z Paktu stability a rastu. </w:t>
      </w:r>
      <w:r w:rsidRPr="00F856C9">
        <w:rPr>
          <w:rFonts w:ascii="Times New Roman" w:hAnsi="Times New Roman"/>
          <w:sz w:val="22"/>
          <w:szCs w:val="22"/>
        </w:rPr>
        <w:t xml:space="preserve">Udržanie cieleného deficitu pod 3 % HDP bolo nevyhnutné aj z dôvodu udržania dôveryhodnosti Slovenska na finančných trhoch. </w:t>
      </w:r>
    </w:p>
    <w:p w:rsidR="003B7E74" w:rsidRPr="00F856C9"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Po dočasnom miernom uvoľnení štrukturálnej konsolidácie v roku 2014, ktoré malo prijatím určitých opatrení opätov</w:t>
      </w:r>
      <w:r w:rsidR="00B454BD">
        <w:rPr>
          <w:rFonts w:ascii="Times New Roman" w:hAnsi="Times New Roman"/>
          <w:sz w:val="22"/>
          <w:szCs w:val="22"/>
        </w:rPr>
        <w:t>ne naštartovať hospodársky rast</w:t>
      </w:r>
      <w:r w:rsidRPr="00F856C9">
        <w:rPr>
          <w:rFonts w:ascii="Times New Roman" w:hAnsi="Times New Roman"/>
          <w:sz w:val="22"/>
          <w:szCs w:val="22"/>
        </w:rPr>
        <w:t xml:space="preserve"> a</w:t>
      </w:r>
      <w:r w:rsidR="00D54AE2">
        <w:rPr>
          <w:rFonts w:ascii="Times New Roman" w:hAnsi="Times New Roman"/>
          <w:sz w:val="22"/>
          <w:szCs w:val="22"/>
        </w:rPr>
        <w:t xml:space="preserve"> </w:t>
      </w:r>
      <w:r w:rsidRPr="00F856C9">
        <w:rPr>
          <w:rFonts w:ascii="Times New Roman" w:hAnsi="Times New Roman"/>
          <w:sz w:val="22"/>
          <w:szCs w:val="22"/>
        </w:rPr>
        <w:t>po využití tzv. investičnej klauzuly, ktorá umožňovala Slovensku po splnení stanovených podmienok odchýliť sa dočasne od konsolidačného úsilia vyplývajúceho z Paktu stability a rastu, došlo v roku 2015 k opätovnému naštartovaniu konsolidácie so zámerom znižovania štrukturálneho schodku s pokračovaním aj v nasledujúcich rokoch.</w:t>
      </w:r>
    </w:p>
    <w:p w:rsidR="003B7E74" w:rsidRPr="00871B92"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Rozpočet verejnej správy na roky 2015 až 2017 predpokladal mierne zvýšenie hospodárskeho rastu v porovnaní s predchádzajúcimi rokmi. Oproti rozpočtovým predpokladom bol jeho vývoj v priebehu roka 2015 ešte pozitívnejší a medziročný rast HDP sa pohyboval nad úrovňou 3 %. Hlavným faktorom rastu bol domáci dopyt, ktorý bol najviac ovplyvnený spotrebou domácností. Rast podporili aj verejné investície, najmä vďaka infraštruktúrnym projektom financovaných z prostriedkov EÚ. Vplyvom zrýchlenia rastu dov</w:t>
      </w:r>
      <w:r w:rsidR="00B454BD">
        <w:rPr>
          <w:rFonts w:ascii="Times New Roman" w:hAnsi="Times New Roman"/>
          <w:sz w:val="22"/>
          <w:szCs w:val="22"/>
        </w:rPr>
        <w:t>ozu, ktorý bol vyšší ako export,</w:t>
      </w:r>
      <w:r w:rsidRPr="00F856C9">
        <w:rPr>
          <w:rFonts w:ascii="Times New Roman" w:hAnsi="Times New Roman"/>
          <w:sz w:val="22"/>
          <w:szCs w:val="22"/>
        </w:rPr>
        <w:t xml:space="preserve"> sa čistý export podieľal na raste HDP negatívne.</w:t>
      </w:r>
    </w:p>
    <w:p w:rsidR="003B7E74" w:rsidRPr="00F856C9"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Rozpočet verejnej správy na roky 2015 až 2017 plne reflektoval novú metodiku vykazovania európskych štatistických štandardov ESA 2010, ktorá nadobudla účinnosť v septembri 2014 a ktorá spôsobila zmeny vo vykazovaní niektorých príjmov a výdavkov rozpočtu verejnej správy. V priebehu roku 2015 boli do s</w:t>
      </w:r>
      <w:r w:rsidR="00D54AE2">
        <w:rPr>
          <w:rFonts w:ascii="Times New Roman" w:hAnsi="Times New Roman"/>
          <w:sz w:val="22"/>
          <w:szCs w:val="22"/>
        </w:rPr>
        <w:t xml:space="preserve">ektora verejnej správy </w:t>
      </w:r>
      <w:r w:rsidRPr="00F856C9">
        <w:rPr>
          <w:rFonts w:ascii="Times New Roman" w:hAnsi="Times New Roman"/>
          <w:sz w:val="22"/>
          <w:szCs w:val="22"/>
        </w:rPr>
        <w:t xml:space="preserve">v súlade s platnou metodikou preklasifikované ďalšie subjekty. </w:t>
      </w:r>
    </w:p>
    <w:p w:rsidR="003B7E74" w:rsidRPr="00F856C9"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 xml:space="preserve">Pre splnenie rozpočtového cieľa stanoveného v schválenom rozpočte verejnej správy na roky 2015 až 2017 bolo potrebné aj v priebehu roku 2015 prijať určité opatrenia na strane príjmov aj výdavkov. Pokračovanie v konsolidácii verejnej správy si vyžadovalo zapojenie subjektov štátnej správy aj subjektov územnej samosprávy. </w:t>
      </w:r>
      <w:r w:rsidR="0062152E">
        <w:rPr>
          <w:rFonts w:ascii="Times New Roman" w:hAnsi="Times New Roman"/>
          <w:sz w:val="22"/>
          <w:szCs w:val="22"/>
        </w:rPr>
        <w:t xml:space="preserve">Jedným z opatrení na strane výdavkov bola aj pokračujúca </w:t>
      </w:r>
      <w:r w:rsidRPr="00F856C9">
        <w:rPr>
          <w:rFonts w:ascii="Times New Roman" w:hAnsi="Times New Roman"/>
          <w:sz w:val="22"/>
          <w:szCs w:val="22"/>
        </w:rPr>
        <w:t>reforma verejnej správy ESO</w:t>
      </w:r>
      <w:r w:rsidR="0062152E">
        <w:rPr>
          <w:rFonts w:ascii="Times New Roman" w:hAnsi="Times New Roman"/>
          <w:sz w:val="22"/>
          <w:szCs w:val="22"/>
        </w:rPr>
        <w:t>, ktorej cieľom je zvyšovať efektívnosť ústrednej štátnej správy so zámerom zracionalizovať</w:t>
      </w:r>
      <w:r w:rsidRPr="0062152E" w:rsidR="0062152E">
        <w:rPr>
          <w:rFonts w:ascii="Times New Roman" w:hAnsi="Times New Roman"/>
          <w:sz w:val="22"/>
          <w:szCs w:val="22"/>
        </w:rPr>
        <w:t xml:space="preserve"> </w:t>
      </w:r>
      <w:r w:rsidRPr="00F856C9" w:rsidR="0062152E">
        <w:rPr>
          <w:rFonts w:ascii="Times New Roman" w:hAnsi="Times New Roman"/>
          <w:sz w:val="22"/>
          <w:szCs w:val="22"/>
        </w:rPr>
        <w:t>či</w:t>
      </w:r>
      <w:r w:rsidR="0062152E">
        <w:rPr>
          <w:rFonts w:ascii="Times New Roman" w:hAnsi="Times New Roman"/>
          <w:sz w:val="22"/>
          <w:szCs w:val="22"/>
        </w:rPr>
        <w:t>nnosti</w:t>
      </w:r>
      <w:r w:rsidRPr="0062152E" w:rsidR="0062152E">
        <w:rPr>
          <w:rFonts w:ascii="Times New Roman" w:hAnsi="Times New Roman"/>
          <w:sz w:val="22"/>
          <w:szCs w:val="22"/>
        </w:rPr>
        <w:t xml:space="preserve"> </w:t>
      </w:r>
      <w:r w:rsidRPr="00F856C9" w:rsidR="0062152E">
        <w:rPr>
          <w:rFonts w:ascii="Times New Roman" w:hAnsi="Times New Roman"/>
          <w:sz w:val="22"/>
          <w:szCs w:val="22"/>
        </w:rPr>
        <w:t>verejnej správ</w:t>
      </w:r>
      <w:r w:rsidR="0062152E">
        <w:rPr>
          <w:rFonts w:ascii="Times New Roman" w:hAnsi="Times New Roman"/>
          <w:sz w:val="22"/>
          <w:szCs w:val="22"/>
        </w:rPr>
        <w:t xml:space="preserve">y a s nimi súvisiace </w:t>
      </w:r>
      <w:r w:rsidR="00D73A12">
        <w:rPr>
          <w:rFonts w:ascii="Times New Roman" w:hAnsi="Times New Roman"/>
          <w:sz w:val="22"/>
          <w:szCs w:val="22"/>
        </w:rPr>
        <w:t>výdavky</w:t>
      </w:r>
      <w:r w:rsidRPr="00F856C9">
        <w:rPr>
          <w:rFonts w:ascii="Times New Roman" w:hAnsi="Times New Roman"/>
          <w:sz w:val="22"/>
          <w:szCs w:val="22"/>
        </w:rPr>
        <w:t>. Na strane príjmov naďalej pokračovalo zavádzanie opatrení na zefektívnenie výberu daní a</w:t>
      </w:r>
      <w:r w:rsidR="00535354">
        <w:rPr>
          <w:rFonts w:ascii="Times New Roman" w:hAnsi="Times New Roman"/>
          <w:sz w:val="22"/>
          <w:szCs w:val="22"/>
        </w:rPr>
        <w:t xml:space="preserve"> boj </w:t>
      </w:r>
      <w:r w:rsidRPr="00F856C9">
        <w:rPr>
          <w:rFonts w:ascii="Times New Roman" w:hAnsi="Times New Roman"/>
          <w:sz w:val="22"/>
          <w:szCs w:val="22"/>
        </w:rPr>
        <w:t>proti daňovým únikom. Dôležitým aspektom, s ktorým sa bolo potrebné v roku 2015 vysporiadať, bolo dočerpanie prostriedkov EÚ z 2. programového obdobia, ktoré do veľkej miery ovplyvnilo výšku investícií verejnej správy. Zároveň sa pripra</w:t>
      </w:r>
      <w:r w:rsidR="00D54AE2">
        <w:rPr>
          <w:rFonts w:ascii="Times New Roman" w:hAnsi="Times New Roman"/>
          <w:sz w:val="22"/>
          <w:szCs w:val="22"/>
        </w:rPr>
        <w:t>vovalo využitie prostriedkov 3. </w:t>
      </w:r>
      <w:r w:rsidRPr="00F856C9">
        <w:rPr>
          <w:rFonts w:ascii="Times New Roman" w:hAnsi="Times New Roman"/>
          <w:sz w:val="22"/>
          <w:szCs w:val="22"/>
        </w:rPr>
        <w:t>programového obdobia.</w:t>
      </w:r>
    </w:p>
    <w:p w:rsidR="003B7E74" w:rsidRPr="00F856C9"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V priebehu roka 2015 prebie</w:t>
      </w:r>
      <w:r w:rsidR="00D54AE2">
        <w:rPr>
          <w:rFonts w:ascii="Times New Roman" w:hAnsi="Times New Roman"/>
          <w:sz w:val="22"/>
          <w:szCs w:val="22"/>
        </w:rPr>
        <w:t xml:space="preserve">halo pravidelné monitorovanie a </w:t>
      </w:r>
      <w:r w:rsidRPr="00F856C9">
        <w:rPr>
          <w:rFonts w:ascii="Times New Roman" w:hAnsi="Times New Roman"/>
          <w:sz w:val="22"/>
          <w:szCs w:val="22"/>
        </w:rPr>
        <w:t>sledovanie vývoja plnenia zámerov schváleného rozpočtu verejnej správy. Na zákla</w:t>
      </w:r>
      <w:r w:rsidR="00D54AE2">
        <w:rPr>
          <w:rFonts w:ascii="Times New Roman" w:hAnsi="Times New Roman"/>
          <w:sz w:val="22"/>
          <w:szCs w:val="22"/>
        </w:rPr>
        <w:t>de aktuálne dostupných údajov o </w:t>
      </w:r>
      <w:r w:rsidRPr="00F856C9">
        <w:rPr>
          <w:rFonts w:ascii="Times New Roman" w:hAnsi="Times New Roman"/>
          <w:sz w:val="22"/>
          <w:szCs w:val="22"/>
        </w:rPr>
        <w:t xml:space="preserve">dosiahnutej skutočnosti a predpokladanom vývoji príjmov a výdavkov rozpočtu verejnej správy ku koncu rozpočtového roka sa </w:t>
      </w:r>
      <w:r w:rsidR="009D40C6">
        <w:rPr>
          <w:rFonts w:ascii="Times New Roman" w:hAnsi="Times New Roman"/>
          <w:sz w:val="22"/>
          <w:szCs w:val="22"/>
        </w:rPr>
        <w:t xml:space="preserve">priebežne </w:t>
      </w:r>
      <w:r w:rsidRPr="00F856C9">
        <w:rPr>
          <w:rFonts w:ascii="Times New Roman" w:hAnsi="Times New Roman"/>
          <w:sz w:val="22"/>
          <w:szCs w:val="22"/>
        </w:rPr>
        <w:t xml:space="preserve">kvantifikovali očakávané zmeny v hospodárení jednotlivých subjektov rozpočtu verejnej správy oproti schválenému rozpočtu na rok 2015. </w:t>
      </w:r>
    </w:p>
    <w:p w:rsidR="003B7E74" w:rsidRPr="00F856C9"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 xml:space="preserve">Predpoklady vývoja verejných financií vychádzali z najnovších analýz a prognóz makroekonomického vývoja a vývoja daňových a odvodových príjmov a ich výsledky sa využívali na hodnotenie možných rizík plnenia rozpočtu v roku 2015. Zameriavali sa najmä na monitoring a analýzu faktorov, ktoré mohli potenciálne spôsobiť najväčší odklon hospodárenia jednotlivých subjektov verejnej správy od schváleného rozpočtu, a tak najviac ovplyvniť úspešnosť dosiahnutia plánovaného rozpočtového cieľa vlády pre rok 2015. </w:t>
      </w:r>
    </w:p>
    <w:p w:rsidR="003B7E74" w:rsidRPr="00F856C9" w:rsidP="003B7E74">
      <w:pPr>
        <w:bidi w:val="0"/>
        <w:spacing w:after="120" w:line="336" w:lineRule="auto"/>
        <w:jc w:val="both"/>
        <w:rPr>
          <w:rFonts w:ascii="Times New Roman" w:hAnsi="Times New Roman"/>
          <w:sz w:val="22"/>
          <w:szCs w:val="22"/>
        </w:rPr>
      </w:pPr>
      <w:r w:rsidRPr="00F856C9">
        <w:rPr>
          <w:rFonts w:ascii="Times New Roman" w:hAnsi="Times New Roman"/>
          <w:sz w:val="22"/>
          <w:szCs w:val="22"/>
        </w:rPr>
        <w:t>Analýza predpokladu vývoja rozpočtu verejnej správy v roku 2015, ktorej cieľom bolo posúdiť skutočný vývoj s cieľmi v oblasti rozpočtu verejnej správy, bola súčasťou rozpočtu verejnej správy na roky 2016 až 2018, ktorý Ministerstvo financií SR predložilo na rokovanie vlády SR a NR SR.</w:t>
      </w:r>
    </w:p>
    <w:p w:rsidR="00643331" w:rsidRPr="00643331" w:rsidP="00643331">
      <w:pPr>
        <w:pStyle w:val="ListParagraph"/>
        <w:tabs>
          <w:tab w:val="left" w:pos="2835"/>
        </w:tabs>
        <w:bidi w:val="0"/>
        <w:spacing w:after="120" w:line="336" w:lineRule="auto"/>
        <w:ind w:left="0"/>
        <w:jc w:val="both"/>
        <w:rPr>
          <w:rFonts w:ascii="Times New Roman" w:hAnsi="Times New Roman"/>
        </w:rPr>
      </w:pPr>
      <w:r w:rsidRPr="00643331">
        <w:rPr>
          <w:rFonts w:ascii="Times New Roman" w:hAnsi="Times New Roman"/>
          <w:b/>
        </w:rPr>
        <w:t xml:space="preserve">Základné rozpočtové ukazovatele </w:t>
      </w:r>
      <w:r w:rsidR="0062152E">
        <w:rPr>
          <w:rFonts w:ascii="Times New Roman" w:hAnsi="Times New Roman"/>
          <w:b/>
        </w:rPr>
        <w:t xml:space="preserve">štátneho rozpočtu </w:t>
      </w:r>
      <w:r w:rsidRPr="00643331">
        <w:rPr>
          <w:rFonts w:ascii="Times New Roman" w:hAnsi="Times New Roman"/>
          <w:b/>
        </w:rPr>
        <w:t>pre rok</w:t>
      </w:r>
      <w:r w:rsidR="00102571">
        <w:rPr>
          <w:rFonts w:ascii="Times New Roman" w:hAnsi="Times New Roman"/>
          <w:b/>
        </w:rPr>
        <w:t xml:space="preserve"> 2015 boli stanovené zákonom č. </w:t>
      </w:r>
      <w:r w:rsidRPr="00643331">
        <w:rPr>
          <w:rFonts w:ascii="Times New Roman" w:hAnsi="Times New Roman"/>
          <w:b/>
        </w:rPr>
        <w:t>385/2014 Z. z. o štátnom rozpočte na rok 2015, ktorý určil celkové pr</w:t>
      </w:r>
      <w:r w:rsidR="0062152E">
        <w:rPr>
          <w:rFonts w:ascii="Times New Roman" w:hAnsi="Times New Roman"/>
          <w:b/>
        </w:rPr>
        <w:t>íjmy štátneho rozpočtu v hotovostnom vyjadrení</w:t>
      </w:r>
      <w:r w:rsidRPr="00643331">
        <w:rPr>
          <w:rFonts w:ascii="Times New Roman" w:hAnsi="Times New Roman"/>
          <w:b/>
        </w:rPr>
        <w:t xml:space="preserve"> 14 494 921 tis. eur a c</w:t>
      </w:r>
      <w:r w:rsidR="00195306">
        <w:rPr>
          <w:rFonts w:ascii="Times New Roman" w:hAnsi="Times New Roman"/>
          <w:b/>
        </w:rPr>
        <w:t>elkové výdavky sumou 17 478 558 </w:t>
      </w:r>
      <w:r w:rsidRPr="00643331">
        <w:rPr>
          <w:rFonts w:ascii="Times New Roman" w:hAnsi="Times New Roman"/>
          <w:b/>
        </w:rPr>
        <w:t>tis</w:t>
      </w:r>
      <w:r w:rsidR="00195306">
        <w:rPr>
          <w:rFonts w:ascii="Times New Roman" w:hAnsi="Times New Roman"/>
          <w:b/>
        </w:rPr>
        <w:t>. </w:t>
      </w:r>
      <w:r w:rsidRPr="00643331">
        <w:rPr>
          <w:rFonts w:ascii="Times New Roman" w:hAnsi="Times New Roman"/>
          <w:b/>
        </w:rPr>
        <w:t>eur</w:t>
      </w:r>
      <w:r w:rsidRPr="00643331">
        <w:rPr>
          <w:rFonts w:ascii="Times New Roman" w:hAnsi="Times New Roman"/>
        </w:rPr>
        <w:t xml:space="preserve">. Schodok štátneho rozpočtu sa určil vo výške 2 983 637 tis. eur. </w:t>
      </w:r>
    </w:p>
    <w:p w:rsidR="00643331" w:rsidRPr="00643331" w:rsidP="00643331">
      <w:pPr>
        <w:pStyle w:val="ListParagraph"/>
        <w:tabs>
          <w:tab w:val="left" w:pos="2835"/>
        </w:tabs>
        <w:bidi w:val="0"/>
        <w:spacing w:after="120" w:line="336" w:lineRule="auto"/>
        <w:ind w:left="0"/>
        <w:jc w:val="both"/>
        <w:rPr>
          <w:rFonts w:ascii="Times New Roman" w:hAnsi="Times New Roman"/>
        </w:rPr>
      </w:pPr>
      <w:r w:rsidRPr="00643331">
        <w:rPr>
          <w:rFonts w:ascii="Times New Roman" w:hAnsi="Times New Roman"/>
        </w:rPr>
        <w:t xml:space="preserve">V porovnaní so schváleným rozpočtom na rok 2014 sa celkové rozpočtované príjmy na rok 2015 predpokladali vyššie o 386 609 tis. eur a rozpočtované výdavky vyššie o 86 641 tis. eur. Schodok štátneho rozpočtu na hotovostnej báze sa v medziročnom porovnaní schválil </w:t>
      </w:r>
      <w:r w:rsidR="00D73A12">
        <w:rPr>
          <w:rFonts w:ascii="Times New Roman" w:hAnsi="Times New Roman"/>
        </w:rPr>
        <w:t>nižší o 299 968 tis. </w:t>
      </w:r>
      <w:r w:rsidRPr="00643331">
        <w:rPr>
          <w:rFonts w:ascii="Times New Roman" w:hAnsi="Times New Roman"/>
        </w:rPr>
        <w:t xml:space="preserve">eur. </w:t>
      </w:r>
    </w:p>
    <w:p w:rsidR="00643331" w:rsidRPr="00643331" w:rsidP="00643331">
      <w:pPr>
        <w:pStyle w:val="ListParagraph"/>
        <w:tabs>
          <w:tab w:val="left" w:pos="2835"/>
        </w:tabs>
        <w:bidi w:val="0"/>
        <w:spacing w:after="120" w:line="336" w:lineRule="auto"/>
        <w:ind w:left="0"/>
        <w:jc w:val="both"/>
        <w:rPr>
          <w:rFonts w:ascii="Times New Roman" w:hAnsi="Times New Roman"/>
        </w:rPr>
      </w:pPr>
    </w:p>
    <w:p w:rsidR="00643331" w:rsidP="00643331">
      <w:pPr>
        <w:pStyle w:val="ListParagraph"/>
        <w:tabs>
          <w:tab w:val="left" w:pos="2835"/>
        </w:tabs>
        <w:bidi w:val="0"/>
        <w:spacing w:after="120" w:line="336" w:lineRule="auto"/>
        <w:ind w:left="0"/>
        <w:jc w:val="both"/>
        <w:rPr>
          <w:rFonts w:ascii="Times New Roman" w:hAnsi="Times New Roman"/>
        </w:rPr>
      </w:pPr>
      <w:r w:rsidRPr="00643331">
        <w:rPr>
          <w:rFonts w:ascii="Times New Roman" w:hAnsi="Times New Roman"/>
        </w:rPr>
        <w:t>Súh</w:t>
      </w:r>
      <w:r w:rsidR="00D73A12">
        <w:rPr>
          <w:rFonts w:ascii="Times New Roman" w:hAnsi="Times New Roman"/>
        </w:rPr>
        <w:t xml:space="preserve">rnný prehľad o rozpočtovaných a </w:t>
      </w:r>
      <w:r w:rsidRPr="00643331">
        <w:rPr>
          <w:rFonts w:ascii="Times New Roman" w:hAnsi="Times New Roman"/>
        </w:rPr>
        <w:t>skutočne dosiahnutých základných rozpočtov</w:t>
      </w:r>
      <w:r w:rsidR="00D73A12">
        <w:rPr>
          <w:rFonts w:ascii="Times New Roman" w:hAnsi="Times New Roman"/>
        </w:rPr>
        <w:t xml:space="preserve">ých ukazovateľoch v roku 2015 a </w:t>
      </w:r>
      <w:r w:rsidRPr="00643331">
        <w:rPr>
          <w:rFonts w:ascii="Times New Roman" w:hAnsi="Times New Roman"/>
        </w:rPr>
        <w:t>za predchádzajúce dva roky na hotovostnej báze poskytujú nasledovné údaje:</w:t>
      </w:r>
    </w:p>
    <w:p w:rsidR="0045629B" w:rsidP="00643331">
      <w:pPr>
        <w:pStyle w:val="ListParagraph"/>
        <w:tabs>
          <w:tab w:val="left" w:pos="2835"/>
        </w:tabs>
        <w:bidi w:val="0"/>
        <w:spacing w:after="120" w:line="336" w:lineRule="auto"/>
        <w:ind w:left="0"/>
        <w:jc w:val="both"/>
        <w:rPr>
          <w:rFonts w:ascii="Times New Roman" w:hAnsi="Times New Roman"/>
        </w:rPr>
      </w:pPr>
    </w:p>
    <w:p w:rsidR="00CD74B1" w:rsidP="00643331">
      <w:pPr>
        <w:pStyle w:val="ListParagraph"/>
        <w:tabs>
          <w:tab w:val="left" w:pos="2835"/>
        </w:tabs>
        <w:bidi w:val="0"/>
        <w:spacing w:after="120" w:line="336" w:lineRule="auto"/>
        <w:ind w:left="0"/>
        <w:jc w:val="both"/>
        <w:rPr>
          <w:rFonts w:ascii="Times New Roman" w:hAnsi="Times New Roman"/>
        </w:rPr>
      </w:pPr>
    </w:p>
    <w:p w:rsidR="00CD74B1" w:rsidRPr="00643331" w:rsidP="00643331">
      <w:pPr>
        <w:pStyle w:val="ListParagraph"/>
        <w:tabs>
          <w:tab w:val="left" w:pos="2835"/>
        </w:tabs>
        <w:bidi w:val="0"/>
        <w:spacing w:after="120" w:line="336" w:lineRule="auto"/>
        <w:ind w:left="0"/>
        <w:jc w:val="both"/>
        <w:rPr>
          <w:rFonts w:ascii="Times New Roman" w:hAnsi="Times New Roman"/>
        </w:rPr>
      </w:pPr>
    </w:p>
    <w:tbl>
      <w:tblPr>
        <w:tblStyle w:val="TableNormal"/>
        <w:tblW w:w="0" w:type="auto"/>
        <w:tblInd w:w="70" w:type="dxa"/>
        <w:tblCellMar>
          <w:left w:w="70" w:type="dxa"/>
          <w:right w:w="70" w:type="dxa"/>
        </w:tblCellMar>
        <w:tblLook w:val="04A0"/>
      </w:tblPr>
      <w:tblGrid>
        <w:gridCol w:w="2232"/>
        <w:gridCol w:w="1012"/>
        <w:gridCol w:w="1012"/>
        <w:gridCol w:w="1012"/>
        <w:gridCol w:w="1342"/>
        <w:gridCol w:w="1092"/>
        <w:gridCol w:w="843"/>
        <w:gridCol w:w="77"/>
        <w:gridCol w:w="73"/>
      </w:tblGrid>
      <w:tr>
        <w:tblPrEx>
          <w:tblW w:w="0" w:type="auto"/>
          <w:tblInd w:w="70" w:type="dxa"/>
          <w:tblCellMar>
            <w:left w:w="70" w:type="dxa"/>
            <w:right w:w="70" w:type="dxa"/>
          </w:tblCellMar>
          <w:tblLook w:val="04A0"/>
        </w:tblPrEx>
        <w:trPr>
          <w:trHeight w:val="330"/>
        </w:trPr>
        <w:tc>
          <w:tcPr>
            <w:tcW w:w="0" w:type="auto"/>
            <w:gridSpan w:val="7"/>
            <w:tcBorders>
              <w:top w:val="nil"/>
              <w:left w:val="nil"/>
              <w:bottom w:val="nil"/>
              <w:right w:val="nil"/>
            </w:tcBorders>
            <w:shd w:val="clear" w:color="000000" w:fill="000000"/>
            <w:textDirection w:val="lrTb"/>
            <w:vAlign w:val="center"/>
          </w:tcPr>
          <w:p w:rsidR="00643331" w:rsidRPr="0045629B" w:rsidP="000571A1">
            <w:pPr>
              <w:bidi w:val="0"/>
              <w:rPr>
                <w:rFonts w:ascii="Times New Roman" w:hAnsi="Times New Roman"/>
                <w:b/>
                <w:bCs/>
                <w:color w:val="FFFFFF"/>
                <w:sz w:val="18"/>
                <w:szCs w:val="18"/>
              </w:rPr>
            </w:pPr>
            <w:r w:rsidRPr="0045629B">
              <w:rPr>
                <w:rFonts w:ascii="Times New Roman" w:hAnsi="Times New Roman"/>
                <w:b/>
                <w:bCs/>
                <w:sz w:val="18"/>
                <w:szCs w:val="18"/>
              </w:rPr>
              <w:t xml:space="preserve">Základné rozpočtové ukazovatele                                                                                                    </w:t>
            </w:r>
            <w:r w:rsidRPr="0045629B" w:rsidR="00CF6C2F">
              <w:rPr>
                <w:rFonts w:ascii="Times New Roman" w:hAnsi="Times New Roman"/>
                <w:b/>
                <w:bCs/>
                <w:sz w:val="18"/>
                <w:szCs w:val="18"/>
              </w:rPr>
              <w:t xml:space="preserve">   </w:t>
            </w:r>
            <w:r w:rsidR="000571A1">
              <w:rPr>
                <w:rFonts w:ascii="Times New Roman" w:hAnsi="Times New Roman"/>
                <w:b/>
                <w:bCs/>
                <w:sz w:val="18"/>
                <w:szCs w:val="18"/>
              </w:rPr>
              <w:t xml:space="preserve">           </w:t>
            </w:r>
            <w:r w:rsidRPr="0045629B">
              <w:rPr>
                <w:rFonts w:ascii="Times New Roman" w:hAnsi="Times New Roman"/>
                <w:b/>
                <w:bCs/>
                <w:color w:val="FFFFFF"/>
                <w:sz w:val="18"/>
                <w:szCs w:val="18"/>
              </w:rPr>
              <w:t>v tis. eur</w:t>
            </w:r>
          </w:p>
        </w:tc>
        <w:tc>
          <w:tcPr>
            <w:tcW w:w="0" w:type="auto"/>
            <w:gridSpan w:val="2"/>
            <w:tcBorders>
              <w:top w:val="nil"/>
              <w:left w:val="nil"/>
              <w:bottom w:val="nil"/>
              <w:right w:val="nil"/>
            </w:tcBorders>
            <w:shd w:val="clear" w:color="000000" w:fill="000000"/>
            <w:textDirection w:val="lrTb"/>
            <w:vAlign w:val="center"/>
          </w:tcPr>
          <w:p w:rsidR="00643331" w:rsidRPr="0045629B" w:rsidP="004D50B5">
            <w:pPr>
              <w:bidi w:val="0"/>
              <w:jc w:val="center"/>
              <w:rPr>
                <w:rFonts w:ascii="Times New Roman" w:hAnsi="Times New Roman"/>
                <w:b/>
                <w:bCs/>
                <w:color w:val="000000"/>
                <w:sz w:val="18"/>
                <w:szCs w:val="18"/>
              </w:rPr>
            </w:pPr>
          </w:p>
        </w:tc>
      </w:tr>
      <w:tr>
        <w:tblPrEx>
          <w:tblW w:w="0" w:type="auto"/>
          <w:tblInd w:w="70" w:type="dxa"/>
          <w:tblCellMar>
            <w:left w:w="70" w:type="dxa"/>
            <w:right w:w="70" w:type="dxa"/>
          </w:tblCellMar>
          <w:tblLook w:val="04A0"/>
        </w:tblPrEx>
        <w:trPr>
          <w:trHeight w:val="330"/>
        </w:trPr>
        <w:tc>
          <w:tcPr>
            <w:tcW w:w="0" w:type="auto"/>
            <w:gridSpan w:val="3"/>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r w:rsidRPr="0045629B">
              <w:rPr>
                <w:rFonts w:ascii="Times New Roman" w:hAnsi="Times New Roman"/>
                <w:b/>
                <w:bCs/>
                <w:sz w:val="18"/>
                <w:szCs w:val="18"/>
              </w:rPr>
              <w:t xml:space="preserve">                                               Skutočnosť</w:t>
            </w:r>
          </w:p>
        </w:tc>
        <w:tc>
          <w:tcPr>
            <w:tcW w:w="0" w:type="auto"/>
            <w:gridSpan w:val="2"/>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r w:rsidRPr="0045629B">
              <w:rPr>
                <w:rFonts w:ascii="Times New Roman" w:hAnsi="Times New Roman"/>
                <w:b/>
                <w:bCs/>
                <w:color w:val="000000"/>
                <w:sz w:val="18"/>
                <w:szCs w:val="18"/>
              </w:rPr>
              <w:t>Rozpočet 2015</w:t>
            </w:r>
          </w:p>
        </w:tc>
        <w:tc>
          <w:tcPr>
            <w:tcW w:w="0" w:type="auto"/>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r w:rsidRPr="0045629B">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textDirection w:val="lrTb"/>
            <w:vAlign w:val="center"/>
          </w:tcPr>
          <w:p w:rsidR="00643331" w:rsidRPr="0045629B" w:rsidP="004D50B5">
            <w:pPr>
              <w:bidi w:val="0"/>
              <w:ind w:right="34"/>
              <w:jc w:val="center"/>
              <w:rPr>
                <w:rFonts w:ascii="Times New Roman" w:hAnsi="Times New Roman"/>
                <w:b/>
                <w:bCs/>
                <w:color w:val="000000"/>
                <w:sz w:val="18"/>
                <w:szCs w:val="18"/>
              </w:rPr>
            </w:pPr>
            <w:r w:rsidRPr="0045629B">
              <w:rPr>
                <w:rFonts w:ascii="Times New Roman" w:hAnsi="Times New Roman"/>
                <w:b/>
                <w:bCs/>
                <w:color w:val="000000"/>
                <w:sz w:val="18"/>
                <w:szCs w:val="18"/>
              </w:rPr>
              <w:t>Rozdiel</w:t>
            </w:r>
          </w:p>
        </w:tc>
        <w:tc>
          <w:tcPr>
            <w:tcW w:w="0" w:type="auto"/>
            <w:gridSpan w:val="2"/>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p>
        </w:tc>
      </w:tr>
      <w:tr>
        <w:tblPrEx>
          <w:tblW w:w="0" w:type="auto"/>
          <w:tblInd w:w="70" w:type="dxa"/>
          <w:tblCellMar>
            <w:left w:w="70" w:type="dxa"/>
            <w:right w:w="70" w:type="dxa"/>
          </w:tblCellMar>
          <w:tblLook w:val="04A0"/>
        </w:tblPrEx>
        <w:trPr>
          <w:trHeight w:val="330"/>
        </w:trPr>
        <w:tc>
          <w:tcPr>
            <w:tcW w:w="0" w:type="auto"/>
            <w:gridSpan w:val="2"/>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sz w:val="18"/>
                <w:szCs w:val="18"/>
              </w:rPr>
            </w:pPr>
            <w:r w:rsidRPr="0045629B">
              <w:rPr>
                <w:rFonts w:ascii="Times New Roman" w:hAnsi="Times New Roman"/>
                <w:b/>
                <w:bCs/>
                <w:sz w:val="18"/>
                <w:szCs w:val="18"/>
              </w:rPr>
              <w:t xml:space="preserve">                                                2013</w:t>
            </w:r>
          </w:p>
        </w:tc>
        <w:tc>
          <w:tcPr>
            <w:tcW w:w="0" w:type="auto"/>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r w:rsidRPr="0045629B">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r w:rsidRPr="0045629B">
              <w:rPr>
                <w:rFonts w:ascii="Times New Roman" w:hAnsi="Times New Roman"/>
                <w:b/>
                <w:bCs/>
                <w:color w:val="000000"/>
                <w:sz w:val="18"/>
                <w:szCs w:val="18"/>
              </w:rPr>
              <w:t>Schválený</w:t>
            </w:r>
          </w:p>
        </w:tc>
        <w:tc>
          <w:tcPr>
            <w:tcW w:w="0" w:type="auto"/>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r w:rsidRPr="0045629B">
              <w:rPr>
                <w:rFonts w:ascii="Times New Roman" w:hAnsi="Times New Roman"/>
                <w:b/>
                <w:bCs/>
                <w:color w:val="000000"/>
                <w:sz w:val="18"/>
                <w:szCs w:val="18"/>
              </w:rPr>
              <w:t xml:space="preserve">        Upravený</w:t>
            </w:r>
          </w:p>
        </w:tc>
        <w:tc>
          <w:tcPr>
            <w:tcW w:w="0" w:type="auto"/>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r w:rsidRPr="0045629B">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p>
        </w:tc>
        <w:tc>
          <w:tcPr>
            <w:tcW w:w="0" w:type="auto"/>
            <w:gridSpan w:val="2"/>
            <w:tcBorders>
              <w:top w:val="nil"/>
              <w:left w:val="nil"/>
              <w:bottom w:val="nil"/>
              <w:right w:val="nil"/>
            </w:tcBorders>
            <w:shd w:val="clear" w:color="000000" w:fill="BFBFBF"/>
            <w:textDirection w:val="lrTb"/>
            <w:vAlign w:val="center"/>
          </w:tcPr>
          <w:p w:rsidR="00643331" w:rsidRPr="0045629B" w:rsidP="004D50B5">
            <w:pPr>
              <w:bidi w:val="0"/>
              <w:jc w:val="center"/>
              <w:rPr>
                <w:rFonts w:ascii="Times New Roman" w:hAnsi="Times New Roman"/>
                <w:b/>
                <w:bCs/>
                <w:color w:val="000000"/>
                <w:sz w:val="18"/>
                <w:szCs w:val="18"/>
              </w:rPr>
            </w:pPr>
          </w:p>
        </w:tc>
      </w:tr>
      <w:tr>
        <w:tblPrEx>
          <w:tblW w:w="0" w:type="auto"/>
          <w:tblInd w:w="70" w:type="dxa"/>
          <w:tblCellMar>
            <w:left w:w="70" w:type="dxa"/>
            <w:right w:w="70" w:type="dxa"/>
          </w:tblCellMar>
          <w:tblLook w:val="04A0"/>
        </w:tblPrEx>
        <w:trPr>
          <w:trHeight w:val="215"/>
        </w:trPr>
        <w:tc>
          <w:tcPr>
            <w:tcW w:w="0" w:type="auto"/>
            <w:gridSpan w:val="2"/>
            <w:tcBorders>
              <w:top w:val="nil"/>
              <w:left w:val="nil"/>
              <w:bottom w:val="single" w:sz="8" w:space="0" w:color="auto"/>
              <w:right w:val="nil"/>
            </w:tcBorders>
            <w:shd w:val="clear" w:color="000000" w:fill="BFBFBF"/>
            <w:textDirection w:val="lrTb"/>
            <w:vAlign w:val="center"/>
          </w:tcPr>
          <w:p w:rsidR="00643331" w:rsidRPr="0045629B" w:rsidP="004D50B5">
            <w:pPr>
              <w:bidi w:val="0"/>
              <w:jc w:val="center"/>
              <w:rPr>
                <w:rFonts w:ascii="Times New Roman" w:hAnsi="Times New Roman"/>
                <w:b/>
                <w:bCs/>
                <w:color w:val="FFFFFF"/>
                <w:sz w:val="18"/>
                <w:szCs w:val="18"/>
              </w:rPr>
            </w:pPr>
            <w:r w:rsidRPr="0045629B">
              <w:rPr>
                <w:rFonts w:ascii="Times New Roman" w:hAnsi="Times New Roman"/>
                <w:b/>
                <w:bCs/>
                <w:sz w:val="18"/>
                <w:szCs w:val="18"/>
              </w:rPr>
              <w:t xml:space="preserve">                                                1</w:t>
            </w:r>
          </w:p>
        </w:tc>
        <w:tc>
          <w:tcPr>
            <w:tcW w:w="0" w:type="auto"/>
            <w:tcBorders>
              <w:top w:val="nil"/>
              <w:left w:val="nil"/>
              <w:bottom w:val="single" w:sz="8" w:space="0" w:color="auto"/>
              <w:right w:val="nil"/>
            </w:tcBorders>
            <w:shd w:val="clear" w:color="000000" w:fill="BFBFBF"/>
            <w:textDirection w:val="lrTb"/>
            <w:vAlign w:val="center"/>
          </w:tcPr>
          <w:p w:rsidR="00643331" w:rsidRPr="0045629B" w:rsidP="004D50B5">
            <w:pPr>
              <w:bidi w:val="0"/>
              <w:jc w:val="center"/>
              <w:rPr>
                <w:rFonts w:ascii="Times New Roman" w:hAnsi="Times New Roman"/>
                <w:b/>
                <w:bCs/>
                <w:sz w:val="18"/>
                <w:szCs w:val="18"/>
              </w:rPr>
            </w:pPr>
            <w:r w:rsidRPr="0045629B">
              <w:rPr>
                <w:rFonts w:ascii="Times New Roman" w:hAnsi="Times New Roman"/>
                <w:b/>
                <w:bCs/>
                <w:sz w:val="18"/>
                <w:szCs w:val="18"/>
              </w:rPr>
              <w:t>2</w:t>
            </w:r>
          </w:p>
        </w:tc>
        <w:tc>
          <w:tcPr>
            <w:tcW w:w="0" w:type="auto"/>
            <w:tcBorders>
              <w:top w:val="nil"/>
              <w:left w:val="nil"/>
              <w:bottom w:val="single" w:sz="8" w:space="0" w:color="auto"/>
              <w:right w:val="nil"/>
            </w:tcBorders>
            <w:shd w:val="clear" w:color="000000" w:fill="BFBFBF"/>
            <w:textDirection w:val="lrTb"/>
            <w:vAlign w:val="center"/>
          </w:tcPr>
          <w:p w:rsidR="00643331" w:rsidRPr="0045629B" w:rsidP="004D50B5">
            <w:pPr>
              <w:bidi w:val="0"/>
              <w:jc w:val="center"/>
              <w:rPr>
                <w:rFonts w:ascii="Times New Roman" w:hAnsi="Times New Roman"/>
                <w:b/>
                <w:bCs/>
                <w:sz w:val="18"/>
                <w:szCs w:val="18"/>
              </w:rPr>
            </w:pPr>
            <w:r w:rsidRPr="0045629B">
              <w:rPr>
                <w:rFonts w:ascii="Times New Roman" w:hAnsi="Times New Roman"/>
                <w:b/>
                <w:bCs/>
                <w:sz w:val="18"/>
                <w:szCs w:val="18"/>
              </w:rPr>
              <w:t>3</w:t>
            </w:r>
          </w:p>
        </w:tc>
        <w:tc>
          <w:tcPr>
            <w:tcW w:w="0" w:type="auto"/>
            <w:tcBorders>
              <w:top w:val="nil"/>
              <w:left w:val="nil"/>
              <w:bottom w:val="single" w:sz="8" w:space="0" w:color="auto"/>
              <w:right w:val="nil"/>
            </w:tcBorders>
            <w:shd w:val="clear" w:color="000000" w:fill="BFBFBF"/>
            <w:textDirection w:val="lrTb"/>
            <w:vAlign w:val="center"/>
          </w:tcPr>
          <w:p w:rsidR="00643331" w:rsidRPr="0045629B" w:rsidP="004D50B5">
            <w:pPr>
              <w:bidi w:val="0"/>
              <w:jc w:val="center"/>
              <w:rPr>
                <w:rFonts w:ascii="Times New Roman" w:hAnsi="Times New Roman"/>
                <w:b/>
                <w:bCs/>
                <w:sz w:val="18"/>
                <w:szCs w:val="18"/>
              </w:rPr>
            </w:pPr>
            <w:r w:rsidRPr="0045629B">
              <w:rPr>
                <w:rFonts w:ascii="Times New Roman" w:hAnsi="Times New Roman"/>
                <w:b/>
                <w:bCs/>
                <w:sz w:val="18"/>
                <w:szCs w:val="18"/>
              </w:rPr>
              <w:t>4</w:t>
            </w:r>
          </w:p>
        </w:tc>
        <w:tc>
          <w:tcPr>
            <w:tcW w:w="0" w:type="auto"/>
            <w:tcBorders>
              <w:top w:val="nil"/>
              <w:left w:val="nil"/>
              <w:bottom w:val="single" w:sz="8" w:space="0" w:color="auto"/>
              <w:right w:val="nil"/>
            </w:tcBorders>
            <w:shd w:val="clear" w:color="000000" w:fill="BFBFBF"/>
            <w:textDirection w:val="lrTb"/>
            <w:vAlign w:val="center"/>
          </w:tcPr>
          <w:p w:rsidR="00643331" w:rsidRPr="0045629B" w:rsidP="004D50B5">
            <w:pPr>
              <w:bidi w:val="0"/>
              <w:jc w:val="center"/>
              <w:rPr>
                <w:rFonts w:ascii="Times New Roman" w:hAnsi="Times New Roman"/>
                <w:b/>
                <w:bCs/>
                <w:sz w:val="18"/>
                <w:szCs w:val="18"/>
              </w:rPr>
            </w:pPr>
            <w:r w:rsidRPr="0045629B">
              <w:rPr>
                <w:rFonts w:ascii="Times New Roman" w:hAnsi="Times New Roman"/>
                <w:b/>
                <w:bCs/>
                <w:sz w:val="18"/>
                <w:szCs w:val="18"/>
              </w:rPr>
              <w:t>5</w:t>
            </w:r>
          </w:p>
        </w:tc>
        <w:tc>
          <w:tcPr>
            <w:tcW w:w="0" w:type="auto"/>
            <w:tcBorders>
              <w:top w:val="nil"/>
              <w:left w:val="nil"/>
              <w:bottom w:val="single" w:sz="8" w:space="0" w:color="auto"/>
              <w:right w:val="nil"/>
            </w:tcBorders>
            <w:shd w:val="clear" w:color="000000" w:fill="BFBFBF"/>
            <w:textDirection w:val="lrTb"/>
            <w:vAlign w:val="center"/>
          </w:tcPr>
          <w:p w:rsidR="00643331" w:rsidRPr="0045629B" w:rsidP="004D50B5">
            <w:pPr>
              <w:bidi w:val="0"/>
              <w:jc w:val="center"/>
              <w:rPr>
                <w:rFonts w:ascii="Times New Roman" w:hAnsi="Times New Roman"/>
                <w:b/>
                <w:bCs/>
                <w:sz w:val="18"/>
                <w:szCs w:val="18"/>
              </w:rPr>
            </w:pPr>
            <w:r w:rsidRPr="0045629B">
              <w:rPr>
                <w:rFonts w:ascii="Times New Roman" w:hAnsi="Times New Roman"/>
                <w:b/>
                <w:bCs/>
                <w:sz w:val="18"/>
                <w:szCs w:val="18"/>
              </w:rPr>
              <w:t>6=5-3</w:t>
            </w:r>
          </w:p>
        </w:tc>
        <w:tc>
          <w:tcPr>
            <w:tcW w:w="0" w:type="auto"/>
            <w:gridSpan w:val="2"/>
            <w:tcBorders>
              <w:top w:val="nil"/>
              <w:left w:val="nil"/>
              <w:bottom w:val="single" w:sz="8" w:space="0" w:color="auto"/>
              <w:right w:val="nil"/>
            </w:tcBorders>
            <w:shd w:val="clear" w:color="000000" w:fill="BFBFBF"/>
            <w:textDirection w:val="lrTb"/>
            <w:vAlign w:val="center"/>
          </w:tcPr>
          <w:p w:rsidR="00643331" w:rsidRPr="0045629B" w:rsidP="004D50B5">
            <w:pPr>
              <w:bidi w:val="0"/>
              <w:jc w:val="center"/>
              <w:rPr>
                <w:rFonts w:ascii="Times New Roman" w:hAnsi="Times New Roman"/>
                <w:b/>
                <w:bCs/>
                <w:sz w:val="18"/>
                <w:szCs w:val="18"/>
              </w:rPr>
            </w:pPr>
          </w:p>
        </w:tc>
      </w:tr>
      <w:tr>
        <w:tblPrEx>
          <w:tblW w:w="0" w:type="auto"/>
          <w:tblInd w:w="70" w:type="dxa"/>
          <w:tblCellMar>
            <w:left w:w="70" w:type="dxa"/>
            <w:right w:w="70" w:type="dxa"/>
          </w:tblCellMar>
          <w:tblLook w:val="04A0"/>
        </w:tblPrEx>
        <w:trPr>
          <w:gridAfter w:val="1"/>
          <w:trHeight w:val="330"/>
        </w:trPr>
        <w:tc>
          <w:tcPr>
            <w:tcW w:w="0" w:type="auto"/>
            <w:tcBorders>
              <w:top w:val="nil"/>
              <w:left w:val="nil"/>
              <w:bottom w:val="nil"/>
              <w:right w:val="nil"/>
            </w:tcBorders>
            <w:noWrap/>
            <w:textDirection w:val="lrTb"/>
            <w:vAlign w:val="center"/>
            <w:hideMark/>
          </w:tcPr>
          <w:p w:rsidR="00643331" w:rsidRPr="0045629B" w:rsidP="004D50B5">
            <w:pPr>
              <w:bidi w:val="0"/>
              <w:rPr>
                <w:rFonts w:ascii="Times New Roman" w:hAnsi="Times New Roman"/>
                <w:b/>
                <w:bCs/>
                <w:color w:val="000000"/>
                <w:sz w:val="18"/>
                <w:szCs w:val="18"/>
              </w:rPr>
            </w:pPr>
            <w:r w:rsidRPr="0045629B">
              <w:rPr>
                <w:rFonts w:ascii="Times New Roman" w:hAnsi="Times New Roman"/>
                <w:b/>
                <w:bCs/>
                <w:color w:val="000000"/>
                <w:sz w:val="18"/>
                <w:szCs w:val="18"/>
              </w:rPr>
              <w:t>Príjmy spolu</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12 796 444</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12 496 866</w:t>
            </w:r>
          </w:p>
        </w:tc>
        <w:tc>
          <w:tcPr>
            <w:tcW w:w="0" w:type="auto"/>
            <w:tcBorders>
              <w:top w:val="nil"/>
              <w:left w:val="nil"/>
              <w:bottom w:val="nil"/>
              <w:right w:val="nil"/>
            </w:tcBorders>
            <w:noWrap/>
            <w:textDirection w:val="lrTb"/>
            <w:vAlign w:val="center"/>
            <w:hideMark/>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14 494 921</w:t>
            </w:r>
          </w:p>
        </w:tc>
        <w:tc>
          <w:tcPr>
            <w:tcW w:w="0" w:type="auto"/>
            <w:tcBorders>
              <w:top w:val="nil"/>
              <w:left w:val="nil"/>
              <w:bottom w:val="nil"/>
              <w:right w:val="nil"/>
            </w:tcBorders>
            <w:noWrap/>
            <w:textDirection w:val="lrTb"/>
            <w:vAlign w:val="center"/>
            <w:hideMark/>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15 468 310</w:t>
            </w:r>
          </w:p>
        </w:tc>
        <w:tc>
          <w:tcPr>
            <w:tcW w:w="0" w:type="auto"/>
            <w:tcBorders>
              <w:top w:val="nil"/>
              <w:left w:val="nil"/>
              <w:bottom w:val="nil"/>
              <w:right w:val="nil"/>
            </w:tcBorders>
            <w:shd w:val="pct25" w:color="auto" w:fill="auto"/>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16 233 795</w:t>
            </w:r>
          </w:p>
        </w:tc>
        <w:tc>
          <w:tcPr>
            <w:tcW w:w="0" w:type="auto"/>
            <w:gridSpan w:val="2"/>
            <w:tcBorders>
              <w:top w:val="nil"/>
              <w:left w:val="nil"/>
              <w:bottom w:val="nil"/>
              <w:right w:val="nil"/>
            </w:tcBorders>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1 738 874</w:t>
            </w:r>
          </w:p>
        </w:tc>
      </w:tr>
      <w:tr>
        <w:tblPrEx>
          <w:tblW w:w="0" w:type="auto"/>
          <w:tblInd w:w="70" w:type="dxa"/>
          <w:tblCellMar>
            <w:left w:w="70" w:type="dxa"/>
            <w:right w:w="70" w:type="dxa"/>
          </w:tblCellMar>
          <w:tblLook w:val="04A0"/>
        </w:tblPrEx>
        <w:trPr>
          <w:gridAfter w:val="1"/>
          <w:trHeight w:val="330"/>
        </w:trPr>
        <w:tc>
          <w:tcPr>
            <w:tcW w:w="0" w:type="auto"/>
            <w:tcBorders>
              <w:top w:val="nil"/>
              <w:left w:val="nil"/>
              <w:bottom w:val="nil"/>
              <w:right w:val="nil"/>
            </w:tcBorders>
            <w:noWrap/>
            <w:textDirection w:val="lrTb"/>
            <w:vAlign w:val="center"/>
            <w:hideMark/>
          </w:tcPr>
          <w:p w:rsidR="00643331" w:rsidRPr="0045629B" w:rsidP="004D50B5">
            <w:pPr>
              <w:bidi w:val="0"/>
              <w:rPr>
                <w:rFonts w:ascii="Times New Roman" w:hAnsi="Times New Roman"/>
                <w:color w:val="000000"/>
                <w:sz w:val="18"/>
                <w:szCs w:val="18"/>
              </w:rPr>
            </w:pPr>
            <w:r w:rsidRPr="0045629B">
              <w:rPr>
                <w:rFonts w:ascii="Times New Roman" w:hAnsi="Times New Roman"/>
                <w:color w:val="000000"/>
                <w:sz w:val="18"/>
                <w:szCs w:val="18"/>
              </w:rPr>
              <w:t>v tom: daňové príjmy</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9 134 432</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9 293 066</w:t>
            </w:r>
          </w:p>
        </w:tc>
        <w:tc>
          <w:tcPr>
            <w:tcW w:w="0" w:type="auto"/>
            <w:tcBorders>
              <w:top w:val="nil"/>
              <w:left w:val="nil"/>
              <w:bottom w:val="nil"/>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10 037 549</w:t>
            </w:r>
          </w:p>
        </w:tc>
        <w:tc>
          <w:tcPr>
            <w:tcW w:w="0" w:type="auto"/>
            <w:tcBorders>
              <w:top w:val="nil"/>
              <w:left w:val="nil"/>
              <w:bottom w:val="nil"/>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10 037 549</w:t>
            </w:r>
          </w:p>
        </w:tc>
        <w:tc>
          <w:tcPr>
            <w:tcW w:w="0" w:type="auto"/>
            <w:tcBorders>
              <w:top w:val="nil"/>
              <w:left w:val="nil"/>
              <w:bottom w:val="nil"/>
              <w:right w:val="nil"/>
            </w:tcBorders>
            <w:shd w:val="pct25" w:color="auto" w:fill="auto"/>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10 612 712</w:t>
            </w:r>
          </w:p>
        </w:tc>
        <w:tc>
          <w:tcPr>
            <w:tcW w:w="0" w:type="auto"/>
            <w:gridSpan w:val="2"/>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575 163</w:t>
            </w:r>
          </w:p>
        </w:tc>
      </w:tr>
      <w:tr>
        <w:tblPrEx>
          <w:tblW w:w="0" w:type="auto"/>
          <w:tblInd w:w="70" w:type="dxa"/>
          <w:tblCellMar>
            <w:left w:w="70" w:type="dxa"/>
            <w:right w:w="70" w:type="dxa"/>
          </w:tblCellMar>
          <w:tblLook w:val="04A0"/>
        </w:tblPrEx>
        <w:trPr>
          <w:gridAfter w:val="1"/>
          <w:trHeight w:val="330"/>
        </w:trPr>
        <w:tc>
          <w:tcPr>
            <w:tcW w:w="0" w:type="auto"/>
            <w:tcBorders>
              <w:top w:val="nil"/>
              <w:left w:val="nil"/>
              <w:bottom w:val="nil"/>
              <w:right w:val="nil"/>
            </w:tcBorders>
            <w:noWrap/>
            <w:textDirection w:val="lrTb"/>
            <w:vAlign w:val="center"/>
            <w:hideMark/>
          </w:tcPr>
          <w:p w:rsidR="00643331" w:rsidRPr="0045629B" w:rsidP="004D50B5">
            <w:pPr>
              <w:bidi w:val="0"/>
              <w:rPr>
                <w:rFonts w:ascii="Times New Roman" w:hAnsi="Times New Roman"/>
                <w:color w:val="000000"/>
                <w:sz w:val="18"/>
                <w:szCs w:val="18"/>
              </w:rPr>
            </w:pPr>
            <w:r w:rsidRPr="0045629B">
              <w:rPr>
                <w:rFonts w:ascii="Times New Roman" w:hAnsi="Times New Roman"/>
                <w:color w:val="000000"/>
                <w:sz w:val="18"/>
                <w:szCs w:val="18"/>
              </w:rPr>
              <w:t xml:space="preserve">            nedaňové príjmy</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1 262 480</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1 635 552</w:t>
            </w:r>
          </w:p>
        </w:tc>
        <w:tc>
          <w:tcPr>
            <w:tcW w:w="0" w:type="auto"/>
            <w:tcBorders>
              <w:top w:val="nil"/>
              <w:left w:val="nil"/>
              <w:bottom w:val="nil"/>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1 144 220</w:t>
            </w:r>
          </w:p>
        </w:tc>
        <w:tc>
          <w:tcPr>
            <w:tcW w:w="0" w:type="auto"/>
            <w:tcBorders>
              <w:top w:val="nil"/>
              <w:left w:val="nil"/>
              <w:bottom w:val="nil"/>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1 118 203</w:t>
            </w:r>
          </w:p>
        </w:tc>
        <w:tc>
          <w:tcPr>
            <w:tcW w:w="0" w:type="auto"/>
            <w:tcBorders>
              <w:top w:val="nil"/>
              <w:left w:val="nil"/>
              <w:bottom w:val="nil"/>
              <w:right w:val="nil"/>
            </w:tcBorders>
            <w:shd w:val="pct25" w:color="auto" w:fill="auto"/>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1 278 721</w:t>
            </w:r>
          </w:p>
        </w:tc>
        <w:tc>
          <w:tcPr>
            <w:tcW w:w="0" w:type="auto"/>
            <w:gridSpan w:val="2"/>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134 501</w:t>
            </w:r>
          </w:p>
        </w:tc>
      </w:tr>
      <w:tr>
        <w:tblPrEx>
          <w:tblW w:w="0" w:type="auto"/>
          <w:tblInd w:w="70" w:type="dxa"/>
          <w:tblCellMar>
            <w:left w:w="70" w:type="dxa"/>
            <w:right w:w="70" w:type="dxa"/>
          </w:tblCellMar>
          <w:tblLook w:val="04A0"/>
        </w:tblPrEx>
        <w:trPr>
          <w:gridAfter w:val="1"/>
          <w:trHeight w:val="330"/>
        </w:trPr>
        <w:tc>
          <w:tcPr>
            <w:tcW w:w="0" w:type="auto"/>
            <w:tcBorders>
              <w:top w:val="nil"/>
              <w:left w:val="nil"/>
              <w:bottom w:val="nil"/>
              <w:right w:val="nil"/>
            </w:tcBorders>
            <w:noWrap/>
            <w:textDirection w:val="lrTb"/>
            <w:vAlign w:val="center"/>
            <w:hideMark/>
          </w:tcPr>
          <w:p w:rsidR="00643331" w:rsidRPr="0045629B" w:rsidP="004D50B5">
            <w:pPr>
              <w:bidi w:val="0"/>
              <w:rPr>
                <w:rFonts w:ascii="Times New Roman" w:hAnsi="Times New Roman"/>
                <w:color w:val="000000"/>
                <w:sz w:val="18"/>
                <w:szCs w:val="18"/>
              </w:rPr>
            </w:pPr>
            <w:r w:rsidRPr="0045629B">
              <w:rPr>
                <w:rFonts w:ascii="Times New Roman" w:hAnsi="Times New Roman"/>
                <w:color w:val="000000"/>
                <w:sz w:val="18"/>
                <w:szCs w:val="18"/>
              </w:rPr>
              <w:t xml:space="preserve">            granty a transfery</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2 399 532</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1 568 248</w:t>
            </w:r>
          </w:p>
        </w:tc>
        <w:tc>
          <w:tcPr>
            <w:tcW w:w="0" w:type="auto"/>
            <w:tcBorders>
              <w:top w:val="nil"/>
              <w:left w:val="nil"/>
              <w:bottom w:val="nil"/>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3 313 152</w:t>
            </w:r>
          </w:p>
        </w:tc>
        <w:tc>
          <w:tcPr>
            <w:tcW w:w="0" w:type="auto"/>
            <w:tcBorders>
              <w:top w:val="nil"/>
              <w:left w:val="nil"/>
              <w:bottom w:val="nil"/>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4 312 558</w:t>
            </w:r>
          </w:p>
        </w:tc>
        <w:tc>
          <w:tcPr>
            <w:tcW w:w="0" w:type="auto"/>
            <w:tcBorders>
              <w:top w:val="nil"/>
              <w:left w:val="nil"/>
              <w:bottom w:val="nil"/>
              <w:right w:val="nil"/>
            </w:tcBorders>
            <w:shd w:val="pct25" w:color="auto" w:fill="auto"/>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4 342 362</w:t>
            </w:r>
          </w:p>
        </w:tc>
        <w:tc>
          <w:tcPr>
            <w:tcW w:w="0" w:type="auto"/>
            <w:gridSpan w:val="2"/>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1 029 210</w:t>
            </w:r>
          </w:p>
        </w:tc>
      </w:tr>
      <w:tr>
        <w:tblPrEx>
          <w:tblW w:w="0" w:type="auto"/>
          <w:tblInd w:w="70" w:type="dxa"/>
          <w:tblCellMar>
            <w:left w:w="70" w:type="dxa"/>
            <w:right w:w="70" w:type="dxa"/>
          </w:tblCellMar>
          <w:tblLook w:val="04A0"/>
        </w:tblPrEx>
        <w:trPr>
          <w:gridAfter w:val="1"/>
          <w:trHeight w:val="330"/>
        </w:trPr>
        <w:tc>
          <w:tcPr>
            <w:tcW w:w="0" w:type="auto"/>
            <w:tcBorders>
              <w:top w:val="nil"/>
              <w:left w:val="nil"/>
              <w:bottom w:val="nil"/>
              <w:right w:val="nil"/>
            </w:tcBorders>
            <w:noWrap/>
            <w:textDirection w:val="lrTb"/>
            <w:vAlign w:val="center"/>
            <w:hideMark/>
          </w:tcPr>
          <w:p w:rsidR="00643331" w:rsidRPr="0045629B" w:rsidP="004D50B5">
            <w:pPr>
              <w:bidi w:val="0"/>
              <w:rPr>
                <w:rFonts w:ascii="Times New Roman" w:hAnsi="Times New Roman"/>
                <w:b/>
                <w:bCs/>
                <w:color w:val="000000"/>
                <w:sz w:val="18"/>
                <w:szCs w:val="18"/>
              </w:rPr>
            </w:pPr>
            <w:r w:rsidRPr="0045629B">
              <w:rPr>
                <w:rFonts w:ascii="Times New Roman" w:hAnsi="Times New Roman"/>
                <w:b/>
                <w:bCs/>
                <w:color w:val="000000"/>
                <w:sz w:val="18"/>
                <w:szCs w:val="18"/>
              </w:rPr>
              <w:t>Výdavky spolu</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14 819 702</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15 420 238</w:t>
            </w:r>
          </w:p>
        </w:tc>
        <w:tc>
          <w:tcPr>
            <w:tcW w:w="0" w:type="auto"/>
            <w:tcBorders>
              <w:top w:val="nil"/>
              <w:left w:val="nil"/>
              <w:bottom w:val="nil"/>
              <w:right w:val="nil"/>
            </w:tcBorders>
            <w:noWrap/>
            <w:textDirection w:val="lrTb"/>
            <w:vAlign w:val="center"/>
            <w:hideMark/>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17 478 558</w:t>
            </w:r>
          </w:p>
        </w:tc>
        <w:tc>
          <w:tcPr>
            <w:tcW w:w="0" w:type="auto"/>
            <w:tcBorders>
              <w:top w:val="nil"/>
              <w:left w:val="nil"/>
              <w:bottom w:val="nil"/>
              <w:right w:val="nil"/>
            </w:tcBorders>
            <w:noWrap/>
            <w:textDirection w:val="lrTb"/>
            <w:vAlign w:val="center"/>
            <w:hideMark/>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18 353 775</w:t>
            </w:r>
          </w:p>
        </w:tc>
        <w:tc>
          <w:tcPr>
            <w:tcW w:w="0" w:type="auto"/>
            <w:tcBorders>
              <w:top w:val="nil"/>
              <w:left w:val="nil"/>
              <w:bottom w:val="nil"/>
              <w:right w:val="nil"/>
            </w:tcBorders>
            <w:shd w:val="pct25" w:color="auto" w:fill="auto"/>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18 166 391</w:t>
            </w:r>
          </w:p>
        </w:tc>
        <w:tc>
          <w:tcPr>
            <w:tcW w:w="0" w:type="auto"/>
            <w:gridSpan w:val="2"/>
            <w:tcBorders>
              <w:top w:val="nil"/>
              <w:left w:val="nil"/>
              <w:bottom w:val="nil"/>
              <w:right w:val="nil"/>
            </w:tcBorders>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687 833</w:t>
            </w:r>
          </w:p>
        </w:tc>
      </w:tr>
      <w:tr>
        <w:tblPrEx>
          <w:tblW w:w="0" w:type="auto"/>
          <w:tblInd w:w="70" w:type="dxa"/>
          <w:tblCellMar>
            <w:left w:w="70" w:type="dxa"/>
            <w:right w:w="70" w:type="dxa"/>
          </w:tblCellMar>
          <w:tblLook w:val="04A0"/>
        </w:tblPrEx>
        <w:trPr>
          <w:gridAfter w:val="1"/>
          <w:trHeight w:val="330"/>
        </w:trPr>
        <w:tc>
          <w:tcPr>
            <w:tcW w:w="0" w:type="auto"/>
            <w:tcBorders>
              <w:top w:val="nil"/>
              <w:left w:val="nil"/>
              <w:bottom w:val="nil"/>
              <w:right w:val="nil"/>
            </w:tcBorders>
            <w:noWrap/>
            <w:textDirection w:val="lrTb"/>
            <w:vAlign w:val="center"/>
            <w:hideMark/>
          </w:tcPr>
          <w:p w:rsidR="00643331" w:rsidRPr="0045629B" w:rsidP="004D50B5">
            <w:pPr>
              <w:bidi w:val="0"/>
              <w:rPr>
                <w:rFonts w:ascii="Times New Roman" w:hAnsi="Times New Roman"/>
                <w:color w:val="000000"/>
                <w:sz w:val="18"/>
                <w:szCs w:val="18"/>
              </w:rPr>
            </w:pPr>
            <w:r w:rsidRPr="0045629B">
              <w:rPr>
                <w:rFonts w:ascii="Times New Roman" w:hAnsi="Times New Roman"/>
                <w:color w:val="000000"/>
                <w:sz w:val="18"/>
                <w:szCs w:val="18"/>
              </w:rPr>
              <w:t>v tom: bežné výdavky</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12 964 260</w:t>
            </w:r>
          </w:p>
        </w:tc>
        <w:tc>
          <w:tcPr>
            <w:tcW w:w="0" w:type="auto"/>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13 441 150</w:t>
            </w:r>
          </w:p>
        </w:tc>
        <w:tc>
          <w:tcPr>
            <w:tcW w:w="0" w:type="auto"/>
            <w:tcBorders>
              <w:top w:val="nil"/>
              <w:left w:val="nil"/>
              <w:bottom w:val="nil"/>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14 931 725</w:t>
            </w:r>
          </w:p>
        </w:tc>
        <w:tc>
          <w:tcPr>
            <w:tcW w:w="0" w:type="auto"/>
            <w:tcBorders>
              <w:top w:val="nil"/>
              <w:left w:val="nil"/>
              <w:bottom w:val="nil"/>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13 765 092</w:t>
            </w:r>
          </w:p>
        </w:tc>
        <w:tc>
          <w:tcPr>
            <w:tcW w:w="0" w:type="auto"/>
            <w:tcBorders>
              <w:top w:val="nil"/>
              <w:left w:val="nil"/>
              <w:bottom w:val="nil"/>
              <w:right w:val="nil"/>
            </w:tcBorders>
            <w:shd w:val="pct25" w:color="auto" w:fill="auto"/>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13 498 303</w:t>
            </w:r>
          </w:p>
        </w:tc>
        <w:tc>
          <w:tcPr>
            <w:tcW w:w="0" w:type="auto"/>
            <w:gridSpan w:val="2"/>
            <w:tcBorders>
              <w:top w:val="nil"/>
              <w:left w:val="nil"/>
              <w:bottom w:val="nil"/>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-1 433 422</w:t>
            </w:r>
          </w:p>
        </w:tc>
      </w:tr>
      <w:tr>
        <w:tblPrEx>
          <w:tblW w:w="0" w:type="auto"/>
          <w:tblInd w:w="70" w:type="dxa"/>
          <w:tblCellMar>
            <w:left w:w="70" w:type="dxa"/>
            <w:right w:w="70" w:type="dxa"/>
          </w:tblCellMar>
          <w:tblLook w:val="04A0"/>
        </w:tblPrEx>
        <w:trPr>
          <w:gridAfter w:val="1"/>
          <w:trHeight w:val="330"/>
        </w:trPr>
        <w:tc>
          <w:tcPr>
            <w:tcW w:w="0" w:type="auto"/>
            <w:tcBorders>
              <w:top w:val="nil"/>
              <w:left w:val="nil"/>
              <w:bottom w:val="single" w:sz="8" w:space="0" w:color="auto"/>
              <w:right w:val="nil"/>
            </w:tcBorders>
            <w:noWrap/>
            <w:textDirection w:val="lrTb"/>
            <w:vAlign w:val="center"/>
            <w:hideMark/>
          </w:tcPr>
          <w:p w:rsidR="00643331" w:rsidRPr="0045629B" w:rsidP="004D50B5">
            <w:pPr>
              <w:bidi w:val="0"/>
              <w:rPr>
                <w:rFonts w:ascii="Times New Roman" w:hAnsi="Times New Roman"/>
                <w:color w:val="000000"/>
                <w:sz w:val="18"/>
                <w:szCs w:val="18"/>
              </w:rPr>
            </w:pPr>
            <w:r w:rsidRPr="0045629B">
              <w:rPr>
                <w:rFonts w:ascii="Times New Roman" w:hAnsi="Times New Roman"/>
                <w:color w:val="000000"/>
                <w:sz w:val="18"/>
                <w:szCs w:val="18"/>
              </w:rPr>
              <w:t xml:space="preserve">            kapitálové výdavky</w:t>
            </w:r>
          </w:p>
        </w:tc>
        <w:tc>
          <w:tcPr>
            <w:tcW w:w="0" w:type="auto"/>
            <w:tcBorders>
              <w:top w:val="nil"/>
              <w:left w:val="nil"/>
              <w:bottom w:val="single" w:sz="8" w:space="0" w:color="auto"/>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1 855 442</w:t>
            </w:r>
          </w:p>
        </w:tc>
        <w:tc>
          <w:tcPr>
            <w:tcW w:w="0" w:type="auto"/>
            <w:tcBorders>
              <w:top w:val="nil"/>
              <w:left w:val="nil"/>
              <w:bottom w:val="single" w:sz="8" w:space="0" w:color="auto"/>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1 979 088</w:t>
            </w:r>
          </w:p>
        </w:tc>
        <w:tc>
          <w:tcPr>
            <w:tcW w:w="0" w:type="auto"/>
            <w:tcBorders>
              <w:top w:val="nil"/>
              <w:left w:val="nil"/>
              <w:bottom w:val="single" w:sz="8" w:space="0" w:color="auto"/>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2 546 833</w:t>
            </w:r>
          </w:p>
        </w:tc>
        <w:tc>
          <w:tcPr>
            <w:tcW w:w="0" w:type="auto"/>
            <w:tcBorders>
              <w:top w:val="nil"/>
              <w:left w:val="nil"/>
              <w:bottom w:val="single" w:sz="8" w:space="0" w:color="auto"/>
              <w:right w:val="nil"/>
            </w:tcBorders>
            <w:noWrap/>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4 588 683</w:t>
            </w:r>
          </w:p>
        </w:tc>
        <w:tc>
          <w:tcPr>
            <w:tcW w:w="0" w:type="auto"/>
            <w:tcBorders>
              <w:top w:val="nil"/>
              <w:left w:val="nil"/>
              <w:bottom w:val="single" w:sz="8" w:space="0" w:color="auto"/>
              <w:right w:val="nil"/>
            </w:tcBorders>
            <w:shd w:val="pct25" w:color="auto" w:fill="auto"/>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4 668 088</w:t>
            </w:r>
          </w:p>
        </w:tc>
        <w:tc>
          <w:tcPr>
            <w:tcW w:w="0" w:type="auto"/>
            <w:gridSpan w:val="2"/>
            <w:tcBorders>
              <w:top w:val="nil"/>
              <w:left w:val="nil"/>
              <w:bottom w:val="single" w:sz="8" w:space="0" w:color="auto"/>
              <w:right w:val="nil"/>
            </w:tcBorders>
            <w:textDirection w:val="lrTb"/>
            <w:vAlign w:val="center"/>
          </w:tcPr>
          <w:p w:rsidR="00643331" w:rsidRPr="0045629B" w:rsidP="004D50B5">
            <w:pPr>
              <w:bidi w:val="0"/>
              <w:jc w:val="right"/>
              <w:rPr>
                <w:rFonts w:ascii="Times New Roman" w:hAnsi="Times New Roman"/>
                <w:color w:val="000000"/>
                <w:sz w:val="18"/>
                <w:szCs w:val="18"/>
              </w:rPr>
            </w:pPr>
            <w:r w:rsidRPr="0045629B">
              <w:rPr>
                <w:rFonts w:ascii="Times New Roman" w:hAnsi="Times New Roman"/>
                <w:color w:val="000000"/>
                <w:sz w:val="18"/>
                <w:szCs w:val="18"/>
              </w:rPr>
              <w:t>2 121 255</w:t>
            </w:r>
          </w:p>
        </w:tc>
      </w:tr>
      <w:tr>
        <w:tblPrEx>
          <w:tblW w:w="0" w:type="auto"/>
          <w:tblInd w:w="70" w:type="dxa"/>
          <w:tblCellMar>
            <w:left w:w="70" w:type="dxa"/>
            <w:right w:w="70" w:type="dxa"/>
          </w:tblCellMar>
          <w:tblLook w:val="04A0"/>
        </w:tblPrEx>
        <w:trPr>
          <w:gridAfter w:val="1"/>
          <w:trHeight w:val="184"/>
        </w:trPr>
        <w:tc>
          <w:tcPr>
            <w:tcW w:w="0" w:type="auto"/>
            <w:tcBorders>
              <w:top w:val="single" w:sz="8" w:space="0" w:color="auto"/>
              <w:left w:val="nil"/>
              <w:bottom w:val="single" w:sz="8" w:space="0" w:color="auto"/>
              <w:right w:val="nil"/>
            </w:tcBorders>
            <w:noWrap/>
            <w:textDirection w:val="lrTb"/>
            <w:vAlign w:val="center"/>
            <w:hideMark/>
          </w:tcPr>
          <w:p w:rsidR="00643331" w:rsidRPr="0045629B" w:rsidP="004D50B5">
            <w:pPr>
              <w:bidi w:val="0"/>
              <w:rPr>
                <w:rFonts w:ascii="Times New Roman" w:hAnsi="Times New Roman"/>
                <w:b/>
                <w:bCs/>
                <w:color w:val="000000"/>
                <w:sz w:val="18"/>
                <w:szCs w:val="18"/>
              </w:rPr>
            </w:pPr>
            <w:r w:rsidRPr="0045629B">
              <w:rPr>
                <w:rFonts w:ascii="Times New Roman" w:hAnsi="Times New Roman"/>
                <w:b/>
                <w:bCs/>
                <w:color w:val="000000"/>
                <w:sz w:val="18"/>
                <w:szCs w:val="18"/>
              </w:rPr>
              <w:t>Schodok (-)</w:t>
            </w:r>
          </w:p>
        </w:tc>
        <w:tc>
          <w:tcPr>
            <w:tcW w:w="0" w:type="auto"/>
            <w:tcBorders>
              <w:top w:val="single" w:sz="8" w:space="0" w:color="auto"/>
              <w:left w:val="nil"/>
              <w:bottom w:val="single" w:sz="8" w:space="0" w:color="auto"/>
              <w:right w:val="nil"/>
            </w:tcBorders>
            <w:textDirection w:val="lrTb"/>
            <w:vAlign w:val="bottom"/>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-2 023 258</w:t>
            </w:r>
          </w:p>
        </w:tc>
        <w:tc>
          <w:tcPr>
            <w:tcW w:w="0" w:type="auto"/>
            <w:tcBorders>
              <w:top w:val="single" w:sz="8" w:space="0" w:color="auto"/>
              <w:left w:val="nil"/>
              <w:bottom w:val="single" w:sz="8" w:space="0" w:color="auto"/>
              <w:right w:val="nil"/>
            </w:tcBorders>
            <w:textDirection w:val="lrTb"/>
            <w:vAlign w:val="bottom"/>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-2 923 372</w:t>
            </w:r>
          </w:p>
        </w:tc>
        <w:tc>
          <w:tcPr>
            <w:tcW w:w="0" w:type="auto"/>
            <w:tcBorders>
              <w:top w:val="single" w:sz="8" w:space="0" w:color="auto"/>
              <w:left w:val="nil"/>
              <w:bottom w:val="single" w:sz="8" w:space="0" w:color="auto"/>
              <w:right w:val="nil"/>
            </w:tcBorders>
            <w:noWrap/>
            <w:textDirection w:val="lrTb"/>
            <w:vAlign w:val="bottom"/>
            <w:hideMark/>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-2 983 637</w:t>
            </w:r>
          </w:p>
        </w:tc>
        <w:tc>
          <w:tcPr>
            <w:tcW w:w="0" w:type="auto"/>
            <w:tcBorders>
              <w:top w:val="single" w:sz="8" w:space="0" w:color="auto"/>
              <w:left w:val="nil"/>
              <w:bottom w:val="single" w:sz="8" w:space="0" w:color="auto"/>
              <w:right w:val="nil"/>
            </w:tcBorders>
            <w:noWrap/>
            <w:textDirection w:val="lrTb"/>
            <w:vAlign w:val="bottom"/>
            <w:hideMark/>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 xml:space="preserve">-2 885 465 </w:t>
            </w:r>
          </w:p>
        </w:tc>
        <w:tc>
          <w:tcPr>
            <w:tcW w:w="0" w:type="auto"/>
            <w:tcBorders>
              <w:top w:val="single" w:sz="8" w:space="0" w:color="auto"/>
              <w:left w:val="nil"/>
              <w:bottom w:val="single" w:sz="8" w:space="0" w:color="auto"/>
              <w:right w:val="nil"/>
            </w:tcBorders>
            <w:shd w:val="pct25" w:color="auto" w:fill="auto"/>
            <w:textDirection w:val="lrTb"/>
            <w:vAlign w:val="center"/>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-1 932 596</w:t>
            </w:r>
          </w:p>
        </w:tc>
        <w:tc>
          <w:tcPr>
            <w:tcW w:w="0" w:type="auto"/>
            <w:gridSpan w:val="2"/>
            <w:tcBorders>
              <w:top w:val="single" w:sz="8" w:space="0" w:color="auto"/>
              <w:left w:val="nil"/>
              <w:bottom w:val="single" w:sz="8" w:space="0" w:color="auto"/>
              <w:right w:val="nil"/>
            </w:tcBorders>
            <w:textDirection w:val="lrTb"/>
            <w:vAlign w:val="bottom"/>
          </w:tcPr>
          <w:p w:rsidR="00643331" w:rsidRPr="0045629B" w:rsidP="004D50B5">
            <w:pPr>
              <w:bidi w:val="0"/>
              <w:jc w:val="right"/>
              <w:rPr>
                <w:rFonts w:ascii="Times New Roman" w:hAnsi="Times New Roman"/>
                <w:b/>
                <w:bCs/>
                <w:color w:val="000000"/>
                <w:sz w:val="18"/>
                <w:szCs w:val="18"/>
              </w:rPr>
            </w:pPr>
            <w:r w:rsidRPr="0045629B">
              <w:rPr>
                <w:rFonts w:ascii="Times New Roman" w:hAnsi="Times New Roman"/>
                <w:b/>
                <w:bCs/>
                <w:color w:val="000000"/>
                <w:sz w:val="18"/>
                <w:szCs w:val="18"/>
              </w:rPr>
              <w:t>1 051 041</w:t>
            </w:r>
          </w:p>
        </w:tc>
      </w:tr>
    </w:tbl>
    <w:p w:rsidR="00643331" w:rsidRPr="00643331" w:rsidP="00DF3EDF">
      <w:pPr>
        <w:bidi w:val="0"/>
        <w:spacing w:after="120" w:line="336" w:lineRule="auto"/>
        <w:ind w:right="141"/>
        <w:jc w:val="center"/>
        <w:rPr>
          <w:rFonts w:ascii="Times New Roman" w:hAnsi="Times New Roman"/>
          <w:sz w:val="18"/>
          <w:szCs w:val="18"/>
        </w:rPr>
      </w:pPr>
      <w:r w:rsidR="000571A1">
        <w:rPr>
          <w:rFonts w:ascii="Times New Roman" w:hAnsi="Times New Roman"/>
          <w:sz w:val="18"/>
          <w:szCs w:val="18"/>
        </w:rPr>
        <w:t xml:space="preserve">                                                                                                                                    </w:t>
      </w:r>
      <w:r w:rsidR="00DF3EDF">
        <w:rPr>
          <w:rFonts w:ascii="Times New Roman" w:hAnsi="Times New Roman"/>
          <w:sz w:val="18"/>
          <w:szCs w:val="18"/>
        </w:rPr>
        <w:t xml:space="preserve">                               </w:t>
      </w:r>
      <w:r w:rsidRPr="00643331">
        <w:rPr>
          <w:rFonts w:ascii="Times New Roman" w:hAnsi="Times New Roman"/>
          <w:sz w:val="18"/>
          <w:szCs w:val="18"/>
        </w:rPr>
        <w:t>Zdroj: MF SR</w:t>
      </w:r>
    </w:p>
    <w:p w:rsidR="00643331" w:rsidRPr="00643331" w:rsidP="00643331">
      <w:pPr>
        <w:bidi w:val="0"/>
        <w:spacing w:after="120" w:line="336" w:lineRule="auto"/>
        <w:jc w:val="both"/>
        <w:rPr>
          <w:rFonts w:ascii="Times New Roman" w:hAnsi="Times New Roman"/>
          <w:sz w:val="22"/>
          <w:szCs w:val="22"/>
        </w:rPr>
      </w:pPr>
      <w:r w:rsidRPr="00643331">
        <w:rPr>
          <w:rFonts w:ascii="Times New Roman" w:hAnsi="Times New Roman"/>
          <w:sz w:val="22"/>
          <w:szCs w:val="22"/>
        </w:rPr>
        <w:t>Schválené príjmy štátneho rozpočtu na rok 2015 boli oproti schváleným príjmom na rok 2014 vyššie o 386 609 tis. eur, a</w:t>
      </w:r>
      <w:r w:rsidR="0062152E">
        <w:rPr>
          <w:rFonts w:ascii="Times New Roman" w:hAnsi="Times New Roman"/>
          <w:sz w:val="22"/>
          <w:szCs w:val="22"/>
        </w:rPr>
        <w:t> </w:t>
      </w:r>
      <w:r w:rsidRPr="00643331">
        <w:rPr>
          <w:rFonts w:ascii="Times New Roman" w:hAnsi="Times New Roman"/>
          <w:sz w:val="22"/>
          <w:szCs w:val="22"/>
        </w:rPr>
        <w:t>to</w:t>
      </w:r>
      <w:r w:rsidR="0062152E">
        <w:rPr>
          <w:rFonts w:ascii="Times New Roman" w:hAnsi="Times New Roman"/>
          <w:sz w:val="22"/>
          <w:szCs w:val="22"/>
        </w:rPr>
        <w:t xml:space="preserve"> vplyvom vyšších daňových príjmov o 1 347 011 tis. eur</w:t>
      </w:r>
      <w:r w:rsidRPr="00643331">
        <w:rPr>
          <w:rFonts w:ascii="Times New Roman" w:hAnsi="Times New Roman"/>
          <w:sz w:val="22"/>
          <w:szCs w:val="22"/>
        </w:rPr>
        <w:t xml:space="preserve">, </w:t>
      </w:r>
      <w:r w:rsidR="0062152E">
        <w:rPr>
          <w:rFonts w:ascii="Times New Roman" w:hAnsi="Times New Roman"/>
          <w:sz w:val="22"/>
          <w:szCs w:val="22"/>
        </w:rPr>
        <w:t xml:space="preserve">nižších </w:t>
      </w:r>
      <w:r w:rsidRPr="00643331">
        <w:rPr>
          <w:rFonts w:ascii="Times New Roman" w:hAnsi="Times New Roman"/>
          <w:sz w:val="22"/>
          <w:szCs w:val="22"/>
        </w:rPr>
        <w:t>nedaňov</w:t>
      </w:r>
      <w:r w:rsidR="0062152E">
        <w:rPr>
          <w:rFonts w:ascii="Times New Roman" w:hAnsi="Times New Roman"/>
          <w:sz w:val="22"/>
          <w:szCs w:val="22"/>
        </w:rPr>
        <w:t>ých</w:t>
      </w:r>
      <w:r w:rsidRPr="00643331">
        <w:rPr>
          <w:rFonts w:ascii="Times New Roman" w:hAnsi="Times New Roman"/>
          <w:sz w:val="22"/>
          <w:szCs w:val="22"/>
        </w:rPr>
        <w:t xml:space="preserve"> príj</w:t>
      </w:r>
      <w:r w:rsidR="004B2DD9">
        <w:rPr>
          <w:rFonts w:ascii="Times New Roman" w:hAnsi="Times New Roman"/>
          <w:sz w:val="22"/>
          <w:szCs w:val="22"/>
        </w:rPr>
        <w:t>m</w:t>
      </w:r>
      <w:r w:rsidR="0062152E">
        <w:rPr>
          <w:rFonts w:ascii="Times New Roman" w:hAnsi="Times New Roman"/>
          <w:sz w:val="22"/>
          <w:szCs w:val="22"/>
        </w:rPr>
        <w:t>o</w:t>
      </w:r>
      <w:r w:rsidR="004B2DD9">
        <w:rPr>
          <w:rFonts w:ascii="Times New Roman" w:hAnsi="Times New Roman"/>
          <w:sz w:val="22"/>
          <w:szCs w:val="22"/>
        </w:rPr>
        <w:t>v</w:t>
      </w:r>
      <w:r w:rsidRPr="00643331">
        <w:rPr>
          <w:rFonts w:ascii="Times New Roman" w:hAnsi="Times New Roman"/>
          <w:sz w:val="22"/>
          <w:szCs w:val="22"/>
        </w:rPr>
        <w:t xml:space="preserve"> o 253 54</w:t>
      </w:r>
      <w:r w:rsidR="00D73A12">
        <w:rPr>
          <w:rFonts w:ascii="Times New Roman" w:hAnsi="Times New Roman"/>
          <w:sz w:val="22"/>
          <w:szCs w:val="22"/>
        </w:rPr>
        <w:t>8 tis. eur a</w:t>
      </w:r>
      <w:r w:rsidR="004B2DD9">
        <w:rPr>
          <w:rFonts w:ascii="Times New Roman" w:hAnsi="Times New Roman"/>
          <w:sz w:val="22"/>
          <w:szCs w:val="22"/>
        </w:rPr>
        <w:t xml:space="preserve"> nižších </w:t>
      </w:r>
      <w:r w:rsidR="00D73A12">
        <w:rPr>
          <w:rFonts w:ascii="Times New Roman" w:hAnsi="Times New Roman"/>
          <w:sz w:val="22"/>
          <w:szCs w:val="22"/>
        </w:rPr>
        <w:t>grant</w:t>
      </w:r>
      <w:r w:rsidR="004B2DD9">
        <w:rPr>
          <w:rFonts w:ascii="Times New Roman" w:hAnsi="Times New Roman"/>
          <w:sz w:val="22"/>
          <w:szCs w:val="22"/>
        </w:rPr>
        <w:t>ov</w:t>
      </w:r>
      <w:r w:rsidR="00D73A12">
        <w:rPr>
          <w:rFonts w:ascii="Times New Roman" w:hAnsi="Times New Roman"/>
          <w:sz w:val="22"/>
          <w:szCs w:val="22"/>
        </w:rPr>
        <w:t xml:space="preserve"> a </w:t>
      </w:r>
      <w:r w:rsidRPr="00643331">
        <w:rPr>
          <w:rFonts w:ascii="Times New Roman" w:hAnsi="Times New Roman"/>
          <w:sz w:val="22"/>
          <w:szCs w:val="22"/>
        </w:rPr>
        <w:t>transfer</w:t>
      </w:r>
      <w:r w:rsidR="004B2DD9">
        <w:rPr>
          <w:rFonts w:ascii="Times New Roman" w:hAnsi="Times New Roman"/>
          <w:sz w:val="22"/>
          <w:szCs w:val="22"/>
        </w:rPr>
        <w:t>ov</w:t>
      </w:r>
      <w:r w:rsidRPr="00643331">
        <w:rPr>
          <w:rFonts w:ascii="Times New Roman" w:hAnsi="Times New Roman"/>
          <w:sz w:val="22"/>
          <w:szCs w:val="22"/>
        </w:rPr>
        <w:t xml:space="preserve"> o 706 852 tis. eur. Z daňových príjmov bola medziročne rozpočtovaná vyššia daň z príjmov p</w:t>
      </w:r>
      <w:r w:rsidR="00B3673A">
        <w:rPr>
          <w:rFonts w:ascii="Times New Roman" w:hAnsi="Times New Roman"/>
          <w:sz w:val="22"/>
          <w:szCs w:val="22"/>
        </w:rPr>
        <w:t>rávnickej osoby (o 870 086 tis. </w:t>
      </w:r>
      <w:r w:rsidRPr="00643331">
        <w:rPr>
          <w:rFonts w:ascii="Times New Roman" w:hAnsi="Times New Roman"/>
          <w:sz w:val="22"/>
          <w:szCs w:val="22"/>
        </w:rPr>
        <w:t>eur), daň z pridanej hodnoty (o 352 879 tis. eur), spotrebné dane (o 154 030 tis. eur)</w:t>
      </w:r>
      <w:r w:rsidR="00535354">
        <w:rPr>
          <w:rFonts w:ascii="Times New Roman" w:hAnsi="Times New Roman"/>
          <w:sz w:val="22"/>
          <w:szCs w:val="22"/>
        </w:rPr>
        <w:t>,</w:t>
      </w:r>
      <w:r w:rsidRPr="00643331">
        <w:rPr>
          <w:rFonts w:ascii="Times New Roman" w:hAnsi="Times New Roman"/>
          <w:sz w:val="22"/>
          <w:szCs w:val="22"/>
        </w:rPr>
        <w:t xml:space="preserve"> ako aj daň z motorových vozidiel (150 550 tis. eur), ktorá od 1.1.2015 bola zahrnutá do príjmov štátneho rozpočtu. </w:t>
      </w:r>
    </w:p>
    <w:p w:rsidR="00643331" w:rsidRPr="00643331" w:rsidP="00643331">
      <w:pPr>
        <w:bidi w:val="0"/>
        <w:spacing w:after="120" w:line="336" w:lineRule="auto"/>
        <w:jc w:val="both"/>
        <w:rPr>
          <w:rFonts w:ascii="Times New Roman" w:hAnsi="Times New Roman"/>
          <w:sz w:val="22"/>
          <w:szCs w:val="22"/>
        </w:rPr>
      </w:pPr>
      <w:r w:rsidRPr="00643331">
        <w:rPr>
          <w:rFonts w:ascii="Times New Roman" w:hAnsi="Times New Roman"/>
          <w:sz w:val="22"/>
          <w:szCs w:val="22"/>
        </w:rPr>
        <w:t>V medziročnom porovnaní schválených výdavkov štátneho rozpočtu na roky 2015 a 2014 sa predpokladalo ich zvýšenie o 86 641 tis. eur. Bežné výdavky s</w:t>
      </w:r>
      <w:r w:rsidR="007000CF">
        <w:rPr>
          <w:rFonts w:ascii="Times New Roman" w:hAnsi="Times New Roman"/>
          <w:sz w:val="22"/>
          <w:szCs w:val="22"/>
        </w:rPr>
        <w:t xml:space="preserve">a </w:t>
      </w:r>
      <w:r w:rsidR="00B22B34">
        <w:rPr>
          <w:rFonts w:ascii="Times New Roman" w:hAnsi="Times New Roman"/>
          <w:sz w:val="22"/>
          <w:szCs w:val="22"/>
        </w:rPr>
        <w:t>rozpočtovali</w:t>
      </w:r>
      <w:r w:rsidR="007000CF">
        <w:rPr>
          <w:rFonts w:ascii="Times New Roman" w:hAnsi="Times New Roman"/>
          <w:sz w:val="22"/>
          <w:szCs w:val="22"/>
        </w:rPr>
        <w:t xml:space="preserve"> medziročne vyššie o </w:t>
      </w:r>
      <w:r w:rsidRPr="00643331">
        <w:rPr>
          <w:rFonts w:ascii="Times New Roman" w:hAnsi="Times New Roman"/>
          <w:sz w:val="22"/>
          <w:szCs w:val="22"/>
        </w:rPr>
        <w:t>68 477 tis. eur a kapitálové výdavky o 18 164 tis. eur vyššie. Z bežných výdavkov boli predpokladané vyššie mzdy, platy, služobné príjmy, poistné a príspe</w:t>
      </w:r>
      <w:r w:rsidR="00B3673A">
        <w:rPr>
          <w:rFonts w:ascii="Times New Roman" w:hAnsi="Times New Roman"/>
          <w:sz w:val="22"/>
          <w:szCs w:val="22"/>
        </w:rPr>
        <w:t>vky do poisťovní (o </w:t>
      </w:r>
      <w:r w:rsidR="00AE0BBC">
        <w:rPr>
          <w:rFonts w:ascii="Times New Roman" w:hAnsi="Times New Roman"/>
          <w:sz w:val="22"/>
          <w:szCs w:val="22"/>
        </w:rPr>
        <w:t>21 756 tis. </w:t>
      </w:r>
      <w:r w:rsidRPr="00643331">
        <w:rPr>
          <w:rFonts w:ascii="Times New Roman" w:hAnsi="Times New Roman"/>
          <w:sz w:val="22"/>
          <w:szCs w:val="22"/>
        </w:rPr>
        <w:t xml:space="preserve">eur), bežné transfery (o 108 690 tis. eur). Naopak, tovary a služby sa </w:t>
      </w:r>
      <w:r w:rsidR="00B22B34">
        <w:rPr>
          <w:rFonts w:ascii="Times New Roman" w:hAnsi="Times New Roman"/>
          <w:sz w:val="22"/>
          <w:szCs w:val="22"/>
        </w:rPr>
        <w:t>rozpočtovali</w:t>
      </w:r>
      <w:r w:rsidRPr="00643331">
        <w:rPr>
          <w:rFonts w:ascii="Times New Roman" w:hAnsi="Times New Roman"/>
          <w:sz w:val="22"/>
          <w:szCs w:val="22"/>
        </w:rPr>
        <w:t xml:space="preserve"> medziročne nižšie o 61 885 tis. eur. Z kapitálových </w:t>
      </w:r>
      <w:r w:rsidR="00B22B34">
        <w:rPr>
          <w:rFonts w:ascii="Times New Roman" w:hAnsi="Times New Roman"/>
          <w:sz w:val="22"/>
          <w:szCs w:val="22"/>
        </w:rPr>
        <w:t>výdavkov</w:t>
      </w:r>
      <w:r w:rsidRPr="00643331">
        <w:rPr>
          <w:rFonts w:ascii="Times New Roman" w:hAnsi="Times New Roman"/>
          <w:sz w:val="22"/>
          <w:szCs w:val="22"/>
        </w:rPr>
        <w:t xml:space="preserve"> sa </w:t>
      </w:r>
      <w:r w:rsidR="00B22B34">
        <w:rPr>
          <w:rFonts w:ascii="Times New Roman" w:hAnsi="Times New Roman"/>
          <w:sz w:val="22"/>
          <w:szCs w:val="22"/>
        </w:rPr>
        <w:t xml:space="preserve">medziročne </w:t>
      </w:r>
      <w:r w:rsidRPr="00643331">
        <w:rPr>
          <w:rFonts w:ascii="Times New Roman" w:hAnsi="Times New Roman"/>
          <w:sz w:val="22"/>
          <w:szCs w:val="22"/>
        </w:rPr>
        <w:t xml:space="preserve">vyššie rozpočtoval </w:t>
      </w:r>
      <w:r w:rsidR="00B22B34">
        <w:rPr>
          <w:rFonts w:ascii="Times New Roman" w:hAnsi="Times New Roman"/>
          <w:sz w:val="22"/>
          <w:szCs w:val="22"/>
        </w:rPr>
        <w:t xml:space="preserve">napr. </w:t>
      </w:r>
      <w:r w:rsidRPr="00643331">
        <w:rPr>
          <w:rFonts w:ascii="Times New Roman" w:hAnsi="Times New Roman"/>
          <w:sz w:val="22"/>
          <w:szCs w:val="22"/>
        </w:rPr>
        <w:t>nákup softvéru (48 958 tis. eur), dopravných prostriedkov (o 31 347 tis. eur), rekonštrukcie a mod</w:t>
      </w:r>
      <w:r w:rsidR="007603ED">
        <w:rPr>
          <w:rFonts w:ascii="Times New Roman" w:hAnsi="Times New Roman"/>
          <w:sz w:val="22"/>
          <w:szCs w:val="22"/>
        </w:rPr>
        <w:t>ernizácia dlhodobého majetku (o </w:t>
      </w:r>
      <w:r w:rsidRPr="00643331">
        <w:rPr>
          <w:rFonts w:ascii="Times New Roman" w:hAnsi="Times New Roman"/>
          <w:sz w:val="22"/>
          <w:szCs w:val="22"/>
        </w:rPr>
        <w:t>25 553 tis. eur).</w:t>
      </w:r>
      <w:r w:rsidR="00B22B34">
        <w:rPr>
          <w:rFonts w:ascii="Times New Roman" w:hAnsi="Times New Roman"/>
          <w:sz w:val="22"/>
          <w:szCs w:val="22"/>
        </w:rPr>
        <w:t xml:space="preserve"> Naopak n</w:t>
      </w:r>
      <w:r w:rsidRPr="00643331">
        <w:rPr>
          <w:rFonts w:ascii="Times New Roman" w:hAnsi="Times New Roman"/>
          <w:sz w:val="22"/>
          <w:szCs w:val="22"/>
        </w:rPr>
        <w:t>ižšie sa z </w:t>
      </w:r>
      <w:r w:rsidR="00B22B34">
        <w:rPr>
          <w:rFonts w:ascii="Times New Roman" w:hAnsi="Times New Roman"/>
          <w:sz w:val="22"/>
          <w:szCs w:val="22"/>
        </w:rPr>
        <w:t>kapitálových</w:t>
      </w:r>
      <w:r w:rsidRPr="00643331">
        <w:rPr>
          <w:rFonts w:ascii="Times New Roman" w:hAnsi="Times New Roman"/>
          <w:sz w:val="22"/>
          <w:szCs w:val="22"/>
        </w:rPr>
        <w:t xml:space="preserve"> výdavkov rozpočtovala realizácia nových stavieb a ich technické zhodnotenie (o</w:t>
      </w:r>
      <w:r w:rsidR="00B22B34">
        <w:rPr>
          <w:rFonts w:ascii="Times New Roman" w:hAnsi="Times New Roman"/>
          <w:sz w:val="22"/>
          <w:szCs w:val="22"/>
        </w:rPr>
        <w:t xml:space="preserve"> 55 800 tis. eur) a </w:t>
      </w:r>
      <w:r w:rsidRPr="00643331">
        <w:rPr>
          <w:rFonts w:ascii="Times New Roman" w:hAnsi="Times New Roman"/>
          <w:sz w:val="22"/>
          <w:szCs w:val="22"/>
        </w:rPr>
        <w:t xml:space="preserve">kapitálové transfery boli </w:t>
      </w:r>
      <w:r w:rsidR="00B22B34">
        <w:rPr>
          <w:rFonts w:ascii="Times New Roman" w:hAnsi="Times New Roman"/>
          <w:sz w:val="22"/>
          <w:szCs w:val="22"/>
        </w:rPr>
        <w:t>rozpočtované úhrnom</w:t>
      </w:r>
      <w:r w:rsidRPr="00643331">
        <w:rPr>
          <w:rFonts w:ascii="Times New Roman" w:hAnsi="Times New Roman"/>
          <w:sz w:val="22"/>
          <w:szCs w:val="22"/>
        </w:rPr>
        <w:t xml:space="preserve"> nižšie ako pre rok 2014, a to o 26 050 tis. eur. </w:t>
      </w:r>
    </w:p>
    <w:p w:rsidR="00643331" w:rsidRPr="00643331" w:rsidP="00643331">
      <w:pPr>
        <w:bidi w:val="0"/>
        <w:spacing w:after="120" w:line="336" w:lineRule="auto"/>
        <w:jc w:val="both"/>
        <w:rPr>
          <w:rFonts w:ascii="Times New Roman" w:hAnsi="Times New Roman"/>
          <w:b/>
          <w:sz w:val="22"/>
          <w:szCs w:val="22"/>
        </w:rPr>
      </w:pPr>
      <w:r w:rsidRPr="00643331">
        <w:rPr>
          <w:rFonts w:ascii="Times New Roman" w:hAnsi="Times New Roman"/>
          <w:b/>
          <w:sz w:val="22"/>
          <w:szCs w:val="22"/>
        </w:rPr>
        <w:t xml:space="preserve">V priebehu rozpočtového roka 2015 sa vykonali v súlade s rozpočtovými pravidlami rozpočtové opatrenia, ktoré zvýšili celkové schválené príjmy na rok 2015 o 973 389 tis. eur a celkové schválené výdavky o 875 217 tis. eur. </w:t>
      </w:r>
      <w:r w:rsidR="00B22B34">
        <w:rPr>
          <w:rFonts w:ascii="Times New Roman" w:hAnsi="Times New Roman"/>
          <w:b/>
          <w:sz w:val="22"/>
          <w:szCs w:val="22"/>
        </w:rPr>
        <w:t>Plánovaný s</w:t>
      </w:r>
      <w:r w:rsidRPr="00643331">
        <w:rPr>
          <w:rFonts w:ascii="Times New Roman" w:hAnsi="Times New Roman"/>
          <w:b/>
          <w:sz w:val="22"/>
          <w:szCs w:val="22"/>
        </w:rPr>
        <w:t xml:space="preserve">chodok štátneho rozpočtu po úpravách počas roka 2015 mal byť tak nižší o 98 172 tis. eur. </w:t>
      </w:r>
    </w:p>
    <w:p w:rsidR="00643331" w:rsidRPr="00643331" w:rsidP="00643331">
      <w:pPr>
        <w:bidi w:val="0"/>
        <w:spacing w:after="120" w:line="336" w:lineRule="auto"/>
        <w:jc w:val="both"/>
        <w:rPr>
          <w:rFonts w:ascii="Times New Roman" w:hAnsi="Times New Roman"/>
          <w:sz w:val="22"/>
          <w:szCs w:val="22"/>
        </w:rPr>
      </w:pPr>
      <w:r w:rsidRPr="00643331">
        <w:rPr>
          <w:rFonts w:ascii="Times New Roman" w:hAnsi="Times New Roman"/>
          <w:sz w:val="22"/>
          <w:szCs w:val="22"/>
        </w:rPr>
        <w:t xml:space="preserve">Úpravy rozpočtu sa realizujú na základe aktualizovaných informácií o plnení úloh a požiadaviek jednotlivých kapitol ŠR počas rozpočtového roku, legislatívnych zmien, ktoré môžu priniesť zmenu v príjmoch alebo výdavkoch, ako aj na základe aktuálneho vývoja ekonomiky a verejných financií. V roku 2015 vykonalo Ministerstvo financií SR spolu 3 442 rozpočtových opatrení. </w:t>
      </w:r>
    </w:p>
    <w:p w:rsidR="00643331" w:rsidRPr="003602F4" w:rsidP="00643331">
      <w:pPr>
        <w:bidi w:val="0"/>
        <w:spacing w:after="120" w:line="336" w:lineRule="auto"/>
        <w:jc w:val="both"/>
        <w:rPr>
          <w:rFonts w:ascii="Times New Roman" w:hAnsi="Times New Roman"/>
          <w:sz w:val="22"/>
          <w:szCs w:val="22"/>
        </w:rPr>
      </w:pPr>
      <w:r w:rsidRPr="00643331">
        <w:rPr>
          <w:rFonts w:ascii="Times New Roman" w:hAnsi="Times New Roman"/>
          <w:sz w:val="22"/>
          <w:szCs w:val="22"/>
        </w:rPr>
        <w:t xml:space="preserve">V rámci príjmov bolo upravené najmä </w:t>
      </w:r>
      <w:r w:rsidR="00B22B34">
        <w:rPr>
          <w:rFonts w:ascii="Times New Roman" w:hAnsi="Times New Roman"/>
          <w:sz w:val="22"/>
          <w:szCs w:val="22"/>
        </w:rPr>
        <w:t xml:space="preserve">vyššie </w:t>
      </w:r>
      <w:r w:rsidRPr="00643331">
        <w:rPr>
          <w:rFonts w:ascii="Times New Roman" w:hAnsi="Times New Roman"/>
          <w:sz w:val="22"/>
          <w:szCs w:val="22"/>
        </w:rPr>
        <w:t xml:space="preserve">plnenie </w:t>
      </w:r>
      <w:r w:rsidR="00B22B34">
        <w:rPr>
          <w:rFonts w:ascii="Times New Roman" w:hAnsi="Times New Roman"/>
          <w:sz w:val="22"/>
          <w:szCs w:val="22"/>
        </w:rPr>
        <w:t xml:space="preserve">príjmov zo </w:t>
      </w:r>
      <w:r w:rsidRPr="00643331">
        <w:rPr>
          <w:rFonts w:ascii="Times New Roman" w:hAnsi="Times New Roman"/>
          <w:sz w:val="22"/>
          <w:szCs w:val="22"/>
        </w:rPr>
        <w:t>zahraničných transferov, a to konkrétne prostriedkov z rozpočtu Európskej únie (o 999 406 tis. eur). Nedaňové príjmy sa</w:t>
      </w:r>
      <w:r w:rsidR="007603ED">
        <w:rPr>
          <w:rFonts w:ascii="Times New Roman" w:hAnsi="Times New Roman"/>
          <w:sz w:val="22"/>
          <w:szCs w:val="22"/>
        </w:rPr>
        <w:t xml:space="preserve"> znížili úpravami o 26 017 tis. </w:t>
      </w:r>
      <w:r w:rsidRPr="00643331">
        <w:rPr>
          <w:rFonts w:ascii="Times New Roman" w:hAnsi="Times New Roman"/>
          <w:sz w:val="22"/>
          <w:szCs w:val="22"/>
        </w:rPr>
        <w:t>eur. Bežné výdavky sa znížili úpravami o 1 166 632 tis. eur a kapitálové výdavky sa zvýšili o 2 041 849 tis. eur. Z bežných výdavkov tvorili zníženie najmä služby, v rámci ktorých sa rozpočtujú zálohové platby na projekty EÚ a prostriedky štátneho</w:t>
      </w:r>
      <w:r w:rsidR="00EB3FEB">
        <w:rPr>
          <w:rFonts w:ascii="Times New Roman" w:hAnsi="Times New Roman"/>
          <w:sz w:val="22"/>
          <w:szCs w:val="22"/>
        </w:rPr>
        <w:t xml:space="preserve"> rozpočtu na spolufinancovanie </w:t>
      </w:r>
      <w:r w:rsidRPr="00643331">
        <w:rPr>
          <w:rFonts w:ascii="Times New Roman" w:hAnsi="Times New Roman"/>
          <w:sz w:val="22"/>
          <w:szCs w:val="22"/>
        </w:rPr>
        <w:t xml:space="preserve">projektov v súlade s koncepciou finančného riadenia štrukturálnych fondov a Kohézneho fondu (962 008 tis. eur). Po schválení projektov investičného charakteru sa príslušné prostriedky </w:t>
      </w:r>
      <w:r w:rsidRPr="003602F4">
        <w:rPr>
          <w:rFonts w:ascii="Times New Roman" w:hAnsi="Times New Roman"/>
          <w:sz w:val="22"/>
          <w:szCs w:val="22"/>
        </w:rPr>
        <w:t xml:space="preserve">vykazujú v čerpaní kapitálových výdavkov jednotlivých kapitol ŠR. </w:t>
      </w:r>
    </w:p>
    <w:p w:rsidR="00643331" w:rsidRPr="00643331" w:rsidP="003602F4">
      <w:pPr>
        <w:bidi w:val="0"/>
        <w:spacing w:after="120" w:line="336" w:lineRule="auto"/>
        <w:jc w:val="both"/>
        <w:rPr>
          <w:rFonts w:ascii="Times New Roman" w:hAnsi="Times New Roman"/>
          <w:sz w:val="22"/>
          <w:szCs w:val="22"/>
        </w:rPr>
      </w:pPr>
      <w:r w:rsidR="00386401">
        <w:rPr>
          <w:rFonts w:ascii="Times New Roman" w:hAnsi="Times New Roman"/>
          <w:sz w:val="22"/>
          <w:szCs w:val="22"/>
        </w:rPr>
        <w:t>Ú</w:t>
      </w:r>
      <w:r w:rsidRPr="003602F4" w:rsidR="003602F4">
        <w:rPr>
          <w:rFonts w:ascii="Times New Roman" w:hAnsi="Times New Roman"/>
          <w:sz w:val="22"/>
          <w:szCs w:val="22"/>
        </w:rPr>
        <w:t>prav</w:t>
      </w:r>
      <w:r w:rsidR="00B22B34">
        <w:rPr>
          <w:rFonts w:ascii="Times New Roman" w:hAnsi="Times New Roman"/>
          <w:sz w:val="22"/>
          <w:szCs w:val="22"/>
        </w:rPr>
        <w:t>y</w:t>
      </w:r>
      <w:r w:rsidRPr="003602F4" w:rsidR="003602F4">
        <w:rPr>
          <w:rFonts w:ascii="Times New Roman" w:hAnsi="Times New Roman"/>
          <w:sz w:val="22"/>
          <w:szCs w:val="22"/>
        </w:rPr>
        <w:t xml:space="preserve"> rozpočtovaných príjmov a rozpočtovaných výdavkov</w:t>
      </w:r>
      <w:r w:rsidR="00535354">
        <w:rPr>
          <w:rFonts w:ascii="Times New Roman" w:hAnsi="Times New Roman"/>
          <w:sz w:val="22"/>
          <w:szCs w:val="22"/>
        </w:rPr>
        <w:t>,</w:t>
      </w:r>
      <w:r w:rsidRPr="003602F4" w:rsidR="003602F4">
        <w:rPr>
          <w:rFonts w:ascii="Times New Roman" w:hAnsi="Times New Roman"/>
          <w:sz w:val="22"/>
          <w:szCs w:val="22"/>
        </w:rPr>
        <w:t xml:space="preserve"> tak ako v minulom roku</w:t>
      </w:r>
      <w:r w:rsidR="00535354">
        <w:rPr>
          <w:rFonts w:ascii="Times New Roman" w:hAnsi="Times New Roman"/>
          <w:sz w:val="22"/>
          <w:szCs w:val="22"/>
        </w:rPr>
        <w:t>,</w:t>
      </w:r>
      <w:r w:rsidRPr="003602F4" w:rsidR="003602F4">
        <w:rPr>
          <w:rFonts w:ascii="Times New Roman" w:hAnsi="Times New Roman"/>
          <w:sz w:val="22"/>
          <w:szCs w:val="22"/>
        </w:rPr>
        <w:t xml:space="preserve"> bol</w:t>
      </w:r>
      <w:r w:rsidR="004B1507">
        <w:rPr>
          <w:rFonts w:ascii="Times New Roman" w:hAnsi="Times New Roman"/>
          <w:sz w:val="22"/>
          <w:szCs w:val="22"/>
        </w:rPr>
        <w:t>i</w:t>
      </w:r>
      <w:r w:rsidRPr="003602F4" w:rsidR="003602F4">
        <w:rPr>
          <w:rFonts w:ascii="Times New Roman" w:hAnsi="Times New Roman"/>
          <w:sz w:val="22"/>
          <w:szCs w:val="22"/>
        </w:rPr>
        <w:t xml:space="preserve"> </w:t>
      </w:r>
      <w:r w:rsidR="00386401">
        <w:rPr>
          <w:rFonts w:ascii="Times New Roman" w:hAnsi="Times New Roman"/>
          <w:sz w:val="22"/>
          <w:szCs w:val="22"/>
        </w:rPr>
        <w:t>vykonané najmä</w:t>
      </w:r>
      <w:r w:rsidRPr="003602F4" w:rsidR="003602F4">
        <w:rPr>
          <w:rFonts w:ascii="Times New Roman" w:hAnsi="Times New Roman"/>
          <w:sz w:val="22"/>
          <w:szCs w:val="22"/>
        </w:rPr>
        <w:t xml:space="preserve"> v</w:t>
      </w:r>
      <w:r w:rsidR="004B1507">
        <w:rPr>
          <w:rFonts w:ascii="Times New Roman" w:hAnsi="Times New Roman"/>
          <w:sz w:val="22"/>
          <w:szCs w:val="22"/>
        </w:rPr>
        <w:t> súlade s</w:t>
      </w:r>
      <w:r w:rsidRPr="003602F4" w:rsidR="003602F4">
        <w:rPr>
          <w:rFonts w:ascii="Times New Roman" w:hAnsi="Times New Roman"/>
          <w:sz w:val="22"/>
          <w:szCs w:val="22"/>
        </w:rPr>
        <w:t xml:space="preserve"> §8 zákona č. 523/2004 Z. z. o rozpočtových pravidlách verejnej správy a o zmene a doplnení niektorých zákonov, na základe ktorého sa môžu kapitálové výdavky a niektoré bežné v</w:t>
      </w:r>
      <w:r w:rsidR="0017680C">
        <w:rPr>
          <w:rFonts w:ascii="Times New Roman" w:hAnsi="Times New Roman"/>
          <w:sz w:val="22"/>
          <w:szCs w:val="22"/>
        </w:rPr>
        <w:t>ýdavky štátneho rozpočtu použiť</w:t>
      </w:r>
      <w:r w:rsidRPr="003602F4" w:rsidR="003602F4">
        <w:rPr>
          <w:rFonts w:ascii="Times New Roman" w:hAnsi="Times New Roman"/>
          <w:sz w:val="22"/>
          <w:szCs w:val="22"/>
        </w:rPr>
        <w:t xml:space="preserve"> na určený účel aj v nas</w:t>
      </w:r>
      <w:r w:rsidR="0017680C">
        <w:rPr>
          <w:rFonts w:ascii="Times New Roman" w:hAnsi="Times New Roman"/>
          <w:sz w:val="22"/>
          <w:szCs w:val="22"/>
        </w:rPr>
        <w:t xml:space="preserve">ledujúcich rozpočtových rokoch </w:t>
      </w:r>
      <w:r w:rsidRPr="003602F4" w:rsidR="003602F4">
        <w:rPr>
          <w:rFonts w:ascii="Times New Roman" w:hAnsi="Times New Roman"/>
          <w:sz w:val="22"/>
          <w:szCs w:val="22"/>
        </w:rPr>
        <w:t xml:space="preserve">až do ich vyčerpania na určený účel (vybrané bežné výdavky v nasledujúcich dvoch rozpočtových rokoch). Týka sa to najmä prostriedkov z EÚ fondov a tým aj prostriedkov určených na ich spolufinancovanie. </w:t>
      </w:r>
      <w:r w:rsidRPr="003602F4">
        <w:rPr>
          <w:rFonts w:ascii="Times New Roman" w:hAnsi="Times New Roman"/>
          <w:b/>
          <w:sz w:val="22"/>
          <w:szCs w:val="22"/>
        </w:rPr>
        <w:t>Skutočne dosiahnuté príjmy štátneho rozpočtu</w:t>
      </w:r>
      <w:r w:rsidR="00535354">
        <w:rPr>
          <w:rFonts w:ascii="Times New Roman" w:hAnsi="Times New Roman"/>
          <w:sz w:val="22"/>
          <w:szCs w:val="22"/>
        </w:rPr>
        <w:t xml:space="preserve"> vo výške 16 233 795 </w:t>
      </w:r>
      <w:r w:rsidRPr="003602F4">
        <w:rPr>
          <w:rFonts w:ascii="Times New Roman" w:hAnsi="Times New Roman"/>
          <w:sz w:val="22"/>
          <w:szCs w:val="22"/>
        </w:rPr>
        <w:t>tis.</w:t>
      </w:r>
      <w:r w:rsidR="00535354">
        <w:rPr>
          <w:rFonts w:ascii="Times New Roman" w:hAnsi="Times New Roman"/>
          <w:sz w:val="22"/>
          <w:szCs w:val="22"/>
        </w:rPr>
        <w:t> </w:t>
      </w:r>
      <w:r w:rsidRPr="003602F4">
        <w:rPr>
          <w:rFonts w:ascii="Times New Roman" w:hAnsi="Times New Roman"/>
          <w:sz w:val="22"/>
          <w:szCs w:val="22"/>
        </w:rPr>
        <w:t xml:space="preserve">eur boli oproti schválenému rozpočtu vyššie o 1 738 874 tis. eur a oproti skutočnosti roku 2014 boli vyššie o 3 736 929 tis. eur. Po roku 2014 </w:t>
      </w:r>
      <w:r w:rsidR="004B1507">
        <w:rPr>
          <w:rFonts w:ascii="Times New Roman" w:hAnsi="Times New Roman"/>
          <w:sz w:val="22"/>
          <w:szCs w:val="22"/>
        </w:rPr>
        <w:t>boli</w:t>
      </w:r>
      <w:r w:rsidRPr="003602F4">
        <w:rPr>
          <w:rFonts w:ascii="Times New Roman" w:hAnsi="Times New Roman"/>
          <w:sz w:val="22"/>
          <w:szCs w:val="22"/>
        </w:rPr>
        <w:t xml:space="preserve"> príjmy </w:t>
      </w:r>
      <w:r w:rsidR="004B1507">
        <w:rPr>
          <w:rFonts w:ascii="Times New Roman" w:hAnsi="Times New Roman"/>
          <w:sz w:val="22"/>
          <w:szCs w:val="22"/>
        </w:rPr>
        <w:t>výrazne vyššie</w:t>
      </w:r>
      <w:r w:rsidRPr="003602F4">
        <w:rPr>
          <w:rFonts w:ascii="Times New Roman" w:hAnsi="Times New Roman"/>
          <w:sz w:val="22"/>
          <w:szCs w:val="22"/>
        </w:rPr>
        <w:t>, a to najmä</w:t>
      </w:r>
      <w:r w:rsidR="004B1507">
        <w:rPr>
          <w:rFonts w:ascii="Times New Roman" w:hAnsi="Times New Roman"/>
          <w:sz w:val="22"/>
          <w:szCs w:val="22"/>
        </w:rPr>
        <w:t xml:space="preserve"> </w:t>
      </w:r>
      <w:r w:rsidRPr="00643331">
        <w:rPr>
          <w:rFonts w:ascii="Times New Roman" w:hAnsi="Times New Roman"/>
          <w:sz w:val="22"/>
          <w:szCs w:val="22"/>
        </w:rPr>
        <w:t>vyššími grantmi a transfermi o 2 774 114 tis. eur a daňovými príjmami o </w:t>
      </w:r>
      <w:r w:rsidR="00195306">
        <w:rPr>
          <w:rFonts w:ascii="Times New Roman" w:hAnsi="Times New Roman"/>
          <w:sz w:val="22"/>
          <w:szCs w:val="22"/>
        </w:rPr>
        <w:t>1 319 646 tis. </w:t>
      </w:r>
      <w:r w:rsidRPr="00643331">
        <w:rPr>
          <w:rFonts w:ascii="Times New Roman" w:hAnsi="Times New Roman"/>
          <w:sz w:val="22"/>
          <w:szCs w:val="22"/>
        </w:rPr>
        <w:t>eur.</w:t>
      </w:r>
    </w:p>
    <w:p w:rsidR="00643331" w:rsidRPr="00643331" w:rsidP="00643331">
      <w:pPr>
        <w:bidi w:val="0"/>
        <w:spacing w:after="120" w:line="336" w:lineRule="auto"/>
        <w:jc w:val="both"/>
        <w:rPr>
          <w:rFonts w:ascii="Times New Roman" w:hAnsi="Times New Roman"/>
          <w:sz w:val="22"/>
          <w:szCs w:val="22"/>
        </w:rPr>
      </w:pPr>
      <w:r w:rsidRPr="00643331">
        <w:rPr>
          <w:rFonts w:ascii="Times New Roman" w:hAnsi="Times New Roman"/>
          <w:sz w:val="22"/>
          <w:szCs w:val="22"/>
        </w:rPr>
        <w:t xml:space="preserve">Aj </w:t>
      </w:r>
      <w:r w:rsidRPr="00643331">
        <w:rPr>
          <w:rFonts w:ascii="Times New Roman" w:hAnsi="Times New Roman"/>
          <w:b/>
          <w:sz w:val="22"/>
          <w:szCs w:val="22"/>
        </w:rPr>
        <w:t>skutočne dosiahnuté výdavky štátneho rozpočtu</w:t>
      </w:r>
      <w:r w:rsidRPr="00643331">
        <w:rPr>
          <w:rFonts w:ascii="Times New Roman" w:hAnsi="Times New Roman"/>
          <w:sz w:val="22"/>
          <w:szCs w:val="22"/>
        </w:rPr>
        <w:t xml:space="preserve"> vo výške 18 166 391 tis. eur boli vyššie ako v schválenom rozpočte</w:t>
      </w:r>
      <w:r w:rsidR="004B1507">
        <w:rPr>
          <w:rFonts w:ascii="Times New Roman" w:hAnsi="Times New Roman"/>
          <w:sz w:val="22"/>
          <w:szCs w:val="22"/>
        </w:rPr>
        <w:t>, a to</w:t>
      </w:r>
      <w:r w:rsidRPr="00643331">
        <w:rPr>
          <w:rFonts w:ascii="Times New Roman" w:hAnsi="Times New Roman"/>
          <w:sz w:val="22"/>
          <w:szCs w:val="22"/>
        </w:rPr>
        <w:t xml:space="preserve"> o 687 833 tis. eur. Medziročne sa zvýšili o 2 746 153 tis. eur, pričom ich nárast bol plne krytý vyššími príjmami. </w:t>
      </w:r>
    </w:p>
    <w:p w:rsidR="00643331" w:rsidRPr="003776A3" w:rsidP="00643331">
      <w:pPr>
        <w:pStyle w:val="Zkladntext"/>
        <w:bidi w:val="0"/>
        <w:spacing w:after="120" w:line="336" w:lineRule="auto"/>
        <w:ind w:right="-2"/>
        <w:jc w:val="both"/>
        <w:rPr>
          <w:rFonts w:ascii="Times New Roman" w:hAnsi="Times New Roman"/>
          <w:b/>
          <w:bCs/>
          <w:sz w:val="22"/>
          <w:szCs w:val="22"/>
        </w:rPr>
      </w:pPr>
      <w:r w:rsidRPr="003776A3">
        <w:rPr>
          <w:rFonts w:ascii="Times New Roman" w:hAnsi="Times New Roman"/>
          <w:b/>
          <w:sz w:val="22"/>
          <w:szCs w:val="22"/>
        </w:rPr>
        <w:t>Schodok štátneho rozpočtu na hotovostnej báze vo výške 1 932 596 tis. eur je vo vzťahu k pôvodne schválenému rozpočtu nižší o 1 051 041 tis. eur a v</w:t>
      </w:r>
      <w:r w:rsidRPr="003776A3">
        <w:rPr>
          <w:rFonts w:ascii="Times New Roman" w:hAnsi="Times New Roman"/>
          <w:b/>
          <w:bCs/>
          <w:sz w:val="22"/>
          <w:szCs w:val="22"/>
        </w:rPr>
        <w:t>o vzťahu k upravenému rozpočtu je vykázaný schodok nižší o 952 869 tis. eur. Skutočne dosiahnuté saldo rozpočtu sa po roku 2014 opäť medziročne znížilo, a to o 990 776 tis. eur.</w:t>
      </w:r>
    </w:p>
    <w:p w:rsidR="00643331" w:rsidRPr="00643331" w:rsidP="00643331">
      <w:pPr>
        <w:bidi w:val="0"/>
        <w:spacing w:after="120" w:line="336" w:lineRule="auto"/>
        <w:jc w:val="both"/>
        <w:rPr>
          <w:rFonts w:ascii="Times New Roman" w:hAnsi="Times New Roman"/>
          <w:color w:val="000000"/>
          <w:sz w:val="22"/>
          <w:szCs w:val="22"/>
        </w:rPr>
      </w:pPr>
      <w:r w:rsidRPr="00643331">
        <w:rPr>
          <w:rFonts w:ascii="Times New Roman" w:hAnsi="Times New Roman"/>
          <w:color w:val="000000"/>
          <w:sz w:val="22"/>
          <w:szCs w:val="22"/>
        </w:rPr>
        <w:t>Denný stav štátneho rozpočtu v priebehu roka bol riadený v súlade so zákonom č. 386/2002 Z. z. o štá</w:t>
      </w:r>
      <w:r w:rsidR="00C53B65">
        <w:rPr>
          <w:rFonts w:ascii="Times New Roman" w:hAnsi="Times New Roman"/>
          <w:color w:val="000000"/>
          <w:sz w:val="22"/>
          <w:szCs w:val="22"/>
        </w:rPr>
        <w:t xml:space="preserve">tnom dlhu a štátnych zárukách a </w:t>
      </w:r>
      <w:r w:rsidRPr="00643331">
        <w:rPr>
          <w:rFonts w:ascii="Times New Roman" w:hAnsi="Times New Roman"/>
          <w:color w:val="000000"/>
          <w:sz w:val="22"/>
          <w:szCs w:val="22"/>
        </w:rPr>
        <w:t>v súlade so zákonom č. 291/20</w:t>
      </w:r>
      <w:r w:rsidR="00C53B65">
        <w:rPr>
          <w:rFonts w:ascii="Times New Roman" w:hAnsi="Times New Roman"/>
          <w:color w:val="000000"/>
          <w:sz w:val="22"/>
          <w:szCs w:val="22"/>
        </w:rPr>
        <w:t xml:space="preserve">02 Z. z. o Štátnej pokladnici a o zmene a </w:t>
      </w:r>
      <w:r w:rsidRPr="00643331">
        <w:rPr>
          <w:rFonts w:ascii="Times New Roman" w:hAnsi="Times New Roman"/>
          <w:color w:val="000000"/>
          <w:sz w:val="22"/>
          <w:szCs w:val="22"/>
        </w:rPr>
        <w:t>doplnení niektorých zákonov v znení neskorších predpisov. Pri priebežnom prebytku štátneho rozpočtu zhodnocova</w:t>
      </w:r>
      <w:r w:rsidR="00C53B65">
        <w:rPr>
          <w:rFonts w:ascii="Times New Roman" w:hAnsi="Times New Roman"/>
          <w:color w:val="000000"/>
          <w:sz w:val="22"/>
          <w:szCs w:val="22"/>
        </w:rPr>
        <w:t xml:space="preserve">la Agentúra pre riadenie dlhu a </w:t>
      </w:r>
      <w:r w:rsidRPr="00643331">
        <w:rPr>
          <w:rFonts w:ascii="Times New Roman" w:hAnsi="Times New Roman"/>
          <w:color w:val="000000"/>
          <w:sz w:val="22"/>
          <w:szCs w:val="22"/>
        </w:rPr>
        <w:t xml:space="preserve">likvidity v mene Ministerstva financií SR finančné zdroje na finančnom trhu v súlade so schválenými kreditnými limitmi, naopak, v prípade priebežného schodku zabezpečovala jeho krytie finančnými zdrojmi získanými z emisií štátnych dlhopisov a voľnými finančnými zdrojmi Štátnej pokladnice. </w:t>
      </w:r>
    </w:p>
    <w:p w:rsidR="00643331" w:rsidRPr="004B1507" w:rsidP="00643331">
      <w:pPr>
        <w:bidi w:val="0"/>
        <w:spacing w:after="120" w:line="336" w:lineRule="auto"/>
        <w:jc w:val="both"/>
        <w:rPr>
          <w:rFonts w:ascii="Times New Roman" w:hAnsi="Times New Roman"/>
          <w:color w:val="000000"/>
          <w:sz w:val="22"/>
          <w:szCs w:val="22"/>
        </w:rPr>
      </w:pPr>
      <w:r w:rsidRPr="004B1507">
        <w:rPr>
          <w:rFonts w:ascii="Times New Roman" w:hAnsi="Times New Roman"/>
          <w:color w:val="000000"/>
          <w:sz w:val="22"/>
          <w:szCs w:val="22"/>
        </w:rPr>
        <w:t xml:space="preserve">Schodok štátneho rozpočtu vykázaný k 31. 12. 2015 v sume 1 932 596 tis. eur bol krytý </w:t>
      </w:r>
      <w:r w:rsidRPr="004B1507">
        <w:rPr>
          <w:rFonts w:ascii="Times New Roman" w:hAnsi="Times New Roman"/>
          <w:sz w:val="22"/>
          <w:szCs w:val="22"/>
        </w:rPr>
        <w:t>finančnými prostriedkami získanými z predaja štátnych dlh</w:t>
      </w:r>
      <w:r w:rsidRPr="004B1507" w:rsidR="007603ED">
        <w:rPr>
          <w:rFonts w:ascii="Times New Roman" w:hAnsi="Times New Roman"/>
          <w:sz w:val="22"/>
          <w:szCs w:val="22"/>
        </w:rPr>
        <w:t>opisov v hodnote 1 537 596 </w:t>
      </w:r>
      <w:r w:rsidRPr="004B1507" w:rsidR="00065EF9">
        <w:rPr>
          <w:rFonts w:ascii="Times New Roman" w:hAnsi="Times New Roman"/>
          <w:sz w:val="22"/>
          <w:szCs w:val="22"/>
        </w:rPr>
        <w:t>tis. </w:t>
      </w:r>
      <w:r w:rsidRPr="004B1507">
        <w:rPr>
          <w:rFonts w:ascii="Times New Roman" w:hAnsi="Times New Roman"/>
          <w:sz w:val="22"/>
          <w:szCs w:val="22"/>
        </w:rPr>
        <w:t>eur a</w:t>
      </w:r>
      <w:r w:rsidRPr="004B1507" w:rsidR="00065EF9">
        <w:rPr>
          <w:rFonts w:ascii="Times New Roman" w:hAnsi="Times New Roman"/>
          <w:sz w:val="22"/>
          <w:szCs w:val="22"/>
        </w:rPr>
        <w:t xml:space="preserve"> </w:t>
      </w:r>
      <w:r w:rsidRPr="004B1507">
        <w:rPr>
          <w:rFonts w:ascii="Times New Roman" w:hAnsi="Times New Roman"/>
          <w:sz w:val="22"/>
          <w:szCs w:val="22"/>
        </w:rPr>
        <w:t xml:space="preserve">finančnými zdrojmi z čerpania vládnych úverov </w:t>
      </w:r>
      <w:r w:rsidRPr="004B1507" w:rsidR="00065EF9">
        <w:rPr>
          <w:rFonts w:ascii="Times New Roman" w:hAnsi="Times New Roman"/>
          <w:sz w:val="22"/>
          <w:szCs w:val="22"/>
        </w:rPr>
        <w:t>v celkovej hodnote 395 000 tis. </w:t>
      </w:r>
      <w:r w:rsidRPr="004B1507">
        <w:rPr>
          <w:rFonts w:ascii="Times New Roman" w:hAnsi="Times New Roman"/>
          <w:sz w:val="22"/>
          <w:szCs w:val="22"/>
        </w:rPr>
        <w:t>eur</w:t>
      </w:r>
      <w:r w:rsidRPr="004B1507">
        <w:rPr>
          <w:rFonts w:ascii="Times New Roman" w:hAnsi="Times New Roman"/>
          <w:color w:val="000000"/>
          <w:sz w:val="22"/>
          <w:szCs w:val="22"/>
        </w:rPr>
        <w:t>.</w:t>
      </w:r>
    </w:p>
    <w:p w:rsidR="00643331" w:rsidRPr="00643331" w:rsidP="00643331">
      <w:pPr>
        <w:bidi w:val="0"/>
        <w:spacing w:after="120" w:line="336" w:lineRule="auto"/>
        <w:jc w:val="both"/>
        <w:rPr>
          <w:rFonts w:ascii="Times New Roman" w:hAnsi="Times New Roman"/>
          <w:color w:val="000000"/>
          <w:sz w:val="22"/>
          <w:szCs w:val="22"/>
        </w:rPr>
      </w:pPr>
      <w:r w:rsidRPr="00643331">
        <w:rPr>
          <w:rFonts w:ascii="Times New Roman" w:hAnsi="Times New Roman"/>
          <w:color w:val="000000"/>
          <w:sz w:val="22"/>
          <w:szCs w:val="22"/>
        </w:rPr>
        <w:t xml:space="preserve">Nasledujúce informácie o príjmoch a výdavkoch štátneho rozpočtu popisujú ich hotovostné plnenie tak, ako sa prejavili na príjmových a výdavkových účtoch </w:t>
      </w:r>
      <w:r w:rsidR="004B1507">
        <w:rPr>
          <w:rFonts w:ascii="Times New Roman" w:hAnsi="Times New Roman"/>
          <w:color w:val="000000"/>
          <w:sz w:val="22"/>
          <w:szCs w:val="22"/>
        </w:rPr>
        <w:t xml:space="preserve">štátnych </w:t>
      </w:r>
      <w:r w:rsidRPr="00643331">
        <w:rPr>
          <w:rFonts w:ascii="Times New Roman" w:hAnsi="Times New Roman"/>
          <w:color w:val="000000"/>
          <w:sz w:val="22"/>
          <w:szCs w:val="22"/>
        </w:rPr>
        <w:t>rozpočtových organizácií v priebehu roka 2015. Komentár k jednotlivým položkám príjmov a výdavkov sa sústredí na opis faktorov majúcich vplyv na ich hotovostné plnenie, pričom porovnanie sa realizuje voči schválené</w:t>
      </w:r>
      <w:r w:rsidR="00065EF9">
        <w:rPr>
          <w:rFonts w:ascii="Times New Roman" w:hAnsi="Times New Roman"/>
          <w:color w:val="000000"/>
          <w:sz w:val="22"/>
          <w:szCs w:val="22"/>
        </w:rPr>
        <w:t>mu</w:t>
      </w:r>
      <w:r w:rsidRPr="00643331">
        <w:rPr>
          <w:rFonts w:ascii="Times New Roman" w:hAnsi="Times New Roman"/>
          <w:color w:val="000000"/>
          <w:sz w:val="22"/>
          <w:szCs w:val="22"/>
        </w:rPr>
        <w:t xml:space="preserve"> rozpočtu.</w:t>
      </w:r>
    </w:p>
    <w:p w:rsidR="00643331" w:rsidRPr="00643331" w:rsidP="00643331">
      <w:pPr>
        <w:bidi w:val="0"/>
        <w:spacing w:after="120" w:line="336" w:lineRule="auto"/>
        <w:jc w:val="both"/>
        <w:rPr>
          <w:rFonts w:ascii="Times New Roman" w:hAnsi="Times New Roman"/>
          <w:color w:val="000000"/>
          <w:sz w:val="22"/>
          <w:szCs w:val="22"/>
        </w:rPr>
      </w:pPr>
      <w:r w:rsidRPr="00643331">
        <w:rPr>
          <w:rFonts w:ascii="Times New Roman" w:hAnsi="Times New Roman"/>
          <w:color w:val="000000"/>
          <w:sz w:val="22"/>
          <w:szCs w:val="22"/>
        </w:rPr>
        <w:t>Prípadné číselné rozdi</w:t>
      </w:r>
      <w:r w:rsidR="00065EF9">
        <w:rPr>
          <w:rFonts w:ascii="Times New Roman" w:hAnsi="Times New Roman"/>
          <w:color w:val="000000"/>
          <w:sz w:val="22"/>
          <w:szCs w:val="22"/>
        </w:rPr>
        <w:t xml:space="preserve">ely medzi tabuľkovou prílohou a </w:t>
      </w:r>
      <w:r w:rsidRPr="00643331">
        <w:rPr>
          <w:rFonts w:ascii="Times New Roman" w:hAnsi="Times New Roman"/>
          <w:color w:val="000000"/>
          <w:sz w:val="22"/>
          <w:szCs w:val="22"/>
        </w:rPr>
        <w:t>údajmi v textovej časti záverečného účtu sú spôsobené automatickým zaokrúhľovaním.</w:t>
      </w:r>
    </w:p>
    <w:p w:rsidR="00643331" w:rsidRPr="00643331" w:rsidP="00643331">
      <w:pPr>
        <w:bidi w:val="0"/>
        <w:spacing w:after="120" w:line="336" w:lineRule="auto"/>
        <w:jc w:val="both"/>
        <w:rPr>
          <w:rFonts w:ascii="Times New Roman" w:hAnsi="Times New Roman"/>
        </w:rPr>
      </w:pPr>
      <w:r w:rsidRPr="00643331">
        <w:rPr>
          <w:rFonts w:ascii="Times New Roman" w:hAnsi="Times New Roman"/>
          <w:color w:val="000000"/>
          <w:sz w:val="22"/>
          <w:szCs w:val="22"/>
        </w:rPr>
        <w:t>Podro</w:t>
      </w:r>
      <w:r w:rsidR="00065EF9">
        <w:rPr>
          <w:rFonts w:ascii="Times New Roman" w:hAnsi="Times New Roman"/>
          <w:color w:val="000000"/>
          <w:sz w:val="22"/>
          <w:szCs w:val="22"/>
        </w:rPr>
        <w:t xml:space="preserve">bnejšie informácie o príjmoch a </w:t>
      </w:r>
      <w:r w:rsidRPr="00643331">
        <w:rPr>
          <w:rFonts w:ascii="Times New Roman" w:hAnsi="Times New Roman"/>
          <w:color w:val="000000"/>
          <w:sz w:val="22"/>
          <w:szCs w:val="22"/>
        </w:rPr>
        <w:t>výdavkoch jednotlivých kapitol ŠR sú uvedené v záverečných účtoch kapitol, ktoré sú zverejnené na ich webovom sídle.</w:t>
      </w:r>
    </w:p>
    <w:p w:rsidR="003B7E74" w:rsidRPr="006E50E2" w:rsidP="00643331">
      <w:pPr>
        <w:bidi w:val="0"/>
        <w:spacing w:after="120" w:line="336" w:lineRule="auto"/>
        <w:jc w:val="both"/>
        <w:rPr>
          <w:rFonts w:ascii="Times New Roman" w:hAnsi="Times New Roman"/>
          <w:i/>
          <w:color w:val="000000"/>
          <w:sz w:val="22"/>
          <w:szCs w:val="22"/>
        </w:rPr>
      </w:pPr>
      <w:r w:rsidRPr="00643331" w:rsidR="00643331">
        <w:rPr>
          <w:rFonts w:ascii="Times New Roman" w:hAnsi="Times New Roman"/>
          <w:i/>
          <w:color w:val="000000"/>
          <w:sz w:val="22"/>
          <w:szCs w:val="22"/>
        </w:rPr>
        <w:t>Súhrnná bilancia príjmov a výdavkov štátneho rozpočtu za rok 2015 je uvedená v tabuľke č. 1 a údaje o plnení príjmov a čerpaní výdavkov štátneho rozpočtu v rokoch 2015 a 2014 sú v tabuľke č. 19 tabuľkovej prílohy štátneho záverečného účtu.</w:t>
      </w:r>
    </w:p>
    <w:p w:rsidR="00B07DEC" w:rsidP="008D72D9">
      <w:pPr>
        <w:pStyle w:val="Heading2"/>
        <w:numPr>
          <w:ilvl w:val="1"/>
          <w:numId w:val="20"/>
        </w:numPr>
        <w:bidi w:val="0"/>
        <w:spacing w:line="336" w:lineRule="auto"/>
        <w:rPr>
          <w:rFonts w:ascii="Times New Roman" w:hAnsi="Times New Roman"/>
        </w:rPr>
      </w:pPr>
      <w:bookmarkStart w:id="22" w:name="_Toc449622833"/>
      <w:r w:rsidRPr="006E50E2">
        <w:rPr>
          <w:rFonts w:ascii="Times New Roman" w:hAnsi="Times New Roman"/>
        </w:rPr>
        <w:t>Príjmy štátneho rozpočtu</w:t>
      </w:r>
      <w:bookmarkEnd w:id="22"/>
    </w:p>
    <w:p w:rsidR="00B07DEC" w:rsidP="008D72D9">
      <w:pPr>
        <w:pStyle w:val="Heading3"/>
        <w:numPr>
          <w:ilvl w:val="2"/>
          <w:numId w:val="20"/>
        </w:numPr>
        <w:bidi w:val="0"/>
        <w:spacing w:line="336" w:lineRule="auto"/>
        <w:rPr>
          <w:rFonts w:ascii="Times New Roman" w:hAnsi="Times New Roman"/>
          <w:lang w:val="sk-SK"/>
        </w:rPr>
      </w:pPr>
      <w:bookmarkStart w:id="23" w:name="_Toc449622834"/>
      <w:r w:rsidRPr="006E50E2">
        <w:rPr>
          <w:rFonts w:ascii="Times New Roman" w:hAnsi="Times New Roman"/>
          <w:lang w:val="sk-SK"/>
        </w:rPr>
        <w:t>Daňové príjmy</w:t>
      </w:r>
      <w:bookmarkEnd w:id="23"/>
    </w:p>
    <w:p w:rsidR="003B7E74" w:rsidRPr="004B1507" w:rsidP="003B7E74">
      <w:pPr>
        <w:bidi w:val="0"/>
        <w:spacing w:after="120" w:line="336" w:lineRule="auto"/>
        <w:jc w:val="both"/>
        <w:rPr>
          <w:rFonts w:ascii="Times New Roman" w:hAnsi="Times New Roman"/>
          <w:color w:val="000000"/>
          <w:sz w:val="22"/>
          <w:szCs w:val="22"/>
        </w:rPr>
      </w:pPr>
      <w:r w:rsidRPr="006E50E2">
        <w:rPr>
          <w:rFonts w:ascii="Times New Roman" w:hAnsi="Times New Roman"/>
          <w:color w:val="000000"/>
          <w:sz w:val="22"/>
          <w:szCs w:val="22"/>
        </w:rPr>
        <w:t>Pre rok 201</w:t>
      </w:r>
      <w:r>
        <w:rPr>
          <w:rFonts w:ascii="Times New Roman" w:hAnsi="Times New Roman"/>
          <w:color w:val="000000"/>
          <w:sz w:val="22"/>
          <w:szCs w:val="22"/>
        </w:rPr>
        <w:t>5</w:t>
      </w:r>
      <w:r w:rsidRPr="006E50E2">
        <w:rPr>
          <w:rFonts w:ascii="Times New Roman" w:hAnsi="Times New Roman"/>
          <w:color w:val="000000"/>
          <w:sz w:val="22"/>
          <w:szCs w:val="22"/>
        </w:rPr>
        <w:t xml:space="preserve"> boli daňové príjmy rozpočtované</w:t>
      </w:r>
      <w:r w:rsidRPr="006E50E2">
        <w:rPr>
          <w:rFonts w:ascii="Times New Roman" w:hAnsi="Times New Roman"/>
          <w:color w:val="FF0000"/>
          <w:sz w:val="22"/>
          <w:szCs w:val="22"/>
        </w:rPr>
        <w:t xml:space="preserve"> </w:t>
      </w:r>
      <w:r w:rsidRPr="006E50E2">
        <w:rPr>
          <w:rFonts w:ascii="Times New Roman" w:hAnsi="Times New Roman"/>
          <w:color w:val="000000"/>
          <w:sz w:val="22"/>
          <w:szCs w:val="22"/>
        </w:rPr>
        <w:t xml:space="preserve">vo výške </w:t>
      </w:r>
      <w:r>
        <w:rPr>
          <w:rFonts w:ascii="Times New Roman" w:hAnsi="Times New Roman"/>
          <w:color w:val="000000"/>
          <w:sz w:val="22"/>
          <w:szCs w:val="22"/>
        </w:rPr>
        <w:t>10 037 549 </w:t>
      </w:r>
      <w:r w:rsidRPr="006E50E2">
        <w:rPr>
          <w:rFonts w:ascii="Times New Roman" w:hAnsi="Times New Roman"/>
          <w:color w:val="000000"/>
          <w:sz w:val="22"/>
          <w:szCs w:val="22"/>
        </w:rPr>
        <w:t xml:space="preserve">tis. eur. Daňové príjmy </w:t>
      </w:r>
      <w:r w:rsidRPr="006E50E2" w:rsidR="00065EF9">
        <w:rPr>
          <w:rFonts w:ascii="Times New Roman" w:hAnsi="Times New Roman"/>
          <w:color w:val="000000"/>
          <w:sz w:val="22"/>
          <w:szCs w:val="22"/>
        </w:rPr>
        <w:t>za rok 201</w:t>
      </w:r>
      <w:r w:rsidR="00065EF9">
        <w:rPr>
          <w:rFonts w:ascii="Times New Roman" w:hAnsi="Times New Roman"/>
          <w:color w:val="000000"/>
          <w:sz w:val="22"/>
          <w:szCs w:val="22"/>
        </w:rPr>
        <w:t>5</w:t>
      </w:r>
      <w:r w:rsidRPr="006E50E2" w:rsidR="00065EF9">
        <w:rPr>
          <w:rFonts w:ascii="Times New Roman" w:hAnsi="Times New Roman"/>
          <w:color w:val="000000"/>
          <w:sz w:val="22"/>
          <w:szCs w:val="22"/>
        </w:rPr>
        <w:t xml:space="preserve"> </w:t>
      </w:r>
      <w:r w:rsidR="00065EF9">
        <w:rPr>
          <w:rFonts w:ascii="Times New Roman" w:hAnsi="Times New Roman"/>
          <w:color w:val="000000"/>
          <w:sz w:val="22"/>
          <w:szCs w:val="22"/>
        </w:rPr>
        <w:t>dosiahli skutočnú</w:t>
      </w:r>
      <w:r w:rsidRPr="006E50E2">
        <w:rPr>
          <w:rFonts w:ascii="Times New Roman" w:hAnsi="Times New Roman"/>
          <w:color w:val="000000"/>
          <w:sz w:val="22"/>
          <w:szCs w:val="22"/>
        </w:rPr>
        <w:t xml:space="preserve"> hodnotu </w:t>
      </w:r>
      <w:r>
        <w:rPr>
          <w:rFonts w:ascii="Times New Roman" w:hAnsi="Times New Roman"/>
          <w:color w:val="000000"/>
          <w:sz w:val="22"/>
          <w:szCs w:val="22"/>
        </w:rPr>
        <w:t>10 612 712</w:t>
      </w:r>
      <w:r w:rsidRPr="006E50E2">
        <w:rPr>
          <w:rFonts w:ascii="Times New Roman" w:hAnsi="Times New Roman"/>
          <w:color w:val="000000"/>
          <w:sz w:val="22"/>
          <w:szCs w:val="22"/>
        </w:rPr>
        <w:t xml:space="preserve"> tis. eur, čo predstavuje plnenie rozpočtu na </w:t>
      </w:r>
      <w:r>
        <w:rPr>
          <w:rFonts w:ascii="Times New Roman" w:hAnsi="Times New Roman"/>
          <w:color w:val="000000"/>
          <w:sz w:val="22"/>
          <w:szCs w:val="22"/>
        </w:rPr>
        <w:t>105,7</w:t>
      </w:r>
      <w:r w:rsidRPr="006E50E2">
        <w:rPr>
          <w:rFonts w:ascii="Times New Roman" w:hAnsi="Times New Roman"/>
          <w:color w:val="000000"/>
          <w:sz w:val="22"/>
          <w:szCs w:val="22"/>
        </w:rPr>
        <w:t xml:space="preserve"> %. Celkový rozdiel skutočnosti oproti rozpočtu v sume </w:t>
      </w:r>
      <w:r>
        <w:rPr>
          <w:rFonts w:ascii="Times New Roman" w:hAnsi="Times New Roman"/>
          <w:color w:val="000000"/>
          <w:sz w:val="22"/>
          <w:szCs w:val="22"/>
        </w:rPr>
        <w:t>575 163</w:t>
      </w:r>
      <w:r w:rsidRPr="006E50E2">
        <w:rPr>
          <w:rFonts w:ascii="Times New Roman" w:hAnsi="Times New Roman"/>
          <w:color w:val="000000"/>
          <w:sz w:val="22"/>
          <w:szCs w:val="22"/>
        </w:rPr>
        <w:t> tis. eur bol spôsobený najmä vyšším</w:t>
      </w:r>
      <w:r>
        <w:rPr>
          <w:rFonts w:ascii="Times New Roman" w:hAnsi="Times New Roman"/>
          <w:color w:val="000000"/>
          <w:sz w:val="22"/>
          <w:szCs w:val="22"/>
        </w:rPr>
        <w:t>i</w:t>
      </w:r>
      <w:r w:rsidRPr="006E50E2">
        <w:rPr>
          <w:rFonts w:ascii="Times New Roman" w:hAnsi="Times New Roman"/>
          <w:color w:val="000000"/>
          <w:sz w:val="22"/>
          <w:szCs w:val="22"/>
        </w:rPr>
        <w:t xml:space="preserve"> výnosm</w:t>
      </w:r>
      <w:r>
        <w:rPr>
          <w:rFonts w:ascii="Times New Roman" w:hAnsi="Times New Roman"/>
          <w:color w:val="000000"/>
          <w:sz w:val="22"/>
          <w:szCs w:val="22"/>
        </w:rPr>
        <w:t>i</w:t>
      </w:r>
      <w:r w:rsidRPr="006E50E2">
        <w:rPr>
          <w:rFonts w:ascii="Times New Roman" w:hAnsi="Times New Roman"/>
          <w:color w:val="000000"/>
          <w:sz w:val="22"/>
          <w:szCs w:val="22"/>
        </w:rPr>
        <w:t xml:space="preserve"> dane z príjmov právnických osôb o</w:t>
      </w:r>
      <w:r>
        <w:rPr>
          <w:rFonts w:ascii="Times New Roman" w:hAnsi="Times New Roman"/>
          <w:color w:val="000000"/>
          <w:sz w:val="22"/>
          <w:szCs w:val="22"/>
        </w:rPr>
        <w:t> 298 850 tis. eur a vyšším výnosom dane z pridanej hodnoty o 246 868 tis. eur.</w:t>
      </w:r>
      <w:r w:rsidRPr="006E50E2">
        <w:rPr>
          <w:rFonts w:ascii="Times New Roman" w:hAnsi="Times New Roman"/>
          <w:color w:val="000000"/>
          <w:sz w:val="22"/>
          <w:szCs w:val="22"/>
        </w:rPr>
        <w:t xml:space="preserve"> Nižší ako rozpočtovaný výnos bol zaznamenaný pri daniach z</w:t>
      </w:r>
      <w:r>
        <w:rPr>
          <w:rFonts w:ascii="Times New Roman" w:hAnsi="Times New Roman"/>
          <w:color w:val="000000"/>
          <w:sz w:val="22"/>
          <w:szCs w:val="22"/>
        </w:rPr>
        <w:t> </w:t>
      </w:r>
      <w:r w:rsidRPr="004B1507">
        <w:rPr>
          <w:rFonts w:ascii="Times New Roman" w:hAnsi="Times New Roman"/>
          <w:color w:val="000000"/>
          <w:sz w:val="22"/>
          <w:szCs w:val="22"/>
        </w:rPr>
        <w:t>medzinárodného obchodu a tr</w:t>
      </w:r>
      <w:r w:rsidRPr="004B1507" w:rsidR="001B5BF8">
        <w:rPr>
          <w:rFonts w:ascii="Times New Roman" w:hAnsi="Times New Roman"/>
          <w:color w:val="000000"/>
          <w:sz w:val="22"/>
          <w:szCs w:val="22"/>
        </w:rPr>
        <w:t xml:space="preserve">ansakcií a zo sankcií uložených </w:t>
      </w:r>
      <w:r w:rsidRPr="004B1507">
        <w:rPr>
          <w:rFonts w:ascii="Times New Roman" w:hAnsi="Times New Roman"/>
          <w:color w:val="000000"/>
          <w:sz w:val="22"/>
          <w:szCs w:val="22"/>
        </w:rPr>
        <w:t xml:space="preserve">v daňovom </w:t>
      </w:r>
      <w:r w:rsidRPr="004B1507" w:rsidR="004D50B5">
        <w:rPr>
          <w:rFonts w:ascii="Times New Roman" w:hAnsi="Times New Roman"/>
          <w:color w:val="000000"/>
          <w:sz w:val="22"/>
          <w:szCs w:val="22"/>
        </w:rPr>
        <w:t>konaní,</w:t>
      </w:r>
      <w:r w:rsidRPr="004B1507" w:rsidR="007000CF">
        <w:rPr>
          <w:rFonts w:ascii="Times New Roman" w:hAnsi="Times New Roman"/>
          <w:color w:val="000000"/>
          <w:sz w:val="22"/>
          <w:szCs w:val="22"/>
        </w:rPr>
        <w:t xml:space="preserve"> </w:t>
      </w:r>
      <w:r w:rsidRPr="004B1507" w:rsidR="004D50B5">
        <w:rPr>
          <w:rFonts w:ascii="Times New Roman" w:hAnsi="Times New Roman"/>
          <w:color w:val="000000"/>
          <w:sz w:val="22"/>
          <w:szCs w:val="22"/>
        </w:rPr>
        <w:t>ktoré však nepredstavujú významn</w:t>
      </w:r>
      <w:r w:rsidRPr="004B1507" w:rsidR="004B1507">
        <w:rPr>
          <w:rFonts w:ascii="Times New Roman" w:hAnsi="Times New Roman"/>
          <w:color w:val="000000"/>
          <w:sz w:val="22"/>
          <w:szCs w:val="22"/>
        </w:rPr>
        <w:t xml:space="preserve">ejšie </w:t>
      </w:r>
      <w:r w:rsidRPr="004B1507" w:rsidR="004D50B5">
        <w:rPr>
          <w:rFonts w:ascii="Times New Roman" w:hAnsi="Times New Roman"/>
          <w:color w:val="000000"/>
          <w:sz w:val="22"/>
          <w:szCs w:val="22"/>
        </w:rPr>
        <w:t>daňové príjmy.</w:t>
      </w:r>
      <w:r w:rsidRPr="004B1507">
        <w:rPr>
          <w:rFonts w:ascii="Times New Roman" w:hAnsi="Times New Roman"/>
          <w:color w:val="000000"/>
          <w:sz w:val="22"/>
          <w:szCs w:val="22"/>
        </w:rPr>
        <w:t xml:space="preserve"> V porovnaní </w:t>
      </w:r>
      <w:r w:rsidRPr="004B1507" w:rsidR="004D50B5">
        <w:rPr>
          <w:rFonts w:ascii="Times New Roman" w:hAnsi="Times New Roman"/>
          <w:color w:val="000000"/>
          <w:sz w:val="22"/>
          <w:szCs w:val="22"/>
        </w:rPr>
        <w:t>so skutočnosťou v</w:t>
      </w:r>
      <w:r w:rsidRPr="004B1507">
        <w:rPr>
          <w:rFonts w:ascii="Times New Roman" w:hAnsi="Times New Roman"/>
          <w:color w:val="000000"/>
          <w:sz w:val="22"/>
          <w:szCs w:val="22"/>
        </w:rPr>
        <w:t> rok</w:t>
      </w:r>
      <w:r w:rsidRPr="004B1507" w:rsidR="004D50B5">
        <w:rPr>
          <w:rFonts w:ascii="Times New Roman" w:hAnsi="Times New Roman"/>
          <w:color w:val="000000"/>
          <w:sz w:val="22"/>
          <w:szCs w:val="22"/>
        </w:rPr>
        <w:t>u</w:t>
      </w:r>
      <w:r w:rsidRPr="004B1507">
        <w:rPr>
          <w:rFonts w:ascii="Times New Roman" w:hAnsi="Times New Roman"/>
          <w:color w:val="000000"/>
          <w:sz w:val="22"/>
          <w:szCs w:val="22"/>
        </w:rPr>
        <w:t xml:space="preserve"> 2014 boli celkové daňové príjmy vyššie o </w:t>
      </w:r>
      <w:r w:rsidRPr="004B1507">
        <w:rPr>
          <w:rFonts w:ascii="Times New Roman" w:hAnsi="Times New Roman"/>
          <w:sz w:val="22"/>
          <w:szCs w:val="22"/>
        </w:rPr>
        <w:t>1 319</w:t>
      </w:r>
      <w:r w:rsidRPr="004B1507">
        <w:rPr>
          <w:rFonts w:ascii="Times New Roman" w:hAnsi="Times New Roman"/>
          <w:color w:val="000000"/>
          <w:sz w:val="22"/>
          <w:szCs w:val="22"/>
        </w:rPr>
        <w:t xml:space="preserve"> 646 tis. eur, čo zodpovedá medziročnému rastu na úrovni 14,2 %. </w:t>
      </w:r>
      <w:r w:rsidRPr="004B1507" w:rsidR="004D50B5">
        <w:rPr>
          <w:rFonts w:ascii="Times New Roman" w:hAnsi="Times New Roman"/>
          <w:color w:val="000000"/>
          <w:sz w:val="22"/>
          <w:szCs w:val="22"/>
        </w:rPr>
        <w:t>N</w:t>
      </w:r>
      <w:r w:rsidRPr="004B1507">
        <w:rPr>
          <w:rFonts w:ascii="Times New Roman" w:hAnsi="Times New Roman"/>
          <w:color w:val="000000"/>
          <w:sz w:val="22"/>
          <w:szCs w:val="22"/>
        </w:rPr>
        <w:t>ajvyšší medziročný nárast bol zaznamenaný na dani z pridanej hodnoty</w:t>
      </w:r>
      <w:r w:rsidRPr="004B1507" w:rsidR="004D50B5">
        <w:rPr>
          <w:rFonts w:ascii="Times New Roman" w:hAnsi="Times New Roman"/>
          <w:color w:val="000000"/>
          <w:sz w:val="22"/>
          <w:szCs w:val="22"/>
        </w:rPr>
        <w:t>, a to 598 686 tis. </w:t>
      </w:r>
      <w:r w:rsidRPr="004B1507" w:rsidR="00065EF9">
        <w:rPr>
          <w:rFonts w:ascii="Times New Roman" w:hAnsi="Times New Roman"/>
          <w:color w:val="000000"/>
          <w:sz w:val="22"/>
          <w:szCs w:val="22"/>
        </w:rPr>
        <w:t>eur</w:t>
      </w:r>
      <w:r w:rsidRPr="004B1507" w:rsidR="00D54AE2">
        <w:rPr>
          <w:rFonts w:ascii="Times New Roman" w:hAnsi="Times New Roman"/>
          <w:color w:val="000000"/>
          <w:sz w:val="22"/>
          <w:szCs w:val="22"/>
        </w:rPr>
        <w:t xml:space="preserve"> a</w:t>
      </w:r>
      <w:r w:rsidRPr="004B1507" w:rsidR="007000CF">
        <w:rPr>
          <w:rFonts w:ascii="Times New Roman" w:hAnsi="Times New Roman"/>
          <w:color w:val="000000"/>
          <w:sz w:val="22"/>
          <w:szCs w:val="22"/>
        </w:rPr>
        <w:t xml:space="preserve"> </w:t>
      </w:r>
      <w:r w:rsidRPr="004B1507" w:rsidR="00D54AE2">
        <w:rPr>
          <w:rFonts w:ascii="Times New Roman" w:hAnsi="Times New Roman"/>
          <w:color w:val="000000"/>
          <w:sz w:val="22"/>
          <w:szCs w:val="22"/>
        </w:rPr>
        <w:t>na dani z </w:t>
      </w:r>
      <w:r w:rsidRPr="004B1507">
        <w:rPr>
          <w:rFonts w:ascii="Times New Roman" w:hAnsi="Times New Roman"/>
          <w:color w:val="000000"/>
          <w:sz w:val="22"/>
          <w:szCs w:val="22"/>
        </w:rPr>
        <w:t>príjmov</w:t>
      </w:r>
      <w:r w:rsidRPr="004B1507" w:rsidR="004D50B5">
        <w:rPr>
          <w:rFonts w:ascii="Times New Roman" w:hAnsi="Times New Roman"/>
          <w:color w:val="000000"/>
          <w:sz w:val="22"/>
          <w:szCs w:val="22"/>
        </w:rPr>
        <w:t xml:space="preserve"> právnických osôb o 692 658 tis. eur</w:t>
      </w:r>
      <w:r w:rsidRPr="004B1507">
        <w:rPr>
          <w:rFonts w:ascii="Times New Roman" w:hAnsi="Times New Roman"/>
          <w:color w:val="000000"/>
          <w:sz w:val="22"/>
          <w:szCs w:val="22"/>
        </w:rPr>
        <w:t>.</w:t>
      </w:r>
    </w:p>
    <w:p w:rsidR="003B7E74" w:rsidP="003B7E74">
      <w:pPr>
        <w:bidi w:val="0"/>
        <w:spacing w:before="120" w:after="120" w:line="360" w:lineRule="auto"/>
        <w:jc w:val="both"/>
        <w:rPr>
          <w:rFonts w:ascii="Times New Roman" w:hAnsi="Times New Roman"/>
          <w:sz w:val="22"/>
          <w:szCs w:val="22"/>
        </w:rPr>
      </w:pPr>
      <w:r w:rsidRPr="006E50E2">
        <w:rPr>
          <w:rFonts w:ascii="Times New Roman" w:hAnsi="Times New Roman"/>
          <w:sz w:val="22"/>
          <w:szCs w:val="22"/>
        </w:rPr>
        <w:t>Prehľad o plnení daňových príjmov štátneho rozpočtu poskytujú nasledovné údaje:</w:t>
      </w:r>
    </w:p>
    <w:tbl>
      <w:tblPr>
        <w:tblStyle w:val="TableNormal"/>
        <w:tblW w:w="8946" w:type="dxa"/>
        <w:tblInd w:w="55" w:type="dxa"/>
        <w:tblCellMar>
          <w:left w:w="70" w:type="dxa"/>
          <w:right w:w="70" w:type="dxa"/>
        </w:tblCellMar>
        <w:tblLook w:val="04A0"/>
      </w:tblPr>
      <w:tblGrid>
        <w:gridCol w:w="3936"/>
        <w:gridCol w:w="860"/>
        <w:gridCol w:w="860"/>
        <w:gridCol w:w="950"/>
        <w:gridCol w:w="1025"/>
        <w:gridCol w:w="741"/>
        <w:gridCol w:w="574"/>
      </w:tblGrid>
      <w:tr>
        <w:tblPrEx>
          <w:tblW w:w="8946" w:type="dxa"/>
          <w:tblInd w:w="55" w:type="dxa"/>
          <w:tblCellMar>
            <w:left w:w="70" w:type="dxa"/>
            <w:right w:w="70" w:type="dxa"/>
          </w:tblCellMar>
          <w:tblLook w:val="04A0"/>
        </w:tblPrEx>
        <w:trPr>
          <w:trHeight w:val="330"/>
        </w:trPr>
        <w:tc>
          <w:tcPr>
            <w:tcW w:w="8946" w:type="dxa"/>
            <w:gridSpan w:val="7"/>
            <w:tcBorders>
              <w:top w:val="nil"/>
              <w:left w:val="single" w:sz="8" w:space="0" w:color="auto"/>
              <w:bottom w:val="nil"/>
              <w:right w:val="nil"/>
            </w:tcBorders>
            <w:shd w:val="clear" w:color="000000" w:fill="000000"/>
            <w:textDirection w:val="lrTb"/>
            <w:vAlign w:val="center"/>
            <w:hideMark/>
          </w:tcPr>
          <w:p w:rsidR="001F1246" w:rsidRPr="00C64710" w:rsidP="00E51D4D">
            <w:pPr>
              <w:bidi w:val="0"/>
              <w:rPr>
                <w:rFonts w:ascii="Times New Roman" w:hAnsi="Times New Roman"/>
                <w:b/>
                <w:bCs/>
                <w:color w:val="FFFFFF"/>
                <w:sz w:val="18"/>
                <w:szCs w:val="18"/>
              </w:rPr>
            </w:pPr>
            <w:r w:rsidRPr="00C64710">
              <w:rPr>
                <w:rFonts w:ascii="Times New Roman" w:hAnsi="Times New Roman"/>
                <w:b/>
                <w:bCs/>
                <w:color w:val="FFFFFF"/>
                <w:sz w:val="18"/>
                <w:szCs w:val="18"/>
              </w:rPr>
              <w:t>Daňové príjmy štátneho rozpočtu</w:t>
            </w:r>
            <w:r>
              <w:rPr>
                <w:rFonts w:ascii="Times New Roman" w:hAnsi="Times New Roman"/>
                <w:b/>
                <w:bCs/>
                <w:color w:val="FFFFFF"/>
                <w:sz w:val="18"/>
                <w:szCs w:val="18"/>
              </w:rPr>
              <w:t xml:space="preserve">                                                                                                                        v tis. eur</w:t>
            </w:r>
          </w:p>
        </w:tc>
      </w:tr>
      <w:tr>
        <w:tblPrEx>
          <w:tblW w:w="8946" w:type="dxa"/>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FFFFFF"/>
                <w:sz w:val="18"/>
                <w:szCs w:val="18"/>
              </w:rPr>
            </w:pPr>
          </w:p>
        </w:tc>
        <w:tc>
          <w:tcPr>
            <w:tcW w:w="0" w:type="auto"/>
            <w:gridSpan w:val="2"/>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Rozpočet</w:t>
            </w:r>
          </w:p>
        </w:tc>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Skutočnosť</w:t>
            </w:r>
          </w:p>
        </w:tc>
        <w:tc>
          <w:tcPr>
            <w:tcW w:w="1315" w:type="dxa"/>
            <w:gridSpan w:val="2"/>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Rozdiel</w:t>
            </w:r>
          </w:p>
        </w:tc>
      </w:tr>
      <w:tr>
        <w:tblPrEx>
          <w:tblW w:w="8946" w:type="dxa"/>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sz w:val="18"/>
                <w:szCs w:val="18"/>
              </w:rPr>
            </w:pPr>
          </w:p>
        </w:tc>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2013</w:t>
            </w:r>
          </w:p>
        </w:tc>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v tis. eur</w:t>
            </w:r>
          </w:p>
        </w:tc>
        <w:tc>
          <w:tcPr>
            <w:tcW w:w="574" w:type="dxa"/>
            <w:tcBorders>
              <w:top w:val="nil"/>
              <w:left w:val="nil"/>
              <w:bottom w:val="nil"/>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000000"/>
                <w:sz w:val="18"/>
                <w:szCs w:val="18"/>
              </w:rPr>
            </w:pPr>
            <w:r w:rsidRPr="00C64710">
              <w:rPr>
                <w:rFonts w:ascii="Times New Roman" w:hAnsi="Times New Roman"/>
                <w:b/>
                <w:bCs/>
                <w:color w:val="000000"/>
                <w:sz w:val="18"/>
                <w:szCs w:val="18"/>
              </w:rPr>
              <w:t>v %</w:t>
            </w:r>
          </w:p>
        </w:tc>
      </w:tr>
      <w:tr>
        <w:tblPrEx>
          <w:tblW w:w="8946" w:type="dxa"/>
          <w:tblInd w:w="55" w:type="dxa"/>
          <w:tblCellMar>
            <w:left w:w="70" w:type="dxa"/>
            <w:right w:w="70" w:type="dxa"/>
          </w:tblCellMar>
          <w:tblLook w:val="04A0"/>
        </w:tblPrEx>
        <w:trPr>
          <w:trHeight w:val="525"/>
        </w:trPr>
        <w:tc>
          <w:tcPr>
            <w:tcW w:w="0" w:type="auto"/>
            <w:tcBorders>
              <w:top w:val="nil"/>
              <w:left w:val="nil"/>
              <w:bottom w:val="single" w:sz="8" w:space="0" w:color="auto"/>
              <w:right w:val="nil"/>
            </w:tcBorders>
            <w:shd w:val="clear" w:color="000000" w:fill="BFBFBF"/>
            <w:textDirection w:val="lrTb"/>
            <w:vAlign w:val="center"/>
            <w:hideMark/>
          </w:tcPr>
          <w:p w:rsidR="00C64710" w:rsidRPr="00C64710" w:rsidP="00E51D4D">
            <w:pPr>
              <w:bidi w:val="0"/>
              <w:jc w:val="center"/>
              <w:rPr>
                <w:rFonts w:ascii="Times New Roman" w:hAnsi="Times New Roman"/>
                <w:b/>
                <w:bCs/>
                <w:color w:val="FFFFFF"/>
                <w:sz w:val="18"/>
                <w:szCs w:val="18"/>
              </w:rPr>
            </w:pPr>
          </w:p>
        </w:tc>
        <w:tc>
          <w:tcPr>
            <w:tcW w:w="0" w:type="auto"/>
            <w:tcBorders>
              <w:top w:val="nil"/>
              <w:left w:val="nil"/>
              <w:bottom w:val="single" w:sz="8" w:space="0" w:color="auto"/>
              <w:right w:val="nil"/>
            </w:tcBorders>
            <w:shd w:val="clear" w:color="000000" w:fill="BFBFBF"/>
            <w:textDirection w:val="lrTb"/>
            <w:vAlign w:val="center"/>
            <w:hideMark/>
          </w:tcPr>
          <w:p w:rsidR="00C64710" w:rsidRPr="00C64710" w:rsidP="00E51D4D">
            <w:pPr>
              <w:bidi w:val="0"/>
              <w:jc w:val="center"/>
              <w:rPr>
                <w:rFonts w:ascii="Times New Roman" w:hAnsi="Times New Roman"/>
                <w:b/>
                <w:bCs/>
                <w:sz w:val="18"/>
                <w:szCs w:val="18"/>
              </w:rPr>
            </w:pPr>
            <w:r w:rsidRPr="00C64710">
              <w:rPr>
                <w:rFonts w:ascii="Times New Roman" w:hAnsi="Times New Roman"/>
                <w:b/>
                <w:bCs/>
                <w:sz w:val="18"/>
                <w:szCs w:val="18"/>
              </w:rPr>
              <w:t>1</w:t>
            </w:r>
          </w:p>
        </w:tc>
        <w:tc>
          <w:tcPr>
            <w:tcW w:w="0" w:type="auto"/>
            <w:tcBorders>
              <w:top w:val="nil"/>
              <w:left w:val="nil"/>
              <w:bottom w:val="single" w:sz="8" w:space="0" w:color="auto"/>
              <w:right w:val="nil"/>
            </w:tcBorders>
            <w:shd w:val="clear" w:color="000000" w:fill="BFBFBF"/>
            <w:textDirection w:val="lrTb"/>
            <w:vAlign w:val="center"/>
            <w:hideMark/>
          </w:tcPr>
          <w:p w:rsidR="00C64710" w:rsidRPr="00C64710" w:rsidP="00E51D4D">
            <w:pPr>
              <w:bidi w:val="0"/>
              <w:jc w:val="center"/>
              <w:rPr>
                <w:rFonts w:ascii="Times New Roman" w:hAnsi="Times New Roman"/>
                <w:b/>
                <w:bCs/>
                <w:sz w:val="18"/>
                <w:szCs w:val="18"/>
              </w:rPr>
            </w:pPr>
            <w:r w:rsidRPr="00C64710">
              <w:rPr>
                <w:rFonts w:ascii="Times New Roman" w:hAnsi="Times New Roman"/>
                <w:b/>
                <w:bCs/>
                <w:sz w:val="18"/>
                <w:szCs w:val="18"/>
              </w:rPr>
              <w:t>2</w:t>
            </w:r>
          </w:p>
        </w:tc>
        <w:tc>
          <w:tcPr>
            <w:tcW w:w="0" w:type="auto"/>
            <w:tcBorders>
              <w:top w:val="nil"/>
              <w:left w:val="nil"/>
              <w:bottom w:val="single" w:sz="8" w:space="0" w:color="auto"/>
              <w:right w:val="nil"/>
            </w:tcBorders>
            <w:shd w:val="clear" w:color="000000" w:fill="BFBFBF"/>
            <w:textDirection w:val="lrTb"/>
            <w:vAlign w:val="center"/>
            <w:hideMark/>
          </w:tcPr>
          <w:p w:rsidR="00C64710" w:rsidRPr="00C64710" w:rsidP="00E51D4D">
            <w:pPr>
              <w:bidi w:val="0"/>
              <w:jc w:val="center"/>
              <w:rPr>
                <w:rFonts w:ascii="Times New Roman" w:hAnsi="Times New Roman"/>
                <w:b/>
                <w:bCs/>
                <w:sz w:val="18"/>
                <w:szCs w:val="18"/>
              </w:rPr>
            </w:pPr>
            <w:r w:rsidRPr="00C64710">
              <w:rPr>
                <w:rFonts w:ascii="Times New Roman" w:hAnsi="Times New Roman"/>
                <w:b/>
                <w:bCs/>
                <w:sz w:val="18"/>
                <w:szCs w:val="18"/>
              </w:rPr>
              <w:t>3</w:t>
            </w:r>
          </w:p>
        </w:tc>
        <w:tc>
          <w:tcPr>
            <w:tcW w:w="0" w:type="auto"/>
            <w:tcBorders>
              <w:top w:val="nil"/>
              <w:left w:val="nil"/>
              <w:bottom w:val="single" w:sz="8" w:space="0" w:color="auto"/>
              <w:right w:val="nil"/>
            </w:tcBorders>
            <w:shd w:val="clear" w:color="000000" w:fill="BFBFBF"/>
            <w:textDirection w:val="lrTb"/>
            <w:vAlign w:val="center"/>
            <w:hideMark/>
          </w:tcPr>
          <w:p w:rsidR="00C64710" w:rsidRPr="00C64710" w:rsidP="00E51D4D">
            <w:pPr>
              <w:bidi w:val="0"/>
              <w:jc w:val="center"/>
              <w:rPr>
                <w:rFonts w:ascii="Times New Roman" w:hAnsi="Times New Roman"/>
                <w:b/>
                <w:bCs/>
                <w:sz w:val="18"/>
                <w:szCs w:val="18"/>
              </w:rPr>
            </w:pPr>
            <w:r w:rsidRPr="00C64710">
              <w:rPr>
                <w:rFonts w:ascii="Times New Roman" w:hAnsi="Times New Roman"/>
                <w:b/>
                <w:bCs/>
                <w:sz w:val="18"/>
                <w:szCs w:val="18"/>
              </w:rPr>
              <w:t>4</w:t>
            </w:r>
          </w:p>
        </w:tc>
        <w:tc>
          <w:tcPr>
            <w:tcW w:w="0" w:type="auto"/>
            <w:tcBorders>
              <w:top w:val="nil"/>
              <w:left w:val="nil"/>
              <w:bottom w:val="single" w:sz="8" w:space="0" w:color="auto"/>
              <w:right w:val="nil"/>
            </w:tcBorders>
            <w:shd w:val="clear" w:color="000000" w:fill="BFBFBF"/>
            <w:textDirection w:val="lrTb"/>
            <w:vAlign w:val="center"/>
            <w:hideMark/>
          </w:tcPr>
          <w:p w:rsidR="00C64710" w:rsidRPr="00C64710" w:rsidP="00E51D4D">
            <w:pPr>
              <w:bidi w:val="0"/>
              <w:jc w:val="center"/>
              <w:rPr>
                <w:rFonts w:ascii="Times New Roman" w:hAnsi="Times New Roman"/>
                <w:b/>
                <w:bCs/>
                <w:sz w:val="18"/>
                <w:szCs w:val="18"/>
              </w:rPr>
            </w:pPr>
            <w:r w:rsidRPr="00C64710">
              <w:rPr>
                <w:rFonts w:ascii="Times New Roman" w:hAnsi="Times New Roman"/>
                <w:b/>
                <w:bCs/>
                <w:sz w:val="18"/>
                <w:szCs w:val="18"/>
              </w:rPr>
              <w:t>5=4-3</w:t>
            </w:r>
          </w:p>
        </w:tc>
        <w:tc>
          <w:tcPr>
            <w:tcW w:w="574" w:type="dxa"/>
            <w:tcBorders>
              <w:top w:val="nil"/>
              <w:left w:val="nil"/>
              <w:bottom w:val="single" w:sz="8" w:space="0" w:color="auto"/>
              <w:right w:val="nil"/>
            </w:tcBorders>
            <w:shd w:val="clear" w:color="000000" w:fill="BFBFBF"/>
            <w:textDirection w:val="lrTb"/>
            <w:vAlign w:val="center"/>
            <w:hideMark/>
          </w:tcPr>
          <w:p w:rsidR="00C64710" w:rsidRPr="00C64710" w:rsidP="00E51D4D">
            <w:pPr>
              <w:bidi w:val="0"/>
              <w:jc w:val="center"/>
              <w:rPr>
                <w:rFonts w:ascii="Times New Roman" w:hAnsi="Times New Roman"/>
                <w:b/>
                <w:bCs/>
                <w:sz w:val="18"/>
                <w:szCs w:val="18"/>
              </w:rPr>
            </w:pPr>
            <w:r w:rsidRPr="00C64710">
              <w:rPr>
                <w:rFonts w:ascii="Times New Roman" w:hAnsi="Times New Roman"/>
                <w:b/>
                <w:bCs/>
                <w:sz w:val="18"/>
                <w:szCs w:val="18"/>
              </w:rPr>
              <w:t>6=4-3</w:t>
            </w:r>
          </w:p>
        </w:tc>
      </w:tr>
      <w:tr>
        <w:tblPrEx>
          <w:tblW w:w="8946" w:type="dxa"/>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C64710" w:rsidRPr="00C64710" w:rsidP="00E51D4D">
            <w:pPr>
              <w:bidi w:val="0"/>
              <w:rPr>
                <w:rFonts w:ascii="Times New Roman" w:hAnsi="Times New Roman"/>
                <w:color w:val="000000"/>
                <w:sz w:val="18"/>
                <w:szCs w:val="18"/>
              </w:rPr>
            </w:pPr>
            <w:r w:rsidRPr="00C64710">
              <w:rPr>
                <w:rFonts w:ascii="Times New Roman" w:hAnsi="Times New Roman"/>
                <w:color w:val="000000"/>
                <w:sz w:val="18"/>
                <w:szCs w:val="18"/>
              </w:rPr>
              <w:t>Dane za tovary a služby</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6 699 582</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6 912 218</w:t>
            </w:r>
          </w:p>
        </w:tc>
        <w:tc>
          <w:tcPr>
            <w:tcW w:w="0" w:type="auto"/>
            <w:tcBorders>
              <w:top w:val="nil"/>
              <w:left w:val="nil"/>
              <w:bottom w:val="nil"/>
              <w:right w:val="nil"/>
            </w:tcBorders>
            <w:shd w:val="clear" w:color="000000" w:fill="FFFFFF"/>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7 496 284</w:t>
            </w:r>
          </w:p>
        </w:tc>
        <w:tc>
          <w:tcPr>
            <w:tcW w:w="0" w:type="auto"/>
            <w:tcBorders>
              <w:top w:val="single" w:sz="8" w:space="0" w:color="auto"/>
              <w:left w:val="nil"/>
              <w:bottom w:val="nil"/>
              <w:right w:val="nil"/>
            </w:tcBorders>
            <w:shd w:val="pct25" w:color="auto" w:fill="auto"/>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7 739 273</w:t>
            </w:r>
          </w:p>
        </w:tc>
        <w:tc>
          <w:tcPr>
            <w:tcW w:w="0" w:type="auto"/>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242 989</w:t>
            </w:r>
          </w:p>
        </w:tc>
        <w:tc>
          <w:tcPr>
            <w:tcW w:w="574" w:type="dxa"/>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3,2</w:t>
            </w:r>
          </w:p>
        </w:tc>
      </w:tr>
      <w:tr>
        <w:tblPrEx>
          <w:tblW w:w="8946" w:type="dxa"/>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C64710" w:rsidRPr="00C64710" w:rsidP="00E51D4D">
            <w:pPr>
              <w:bidi w:val="0"/>
              <w:rPr>
                <w:rFonts w:ascii="Times New Roman" w:hAnsi="Times New Roman"/>
                <w:color w:val="000000"/>
                <w:sz w:val="18"/>
                <w:szCs w:val="18"/>
              </w:rPr>
            </w:pPr>
            <w:r w:rsidRPr="00C64710">
              <w:rPr>
                <w:rFonts w:ascii="Times New Roman" w:hAnsi="Times New Roman"/>
                <w:color w:val="000000"/>
                <w:sz w:val="18"/>
                <w:szCs w:val="18"/>
              </w:rPr>
              <w:t>z toho: DPH</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4 722 853</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4 902 813</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5 254 631</w:t>
            </w:r>
          </w:p>
        </w:tc>
        <w:tc>
          <w:tcPr>
            <w:tcW w:w="0" w:type="auto"/>
            <w:tcBorders>
              <w:top w:val="nil"/>
              <w:left w:val="nil"/>
              <w:bottom w:val="nil"/>
              <w:right w:val="nil"/>
            </w:tcBorders>
            <w:shd w:val="pct25" w:color="auto" w:fill="auto"/>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5 501 499</w:t>
            </w:r>
          </w:p>
        </w:tc>
        <w:tc>
          <w:tcPr>
            <w:tcW w:w="0" w:type="auto"/>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246 868</w:t>
            </w:r>
          </w:p>
        </w:tc>
        <w:tc>
          <w:tcPr>
            <w:tcW w:w="574" w:type="dxa"/>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4,7</w:t>
            </w:r>
          </w:p>
        </w:tc>
      </w:tr>
      <w:tr>
        <w:tblPrEx>
          <w:tblW w:w="8946" w:type="dxa"/>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C64710" w:rsidRPr="00C64710" w:rsidP="00E51D4D">
            <w:pPr>
              <w:bidi w:val="0"/>
              <w:rPr>
                <w:rFonts w:ascii="Times New Roman" w:hAnsi="Times New Roman"/>
                <w:color w:val="000000"/>
                <w:sz w:val="18"/>
                <w:szCs w:val="18"/>
              </w:rPr>
            </w:pPr>
            <w:r w:rsidR="00A64D0A">
              <w:rPr>
                <w:rFonts w:ascii="Times New Roman" w:hAnsi="Times New Roman"/>
                <w:color w:val="000000"/>
                <w:sz w:val="18"/>
                <w:szCs w:val="18"/>
              </w:rPr>
              <w:t xml:space="preserve">            </w:t>
            </w:r>
            <w:r w:rsidRPr="00C64710">
              <w:rPr>
                <w:rFonts w:ascii="Times New Roman" w:hAnsi="Times New Roman"/>
                <w:color w:val="000000"/>
                <w:sz w:val="18"/>
                <w:szCs w:val="18"/>
              </w:rPr>
              <w:t>spotrebné dane</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1 976 667</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2 009 327</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2 090 987</w:t>
            </w:r>
          </w:p>
        </w:tc>
        <w:tc>
          <w:tcPr>
            <w:tcW w:w="0" w:type="auto"/>
            <w:tcBorders>
              <w:top w:val="nil"/>
              <w:left w:val="nil"/>
              <w:bottom w:val="nil"/>
              <w:right w:val="nil"/>
            </w:tcBorders>
            <w:shd w:val="pct25" w:color="auto" w:fill="auto"/>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2 096 600</w:t>
            </w:r>
          </w:p>
        </w:tc>
        <w:tc>
          <w:tcPr>
            <w:tcW w:w="0" w:type="auto"/>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5 613</w:t>
            </w:r>
          </w:p>
        </w:tc>
        <w:tc>
          <w:tcPr>
            <w:tcW w:w="574" w:type="dxa"/>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0,3</w:t>
            </w:r>
          </w:p>
        </w:tc>
      </w:tr>
      <w:tr>
        <w:tblPrEx>
          <w:tblW w:w="8946" w:type="dxa"/>
          <w:tblInd w:w="55" w:type="dxa"/>
          <w:tblCellMar>
            <w:left w:w="70" w:type="dxa"/>
            <w:right w:w="70" w:type="dxa"/>
          </w:tblCellMar>
          <w:tblLook w:val="04A0"/>
        </w:tblPrEx>
        <w:trPr>
          <w:trHeight w:val="480"/>
        </w:trPr>
        <w:tc>
          <w:tcPr>
            <w:tcW w:w="0" w:type="auto"/>
            <w:tcBorders>
              <w:top w:val="nil"/>
              <w:left w:val="nil"/>
              <w:bottom w:val="nil"/>
              <w:right w:val="nil"/>
            </w:tcBorders>
            <w:textDirection w:val="lrTb"/>
            <w:vAlign w:val="center"/>
            <w:hideMark/>
          </w:tcPr>
          <w:p w:rsidR="00C64710" w:rsidRPr="00C64710" w:rsidP="00E51D4D">
            <w:pPr>
              <w:bidi w:val="0"/>
              <w:rPr>
                <w:rFonts w:ascii="Times New Roman" w:hAnsi="Times New Roman"/>
                <w:color w:val="000000"/>
                <w:sz w:val="18"/>
                <w:szCs w:val="18"/>
              </w:rPr>
            </w:pPr>
            <w:r w:rsidR="00A64D0A">
              <w:rPr>
                <w:rFonts w:ascii="Times New Roman" w:hAnsi="Times New Roman"/>
                <w:color w:val="000000"/>
                <w:sz w:val="18"/>
                <w:szCs w:val="18"/>
              </w:rPr>
              <w:t xml:space="preserve">            </w:t>
            </w:r>
            <w:r w:rsidRPr="00C64710">
              <w:rPr>
                <w:rFonts w:ascii="Times New Roman" w:hAnsi="Times New Roman"/>
                <w:color w:val="000000"/>
                <w:sz w:val="18"/>
                <w:szCs w:val="18"/>
              </w:rPr>
              <w:t>dane z použív. tovarov a</w:t>
            </w:r>
            <w:r w:rsidR="00A64D0A">
              <w:rPr>
                <w:rFonts w:ascii="Times New Roman" w:hAnsi="Times New Roman"/>
                <w:color w:val="000000"/>
                <w:sz w:val="18"/>
                <w:szCs w:val="18"/>
              </w:rPr>
              <w:t> </w:t>
            </w:r>
            <w:r w:rsidRPr="00C64710">
              <w:rPr>
                <w:rFonts w:ascii="Times New Roman" w:hAnsi="Times New Roman"/>
                <w:color w:val="000000"/>
                <w:sz w:val="18"/>
                <w:szCs w:val="18"/>
              </w:rPr>
              <w:t>z</w:t>
            </w:r>
            <w:r w:rsidR="00A64D0A">
              <w:rPr>
                <w:rFonts w:ascii="Times New Roman" w:hAnsi="Times New Roman"/>
                <w:color w:val="000000"/>
                <w:sz w:val="18"/>
                <w:szCs w:val="18"/>
              </w:rPr>
              <w:t> </w:t>
            </w:r>
            <w:r w:rsidRPr="00C64710">
              <w:rPr>
                <w:rFonts w:ascii="Times New Roman" w:hAnsi="Times New Roman"/>
                <w:color w:val="000000"/>
                <w:sz w:val="18"/>
                <w:szCs w:val="18"/>
              </w:rPr>
              <w:t>povolenia na výkon činnosti</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00A64D0A">
              <w:rPr>
                <w:rFonts w:ascii="Times New Roman" w:hAnsi="Times New Roman"/>
                <w:color w:val="000000"/>
                <w:sz w:val="18"/>
                <w:szCs w:val="18"/>
              </w:rPr>
              <w:t>0</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78</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150 666</w:t>
            </w:r>
          </w:p>
        </w:tc>
        <w:tc>
          <w:tcPr>
            <w:tcW w:w="0" w:type="auto"/>
            <w:tcBorders>
              <w:top w:val="nil"/>
              <w:left w:val="nil"/>
              <w:bottom w:val="nil"/>
              <w:right w:val="nil"/>
            </w:tcBorders>
            <w:shd w:val="pct25" w:color="auto" w:fill="auto"/>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141 173</w:t>
            </w:r>
          </w:p>
        </w:tc>
        <w:tc>
          <w:tcPr>
            <w:tcW w:w="0" w:type="auto"/>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-9 493</w:t>
            </w:r>
          </w:p>
        </w:tc>
        <w:tc>
          <w:tcPr>
            <w:tcW w:w="574" w:type="dxa"/>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-6,3</w:t>
            </w:r>
          </w:p>
        </w:tc>
      </w:tr>
      <w:tr>
        <w:tblPrEx>
          <w:tblW w:w="8946" w:type="dxa"/>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C64710" w:rsidRPr="00C64710" w:rsidP="00E51D4D">
            <w:pPr>
              <w:bidi w:val="0"/>
              <w:rPr>
                <w:rFonts w:ascii="Times New Roman" w:hAnsi="Times New Roman"/>
                <w:color w:val="000000"/>
                <w:sz w:val="18"/>
                <w:szCs w:val="18"/>
              </w:rPr>
            </w:pPr>
            <w:r w:rsidRPr="00C64710">
              <w:rPr>
                <w:rFonts w:ascii="Times New Roman" w:hAnsi="Times New Roman"/>
                <w:color w:val="000000"/>
                <w:sz w:val="18"/>
                <w:szCs w:val="18"/>
              </w:rPr>
              <w:t>Dane z príjmov a kapitálového majetku</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2 384 094</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2 318 952</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2 491 141</w:t>
            </w:r>
          </w:p>
        </w:tc>
        <w:tc>
          <w:tcPr>
            <w:tcW w:w="0" w:type="auto"/>
            <w:tcBorders>
              <w:top w:val="nil"/>
              <w:left w:val="nil"/>
              <w:bottom w:val="nil"/>
              <w:right w:val="nil"/>
            </w:tcBorders>
            <w:shd w:val="pct25" w:color="auto" w:fill="auto"/>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2 826 349</w:t>
            </w:r>
          </w:p>
        </w:tc>
        <w:tc>
          <w:tcPr>
            <w:tcW w:w="0" w:type="auto"/>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335 208</w:t>
            </w:r>
          </w:p>
        </w:tc>
        <w:tc>
          <w:tcPr>
            <w:tcW w:w="574" w:type="dxa"/>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13,5</w:t>
            </w:r>
          </w:p>
        </w:tc>
      </w:tr>
      <w:tr>
        <w:tblPrEx>
          <w:tblW w:w="8946" w:type="dxa"/>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C64710" w:rsidRPr="00C64710" w:rsidP="00E51D4D">
            <w:pPr>
              <w:bidi w:val="0"/>
              <w:rPr>
                <w:rFonts w:ascii="Times New Roman" w:hAnsi="Times New Roman"/>
                <w:color w:val="000000"/>
                <w:sz w:val="18"/>
                <w:szCs w:val="18"/>
              </w:rPr>
            </w:pPr>
            <w:r w:rsidRPr="00C64710">
              <w:rPr>
                <w:rFonts w:ascii="Times New Roman" w:hAnsi="Times New Roman"/>
                <w:color w:val="000000"/>
                <w:sz w:val="18"/>
                <w:szCs w:val="18"/>
              </w:rPr>
              <w:t>z toho: daň z príjmov FO</w:t>
            </w:r>
          </w:p>
        </w:tc>
        <w:tc>
          <w:tcPr>
            <w:tcW w:w="0" w:type="auto"/>
            <w:tcBorders>
              <w:top w:val="nil"/>
              <w:left w:val="nil"/>
              <w:bottom w:val="nil"/>
              <w:right w:val="nil"/>
            </w:tcBorders>
            <w:noWrap/>
            <w:textDirection w:val="lrTb"/>
            <w:vAlign w:val="center"/>
            <w:hideMark/>
          </w:tcPr>
          <w:p w:rsidR="00C64710" w:rsidRPr="0062790F" w:rsidP="00E51D4D">
            <w:pPr>
              <w:bidi w:val="0"/>
              <w:jc w:val="right"/>
              <w:rPr>
                <w:rFonts w:ascii="Times New Roman" w:hAnsi="Times New Roman"/>
                <w:color w:val="000000"/>
                <w:sz w:val="18"/>
                <w:szCs w:val="18"/>
              </w:rPr>
            </w:pPr>
            <w:r w:rsidRPr="0062790F">
              <w:rPr>
                <w:rFonts w:ascii="Times New Roman" w:hAnsi="Times New Roman"/>
                <w:color w:val="000000"/>
                <w:sz w:val="18"/>
                <w:szCs w:val="18"/>
              </w:rPr>
              <w:t>208 583</w:t>
            </w:r>
          </w:p>
        </w:tc>
        <w:tc>
          <w:tcPr>
            <w:tcW w:w="0" w:type="auto"/>
            <w:tcBorders>
              <w:top w:val="nil"/>
              <w:left w:val="nil"/>
              <w:bottom w:val="nil"/>
              <w:right w:val="nil"/>
            </w:tcBorders>
            <w:noWrap/>
            <w:textDirection w:val="lrTb"/>
            <w:vAlign w:val="center"/>
            <w:hideMark/>
          </w:tcPr>
          <w:p w:rsidR="00C64710" w:rsidRPr="0062790F" w:rsidP="00E51D4D">
            <w:pPr>
              <w:bidi w:val="0"/>
              <w:jc w:val="right"/>
              <w:rPr>
                <w:rFonts w:ascii="Times New Roman" w:hAnsi="Times New Roman"/>
                <w:color w:val="000000"/>
                <w:sz w:val="18"/>
                <w:szCs w:val="18"/>
              </w:rPr>
            </w:pPr>
            <w:r w:rsidRPr="0062790F">
              <w:rPr>
                <w:rFonts w:ascii="Times New Roman" w:hAnsi="Times New Roman"/>
                <w:color w:val="000000"/>
                <w:sz w:val="18"/>
                <w:szCs w:val="18"/>
              </w:rPr>
              <w:t>232 618</w:t>
            </w:r>
          </w:p>
        </w:tc>
        <w:tc>
          <w:tcPr>
            <w:tcW w:w="0" w:type="auto"/>
            <w:tcBorders>
              <w:top w:val="nil"/>
              <w:left w:val="nil"/>
              <w:bottom w:val="nil"/>
              <w:right w:val="nil"/>
            </w:tcBorders>
            <w:noWrap/>
            <w:textDirection w:val="lrTb"/>
            <w:vAlign w:val="center"/>
            <w:hideMark/>
          </w:tcPr>
          <w:p w:rsidR="00C64710" w:rsidRPr="0062790F" w:rsidP="00E51D4D">
            <w:pPr>
              <w:bidi w:val="0"/>
              <w:jc w:val="right"/>
              <w:rPr>
                <w:rFonts w:ascii="Times New Roman" w:hAnsi="Times New Roman"/>
                <w:color w:val="000000"/>
                <w:sz w:val="18"/>
                <w:szCs w:val="18"/>
              </w:rPr>
            </w:pPr>
            <w:r w:rsidRPr="0062790F">
              <w:rPr>
                <w:rFonts w:ascii="Times New Roman" w:hAnsi="Times New Roman"/>
                <w:color w:val="000000"/>
                <w:sz w:val="18"/>
                <w:szCs w:val="18"/>
              </w:rPr>
              <w:t>40 444</w:t>
            </w:r>
          </w:p>
        </w:tc>
        <w:tc>
          <w:tcPr>
            <w:tcW w:w="0" w:type="auto"/>
            <w:tcBorders>
              <w:top w:val="nil"/>
              <w:left w:val="nil"/>
              <w:bottom w:val="nil"/>
              <w:right w:val="nil"/>
            </w:tcBorders>
            <w:shd w:val="pct25" w:color="auto" w:fill="auto"/>
            <w:noWrap/>
            <w:textDirection w:val="lrTb"/>
            <w:vAlign w:val="center"/>
            <w:hideMark/>
          </w:tcPr>
          <w:p w:rsidR="00C64710" w:rsidRPr="0062790F" w:rsidP="00E51D4D">
            <w:pPr>
              <w:bidi w:val="0"/>
              <w:jc w:val="right"/>
              <w:rPr>
                <w:rFonts w:ascii="Times New Roman" w:hAnsi="Times New Roman"/>
                <w:color w:val="000000"/>
                <w:sz w:val="18"/>
                <w:szCs w:val="18"/>
              </w:rPr>
            </w:pPr>
            <w:r w:rsidRPr="0062790F">
              <w:rPr>
                <w:rFonts w:ascii="Times New Roman" w:hAnsi="Times New Roman"/>
                <w:color w:val="000000"/>
                <w:sz w:val="18"/>
                <w:szCs w:val="18"/>
              </w:rPr>
              <w:t>60 413</w:t>
            </w:r>
          </w:p>
        </w:tc>
        <w:tc>
          <w:tcPr>
            <w:tcW w:w="0" w:type="auto"/>
            <w:tcBorders>
              <w:top w:val="nil"/>
              <w:left w:val="nil"/>
              <w:bottom w:val="nil"/>
              <w:right w:val="nil"/>
            </w:tcBorders>
            <w:shd w:val="clear" w:color="000000" w:fill="FFFFFF"/>
            <w:textDirection w:val="lrTb"/>
            <w:vAlign w:val="center"/>
            <w:hideMark/>
          </w:tcPr>
          <w:p w:rsidR="00C64710" w:rsidRPr="0062790F" w:rsidP="00E51D4D">
            <w:pPr>
              <w:bidi w:val="0"/>
              <w:jc w:val="right"/>
              <w:rPr>
                <w:rFonts w:ascii="Times New Roman" w:hAnsi="Times New Roman"/>
                <w:color w:val="000000"/>
                <w:sz w:val="18"/>
                <w:szCs w:val="18"/>
              </w:rPr>
            </w:pPr>
            <w:r w:rsidRPr="0062790F">
              <w:rPr>
                <w:rFonts w:ascii="Times New Roman" w:hAnsi="Times New Roman"/>
                <w:color w:val="000000"/>
                <w:sz w:val="18"/>
                <w:szCs w:val="18"/>
              </w:rPr>
              <w:t>19 969</w:t>
            </w:r>
          </w:p>
        </w:tc>
        <w:tc>
          <w:tcPr>
            <w:tcW w:w="574" w:type="dxa"/>
            <w:tcBorders>
              <w:top w:val="nil"/>
              <w:left w:val="nil"/>
              <w:bottom w:val="nil"/>
              <w:right w:val="nil"/>
            </w:tcBorders>
            <w:shd w:val="clear" w:color="000000" w:fill="FFFFFF"/>
            <w:textDirection w:val="lrTb"/>
            <w:vAlign w:val="center"/>
            <w:hideMark/>
          </w:tcPr>
          <w:p w:rsidR="00C64710" w:rsidRPr="0062790F" w:rsidP="00E51D4D">
            <w:pPr>
              <w:bidi w:val="0"/>
              <w:jc w:val="right"/>
              <w:rPr>
                <w:rFonts w:ascii="Times New Roman" w:hAnsi="Times New Roman"/>
                <w:color w:val="000000"/>
                <w:sz w:val="18"/>
                <w:szCs w:val="18"/>
              </w:rPr>
            </w:pPr>
            <w:r w:rsidRPr="0062790F">
              <w:rPr>
                <w:rFonts w:ascii="Times New Roman" w:hAnsi="Times New Roman"/>
                <w:color w:val="000000"/>
                <w:sz w:val="18"/>
                <w:szCs w:val="18"/>
              </w:rPr>
              <w:t>49,4</w:t>
            </w:r>
          </w:p>
        </w:tc>
      </w:tr>
      <w:tr>
        <w:tblPrEx>
          <w:tblW w:w="8946" w:type="dxa"/>
          <w:tblInd w:w="55" w:type="dxa"/>
          <w:tblCellMar>
            <w:left w:w="70" w:type="dxa"/>
            <w:right w:w="70" w:type="dxa"/>
          </w:tblCellMar>
          <w:tblLook w:val="04A0"/>
        </w:tblPrEx>
        <w:trPr>
          <w:trHeight w:val="330"/>
        </w:trPr>
        <w:tc>
          <w:tcPr>
            <w:tcW w:w="0" w:type="auto"/>
            <w:tcBorders>
              <w:top w:val="nil"/>
              <w:left w:val="nil"/>
              <w:bottom w:val="nil"/>
              <w:right w:val="nil"/>
            </w:tcBorders>
            <w:textDirection w:val="lrTb"/>
            <w:vAlign w:val="center"/>
            <w:hideMark/>
          </w:tcPr>
          <w:p w:rsidR="00C64710" w:rsidRPr="00C64710" w:rsidP="00E51D4D">
            <w:pPr>
              <w:bidi w:val="0"/>
              <w:rPr>
                <w:rFonts w:ascii="Times New Roman" w:hAnsi="Times New Roman"/>
                <w:color w:val="000000"/>
                <w:sz w:val="18"/>
                <w:szCs w:val="18"/>
              </w:rPr>
            </w:pPr>
            <w:r w:rsidR="00A64D0A">
              <w:rPr>
                <w:rFonts w:ascii="Times New Roman" w:hAnsi="Times New Roman"/>
                <w:color w:val="000000"/>
                <w:sz w:val="18"/>
                <w:szCs w:val="18"/>
              </w:rPr>
              <w:t xml:space="preserve">            </w:t>
            </w:r>
            <w:r w:rsidRPr="00C64710">
              <w:rPr>
                <w:rFonts w:ascii="Times New Roman" w:hAnsi="Times New Roman"/>
                <w:color w:val="000000"/>
                <w:sz w:val="18"/>
                <w:szCs w:val="18"/>
              </w:rPr>
              <w:t>daň z príjmov PO</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1 997 725</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1 911 273</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2 305 081</w:t>
            </w:r>
          </w:p>
        </w:tc>
        <w:tc>
          <w:tcPr>
            <w:tcW w:w="0" w:type="auto"/>
            <w:tcBorders>
              <w:top w:val="nil"/>
              <w:left w:val="nil"/>
              <w:bottom w:val="nil"/>
              <w:right w:val="nil"/>
            </w:tcBorders>
            <w:shd w:val="pct25" w:color="auto" w:fill="auto"/>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2 603 931</w:t>
            </w:r>
          </w:p>
        </w:tc>
        <w:tc>
          <w:tcPr>
            <w:tcW w:w="0" w:type="auto"/>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298 850</w:t>
            </w:r>
          </w:p>
        </w:tc>
        <w:tc>
          <w:tcPr>
            <w:tcW w:w="574" w:type="dxa"/>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13,0</w:t>
            </w:r>
          </w:p>
        </w:tc>
      </w:tr>
      <w:tr>
        <w:tblPrEx>
          <w:tblW w:w="8946" w:type="dxa"/>
          <w:tblInd w:w="55" w:type="dxa"/>
          <w:tblCellMar>
            <w:left w:w="70" w:type="dxa"/>
            <w:right w:w="70" w:type="dxa"/>
          </w:tblCellMar>
          <w:tblLook w:val="04A0"/>
        </w:tblPrEx>
        <w:trPr>
          <w:trHeight w:val="480"/>
        </w:trPr>
        <w:tc>
          <w:tcPr>
            <w:tcW w:w="0" w:type="auto"/>
            <w:tcBorders>
              <w:top w:val="nil"/>
              <w:left w:val="nil"/>
              <w:bottom w:val="nil"/>
              <w:right w:val="nil"/>
            </w:tcBorders>
            <w:textDirection w:val="lrTb"/>
            <w:vAlign w:val="center"/>
            <w:hideMark/>
          </w:tcPr>
          <w:p w:rsidR="00C64710" w:rsidRPr="00C64710" w:rsidP="00E51D4D">
            <w:pPr>
              <w:bidi w:val="0"/>
              <w:rPr>
                <w:rFonts w:ascii="Times New Roman" w:hAnsi="Times New Roman"/>
                <w:color w:val="000000"/>
                <w:sz w:val="18"/>
                <w:szCs w:val="18"/>
              </w:rPr>
            </w:pPr>
            <w:r w:rsidRPr="00C64710">
              <w:rPr>
                <w:rFonts w:ascii="Times New Roman" w:hAnsi="Times New Roman"/>
                <w:color w:val="000000"/>
                <w:sz w:val="18"/>
                <w:szCs w:val="18"/>
              </w:rPr>
              <w:t>Dane z medzinárodného obchodu a transakcií</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27 553</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31 512</w:t>
            </w:r>
          </w:p>
        </w:tc>
        <w:tc>
          <w:tcPr>
            <w:tcW w:w="0" w:type="auto"/>
            <w:tcBorders>
              <w:top w:val="nil"/>
              <w:left w:val="nil"/>
              <w:bottom w:val="nil"/>
              <w:right w:val="nil"/>
            </w:tcBorders>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30 363</w:t>
            </w:r>
          </w:p>
        </w:tc>
        <w:tc>
          <w:tcPr>
            <w:tcW w:w="0" w:type="auto"/>
            <w:tcBorders>
              <w:top w:val="nil"/>
              <w:left w:val="nil"/>
              <w:bottom w:val="nil"/>
              <w:right w:val="nil"/>
            </w:tcBorders>
            <w:shd w:val="pct25" w:color="auto" w:fill="auto"/>
            <w:noWrap/>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28 893</w:t>
            </w:r>
          </w:p>
        </w:tc>
        <w:tc>
          <w:tcPr>
            <w:tcW w:w="0" w:type="auto"/>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-1 470</w:t>
            </w:r>
          </w:p>
        </w:tc>
        <w:tc>
          <w:tcPr>
            <w:tcW w:w="574" w:type="dxa"/>
            <w:tcBorders>
              <w:top w:val="nil"/>
              <w:left w:val="nil"/>
              <w:bottom w:val="nil"/>
              <w:right w:val="nil"/>
            </w:tcBorders>
            <w:shd w:val="clear" w:color="000000" w:fill="FFFFFF"/>
            <w:textDirection w:val="lrTb"/>
            <w:vAlign w:val="center"/>
            <w:hideMark/>
          </w:tcPr>
          <w:p w:rsidR="00C64710" w:rsidRPr="00C64710" w:rsidP="00E51D4D">
            <w:pPr>
              <w:bidi w:val="0"/>
              <w:jc w:val="right"/>
              <w:rPr>
                <w:rFonts w:ascii="Times New Roman" w:hAnsi="Times New Roman"/>
                <w:color w:val="000000"/>
                <w:sz w:val="18"/>
                <w:szCs w:val="18"/>
              </w:rPr>
            </w:pPr>
            <w:r w:rsidRPr="00C64710">
              <w:rPr>
                <w:rFonts w:ascii="Times New Roman" w:hAnsi="Times New Roman"/>
                <w:color w:val="000000"/>
                <w:sz w:val="18"/>
                <w:szCs w:val="18"/>
              </w:rPr>
              <w:t>-4,8</w:t>
            </w:r>
          </w:p>
        </w:tc>
      </w:tr>
      <w:tr>
        <w:tblPrEx>
          <w:tblW w:w="8946" w:type="dxa"/>
          <w:tblInd w:w="55" w:type="dxa"/>
          <w:tblCellMar>
            <w:left w:w="70" w:type="dxa"/>
            <w:right w:w="70" w:type="dxa"/>
          </w:tblCellMar>
          <w:tblLook w:val="04A0"/>
        </w:tblPrEx>
        <w:trPr>
          <w:trHeight w:val="330"/>
        </w:trPr>
        <w:tc>
          <w:tcPr>
            <w:tcW w:w="0" w:type="auto"/>
            <w:tcBorders>
              <w:top w:val="nil"/>
              <w:left w:val="nil"/>
              <w:bottom w:val="single" w:sz="4" w:space="0" w:color="auto"/>
              <w:right w:val="nil"/>
            </w:tcBorders>
            <w:noWrap/>
            <w:textDirection w:val="lrTb"/>
            <w:vAlign w:val="center"/>
            <w:hideMark/>
          </w:tcPr>
          <w:p w:rsidR="003B203E" w:rsidRPr="00C64710" w:rsidP="00E51D4D">
            <w:pPr>
              <w:bidi w:val="0"/>
              <w:rPr>
                <w:rFonts w:ascii="Times New Roman" w:hAnsi="Times New Roman"/>
                <w:color w:val="000000"/>
                <w:sz w:val="18"/>
                <w:szCs w:val="18"/>
              </w:rPr>
            </w:pPr>
            <w:r w:rsidRPr="00C64710">
              <w:rPr>
                <w:rFonts w:ascii="Times New Roman" w:hAnsi="Times New Roman"/>
                <w:color w:val="000000"/>
                <w:sz w:val="18"/>
                <w:szCs w:val="18"/>
              </w:rPr>
              <w:t>Sankcie uložené v daňovom konaní</w:t>
            </w:r>
            <w:r>
              <w:rPr>
                <w:rFonts w:ascii="Times New Roman" w:hAnsi="Times New Roman"/>
                <w:color w:val="000000"/>
                <w:sz w:val="18"/>
                <w:szCs w:val="18"/>
              </w:rPr>
              <w:t xml:space="preserve"> a ostatné dane</w:t>
            </w:r>
          </w:p>
        </w:tc>
        <w:tc>
          <w:tcPr>
            <w:tcW w:w="0" w:type="auto"/>
            <w:tcBorders>
              <w:top w:val="nil"/>
              <w:left w:val="nil"/>
              <w:bottom w:val="single" w:sz="4" w:space="0" w:color="auto"/>
              <w:right w:val="nil"/>
            </w:tcBorders>
            <w:noWrap/>
            <w:textDirection w:val="lrTb"/>
            <w:vAlign w:val="center"/>
            <w:hideMark/>
          </w:tcPr>
          <w:p w:rsidR="003B203E" w:rsidP="00E51D4D">
            <w:pPr>
              <w:bidi w:val="0"/>
              <w:jc w:val="right"/>
              <w:rPr>
                <w:rFonts w:ascii="Times New Roman" w:hAnsi="Times New Roman"/>
                <w:color w:val="000000"/>
                <w:sz w:val="18"/>
                <w:szCs w:val="18"/>
              </w:rPr>
            </w:pPr>
            <w:r>
              <w:rPr>
                <w:rFonts w:ascii="Times New Roman" w:hAnsi="Times New Roman"/>
                <w:color w:val="000000"/>
                <w:sz w:val="18"/>
                <w:szCs w:val="18"/>
              </w:rPr>
              <w:t>23 203</w:t>
            </w:r>
          </w:p>
        </w:tc>
        <w:tc>
          <w:tcPr>
            <w:tcW w:w="0" w:type="auto"/>
            <w:tcBorders>
              <w:top w:val="nil"/>
              <w:left w:val="nil"/>
              <w:bottom w:val="single" w:sz="4" w:space="0" w:color="auto"/>
              <w:right w:val="nil"/>
            </w:tcBorders>
            <w:noWrap/>
            <w:textDirection w:val="lrTb"/>
            <w:vAlign w:val="center"/>
            <w:hideMark/>
          </w:tcPr>
          <w:p w:rsidR="003B203E" w:rsidP="00E51D4D">
            <w:pPr>
              <w:bidi w:val="0"/>
              <w:jc w:val="right"/>
              <w:rPr>
                <w:rFonts w:ascii="Times New Roman" w:hAnsi="Times New Roman"/>
                <w:color w:val="000000"/>
                <w:sz w:val="18"/>
                <w:szCs w:val="18"/>
              </w:rPr>
            </w:pPr>
            <w:r>
              <w:rPr>
                <w:rFonts w:ascii="Times New Roman" w:hAnsi="Times New Roman"/>
                <w:color w:val="000000"/>
                <w:sz w:val="18"/>
                <w:szCs w:val="18"/>
              </w:rPr>
              <w:t>30 384</w:t>
            </w:r>
          </w:p>
        </w:tc>
        <w:tc>
          <w:tcPr>
            <w:tcW w:w="0" w:type="auto"/>
            <w:tcBorders>
              <w:top w:val="nil"/>
              <w:left w:val="nil"/>
              <w:bottom w:val="single" w:sz="4" w:space="0" w:color="auto"/>
              <w:right w:val="nil"/>
            </w:tcBorders>
            <w:noWrap/>
            <w:textDirection w:val="lrTb"/>
            <w:vAlign w:val="center"/>
            <w:hideMark/>
          </w:tcPr>
          <w:p w:rsidR="003B203E" w:rsidP="00E51D4D">
            <w:pPr>
              <w:bidi w:val="0"/>
              <w:jc w:val="right"/>
              <w:rPr>
                <w:rFonts w:ascii="Times New Roman" w:hAnsi="Times New Roman"/>
                <w:color w:val="000000"/>
                <w:sz w:val="18"/>
                <w:szCs w:val="18"/>
              </w:rPr>
            </w:pPr>
            <w:r>
              <w:rPr>
                <w:rFonts w:ascii="Times New Roman" w:hAnsi="Times New Roman"/>
                <w:color w:val="000000"/>
                <w:sz w:val="18"/>
                <w:szCs w:val="18"/>
              </w:rPr>
              <w:t>19 761</w:t>
            </w:r>
          </w:p>
        </w:tc>
        <w:tc>
          <w:tcPr>
            <w:tcW w:w="0" w:type="auto"/>
            <w:tcBorders>
              <w:top w:val="nil"/>
              <w:left w:val="nil"/>
              <w:bottom w:val="single" w:sz="4" w:space="0" w:color="auto"/>
              <w:right w:val="nil"/>
            </w:tcBorders>
            <w:shd w:val="pct25" w:color="auto" w:fill="auto"/>
            <w:noWrap/>
            <w:textDirection w:val="lrTb"/>
            <w:vAlign w:val="center"/>
            <w:hideMark/>
          </w:tcPr>
          <w:p w:rsidR="003B203E" w:rsidP="00E51D4D">
            <w:pPr>
              <w:bidi w:val="0"/>
              <w:jc w:val="right"/>
              <w:rPr>
                <w:rFonts w:ascii="Times New Roman" w:hAnsi="Times New Roman"/>
                <w:color w:val="000000"/>
                <w:sz w:val="18"/>
                <w:szCs w:val="18"/>
              </w:rPr>
            </w:pPr>
            <w:r>
              <w:rPr>
                <w:rFonts w:ascii="Times New Roman" w:hAnsi="Times New Roman"/>
                <w:color w:val="000000"/>
                <w:sz w:val="18"/>
                <w:szCs w:val="18"/>
              </w:rPr>
              <w:t>18 197</w:t>
            </w:r>
          </w:p>
        </w:tc>
        <w:tc>
          <w:tcPr>
            <w:tcW w:w="0" w:type="auto"/>
            <w:tcBorders>
              <w:top w:val="nil"/>
              <w:left w:val="nil"/>
              <w:bottom w:val="single" w:sz="4" w:space="0" w:color="auto"/>
              <w:right w:val="nil"/>
            </w:tcBorders>
            <w:shd w:val="clear" w:color="000000" w:fill="FFFFFF"/>
            <w:textDirection w:val="lrTb"/>
            <w:vAlign w:val="center"/>
            <w:hideMark/>
          </w:tcPr>
          <w:p w:rsidR="003B203E" w:rsidP="00E51D4D">
            <w:pPr>
              <w:bidi w:val="0"/>
              <w:jc w:val="right"/>
              <w:rPr>
                <w:rFonts w:ascii="Times New Roman" w:hAnsi="Times New Roman"/>
                <w:color w:val="000000"/>
                <w:sz w:val="20"/>
                <w:szCs w:val="20"/>
              </w:rPr>
            </w:pPr>
            <w:r>
              <w:rPr>
                <w:rFonts w:ascii="Times New Roman" w:hAnsi="Times New Roman"/>
                <w:color w:val="000000"/>
                <w:sz w:val="20"/>
                <w:szCs w:val="20"/>
              </w:rPr>
              <w:t>-1 564</w:t>
            </w:r>
          </w:p>
        </w:tc>
        <w:tc>
          <w:tcPr>
            <w:tcW w:w="574" w:type="dxa"/>
            <w:tcBorders>
              <w:top w:val="nil"/>
              <w:left w:val="nil"/>
              <w:bottom w:val="single" w:sz="4" w:space="0" w:color="auto"/>
              <w:right w:val="nil"/>
            </w:tcBorders>
            <w:shd w:val="clear" w:color="000000" w:fill="FFFFFF"/>
            <w:textDirection w:val="lrTb"/>
            <w:vAlign w:val="center"/>
            <w:hideMark/>
          </w:tcPr>
          <w:p w:rsidR="003B203E" w:rsidP="00E51D4D">
            <w:pPr>
              <w:bidi w:val="0"/>
              <w:jc w:val="right"/>
              <w:rPr>
                <w:rFonts w:ascii="Times New Roman" w:hAnsi="Times New Roman"/>
                <w:color w:val="000000"/>
                <w:sz w:val="20"/>
                <w:szCs w:val="20"/>
              </w:rPr>
            </w:pPr>
            <w:r>
              <w:rPr>
                <w:rFonts w:ascii="Times New Roman" w:hAnsi="Times New Roman"/>
                <w:color w:val="000000"/>
                <w:sz w:val="20"/>
                <w:szCs w:val="20"/>
              </w:rPr>
              <w:t>-7,9</w:t>
            </w:r>
          </w:p>
        </w:tc>
      </w:tr>
      <w:tr>
        <w:tblPrEx>
          <w:tblW w:w="8946" w:type="dxa"/>
          <w:tblInd w:w="55" w:type="dxa"/>
          <w:tblCellMar>
            <w:left w:w="70" w:type="dxa"/>
            <w:right w:w="70" w:type="dxa"/>
          </w:tblCellMar>
          <w:tblLook w:val="04A0"/>
        </w:tblPrEx>
        <w:trPr>
          <w:trHeight w:val="345"/>
        </w:trPr>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64710" w:rsidRPr="00C64710" w:rsidP="00E51D4D">
            <w:pPr>
              <w:bidi w:val="0"/>
              <w:rPr>
                <w:rFonts w:ascii="Times New Roman" w:hAnsi="Times New Roman"/>
                <w:b/>
                <w:bCs/>
                <w:color w:val="000000"/>
                <w:sz w:val="18"/>
                <w:szCs w:val="18"/>
              </w:rPr>
            </w:pPr>
            <w:r w:rsidRPr="00C64710">
              <w:rPr>
                <w:rFonts w:ascii="Times New Roman" w:hAnsi="Times New Roman"/>
                <w:b/>
                <w:bCs/>
                <w:color w:val="000000"/>
                <w:sz w:val="18"/>
                <w:szCs w:val="18"/>
              </w:rPr>
              <w:t>Spolu</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64710" w:rsidRPr="00C64710" w:rsidP="00E51D4D">
            <w:pPr>
              <w:bidi w:val="0"/>
              <w:jc w:val="right"/>
              <w:rPr>
                <w:rFonts w:ascii="Times New Roman" w:hAnsi="Times New Roman"/>
                <w:b/>
                <w:bCs/>
                <w:color w:val="000000"/>
                <w:sz w:val="18"/>
                <w:szCs w:val="18"/>
              </w:rPr>
            </w:pPr>
            <w:r w:rsidRPr="00C64710">
              <w:rPr>
                <w:rFonts w:ascii="Times New Roman" w:hAnsi="Times New Roman"/>
                <w:b/>
                <w:bCs/>
                <w:color w:val="000000"/>
                <w:sz w:val="18"/>
                <w:szCs w:val="18"/>
              </w:rPr>
              <w:t>9 134 432</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64710" w:rsidRPr="00C64710" w:rsidP="00E51D4D">
            <w:pPr>
              <w:bidi w:val="0"/>
              <w:jc w:val="right"/>
              <w:rPr>
                <w:rFonts w:ascii="Times New Roman" w:hAnsi="Times New Roman"/>
                <w:b/>
                <w:bCs/>
                <w:color w:val="000000"/>
                <w:sz w:val="18"/>
                <w:szCs w:val="18"/>
              </w:rPr>
            </w:pPr>
            <w:r w:rsidRPr="00C64710">
              <w:rPr>
                <w:rFonts w:ascii="Times New Roman" w:hAnsi="Times New Roman"/>
                <w:b/>
                <w:bCs/>
                <w:color w:val="000000"/>
                <w:sz w:val="18"/>
                <w:szCs w:val="18"/>
              </w:rPr>
              <w:t>9 293 066</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64710" w:rsidRPr="00C64710" w:rsidP="00E51D4D">
            <w:pPr>
              <w:bidi w:val="0"/>
              <w:jc w:val="right"/>
              <w:rPr>
                <w:rFonts w:ascii="Times New Roman" w:hAnsi="Times New Roman"/>
                <w:b/>
                <w:bCs/>
                <w:color w:val="000000"/>
                <w:sz w:val="18"/>
                <w:szCs w:val="18"/>
              </w:rPr>
            </w:pPr>
            <w:r w:rsidRPr="00C64710">
              <w:rPr>
                <w:rFonts w:ascii="Times New Roman" w:hAnsi="Times New Roman"/>
                <w:b/>
                <w:bCs/>
                <w:color w:val="000000"/>
                <w:sz w:val="18"/>
                <w:szCs w:val="18"/>
              </w:rPr>
              <w:t>10 037 549</w:t>
            </w:r>
          </w:p>
        </w:tc>
        <w:tc>
          <w:tcPr>
            <w:tcW w:w="0" w:type="auto"/>
            <w:tcBorders>
              <w:top w:val="single" w:sz="4" w:space="0" w:color="auto"/>
              <w:left w:val="nil"/>
              <w:bottom w:val="single" w:sz="8" w:space="0" w:color="auto"/>
              <w:right w:val="nil"/>
            </w:tcBorders>
            <w:shd w:val="pct25" w:color="auto" w:fill="auto"/>
            <w:noWrap/>
            <w:textDirection w:val="lrTb"/>
            <w:vAlign w:val="center"/>
            <w:hideMark/>
          </w:tcPr>
          <w:p w:rsidR="00C64710" w:rsidRPr="00C64710" w:rsidP="00E51D4D">
            <w:pPr>
              <w:bidi w:val="0"/>
              <w:jc w:val="right"/>
              <w:rPr>
                <w:rFonts w:ascii="Times New Roman" w:hAnsi="Times New Roman"/>
                <w:b/>
                <w:bCs/>
                <w:color w:val="000000"/>
                <w:sz w:val="18"/>
                <w:szCs w:val="18"/>
              </w:rPr>
            </w:pPr>
            <w:r w:rsidRPr="00C64710">
              <w:rPr>
                <w:rFonts w:ascii="Times New Roman" w:hAnsi="Times New Roman"/>
                <w:b/>
                <w:bCs/>
                <w:color w:val="000000"/>
                <w:sz w:val="18"/>
                <w:szCs w:val="18"/>
              </w:rPr>
              <w:t>10 612 712</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64710" w:rsidRPr="00C64710" w:rsidP="00E51D4D">
            <w:pPr>
              <w:bidi w:val="0"/>
              <w:jc w:val="right"/>
              <w:rPr>
                <w:rFonts w:ascii="Times New Roman" w:hAnsi="Times New Roman"/>
                <w:b/>
                <w:bCs/>
                <w:color w:val="000000"/>
                <w:sz w:val="18"/>
                <w:szCs w:val="18"/>
              </w:rPr>
            </w:pPr>
            <w:r w:rsidRPr="00C64710">
              <w:rPr>
                <w:rFonts w:ascii="Times New Roman" w:hAnsi="Times New Roman"/>
                <w:b/>
                <w:bCs/>
                <w:color w:val="000000"/>
                <w:sz w:val="18"/>
                <w:szCs w:val="18"/>
              </w:rPr>
              <w:t>575 163</w:t>
            </w:r>
          </w:p>
        </w:tc>
        <w:tc>
          <w:tcPr>
            <w:tcW w:w="574" w:type="dxa"/>
            <w:tcBorders>
              <w:top w:val="single" w:sz="4" w:space="0" w:color="auto"/>
              <w:left w:val="nil"/>
              <w:bottom w:val="single" w:sz="8" w:space="0" w:color="auto"/>
              <w:right w:val="nil"/>
            </w:tcBorders>
            <w:shd w:val="clear" w:color="000000" w:fill="FFFFFF"/>
            <w:noWrap/>
            <w:textDirection w:val="lrTb"/>
            <w:vAlign w:val="center"/>
            <w:hideMark/>
          </w:tcPr>
          <w:p w:rsidR="00C64710" w:rsidRPr="00C64710" w:rsidP="00E51D4D">
            <w:pPr>
              <w:bidi w:val="0"/>
              <w:jc w:val="right"/>
              <w:rPr>
                <w:rFonts w:ascii="Times New Roman" w:hAnsi="Times New Roman"/>
                <w:b/>
                <w:bCs/>
                <w:color w:val="000000"/>
                <w:sz w:val="18"/>
                <w:szCs w:val="18"/>
              </w:rPr>
            </w:pPr>
            <w:r w:rsidRPr="00C64710">
              <w:rPr>
                <w:rFonts w:ascii="Times New Roman" w:hAnsi="Times New Roman"/>
                <w:b/>
                <w:bCs/>
                <w:color w:val="000000"/>
                <w:sz w:val="18"/>
                <w:szCs w:val="18"/>
              </w:rPr>
              <w:t>5,7</w:t>
            </w:r>
          </w:p>
        </w:tc>
      </w:tr>
    </w:tbl>
    <w:p w:rsidR="003B7E74" w:rsidRPr="006E50E2" w:rsidP="005F26CE">
      <w:pPr>
        <w:bidi w:val="0"/>
        <w:spacing w:after="120" w:line="336" w:lineRule="auto"/>
        <w:jc w:val="right"/>
        <w:rPr>
          <w:rFonts w:ascii="Times New Roman" w:hAnsi="Times New Roman"/>
          <w:sz w:val="18"/>
          <w:szCs w:val="18"/>
        </w:rPr>
      </w:pPr>
      <w:r w:rsidRPr="006E50E2">
        <w:rPr>
          <w:rFonts w:ascii="Times New Roman" w:hAnsi="Times New Roman"/>
          <w:sz w:val="18"/>
          <w:szCs w:val="18"/>
        </w:rPr>
        <w:t>Zdroj: MF SR</w:t>
      </w:r>
    </w:p>
    <w:p w:rsidR="003B7E74" w:rsidRPr="006E50E2" w:rsidP="003B7E74">
      <w:pPr>
        <w:tabs>
          <w:tab w:val="left" w:pos="1134"/>
        </w:tabs>
        <w:bidi w:val="0"/>
        <w:spacing w:after="120" w:line="336" w:lineRule="auto"/>
        <w:jc w:val="both"/>
        <w:rPr>
          <w:rFonts w:ascii="Times New Roman" w:hAnsi="Times New Roman"/>
          <w:color w:val="000000"/>
          <w:sz w:val="22"/>
          <w:szCs w:val="22"/>
        </w:rPr>
      </w:pPr>
      <w:r w:rsidRPr="006E50E2">
        <w:rPr>
          <w:rFonts w:ascii="Times New Roman" w:hAnsi="Times New Roman"/>
          <w:color w:val="000000"/>
          <w:sz w:val="22"/>
          <w:szCs w:val="22"/>
        </w:rPr>
        <w:t xml:space="preserve">Tak ako v predchádzajúcich rokoch najvyšší podiel z daňových príjmov pripadá na dane za tovary a služby </w:t>
      </w:r>
      <w:r w:rsidR="004D50B5">
        <w:rPr>
          <w:rFonts w:ascii="Times New Roman" w:hAnsi="Times New Roman"/>
          <w:color w:val="000000"/>
          <w:sz w:val="22"/>
          <w:szCs w:val="22"/>
        </w:rPr>
        <w:t>(</w:t>
      </w:r>
      <w:r w:rsidRPr="00A34D72">
        <w:rPr>
          <w:rFonts w:ascii="Times New Roman" w:hAnsi="Times New Roman"/>
          <w:color w:val="000000"/>
          <w:sz w:val="22"/>
          <w:szCs w:val="22"/>
        </w:rPr>
        <w:t>72,9 %</w:t>
      </w:r>
      <w:r w:rsidR="004D50B5">
        <w:rPr>
          <w:rFonts w:ascii="Times New Roman" w:hAnsi="Times New Roman"/>
          <w:color w:val="000000"/>
          <w:sz w:val="22"/>
          <w:szCs w:val="22"/>
        </w:rPr>
        <w:t>)</w:t>
      </w:r>
      <w:r w:rsidRPr="006E50E2">
        <w:rPr>
          <w:rFonts w:ascii="Times New Roman" w:hAnsi="Times New Roman"/>
          <w:color w:val="000000"/>
          <w:sz w:val="22"/>
          <w:szCs w:val="22"/>
        </w:rPr>
        <w:t xml:space="preserve"> a na dane z príjmov a kapitálového majetku </w:t>
      </w:r>
      <w:r w:rsidR="004D50B5">
        <w:rPr>
          <w:rFonts w:ascii="Times New Roman" w:hAnsi="Times New Roman"/>
          <w:color w:val="000000"/>
          <w:sz w:val="22"/>
          <w:szCs w:val="22"/>
        </w:rPr>
        <w:t>(</w:t>
      </w:r>
      <w:r w:rsidRPr="006E50E2">
        <w:rPr>
          <w:rFonts w:ascii="Times New Roman" w:hAnsi="Times New Roman"/>
          <w:color w:val="000000"/>
          <w:sz w:val="22"/>
          <w:szCs w:val="22"/>
        </w:rPr>
        <w:t>2</w:t>
      </w:r>
      <w:r>
        <w:rPr>
          <w:rFonts w:ascii="Times New Roman" w:hAnsi="Times New Roman"/>
          <w:color w:val="000000"/>
          <w:sz w:val="22"/>
          <w:szCs w:val="22"/>
        </w:rPr>
        <w:t>6,6</w:t>
      </w:r>
      <w:r w:rsidRPr="006E50E2">
        <w:rPr>
          <w:rFonts w:ascii="Times New Roman" w:hAnsi="Times New Roman"/>
          <w:color w:val="000000"/>
          <w:sz w:val="22"/>
          <w:szCs w:val="22"/>
        </w:rPr>
        <w:t xml:space="preserve"> %</w:t>
      </w:r>
      <w:r w:rsidR="004D50B5">
        <w:rPr>
          <w:rFonts w:ascii="Times New Roman" w:hAnsi="Times New Roman"/>
          <w:color w:val="000000"/>
          <w:sz w:val="22"/>
          <w:szCs w:val="22"/>
        </w:rPr>
        <w:t>)</w:t>
      </w:r>
      <w:r w:rsidRPr="006E50E2">
        <w:rPr>
          <w:rFonts w:ascii="Times New Roman" w:hAnsi="Times New Roman"/>
          <w:color w:val="000000"/>
          <w:sz w:val="22"/>
          <w:szCs w:val="22"/>
        </w:rPr>
        <w:t xml:space="preserve">. </w:t>
      </w:r>
    </w:p>
    <w:p w:rsidR="003B7E74" w:rsidRPr="006E50E2" w:rsidP="003B7E74">
      <w:pPr>
        <w:numPr>
          <w:numId w:val="11"/>
        </w:numPr>
        <w:tabs>
          <w:tab w:val="left" w:pos="284"/>
        </w:tabs>
        <w:bidi w:val="0"/>
        <w:spacing w:after="120" w:line="336" w:lineRule="auto"/>
        <w:ind w:left="0" w:firstLine="0"/>
        <w:jc w:val="both"/>
        <w:rPr>
          <w:rFonts w:ascii="Times New Roman" w:hAnsi="Times New Roman"/>
          <w:color w:val="000000"/>
          <w:sz w:val="22"/>
          <w:szCs w:val="22"/>
        </w:rPr>
      </w:pPr>
      <w:r w:rsidRPr="006E50E2">
        <w:rPr>
          <w:rFonts w:ascii="Times New Roman" w:hAnsi="Times New Roman"/>
          <w:b/>
          <w:color w:val="000000"/>
          <w:sz w:val="22"/>
          <w:szCs w:val="22"/>
        </w:rPr>
        <w:t>Dane za tovary a služby</w:t>
      </w:r>
      <w:r w:rsidRPr="006E50E2">
        <w:rPr>
          <w:rFonts w:ascii="Times New Roman" w:hAnsi="Times New Roman"/>
          <w:color w:val="000000"/>
          <w:sz w:val="22"/>
          <w:szCs w:val="22"/>
        </w:rPr>
        <w:t xml:space="preserve"> </w:t>
      </w:r>
      <w:r w:rsidRPr="000F1A27">
        <w:rPr>
          <w:rFonts w:ascii="Times New Roman" w:hAnsi="Times New Roman"/>
          <w:color w:val="000000"/>
          <w:sz w:val="22"/>
          <w:szCs w:val="22"/>
        </w:rPr>
        <w:t>majú n</w:t>
      </w:r>
      <w:r w:rsidRPr="006E50E2">
        <w:rPr>
          <w:rFonts w:ascii="Times New Roman" w:hAnsi="Times New Roman"/>
          <w:color w:val="000000"/>
          <w:sz w:val="22"/>
          <w:szCs w:val="22"/>
        </w:rPr>
        <w:t xml:space="preserve">a celkových daňových príjmoch najvyšší podiel. Rozpočtovali sa vo výške </w:t>
      </w:r>
      <w:r w:rsidR="004D50B5">
        <w:rPr>
          <w:rFonts w:ascii="Times New Roman" w:hAnsi="Times New Roman"/>
          <w:color w:val="000000"/>
          <w:sz w:val="22"/>
          <w:szCs w:val="22"/>
        </w:rPr>
        <w:t>7</w:t>
      </w:r>
      <w:r>
        <w:rPr>
          <w:rFonts w:ascii="Times New Roman" w:hAnsi="Times New Roman"/>
          <w:color w:val="000000"/>
          <w:sz w:val="22"/>
          <w:szCs w:val="22"/>
        </w:rPr>
        <w:t> 496 284</w:t>
      </w:r>
      <w:r w:rsidRPr="006E50E2">
        <w:rPr>
          <w:rFonts w:ascii="Times New Roman" w:hAnsi="Times New Roman"/>
          <w:color w:val="000000"/>
          <w:sz w:val="22"/>
          <w:szCs w:val="22"/>
        </w:rPr>
        <w:t xml:space="preserve"> tis. eur. Skutočný výnos vo výške </w:t>
      </w:r>
      <w:r>
        <w:rPr>
          <w:rFonts w:ascii="Times New Roman" w:hAnsi="Times New Roman"/>
          <w:color w:val="000000"/>
          <w:sz w:val="22"/>
          <w:szCs w:val="22"/>
        </w:rPr>
        <w:t>7 739 273</w:t>
      </w:r>
      <w:r w:rsidRPr="006E50E2">
        <w:rPr>
          <w:rFonts w:ascii="Times New Roman" w:hAnsi="Times New Roman"/>
          <w:color w:val="000000"/>
          <w:sz w:val="22"/>
          <w:szCs w:val="22"/>
        </w:rPr>
        <w:t xml:space="preserve"> tis. eur je oproti rozpočtu o </w:t>
      </w:r>
      <w:r>
        <w:rPr>
          <w:rFonts w:ascii="Times New Roman" w:hAnsi="Times New Roman"/>
          <w:color w:val="000000"/>
          <w:sz w:val="22"/>
          <w:szCs w:val="22"/>
        </w:rPr>
        <w:t>242</w:t>
      </w:r>
      <w:r w:rsidRPr="006E50E2">
        <w:rPr>
          <w:rFonts w:ascii="Times New Roman" w:hAnsi="Times New Roman"/>
          <w:color w:val="000000"/>
          <w:sz w:val="22"/>
          <w:szCs w:val="22"/>
        </w:rPr>
        <w:t> </w:t>
      </w:r>
      <w:r>
        <w:rPr>
          <w:rFonts w:ascii="Times New Roman" w:hAnsi="Times New Roman"/>
          <w:color w:val="000000"/>
          <w:sz w:val="22"/>
          <w:szCs w:val="22"/>
        </w:rPr>
        <w:t>989</w:t>
      </w:r>
      <w:r w:rsidRPr="006E50E2">
        <w:rPr>
          <w:rFonts w:ascii="Times New Roman" w:hAnsi="Times New Roman"/>
          <w:color w:val="000000"/>
          <w:sz w:val="22"/>
          <w:szCs w:val="22"/>
        </w:rPr>
        <w:t> tis. eur vyšší, čo pre</w:t>
      </w:r>
      <w:r>
        <w:rPr>
          <w:rFonts w:ascii="Times New Roman" w:hAnsi="Times New Roman"/>
          <w:color w:val="000000"/>
          <w:sz w:val="22"/>
          <w:szCs w:val="22"/>
        </w:rPr>
        <w:t>dstavuje plnenie rozpočtu na 103,2</w:t>
      </w:r>
      <w:r w:rsidRPr="006E50E2">
        <w:rPr>
          <w:rFonts w:ascii="Times New Roman" w:hAnsi="Times New Roman"/>
          <w:color w:val="000000"/>
          <w:sz w:val="22"/>
          <w:szCs w:val="22"/>
        </w:rPr>
        <w:t xml:space="preserve"> %. V porovnaní s rokom 201</w:t>
      </w:r>
      <w:r>
        <w:rPr>
          <w:rFonts w:ascii="Times New Roman" w:hAnsi="Times New Roman"/>
          <w:color w:val="000000"/>
          <w:sz w:val="22"/>
          <w:szCs w:val="22"/>
        </w:rPr>
        <w:t>4</w:t>
      </w:r>
      <w:r w:rsidRPr="006E50E2">
        <w:rPr>
          <w:rFonts w:ascii="Times New Roman" w:hAnsi="Times New Roman"/>
          <w:color w:val="000000"/>
          <w:sz w:val="22"/>
          <w:szCs w:val="22"/>
        </w:rPr>
        <w:t xml:space="preserve"> (6 </w:t>
      </w:r>
      <w:r>
        <w:rPr>
          <w:rFonts w:ascii="Times New Roman" w:hAnsi="Times New Roman"/>
          <w:color w:val="000000"/>
          <w:sz w:val="22"/>
          <w:szCs w:val="22"/>
        </w:rPr>
        <w:t>912</w:t>
      </w:r>
      <w:r w:rsidRPr="006E50E2">
        <w:rPr>
          <w:rFonts w:ascii="Times New Roman" w:hAnsi="Times New Roman"/>
          <w:color w:val="000000"/>
          <w:sz w:val="22"/>
          <w:szCs w:val="22"/>
        </w:rPr>
        <w:t> </w:t>
      </w:r>
      <w:r>
        <w:rPr>
          <w:rFonts w:ascii="Times New Roman" w:hAnsi="Times New Roman"/>
          <w:color w:val="000000"/>
          <w:sz w:val="22"/>
          <w:szCs w:val="22"/>
        </w:rPr>
        <w:t>218</w:t>
      </w:r>
      <w:r w:rsidRPr="006E50E2">
        <w:rPr>
          <w:rFonts w:ascii="Times New Roman" w:hAnsi="Times New Roman"/>
          <w:color w:val="000000"/>
          <w:sz w:val="22"/>
          <w:szCs w:val="22"/>
        </w:rPr>
        <w:t xml:space="preserve"> tis. eur) došlo k nárastu ich </w:t>
      </w:r>
      <w:r w:rsidR="004D50B5">
        <w:rPr>
          <w:rFonts w:ascii="Times New Roman" w:hAnsi="Times New Roman"/>
          <w:color w:val="000000"/>
          <w:sz w:val="22"/>
          <w:szCs w:val="22"/>
        </w:rPr>
        <w:t xml:space="preserve">hotovostného </w:t>
      </w:r>
      <w:r w:rsidRPr="006E50E2">
        <w:rPr>
          <w:rFonts w:ascii="Times New Roman" w:hAnsi="Times New Roman"/>
          <w:color w:val="000000"/>
          <w:sz w:val="22"/>
          <w:szCs w:val="22"/>
        </w:rPr>
        <w:t>výnosu o</w:t>
      </w:r>
      <w:r>
        <w:rPr>
          <w:rFonts w:ascii="Times New Roman" w:hAnsi="Times New Roman"/>
          <w:color w:val="000000"/>
          <w:sz w:val="22"/>
          <w:szCs w:val="22"/>
        </w:rPr>
        <w:t xml:space="preserve"> 827 055 </w:t>
      </w:r>
      <w:r w:rsidRPr="006E50E2">
        <w:rPr>
          <w:rFonts w:ascii="Times New Roman" w:hAnsi="Times New Roman"/>
          <w:color w:val="000000"/>
          <w:sz w:val="22"/>
          <w:szCs w:val="22"/>
        </w:rPr>
        <w:t xml:space="preserve">tis. eur, čo zodpovedá medziročnému rastu na úrovni </w:t>
      </w:r>
      <w:r>
        <w:rPr>
          <w:rFonts w:ascii="Times New Roman" w:hAnsi="Times New Roman"/>
          <w:color w:val="000000"/>
          <w:sz w:val="22"/>
          <w:szCs w:val="22"/>
        </w:rPr>
        <w:t>11</w:t>
      </w:r>
      <w:r w:rsidRPr="006E50E2">
        <w:rPr>
          <w:rFonts w:ascii="Times New Roman" w:hAnsi="Times New Roman"/>
          <w:color w:val="000000"/>
          <w:sz w:val="22"/>
          <w:szCs w:val="22"/>
        </w:rPr>
        <w:t>,</w:t>
      </w:r>
      <w:r>
        <w:rPr>
          <w:rFonts w:ascii="Times New Roman" w:hAnsi="Times New Roman"/>
          <w:color w:val="000000"/>
          <w:sz w:val="22"/>
          <w:szCs w:val="22"/>
        </w:rPr>
        <w:t>9</w:t>
      </w:r>
      <w:r w:rsidRPr="006E50E2">
        <w:rPr>
          <w:rFonts w:ascii="Times New Roman" w:hAnsi="Times New Roman"/>
          <w:color w:val="000000"/>
          <w:sz w:val="22"/>
          <w:szCs w:val="22"/>
        </w:rPr>
        <w:t xml:space="preserve"> %.</w:t>
      </w:r>
    </w:p>
    <w:p w:rsidR="003B7E74" w:rsidRPr="006E50E2" w:rsidP="003B7E74">
      <w:pPr>
        <w:bidi w:val="0"/>
        <w:spacing w:after="120" w:line="336" w:lineRule="auto"/>
        <w:jc w:val="both"/>
        <w:rPr>
          <w:rFonts w:ascii="Times New Roman" w:hAnsi="Times New Roman"/>
          <w:color w:val="000000"/>
          <w:sz w:val="22"/>
          <w:szCs w:val="22"/>
        </w:rPr>
      </w:pPr>
      <w:r w:rsidRPr="006E50E2">
        <w:rPr>
          <w:rFonts w:ascii="Times New Roman" w:hAnsi="Times New Roman"/>
          <w:b/>
          <w:i/>
          <w:color w:val="000000"/>
          <w:sz w:val="22"/>
          <w:szCs w:val="22"/>
        </w:rPr>
        <w:t>Daň z pridanej hodnoty</w:t>
      </w:r>
      <w:r w:rsidRPr="006E50E2">
        <w:rPr>
          <w:rFonts w:ascii="Times New Roman" w:hAnsi="Times New Roman"/>
          <w:b/>
          <w:color w:val="000000"/>
          <w:sz w:val="22"/>
          <w:szCs w:val="22"/>
        </w:rPr>
        <w:t xml:space="preserve"> </w:t>
      </w:r>
      <w:r w:rsidRPr="006E50E2">
        <w:rPr>
          <w:rFonts w:ascii="Times New Roman" w:hAnsi="Times New Roman"/>
          <w:color w:val="000000"/>
          <w:sz w:val="22"/>
          <w:szCs w:val="22"/>
        </w:rPr>
        <w:t xml:space="preserve">sa rozpočtovala sumou </w:t>
      </w:r>
      <w:r>
        <w:rPr>
          <w:rFonts w:ascii="Times New Roman" w:hAnsi="Times New Roman"/>
          <w:color w:val="000000"/>
          <w:sz w:val="22"/>
          <w:szCs w:val="22"/>
        </w:rPr>
        <w:t>5</w:t>
      </w:r>
      <w:r w:rsidRPr="006E50E2">
        <w:rPr>
          <w:rFonts w:ascii="Times New Roman" w:hAnsi="Times New Roman"/>
          <w:color w:val="000000"/>
          <w:sz w:val="22"/>
          <w:szCs w:val="22"/>
        </w:rPr>
        <w:t> </w:t>
      </w:r>
      <w:r>
        <w:rPr>
          <w:rFonts w:ascii="Times New Roman" w:hAnsi="Times New Roman"/>
          <w:color w:val="000000"/>
          <w:sz w:val="22"/>
          <w:szCs w:val="22"/>
        </w:rPr>
        <w:t>254</w:t>
      </w:r>
      <w:r w:rsidRPr="006E50E2">
        <w:rPr>
          <w:rFonts w:ascii="Times New Roman" w:hAnsi="Times New Roman"/>
          <w:color w:val="000000"/>
          <w:sz w:val="22"/>
          <w:szCs w:val="22"/>
        </w:rPr>
        <w:t> </w:t>
      </w:r>
      <w:r>
        <w:rPr>
          <w:rFonts w:ascii="Times New Roman" w:hAnsi="Times New Roman"/>
          <w:color w:val="000000"/>
          <w:sz w:val="22"/>
          <w:szCs w:val="22"/>
        </w:rPr>
        <w:t>631</w:t>
      </w:r>
      <w:r w:rsidRPr="006E50E2">
        <w:rPr>
          <w:rFonts w:ascii="Times New Roman" w:hAnsi="Times New Roman"/>
          <w:color w:val="000000"/>
          <w:sz w:val="22"/>
          <w:szCs w:val="22"/>
        </w:rPr>
        <w:t xml:space="preserve"> tis. eur a jej skutočný výber vo výške </w:t>
      </w:r>
      <w:r>
        <w:rPr>
          <w:rFonts w:ascii="Times New Roman" w:hAnsi="Times New Roman"/>
          <w:color w:val="000000"/>
          <w:sz w:val="22"/>
          <w:szCs w:val="22"/>
        </w:rPr>
        <w:t>5</w:t>
      </w:r>
      <w:r w:rsidRPr="006E50E2">
        <w:rPr>
          <w:rFonts w:ascii="Times New Roman" w:hAnsi="Times New Roman"/>
          <w:color w:val="000000"/>
          <w:sz w:val="22"/>
          <w:szCs w:val="22"/>
        </w:rPr>
        <w:t> </w:t>
      </w:r>
      <w:r>
        <w:rPr>
          <w:rFonts w:ascii="Times New Roman" w:hAnsi="Times New Roman"/>
          <w:color w:val="000000"/>
          <w:sz w:val="22"/>
          <w:szCs w:val="22"/>
        </w:rPr>
        <w:t>501</w:t>
      </w:r>
      <w:r w:rsidRPr="006E50E2">
        <w:rPr>
          <w:rFonts w:ascii="Times New Roman" w:hAnsi="Times New Roman"/>
          <w:color w:val="000000"/>
          <w:sz w:val="22"/>
          <w:szCs w:val="22"/>
        </w:rPr>
        <w:t> </w:t>
      </w:r>
      <w:r>
        <w:rPr>
          <w:rFonts w:ascii="Times New Roman" w:hAnsi="Times New Roman"/>
          <w:color w:val="000000"/>
          <w:sz w:val="22"/>
          <w:szCs w:val="22"/>
        </w:rPr>
        <w:t>499</w:t>
      </w:r>
      <w:r w:rsidRPr="006E50E2">
        <w:rPr>
          <w:rFonts w:ascii="Times New Roman" w:hAnsi="Times New Roman"/>
          <w:color w:val="000000"/>
          <w:sz w:val="22"/>
          <w:szCs w:val="22"/>
        </w:rPr>
        <w:t xml:space="preserve"> tis. eur predstavuj</w:t>
      </w:r>
      <w:r>
        <w:rPr>
          <w:rFonts w:ascii="Times New Roman" w:hAnsi="Times New Roman"/>
          <w:color w:val="000000"/>
          <w:sz w:val="22"/>
          <w:szCs w:val="22"/>
        </w:rPr>
        <w:t>e plnenie rozpočtu na úrovni 104</w:t>
      </w:r>
      <w:r w:rsidRPr="006E50E2">
        <w:rPr>
          <w:rFonts w:ascii="Times New Roman" w:hAnsi="Times New Roman"/>
          <w:color w:val="000000"/>
          <w:sz w:val="22"/>
          <w:szCs w:val="22"/>
        </w:rPr>
        <w:t>,</w:t>
      </w:r>
      <w:r w:rsidR="00C64710">
        <w:rPr>
          <w:rFonts w:ascii="Times New Roman" w:hAnsi="Times New Roman"/>
          <w:color w:val="000000"/>
          <w:sz w:val="22"/>
          <w:szCs w:val="22"/>
        </w:rPr>
        <w:t>7</w:t>
      </w:r>
      <w:r w:rsidRPr="006E50E2">
        <w:rPr>
          <w:rFonts w:ascii="Times New Roman" w:hAnsi="Times New Roman"/>
          <w:color w:val="000000"/>
          <w:sz w:val="22"/>
          <w:szCs w:val="22"/>
        </w:rPr>
        <w:t xml:space="preserve"> %. Skutočný výnos tejto dane </w:t>
      </w:r>
      <w:r>
        <w:rPr>
          <w:rFonts w:ascii="Times New Roman" w:hAnsi="Times New Roman"/>
          <w:color w:val="000000"/>
          <w:sz w:val="22"/>
          <w:szCs w:val="22"/>
        </w:rPr>
        <w:t xml:space="preserve">prekročil rozpočtovanú hodnotu </w:t>
      </w:r>
      <w:r w:rsidRPr="006E50E2">
        <w:rPr>
          <w:rFonts w:ascii="Times New Roman" w:hAnsi="Times New Roman"/>
          <w:color w:val="000000"/>
          <w:sz w:val="22"/>
          <w:szCs w:val="22"/>
        </w:rPr>
        <w:t>o </w:t>
      </w:r>
      <w:r>
        <w:rPr>
          <w:rFonts w:ascii="Times New Roman" w:hAnsi="Times New Roman"/>
          <w:color w:val="000000"/>
          <w:sz w:val="22"/>
          <w:szCs w:val="22"/>
        </w:rPr>
        <w:t>246</w:t>
      </w:r>
      <w:r w:rsidRPr="006E50E2">
        <w:rPr>
          <w:rFonts w:ascii="Times New Roman" w:hAnsi="Times New Roman"/>
          <w:color w:val="000000"/>
          <w:sz w:val="22"/>
          <w:szCs w:val="22"/>
        </w:rPr>
        <w:t> </w:t>
      </w:r>
      <w:r>
        <w:rPr>
          <w:rFonts w:ascii="Times New Roman" w:hAnsi="Times New Roman"/>
          <w:color w:val="000000"/>
          <w:sz w:val="22"/>
          <w:szCs w:val="22"/>
        </w:rPr>
        <w:t>868</w:t>
      </w:r>
      <w:r w:rsidRPr="006E50E2">
        <w:rPr>
          <w:rFonts w:ascii="Times New Roman" w:hAnsi="Times New Roman"/>
          <w:color w:val="000000"/>
          <w:sz w:val="22"/>
          <w:szCs w:val="22"/>
        </w:rPr>
        <w:t xml:space="preserve"> tis. eur a v porovnaní s výnosom v roku 201</w:t>
      </w:r>
      <w:r>
        <w:rPr>
          <w:rFonts w:ascii="Times New Roman" w:hAnsi="Times New Roman"/>
          <w:color w:val="000000"/>
          <w:sz w:val="22"/>
          <w:szCs w:val="22"/>
        </w:rPr>
        <w:t>4</w:t>
      </w:r>
      <w:r w:rsidRPr="006E50E2">
        <w:rPr>
          <w:rFonts w:ascii="Times New Roman" w:hAnsi="Times New Roman"/>
          <w:color w:val="000000"/>
          <w:sz w:val="22"/>
          <w:szCs w:val="22"/>
        </w:rPr>
        <w:t xml:space="preserve"> bol vyšší o </w:t>
      </w:r>
      <w:r>
        <w:rPr>
          <w:rFonts w:ascii="Times New Roman" w:hAnsi="Times New Roman"/>
          <w:color w:val="000000"/>
          <w:sz w:val="22"/>
          <w:szCs w:val="22"/>
        </w:rPr>
        <w:t>598</w:t>
      </w:r>
      <w:r w:rsidRPr="006E50E2">
        <w:rPr>
          <w:rFonts w:ascii="Times New Roman" w:hAnsi="Times New Roman"/>
          <w:color w:val="000000"/>
          <w:sz w:val="22"/>
          <w:szCs w:val="22"/>
        </w:rPr>
        <w:t> </w:t>
      </w:r>
      <w:r>
        <w:rPr>
          <w:rFonts w:ascii="Times New Roman" w:hAnsi="Times New Roman"/>
          <w:color w:val="000000"/>
          <w:sz w:val="22"/>
          <w:szCs w:val="22"/>
        </w:rPr>
        <w:t>686</w:t>
      </w:r>
      <w:r w:rsidRPr="006E50E2">
        <w:rPr>
          <w:rFonts w:ascii="Times New Roman" w:hAnsi="Times New Roman"/>
          <w:color w:val="000000"/>
          <w:sz w:val="22"/>
          <w:szCs w:val="22"/>
        </w:rPr>
        <w:t xml:space="preserve"> tis. eur, t.j. o</w:t>
      </w:r>
      <w:r>
        <w:rPr>
          <w:rFonts w:ascii="Times New Roman" w:hAnsi="Times New Roman"/>
          <w:color w:val="000000"/>
          <w:sz w:val="22"/>
          <w:szCs w:val="22"/>
        </w:rPr>
        <w:t> 12,2</w:t>
      </w:r>
      <w:r w:rsidRPr="006E50E2">
        <w:rPr>
          <w:rFonts w:ascii="Times New Roman" w:hAnsi="Times New Roman"/>
          <w:color w:val="000000"/>
          <w:sz w:val="22"/>
          <w:szCs w:val="22"/>
        </w:rPr>
        <w:t xml:space="preserve"> %.</w:t>
      </w:r>
    </w:p>
    <w:p w:rsidR="003B7E74" w:rsidRPr="003A5994" w:rsidP="003B7E74">
      <w:pPr>
        <w:bidi w:val="0"/>
        <w:spacing w:after="120" w:line="336" w:lineRule="auto"/>
        <w:jc w:val="both"/>
        <w:rPr>
          <w:rFonts w:ascii="Times New Roman" w:hAnsi="Times New Roman"/>
          <w:sz w:val="22"/>
          <w:szCs w:val="22"/>
        </w:rPr>
      </w:pPr>
      <w:r w:rsidRPr="006B2518">
        <w:rPr>
          <w:rFonts w:ascii="Times New Roman" w:hAnsi="Times New Roman"/>
          <w:color w:val="000000"/>
          <w:sz w:val="22"/>
          <w:szCs w:val="22"/>
        </w:rPr>
        <w:t>Rozpočtovaný hotovostný výnos DPH na rok 2015 zahŕňal aj očakávané zvýšenie príjmov ŠR na DPH o 100 000 tis. eur, ktoré bolo prijaté v súvislosti so zavedením opatrení na boj proti daňovým únikom</w:t>
      </w:r>
      <w:r w:rsidRPr="003A5994">
        <w:rPr>
          <w:rFonts w:ascii="Times New Roman" w:hAnsi="Times New Roman"/>
          <w:color w:val="000000"/>
          <w:sz w:val="22"/>
          <w:szCs w:val="22"/>
        </w:rPr>
        <w:t>.</w:t>
      </w:r>
      <w:r w:rsidRPr="003A5994" w:rsidR="00180FB9">
        <w:rPr>
          <w:rFonts w:ascii="Times New Roman" w:hAnsi="Times New Roman"/>
          <w:color w:val="000000"/>
          <w:sz w:val="22"/>
          <w:szCs w:val="22"/>
        </w:rPr>
        <w:t xml:space="preserve"> </w:t>
      </w:r>
      <w:r w:rsidRPr="003A5994" w:rsidR="003A5994">
        <w:rPr>
          <w:rFonts w:ascii="Times New Roman" w:hAnsi="Times New Roman"/>
          <w:color w:val="000000"/>
          <w:sz w:val="22"/>
          <w:szCs w:val="22"/>
        </w:rPr>
        <w:t>Vyšší ako rozpočtovaný výnos DPH je výsledkom</w:t>
      </w:r>
      <w:r w:rsidR="000F1A27">
        <w:rPr>
          <w:rFonts w:ascii="Times New Roman" w:hAnsi="Times New Roman"/>
          <w:color w:val="000000"/>
          <w:sz w:val="22"/>
          <w:szCs w:val="22"/>
        </w:rPr>
        <w:t xml:space="preserve"> lepšieho ekonomického vývoja a </w:t>
      </w:r>
      <w:r w:rsidRPr="003A5994" w:rsidR="003A5994">
        <w:rPr>
          <w:rFonts w:ascii="Times New Roman" w:hAnsi="Times New Roman"/>
          <w:color w:val="000000"/>
          <w:sz w:val="22"/>
          <w:szCs w:val="22"/>
        </w:rPr>
        <w:t>vyššej efektivity výberu dane</w:t>
      </w:r>
      <w:r w:rsidRPr="003A5994" w:rsidR="003A5994">
        <w:rPr>
          <w:rFonts w:ascii="Times New Roman" w:hAnsi="Times New Roman"/>
          <w:sz w:val="22"/>
          <w:szCs w:val="22"/>
        </w:rPr>
        <w:t>.</w:t>
      </w:r>
    </w:p>
    <w:p w:rsidR="003B7E74" w:rsidRPr="000F1A27" w:rsidP="003B7E74">
      <w:pPr>
        <w:bidi w:val="0"/>
        <w:spacing w:after="120" w:line="336" w:lineRule="auto"/>
        <w:jc w:val="both"/>
        <w:rPr>
          <w:rFonts w:ascii="Times New Roman" w:hAnsi="Times New Roman"/>
          <w:sz w:val="22"/>
          <w:szCs w:val="22"/>
        </w:rPr>
      </w:pPr>
      <w:r w:rsidRPr="006E50E2">
        <w:rPr>
          <w:rFonts w:ascii="Times New Roman" w:hAnsi="Times New Roman"/>
          <w:b/>
          <w:i/>
          <w:color w:val="000000"/>
          <w:sz w:val="22"/>
          <w:szCs w:val="22"/>
        </w:rPr>
        <w:t>Spotrebné dane</w:t>
      </w:r>
      <w:r>
        <w:rPr>
          <w:rFonts w:ascii="Times New Roman" w:hAnsi="Times New Roman"/>
          <w:color w:val="000000"/>
          <w:sz w:val="22"/>
          <w:szCs w:val="22"/>
        </w:rPr>
        <w:t xml:space="preserve"> sa rozpočtovali sumou 2 090 987</w:t>
      </w:r>
      <w:r w:rsidRPr="006E50E2">
        <w:rPr>
          <w:rFonts w:ascii="Times New Roman" w:hAnsi="Times New Roman"/>
          <w:color w:val="000000"/>
          <w:sz w:val="22"/>
          <w:szCs w:val="22"/>
        </w:rPr>
        <w:t xml:space="preserve"> tis. eur. Skutočný výnos bol </w:t>
      </w:r>
      <w:r>
        <w:rPr>
          <w:rFonts w:ascii="Times New Roman" w:hAnsi="Times New Roman"/>
          <w:color w:val="000000"/>
          <w:sz w:val="22"/>
          <w:szCs w:val="22"/>
        </w:rPr>
        <w:t xml:space="preserve">len </w:t>
      </w:r>
      <w:r w:rsidRPr="006E50E2">
        <w:rPr>
          <w:rFonts w:ascii="Times New Roman" w:hAnsi="Times New Roman"/>
          <w:color w:val="000000"/>
          <w:sz w:val="22"/>
          <w:szCs w:val="22"/>
        </w:rPr>
        <w:t>o </w:t>
      </w:r>
      <w:r>
        <w:rPr>
          <w:rFonts w:ascii="Times New Roman" w:hAnsi="Times New Roman"/>
          <w:color w:val="000000"/>
          <w:sz w:val="22"/>
          <w:szCs w:val="22"/>
        </w:rPr>
        <w:t>5</w:t>
      </w:r>
      <w:r w:rsidRPr="006E50E2">
        <w:rPr>
          <w:rFonts w:ascii="Times New Roman" w:hAnsi="Times New Roman"/>
          <w:color w:val="000000"/>
          <w:sz w:val="22"/>
          <w:szCs w:val="22"/>
        </w:rPr>
        <w:t> </w:t>
      </w:r>
      <w:r w:rsidR="00180FB9">
        <w:rPr>
          <w:rFonts w:ascii="Times New Roman" w:hAnsi="Times New Roman"/>
          <w:color w:val="000000"/>
          <w:sz w:val="22"/>
          <w:szCs w:val="22"/>
        </w:rPr>
        <w:t>613 </w:t>
      </w:r>
      <w:r w:rsidRPr="006E50E2">
        <w:rPr>
          <w:rFonts w:ascii="Times New Roman" w:hAnsi="Times New Roman"/>
          <w:color w:val="000000"/>
          <w:sz w:val="22"/>
          <w:szCs w:val="22"/>
        </w:rPr>
        <w:t>tis. eur vyšší a dosiahol 2 0</w:t>
      </w:r>
      <w:r>
        <w:rPr>
          <w:rFonts w:ascii="Times New Roman" w:hAnsi="Times New Roman"/>
          <w:color w:val="000000"/>
          <w:sz w:val="22"/>
          <w:szCs w:val="22"/>
        </w:rPr>
        <w:t>96</w:t>
      </w:r>
      <w:r w:rsidRPr="006E50E2">
        <w:rPr>
          <w:rFonts w:ascii="Times New Roman" w:hAnsi="Times New Roman"/>
          <w:color w:val="000000"/>
          <w:sz w:val="22"/>
          <w:szCs w:val="22"/>
        </w:rPr>
        <w:t> </w:t>
      </w:r>
      <w:r>
        <w:rPr>
          <w:rFonts w:ascii="Times New Roman" w:hAnsi="Times New Roman"/>
          <w:color w:val="000000"/>
          <w:sz w:val="22"/>
          <w:szCs w:val="22"/>
        </w:rPr>
        <w:t>600</w:t>
      </w:r>
      <w:r w:rsidRPr="006E50E2">
        <w:rPr>
          <w:rFonts w:ascii="Times New Roman" w:hAnsi="Times New Roman"/>
          <w:color w:val="000000"/>
          <w:sz w:val="22"/>
          <w:szCs w:val="22"/>
        </w:rPr>
        <w:t xml:space="preserve"> tis. eur, čo znamená plnenie rozpočtu na úrovni </w:t>
      </w:r>
      <w:r>
        <w:rPr>
          <w:rFonts w:ascii="Times New Roman" w:hAnsi="Times New Roman"/>
          <w:color w:val="000000"/>
          <w:sz w:val="22"/>
          <w:szCs w:val="22"/>
        </w:rPr>
        <w:t>100</w:t>
      </w:r>
      <w:r w:rsidRPr="006E50E2">
        <w:rPr>
          <w:rFonts w:ascii="Times New Roman" w:hAnsi="Times New Roman"/>
          <w:color w:val="000000"/>
          <w:sz w:val="22"/>
          <w:szCs w:val="22"/>
        </w:rPr>
        <w:t>,</w:t>
      </w:r>
      <w:r>
        <w:rPr>
          <w:rFonts w:ascii="Times New Roman" w:hAnsi="Times New Roman"/>
          <w:color w:val="000000"/>
          <w:sz w:val="22"/>
          <w:szCs w:val="22"/>
        </w:rPr>
        <w:t>2</w:t>
      </w:r>
      <w:r w:rsidRPr="006E50E2">
        <w:rPr>
          <w:rFonts w:ascii="Times New Roman" w:hAnsi="Times New Roman"/>
          <w:color w:val="000000"/>
          <w:sz w:val="22"/>
          <w:szCs w:val="22"/>
        </w:rPr>
        <w:t xml:space="preserve"> %. V porovnaní s rokom 201</w:t>
      </w:r>
      <w:r>
        <w:rPr>
          <w:rFonts w:ascii="Times New Roman" w:hAnsi="Times New Roman"/>
          <w:color w:val="000000"/>
          <w:sz w:val="22"/>
          <w:szCs w:val="22"/>
        </w:rPr>
        <w:t>4</w:t>
      </w:r>
      <w:r w:rsidRPr="006E50E2">
        <w:rPr>
          <w:rFonts w:ascii="Times New Roman" w:hAnsi="Times New Roman"/>
          <w:color w:val="000000"/>
          <w:sz w:val="22"/>
          <w:szCs w:val="22"/>
        </w:rPr>
        <w:t xml:space="preserve"> bol výnos spotrebných daní </w:t>
      </w:r>
      <w:r w:rsidR="003A5994">
        <w:rPr>
          <w:rFonts w:ascii="Times New Roman" w:hAnsi="Times New Roman"/>
          <w:color w:val="000000"/>
          <w:sz w:val="22"/>
          <w:szCs w:val="22"/>
        </w:rPr>
        <w:t xml:space="preserve">vplyvom lepšieho ekonomického vývoja a vyššej efektivity výberu </w:t>
      </w:r>
      <w:r w:rsidRPr="006E50E2">
        <w:rPr>
          <w:rFonts w:ascii="Times New Roman" w:hAnsi="Times New Roman"/>
          <w:color w:val="000000"/>
          <w:sz w:val="22"/>
          <w:szCs w:val="22"/>
        </w:rPr>
        <w:t>vyšší o</w:t>
      </w:r>
      <w:r w:rsidR="000F1A27">
        <w:rPr>
          <w:rFonts w:ascii="Times New Roman" w:hAnsi="Times New Roman"/>
          <w:color w:val="000000"/>
          <w:sz w:val="22"/>
          <w:szCs w:val="22"/>
        </w:rPr>
        <w:t> </w:t>
      </w:r>
      <w:r>
        <w:rPr>
          <w:rFonts w:ascii="Times New Roman" w:hAnsi="Times New Roman"/>
          <w:color w:val="000000"/>
          <w:sz w:val="22"/>
          <w:szCs w:val="22"/>
        </w:rPr>
        <w:t>87</w:t>
      </w:r>
      <w:r w:rsidR="000F1A27">
        <w:rPr>
          <w:rFonts w:ascii="Times New Roman" w:hAnsi="Times New Roman"/>
          <w:color w:val="000000"/>
          <w:sz w:val="22"/>
          <w:szCs w:val="22"/>
        </w:rPr>
        <w:t> </w:t>
      </w:r>
      <w:r>
        <w:rPr>
          <w:rFonts w:ascii="Times New Roman" w:hAnsi="Times New Roman"/>
          <w:color w:val="000000"/>
          <w:sz w:val="22"/>
          <w:szCs w:val="22"/>
        </w:rPr>
        <w:t>273</w:t>
      </w:r>
      <w:r w:rsidR="000F1A27">
        <w:rPr>
          <w:rFonts w:ascii="Times New Roman" w:hAnsi="Times New Roman"/>
          <w:color w:val="000000"/>
          <w:sz w:val="22"/>
          <w:szCs w:val="22"/>
        </w:rPr>
        <w:t> tis. </w:t>
      </w:r>
      <w:r w:rsidRPr="006E50E2">
        <w:rPr>
          <w:rFonts w:ascii="Times New Roman" w:hAnsi="Times New Roman"/>
          <w:color w:val="000000"/>
          <w:sz w:val="22"/>
          <w:szCs w:val="22"/>
        </w:rPr>
        <w:t>eur, t.j. o </w:t>
      </w:r>
      <w:r>
        <w:rPr>
          <w:rFonts w:ascii="Times New Roman" w:hAnsi="Times New Roman"/>
          <w:color w:val="000000"/>
          <w:sz w:val="22"/>
          <w:szCs w:val="22"/>
        </w:rPr>
        <w:t>4</w:t>
      </w:r>
      <w:r w:rsidRPr="006E50E2">
        <w:rPr>
          <w:rFonts w:ascii="Times New Roman" w:hAnsi="Times New Roman"/>
          <w:color w:val="000000"/>
          <w:sz w:val="22"/>
          <w:szCs w:val="22"/>
        </w:rPr>
        <w:t>,</w:t>
      </w:r>
      <w:r>
        <w:rPr>
          <w:rFonts w:ascii="Times New Roman" w:hAnsi="Times New Roman"/>
          <w:color w:val="000000"/>
          <w:sz w:val="22"/>
          <w:szCs w:val="22"/>
        </w:rPr>
        <w:t>3</w:t>
      </w:r>
      <w:r w:rsidR="003A5994">
        <w:rPr>
          <w:rFonts w:ascii="Times New Roman" w:hAnsi="Times New Roman"/>
          <w:color w:val="000000"/>
          <w:sz w:val="22"/>
          <w:szCs w:val="22"/>
        </w:rPr>
        <w:t> %.</w:t>
      </w:r>
    </w:p>
    <w:p w:rsidR="003B7E74" w:rsidRPr="006E50E2" w:rsidP="003B7E74">
      <w:pPr>
        <w:bidi w:val="0"/>
        <w:spacing w:after="120" w:line="336" w:lineRule="auto"/>
        <w:jc w:val="both"/>
        <w:rPr>
          <w:rFonts w:ascii="Times New Roman" w:hAnsi="Times New Roman"/>
          <w:color w:val="000000"/>
          <w:sz w:val="22"/>
          <w:szCs w:val="22"/>
        </w:rPr>
      </w:pPr>
      <w:r w:rsidRPr="006E50E2">
        <w:rPr>
          <w:rFonts w:ascii="Times New Roman" w:hAnsi="Times New Roman"/>
          <w:b/>
          <w:i/>
          <w:color w:val="000000"/>
          <w:sz w:val="22"/>
          <w:szCs w:val="22"/>
        </w:rPr>
        <w:t>Dane z používania tovarov a</w:t>
      </w:r>
      <w:r>
        <w:rPr>
          <w:rFonts w:ascii="Times New Roman" w:hAnsi="Times New Roman"/>
          <w:b/>
          <w:i/>
          <w:color w:val="000000"/>
          <w:sz w:val="22"/>
          <w:szCs w:val="22"/>
        </w:rPr>
        <w:t xml:space="preserve"> </w:t>
      </w:r>
      <w:r w:rsidRPr="006E50E2">
        <w:rPr>
          <w:rFonts w:ascii="Times New Roman" w:hAnsi="Times New Roman"/>
          <w:b/>
          <w:i/>
          <w:color w:val="000000"/>
          <w:sz w:val="22"/>
          <w:szCs w:val="22"/>
        </w:rPr>
        <w:t xml:space="preserve">z povolenia na výkon činnosti </w:t>
      </w:r>
      <w:r w:rsidRPr="006E50E2">
        <w:rPr>
          <w:rFonts w:ascii="Times New Roman" w:hAnsi="Times New Roman"/>
          <w:color w:val="000000"/>
          <w:sz w:val="22"/>
          <w:szCs w:val="22"/>
        </w:rPr>
        <w:t xml:space="preserve">boli </w:t>
      </w:r>
      <w:r>
        <w:rPr>
          <w:rFonts w:ascii="Times New Roman" w:hAnsi="Times New Roman"/>
          <w:color w:val="000000"/>
          <w:sz w:val="22"/>
          <w:szCs w:val="22"/>
        </w:rPr>
        <w:t>rozpočtované vo výške 150 666 tis. </w:t>
      </w:r>
      <w:r w:rsidRPr="006E50E2">
        <w:rPr>
          <w:rFonts w:ascii="Times New Roman" w:hAnsi="Times New Roman"/>
          <w:color w:val="000000"/>
          <w:sz w:val="22"/>
          <w:szCs w:val="22"/>
        </w:rPr>
        <w:t>eur. V skutočnosti dosiahol výnos daní z</w:t>
      </w:r>
      <w:r>
        <w:rPr>
          <w:rFonts w:ascii="Times New Roman" w:hAnsi="Times New Roman"/>
          <w:color w:val="000000"/>
          <w:sz w:val="22"/>
          <w:szCs w:val="22"/>
        </w:rPr>
        <w:t xml:space="preserve"> </w:t>
      </w:r>
      <w:r w:rsidRPr="006E50E2">
        <w:rPr>
          <w:rFonts w:ascii="Times New Roman" w:hAnsi="Times New Roman"/>
          <w:color w:val="000000"/>
          <w:sz w:val="22"/>
          <w:szCs w:val="22"/>
        </w:rPr>
        <w:t>používania tovarov a</w:t>
      </w:r>
      <w:r>
        <w:rPr>
          <w:rFonts w:ascii="Times New Roman" w:hAnsi="Times New Roman"/>
          <w:color w:val="000000"/>
          <w:sz w:val="22"/>
          <w:szCs w:val="22"/>
        </w:rPr>
        <w:t xml:space="preserve"> </w:t>
      </w:r>
      <w:r w:rsidRPr="006E50E2">
        <w:rPr>
          <w:rFonts w:ascii="Times New Roman" w:hAnsi="Times New Roman"/>
          <w:color w:val="000000"/>
          <w:sz w:val="22"/>
          <w:szCs w:val="22"/>
        </w:rPr>
        <w:t xml:space="preserve">povolenia na výkon činnosti hodnotu </w:t>
      </w:r>
      <w:r>
        <w:rPr>
          <w:rFonts w:ascii="Times New Roman" w:hAnsi="Times New Roman"/>
          <w:color w:val="000000"/>
          <w:sz w:val="22"/>
          <w:szCs w:val="22"/>
        </w:rPr>
        <w:t>141 173</w:t>
      </w:r>
      <w:r w:rsidRPr="006E50E2">
        <w:rPr>
          <w:rFonts w:ascii="Times New Roman" w:hAnsi="Times New Roman"/>
          <w:color w:val="000000"/>
          <w:sz w:val="22"/>
          <w:szCs w:val="22"/>
        </w:rPr>
        <w:t xml:space="preserve"> tis. eur</w:t>
      </w:r>
      <w:r>
        <w:rPr>
          <w:rFonts w:ascii="Times New Roman" w:hAnsi="Times New Roman"/>
          <w:color w:val="000000"/>
          <w:sz w:val="22"/>
          <w:szCs w:val="22"/>
        </w:rPr>
        <w:t>.</w:t>
      </w:r>
      <w:r w:rsidRPr="006E50E2">
        <w:rPr>
          <w:rFonts w:ascii="Times New Roman" w:hAnsi="Times New Roman"/>
          <w:color w:val="000000"/>
          <w:sz w:val="22"/>
          <w:szCs w:val="22"/>
        </w:rPr>
        <w:t xml:space="preserve"> </w:t>
      </w:r>
      <w:r>
        <w:rPr>
          <w:rFonts w:ascii="Times New Roman" w:hAnsi="Times New Roman"/>
          <w:color w:val="000000"/>
          <w:sz w:val="22"/>
          <w:szCs w:val="22"/>
        </w:rPr>
        <w:t>Medziročný rozdiel</w:t>
      </w:r>
      <w:r w:rsidR="005F26CE">
        <w:rPr>
          <w:rFonts w:ascii="Times New Roman" w:hAnsi="Times New Roman"/>
          <w:color w:val="000000"/>
          <w:sz w:val="22"/>
          <w:szCs w:val="22"/>
        </w:rPr>
        <w:t xml:space="preserve"> skutočnosti</w:t>
      </w:r>
      <w:r>
        <w:rPr>
          <w:rFonts w:ascii="Times New Roman" w:hAnsi="Times New Roman"/>
          <w:color w:val="000000"/>
          <w:sz w:val="22"/>
          <w:szCs w:val="22"/>
        </w:rPr>
        <w:t xml:space="preserve">, ktorý predstavoval sumu 141 096 tis. eur bol spôsobený prechodom správy dane z motorových vozidiel od </w:t>
      </w:r>
      <w:r w:rsidR="00861638">
        <w:rPr>
          <w:rFonts w:ascii="Times New Roman" w:hAnsi="Times New Roman"/>
          <w:color w:val="000000"/>
          <w:sz w:val="22"/>
          <w:szCs w:val="22"/>
        </w:rPr>
        <w:t>vyšších územných celkov</w:t>
      </w:r>
      <w:r>
        <w:rPr>
          <w:rFonts w:ascii="Times New Roman" w:hAnsi="Times New Roman"/>
          <w:color w:val="000000"/>
          <w:sz w:val="22"/>
          <w:szCs w:val="22"/>
        </w:rPr>
        <w:t xml:space="preserve"> pod štátn</w:t>
      </w:r>
      <w:r w:rsidR="00861638">
        <w:rPr>
          <w:rFonts w:ascii="Times New Roman" w:hAnsi="Times New Roman"/>
          <w:color w:val="000000"/>
          <w:sz w:val="22"/>
          <w:szCs w:val="22"/>
        </w:rPr>
        <w:t>y</w:t>
      </w:r>
      <w:r>
        <w:rPr>
          <w:rFonts w:ascii="Times New Roman" w:hAnsi="Times New Roman"/>
          <w:color w:val="000000"/>
          <w:sz w:val="22"/>
          <w:szCs w:val="22"/>
        </w:rPr>
        <w:t xml:space="preserve"> </w:t>
      </w:r>
      <w:r w:rsidR="00861638">
        <w:rPr>
          <w:rFonts w:ascii="Times New Roman" w:hAnsi="Times New Roman"/>
          <w:color w:val="000000"/>
          <w:sz w:val="22"/>
          <w:szCs w:val="22"/>
        </w:rPr>
        <w:t>rozpočet, a to</w:t>
      </w:r>
      <w:r>
        <w:rPr>
          <w:rFonts w:ascii="Times New Roman" w:hAnsi="Times New Roman"/>
          <w:color w:val="000000"/>
          <w:sz w:val="22"/>
          <w:szCs w:val="22"/>
        </w:rPr>
        <w:t xml:space="preserve"> od 1. januára 2015. Súčasťou dane z motorových vozidiel bol aj výnos z dobiehajúcej cestnej dane </w:t>
      </w:r>
      <w:r w:rsidR="00861638">
        <w:rPr>
          <w:rFonts w:ascii="Times New Roman" w:hAnsi="Times New Roman"/>
          <w:color w:val="000000"/>
          <w:sz w:val="22"/>
          <w:szCs w:val="22"/>
        </w:rPr>
        <w:t>(</w:t>
      </w:r>
      <w:r>
        <w:rPr>
          <w:rFonts w:ascii="Times New Roman" w:hAnsi="Times New Roman"/>
          <w:color w:val="000000"/>
          <w:sz w:val="22"/>
          <w:szCs w:val="22"/>
        </w:rPr>
        <w:t>18 tis. eur</w:t>
      </w:r>
      <w:r w:rsidR="00861638">
        <w:rPr>
          <w:rFonts w:ascii="Times New Roman" w:hAnsi="Times New Roman"/>
          <w:color w:val="000000"/>
          <w:sz w:val="22"/>
          <w:szCs w:val="22"/>
        </w:rPr>
        <w:t>)</w:t>
      </w:r>
      <w:r>
        <w:rPr>
          <w:rFonts w:ascii="Times New Roman" w:hAnsi="Times New Roman"/>
          <w:color w:val="000000"/>
          <w:sz w:val="22"/>
          <w:szCs w:val="22"/>
        </w:rPr>
        <w:t>. D</w:t>
      </w:r>
      <w:r w:rsidRPr="006E50E2">
        <w:rPr>
          <w:rFonts w:ascii="Times New Roman" w:hAnsi="Times New Roman"/>
          <w:color w:val="000000"/>
          <w:sz w:val="22"/>
          <w:szCs w:val="22"/>
        </w:rPr>
        <w:t xml:space="preserve">aň z úhrad za dobývací priestor </w:t>
      </w:r>
      <w:r>
        <w:rPr>
          <w:rFonts w:ascii="Times New Roman" w:hAnsi="Times New Roman"/>
          <w:color w:val="000000"/>
          <w:sz w:val="22"/>
          <w:szCs w:val="22"/>
        </w:rPr>
        <w:t xml:space="preserve">tvorila </w:t>
      </w:r>
      <w:r w:rsidRPr="006E50E2">
        <w:rPr>
          <w:rFonts w:ascii="Times New Roman" w:hAnsi="Times New Roman"/>
          <w:color w:val="000000"/>
          <w:sz w:val="22"/>
          <w:szCs w:val="22"/>
        </w:rPr>
        <w:t>9</w:t>
      </w:r>
      <w:r>
        <w:rPr>
          <w:rFonts w:ascii="Times New Roman" w:hAnsi="Times New Roman"/>
          <w:color w:val="000000"/>
          <w:sz w:val="22"/>
          <w:szCs w:val="22"/>
        </w:rPr>
        <w:t>8</w:t>
      </w:r>
      <w:r w:rsidRPr="006E50E2">
        <w:rPr>
          <w:rFonts w:ascii="Times New Roman" w:hAnsi="Times New Roman"/>
          <w:color w:val="000000"/>
          <w:sz w:val="22"/>
          <w:szCs w:val="22"/>
        </w:rPr>
        <w:t xml:space="preserve"> tis. eur</w:t>
      </w:r>
      <w:r>
        <w:rPr>
          <w:rFonts w:ascii="Times New Roman" w:hAnsi="Times New Roman"/>
          <w:color w:val="000000"/>
          <w:sz w:val="22"/>
          <w:szCs w:val="22"/>
        </w:rPr>
        <w:t xml:space="preserve">. </w:t>
      </w:r>
    </w:p>
    <w:p w:rsidR="003B7E74" w:rsidP="003B7E74">
      <w:pPr>
        <w:numPr>
          <w:numId w:val="15"/>
        </w:numPr>
        <w:tabs>
          <w:tab w:val="left" w:pos="284"/>
        </w:tabs>
        <w:bidi w:val="0"/>
        <w:spacing w:after="120" w:line="336" w:lineRule="auto"/>
        <w:ind w:left="0" w:firstLine="0"/>
        <w:jc w:val="both"/>
        <w:rPr>
          <w:rFonts w:ascii="Times New Roman" w:hAnsi="Times New Roman"/>
          <w:color w:val="000000"/>
          <w:sz w:val="22"/>
          <w:szCs w:val="22"/>
        </w:rPr>
      </w:pPr>
      <w:r w:rsidRPr="006E50E2">
        <w:rPr>
          <w:rFonts w:ascii="Times New Roman" w:hAnsi="Times New Roman"/>
          <w:b/>
          <w:color w:val="000000"/>
          <w:sz w:val="22"/>
          <w:szCs w:val="22"/>
        </w:rPr>
        <w:t>Dane z príjmov a kapitálového majetku</w:t>
      </w:r>
      <w:r w:rsidRPr="006E50E2">
        <w:rPr>
          <w:rFonts w:ascii="Times New Roman" w:hAnsi="Times New Roman"/>
          <w:color w:val="000000"/>
          <w:sz w:val="22"/>
          <w:szCs w:val="22"/>
        </w:rPr>
        <w:t xml:space="preserve"> sa rozpočtovali sumou </w:t>
      </w:r>
      <w:r>
        <w:rPr>
          <w:rFonts w:ascii="Times New Roman" w:hAnsi="Times New Roman"/>
          <w:color w:val="000000"/>
          <w:sz w:val="22"/>
          <w:szCs w:val="22"/>
        </w:rPr>
        <w:t>2</w:t>
      </w:r>
      <w:r w:rsidRPr="006E50E2">
        <w:rPr>
          <w:rFonts w:ascii="Times New Roman" w:hAnsi="Times New Roman"/>
          <w:color w:val="000000"/>
          <w:sz w:val="22"/>
          <w:szCs w:val="22"/>
        </w:rPr>
        <w:t> </w:t>
      </w:r>
      <w:r>
        <w:rPr>
          <w:rFonts w:ascii="Times New Roman" w:hAnsi="Times New Roman"/>
          <w:color w:val="000000"/>
          <w:sz w:val="22"/>
          <w:szCs w:val="22"/>
        </w:rPr>
        <w:t>491</w:t>
      </w:r>
      <w:r w:rsidRPr="006E50E2">
        <w:rPr>
          <w:rFonts w:ascii="Times New Roman" w:hAnsi="Times New Roman"/>
          <w:color w:val="000000"/>
          <w:sz w:val="22"/>
          <w:szCs w:val="22"/>
        </w:rPr>
        <w:t xml:space="preserve"> </w:t>
      </w:r>
      <w:r>
        <w:rPr>
          <w:rFonts w:ascii="Times New Roman" w:hAnsi="Times New Roman"/>
          <w:color w:val="000000"/>
          <w:sz w:val="22"/>
          <w:szCs w:val="22"/>
        </w:rPr>
        <w:t>141</w:t>
      </w:r>
      <w:r w:rsidRPr="006E50E2">
        <w:rPr>
          <w:rFonts w:ascii="Times New Roman" w:hAnsi="Times New Roman"/>
          <w:color w:val="000000"/>
          <w:sz w:val="22"/>
          <w:szCs w:val="22"/>
        </w:rPr>
        <w:t> tis. eur, skutočný výnos dosiahol 2 </w:t>
      </w:r>
      <w:r>
        <w:rPr>
          <w:rFonts w:ascii="Times New Roman" w:hAnsi="Times New Roman"/>
          <w:color w:val="000000"/>
          <w:sz w:val="22"/>
          <w:szCs w:val="22"/>
        </w:rPr>
        <w:t>826</w:t>
      </w:r>
      <w:r w:rsidRPr="006E50E2">
        <w:rPr>
          <w:rFonts w:ascii="Times New Roman" w:hAnsi="Times New Roman"/>
          <w:color w:val="000000"/>
          <w:sz w:val="22"/>
          <w:szCs w:val="22"/>
        </w:rPr>
        <w:t xml:space="preserve"> </w:t>
      </w:r>
      <w:r>
        <w:rPr>
          <w:rFonts w:ascii="Times New Roman" w:hAnsi="Times New Roman"/>
          <w:color w:val="000000"/>
          <w:sz w:val="22"/>
          <w:szCs w:val="22"/>
        </w:rPr>
        <w:t>349</w:t>
      </w:r>
      <w:r w:rsidRPr="006E50E2">
        <w:rPr>
          <w:rFonts w:ascii="Times New Roman" w:hAnsi="Times New Roman"/>
          <w:color w:val="000000"/>
          <w:sz w:val="22"/>
          <w:szCs w:val="22"/>
        </w:rPr>
        <w:t xml:space="preserve"> tis. eur, resp. </w:t>
      </w:r>
      <w:r w:rsidRPr="006B2518">
        <w:rPr>
          <w:rFonts w:ascii="Times New Roman" w:hAnsi="Times New Roman"/>
          <w:color w:val="000000"/>
          <w:sz w:val="22"/>
          <w:szCs w:val="22"/>
        </w:rPr>
        <w:t>2 829 825 tis. eur po premietn</w:t>
      </w:r>
      <w:r w:rsidR="000F1A27">
        <w:rPr>
          <w:rFonts w:ascii="Times New Roman" w:hAnsi="Times New Roman"/>
          <w:color w:val="000000"/>
          <w:sz w:val="22"/>
          <w:szCs w:val="22"/>
        </w:rPr>
        <w:t xml:space="preserve">utí 3 476 tis. eur zo sankcií a </w:t>
      </w:r>
      <w:r w:rsidRPr="006B2518">
        <w:rPr>
          <w:rFonts w:ascii="Times New Roman" w:hAnsi="Times New Roman"/>
          <w:color w:val="000000"/>
          <w:sz w:val="22"/>
          <w:szCs w:val="22"/>
        </w:rPr>
        <w:t>vyššie boli oproti rozpočtu o 335 208 tis. eur (</w:t>
      </w:r>
      <w:r w:rsidR="00861638">
        <w:rPr>
          <w:rFonts w:ascii="Times New Roman" w:hAnsi="Times New Roman"/>
          <w:color w:val="000000"/>
          <w:sz w:val="22"/>
          <w:szCs w:val="22"/>
        </w:rPr>
        <w:t xml:space="preserve">resp. </w:t>
      </w:r>
      <w:r w:rsidRPr="006B2518">
        <w:rPr>
          <w:rFonts w:ascii="Times New Roman" w:hAnsi="Times New Roman"/>
          <w:color w:val="000000"/>
          <w:sz w:val="22"/>
          <w:szCs w:val="22"/>
        </w:rPr>
        <w:t>o 338 684 tis. eur).</w:t>
      </w:r>
    </w:p>
    <w:p w:rsidR="003B7E74" w:rsidRPr="006B2518" w:rsidP="003B7E74">
      <w:pPr>
        <w:tabs>
          <w:tab w:val="left" w:pos="284"/>
        </w:tabs>
        <w:bidi w:val="0"/>
        <w:spacing w:after="120" w:line="336" w:lineRule="auto"/>
        <w:jc w:val="both"/>
        <w:rPr>
          <w:rFonts w:ascii="Times New Roman" w:hAnsi="Times New Roman"/>
          <w:color w:val="000000"/>
          <w:sz w:val="22"/>
          <w:szCs w:val="22"/>
        </w:rPr>
      </w:pPr>
      <w:r w:rsidRPr="0062790F">
        <w:rPr>
          <w:rFonts w:ascii="Times New Roman" w:hAnsi="Times New Roman"/>
          <w:color w:val="000000"/>
          <w:sz w:val="22"/>
          <w:szCs w:val="22"/>
        </w:rPr>
        <w:t>Od roku 2005 je daň z príjmov fyzických osôb podielovou daňou. V zmysle zákona č. 564/2004 Z. z. o rozpočtovom určení výnosu dane</w:t>
      </w:r>
      <w:r w:rsidRPr="0062790F" w:rsidR="000F1A27">
        <w:rPr>
          <w:rFonts w:ascii="Times New Roman" w:hAnsi="Times New Roman"/>
          <w:color w:val="000000"/>
          <w:sz w:val="22"/>
          <w:szCs w:val="22"/>
        </w:rPr>
        <w:t xml:space="preserve"> z príjmov územnej samospráve a o zmene a </w:t>
      </w:r>
      <w:r w:rsidRPr="0062790F">
        <w:rPr>
          <w:rFonts w:ascii="Times New Roman" w:hAnsi="Times New Roman"/>
          <w:color w:val="000000"/>
          <w:sz w:val="22"/>
          <w:szCs w:val="22"/>
        </w:rPr>
        <w:t>doplnení niektorých zákonov sa výnos dane prerozdeľuje stanoveným mechanizmom medzi obce a vyššie územné celky. V roku 2015 sa zvýšil podiel obcí na výnose dane z príjmov fyzických osôb na 68,5 % z dôvodu kompenzácie vyšších výdavkov obcí. Vyš</w:t>
      </w:r>
      <w:r w:rsidRPr="0062790F" w:rsidR="00BA058B">
        <w:rPr>
          <w:rFonts w:ascii="Times New Roman" w:hAnsi="Times New Roman"/>
          <w:color w:val="000000"/>
          <w:sz w:val="22"/>
          <w:szCs w:val="22"/>
        </w:rPr>
        <w:t>ším územným celkom pripadá 29,2 </w:t>
      </w:r>
      <w:r w:rsidRPr="0062790F">
        <w:rPr>
          <w:rFonts w:ascii="Times New Roman" w:hAnsi="Times New Roman"/>
          <w:color w:val="000000"/>
          <w:sz w:val="22"/>
          <w:szCs w:val="22"/>
        </w:rPr>
        <w:t>% z výnosu, čo predstavuje nárast oproti predchádzajúcemu roku</w:t>
      </w:r>
      <w:r w:rsidRPr="0062790F" w:rsidR="002C5024">
        <w:rPr>
          <w:rFonts w:ascii="Times New Roman" w:hAnsi="Times New Roman"/>
          <w:color w:val="000000"/>
          <w:sz w:val="22"/>
          <w:szCs w:val="22"/>
        </w:rPr>
        <w:t xml:space="preserve"> o 7,3 p.b</w:t>
      </w:r>
      <w:r w:rsidRPr="0062790F">
        <w:rPr>
          <w:rFonts w:ascii="Times New Roman" w:hAnsi="Times New Roman"/>
          <w:color w:val="000000"/>
          <w:sz w:val="22"/>
          <w:szCs w:val="22"/>
        </w:rPr>
        <w:t xml:space="preserve">. Zvýšenie sa </w:t>
      </w:r>
      <w:r w:rsidRPr="0062790F" w:rsidR="005F26CE">
        <w:rPr>
          <w:rFonts w:ascii="Times New Roman" w:hAnsi="Times New Roman"/>
          <w:color w:val="000000"/>
          <w:sz w:val="22"/>
          <w:szCs w:val="22"/>
        </w:rPr>
        <w:t>udialo</w:t>
      </w:r>
      <w:r w:rsidRPr="0062790F">
        <w:rPr>
          <w:rFonts w:ascii="Times New Roman" w:hAnsi="Times New Roman"/>
          <w:color w:val="000000"/>
          <w:sz w:val="22"/>
          <w:szCs w:val="22"/>
        </w:rPr>
        <w:t xml:space="preserve"> </w:t>
      </w:r>
      <w:r w:rsidRPr="0062790F" w:rsidR="005F26CE">
        <w:rPr>
          <w:rFonts w:ascii="Times New Roman" w:hAnsi="Times New Roman"/>
          <w:color w:val="000000"/>
          <w:sz w:val="22"/>
          <w:szCs w:val="22"/>
        </w:rPr>
        <w:t>z</w:t>
      </w:r>
      <w:r w:rsidRPr="0062790F">
        <w:rPr>
          <w:rFonts w:ascii="Times New Roman" w:hAnsi="Times New Roman"/>
          <w:color w:val="000000"/>
          <w:sz w:val="22"/>
          <w:szCs w:val="22"/>
        </w:rPr>
        <w:t> </w:t>
      </w:r>
      <w:r w:rsidRPr="0062790F" w:rsidR="005F26CE">
        <w:rPr>
          <w:rFonts w:ascii="Times New Roman" w:hAnsi="Times New Roman"/>
          <w:color w:val="000000"/>
          <w:sz w:val="22"/>
          <w:szCs w:val="22"/>
        </w:rPr>
        <w:t>dôvodu</w:t>
      </w:r>
      <w:r w:rsidRPr="0062790F">
        <w:rPr>
          <w:rFonts w:ascii="Times New Roman" w:hAnsi="Times New Roman"/>
          <w:color w:val="000000"/>
          <w:sz w:val="22"/>
          <w:szCs w:val="22"/>
        </w:rPr>
        <w:t xml:space="preserve"> kompenzácie straty príjmov z motorových vozidiel, ktoré sa stali príjmom štátneho rozpočtu. Štátnemu rozpočtu prinálež</w:t>
      </w:r>
      <w:r w:rsidRPr="0062790F" w:rsidR="00861638">
        <w:rPr>
          <w:rFonts w:ascii="Times New Roman" w:hAnsi="Times New Roman"/>
          <w:color w:val="000000"/>
          <w:sz w:val="22"/>
          <w:szCs w:val="22"/>
        </w:rPr>
        <w:t>alo</w:t>
      </w:r>
      <w:r w:rsidRPr="0062790F">
        <w:rPr>
          <w:rFonts w:ascii="Times New Roman" w:hAnsi="Times New Roman"/>
          <w:color w:val="000000"/>
          <w:sz w:val="22"/>
          <w:szCs w:val="22"/>
        </w:rPr>
        <w:t xml:space="preserve"> </w:t>
      </w:r>
      <w:r w:rsidRPr="0062790F" w:rsidR="005F26CE">
        <w:rPr>
          <w:rFonts w:ascii="Times New Roman" w:hAnsi="Times New Roman"/>
          <w:color w:val="000000"/>
          <w:sz w:val="22"/>
          <w:szCs w:val="22"/>
        </w:rPr>
        <w:t xml:space="preserve">z dani z príjmov fyzických osôb </w:t>
      </w:r>
      <w:r w:rsidRPr="0062790F" w:rsidR="00861638">
        <w:rPr>
          <w:rFonts w:ascii="Times New Roman" w:hAnsi="Times New Roman"/>
          <w:color w:val="000000"/>
          <w:sz w:val="22"/>
          <w:szCs w:val="22"/>
        </w:rPr>
        <w:t>za rok 2015</w:t>
      </w:r>
      <w:r w:rsidRPr="0062790F" w:rsidR="005F26CE">
        <w:rPr>
          <w:rFonts w:ascii="Times New Roman" w:hAnsi="Times New Roman"/>
          <w:color w:val="000000"/>
          <w:sz w:val="22"/>
          <w:szCs w:val="22"/>
        </w:rPr>
        <w:t xml:space="preserve"> </w:t>
      </w:r>
      <w:r w:rsidRPr="0062790F">
        <w:rPr>
          <w:rFonts w:ascii="Times New Roman" w:hAnsi="Times New Roman"/>
          <w:color w:val="000000"/>
          <w:sz w:val="22"/>
          <w:szCs w:val="22"/>
        </w:rPr>
        <w:t>zostávajúcich 2,3 %.</w:t>
      </w:r>
    </w:p>
    <w:p w:rsidR="003B7E74" w:rsidRPr="006E50E2" w:rsidP="003B7E74">
      <w:pPr>
        <w:bidi w:val="0"/>
        <w:spacing w:after="120" w:line="336" w:lineRule="auto"/>
        <w:jc w:val="both"/>
        <w:rPr>
          <w:rFonts w:ascii="Times New Roman" w:hAnsi="Times New Roman"/>
          <w:b/>
          <w:color w:val="000000"/>
          <w:sz w:val="22"/>
          <w:szCs w:val="22"/>
        </w:rPr>
      </w:pPr>
      <w:r w:rsidRPr="006E50E2">
        <w:rPr>
          <w:rFonts w:ascii="Times New Roman" w:hAnsi="Times New Roman"/>
          <w:b/>
          <w:color w:val="000000"/>
          <w:sz w:val="22"/>
          <w:szCs w:val="22"/>
        </w:rPr>
        <w:t xml:space="preserve">Príjem štátneho rozpočtu z dane z príjmov fyzických osôb sa </w:t>
      </w:r>
      <w:r w:rsidRPr="000F6B30">
        <w:rPr>
          <w:rFonts w:ascii="Times New Roman" w:hAnsi="Times New Roman"/>
          <w:b/>
          <w:color w:val="000000"/>
          <w:sz w:val="22"/>
          <w:szCs w:val="22"/>
        </w:rPr>
        <w:t>s ohľadom na uvedené pravidlá fiškálnej decentralizácie rozpočtoval sumou 40 444 tis. eur a</w:t>
      </w:r>
      <w:r w:rsidR="000F1A27">
        <w:rPr>
          <w:rFonts w:ascii="Times New Roman" w:hAnsi="Times New Roman"/>
          <w:b/>
          <w:color w:val="000000"/>
          <w:sz w:val="22"/>
          <w:szCs w:val="22"/>
        </w:rPr>
        <w:t xml:space="preserve"> </w:t>
      </w:r>
      <w:r w:rsidRPr="000F6B30">
        <w:rPr>
          <w:rFonts w:ascii="Times New Roman" w:hAnsi="Times New Roman"/>
          <w:b/>
          <w:color w:val="000000"/>
          <w:sz w:val="22"/>
          <w:szCs w:val="22"/>
        </w:rPr>
        <w:t>skutočné plnenie dosiahlo hodnotu 60 413 </w:t>
      </w:r>
      <w:r w:rsidR="00861638">
        <w:rPr>
          <w:rFonts w:ascii="Times New Roman" w:hAnsi="Times New Roman"/>
          <w:b/>
          <w:color w:val="000000"/>
          <w:sz w:val="22"/>
          <w:szCs w:val="22"/>
        </w:rPr>
        <w:t xml:space="preserve">tis. eur, resp. 63 889 tis. eur </w:t>
      </w:r>
      <w:r w:rsidRPr="000F6B30">
        <w:rPr>
          <w:rFonts w:ascii="Times New Roman" w:hAnsi="Times New Roman"/>
          <w:b/>
          <w:color w:val="000000"/>
          <w:sz w:val="22"/>
          <w:szCs w:val="22"/>
        </w:rPr>
        <w:t>po presune časti sankcií, čo predstavuje plnenie rozpočtu</w:t>
      </w:r>
      <w:r w:rsidRPr="006E50E2">
        <w:rPr>
          <w:rFonts w:ascii="Times New Roman" w:hAnsi="Times New Roman"/>
          <w:b/>
          <w:color w:val="000000"/>
          <w:sz w:val="22"/>
          <w:szCs w:val="22"/>
        </w:rPr>
        <w:t xml:space="preserve"> na </w:t>
      </w:r>
      <w:r w:rsidRPr="005D2546">
        <w:rPr>
          <w:rFonts w:ascii="Times New Roman" w:hAnsi="Times New Roman"/>
          <w:b/>
          <w:color w:val="000000"/>
          <w:sz w:val="22"/>
          <w:szCs w:val="22"/>
        </w:rPr>
        <w:t>149,4 %, resp</w:t>
      </w:r>
      <w:r w:rsidRPr="006E50E2">
        <w:rPr>
          <w:rFonts w:ascii="Times New Roman" w:hAnsi="Times New Roman"/>
          <w:b/>
          <w:color w:val="000000"/>
          <w:sz w:val="22"/>
          <w:szCs w:val="22"/>
        </w:rPr>
        <w:t xml:space="preserve">. </w:t>
      </w:r>
      <w:r w:rsidRPr="000F6B30">
        <w:rPr>
          <w:rFonts w:ascii="Times New Roman" w:hAnsi="Times New Roman"/>
          <w:b/>
          <w:color w:val="000000"/>
          <w:sz w:val="22"/>
          <w:szCs w:val="22"/>
        </w:rPr>
        <w:t>158,0 %.</w:t>
      </w:r>
      <w:r w:rsidRPr="006E50E2">
        <w:rPr>
          <w:rFonts w:ascii="Times New Roman" w:hAnsi="Times New Roman"/>
          <w:b/>
          <w:color w:val="000000"/>
          <w:sz w:val="22"/>
          <w:szCs w:val="22"/>
        </w:rPr>
        <w:t xml:space="preserve"> </w:t>
      </w:r>
    </w:p>
    <w:p w:rsidR="00AC0CA7" w:rsidRPr="0065488C" w:rsidP="00B754B3">
      <w:pPr>
        <w:bidi w:val="0"/>
        <w:spacing w:after="120" w:line="336" w:lineRule="auto"/>
        <w:jc w:val="both"/>
        <w:rPr>
          <w:rFonts w:ascii="Times New Roman" w:hAnsi="Times New Roman"/>
          <w:color w:val="000000"/>
          <w:sz w:val="22"/>
          <w:szCs w:val="22"/>
        </w:rPr>
      </w:pPr>
      <w:r w:rsidRPr="00B754B3" w:rsidR="003B7E74">
        <w:rPr>
          <w:rFonts w:ascii="Times New Roman" w:hAnsi="Times New Roman"/>
          <w:color w:val="000000"/>
          <w:sz w:val="22"/>
          <w:szCs w:val="22"/>
        </w:rPr>
        <w:t xml:space="preserve">Celkový výnos podielovej </w:t>
      </w:r>
      <w:r w:rsidRPr="00B754B3" w:rsidR="003B7E74">
        <w:rPr>
          <w:rFonts w:ascii="Times New Roman" w:hAnsi="Times New Roman"/>
          <w:b/>
          <w:i/>
          <w:color w:val="000000"/>
          <w:sz w:val="22"/>
          <w:szCs w:val="22"/>
        </w:rPr>
        <w:t>dane z príjmov fyzických osôb</w:t>
      </w:r>
      <w:r w:rsidRPr="00B754B3" w:rsidR="008D5149">
        <w:rPr>
          <w:rFonts w:ascii="Times New Roman" w:hAnsi="Times New Roman"/>
          <w:b/>
          <w:i/>
          <w:color w:val="000000"/>
          <w:sz w:val="22"/>
          <w:szCs w:val="22"/>
        </w:rPr>
        <w:t>,</w:t>
      </w:r>
      <w:r w:rsidRPr="00B754B3" w:rsidR="003B7E74">
        <w:rPr>
          <w:rFonts w:ascii="Times New Roman" w:hAnsi="Times New Roman"/>
          <w:color w:val="000000"/>
          <w:sz w:val="22"/>
          <w:szCs w:val="22"/>
        </w:rPr>
        <w:t xml:space="preserve"> vrátane prevodov do obcí a VÚC sa rozpočtoval vo výške 2 089 755 tis. eur. Skutočný výnos dane z príjmov fyzických</w:t>
      </w:r>
      <w:r w:rsidRPr="00F93497" w:rsidR="003B7E74">
        <w:rPr>
          <w:rFonts w:ascii="Times New Roman" w:hAnsi="Times New Roman"/>
          <w:color w:val="000000"/>
          <w:sz w:val="22"/>
          <w:szCs w:val="22"/>
        </w:rPr>
        <w:t xml:space="preserve"> osôb vrátane prevodov do obcí a VÚC dosiahol 2 158 508 tis. eur. Z toho výnos dane zo závislej činnosti predstavuje 2 082 049 tis. eur a výnos dane z podnikania, z inej samostatnej zárobkovej činnosti a z prenájmu 100 689 tis. eur. </w:t>
      </w:r>
      <w:r w:rsidRPr="00F93497">
        <w:rPr>
          <w:rFonts w:ascii="Times New Roman" w:hAnsi="Times New Roman"/>
          <w:color w:val="000000"/>
          <w:sz w:val="22"/>
          <w:szCs w:val="22"/>
        </w:rPr>
        <w:t>Prevod do obcí a VÚC predstavoval z</w:t>
      </w:r>
      <w:r w:rsidR="001F1246">
        <w:rPr>
          <w:rFonts w:ascii="Times New Roman" w:hAnsi="Times New Roman"/>
          <w:color w:val="000000"/>
          <w:sz w:val="22"/>
          <w:szCs w:val="22"/>
        </w:rPr>
        <w:t>a rok 2015 spolu 2 098 095 tis. </w:t>
      </w:r>
      <w:r w:rsidR="00386401">
        <w:rPr>
          <w:rFonts w:ascii="Times New Roman" w:hAnsi="Times New Roman"/>
          <w:color w:val="000000"/>
          <w:sz w:val="22"/>
          <w:szCs w:val="22"/>
        </w:rPr>
        <w:t xml:space="preserve">eur (2014: </w:t>
      </w:r>
      <w:r w:rsidRPr="0065488C" w:rsidR="00431884">
        <w:rPr>
          <w:rFonts w:ascii="Times New Roman" w:hAnsi="Times New Roman"/>
          <w:color w:val="000000"/>
          <w:sz w:val="22"/>
          <w:szCs w:val="22"/>
        </w:rPr>
        <w:t>1 732 097 tis. eur). Prevod prostriedkov v zmysle § 50 zákona č. 595/2003 Z. z. o dani z príjmov v znení neskorších predpisov, ktorý znižuje celkový výnos dane z príjmov fyzických osôb</w:t>
      </w:r>
      <w:r w:rsidRPr="0065488C" w:rsidR="008D5149">
        <w:rPr>
          <w:rFonts w:ascii="Times New Roman" w:hAnsi="Times New Roman"/>
          <w:color w:val="000000"/>
          <w:sz w:val="22"/>
          <w:szCs w:val="22"/>
        </w:rPr>
        <w:t xml:space="preserve"> dosiahol</w:t>
      </w:r>
      <w:r w:rsidRPr="0065488C" w:rsidR="00431884">
        <w:rPr>
          <w:rFonts w:ascii="Times New Roman" w:hAnsi="Times New Roman"/>
          <w:color w:val="000000"/>
          <w:sz w:val="22"/>
          <w:szCs w:val="22"/>
        </w:rPr>
        <w:t> sum</w:t>
      </w:r>
      <w:r w:rsidRPr="0065488C" w:rsidR="008D5149">
        <w:rPr>
          <w:rFonts w:ascii="Times New Roman" w:hAnsi="Times New Roman"/>
          <w:color w:val="000000"/>
          <w:sz w:val="22"/>
          <w:szCs w:val="22"/>
        </w:rPr>
        <w:t>u</w:t>
      </w:r>
      <w:r w:rsidRPr="0065488C" w:rsidR="00431884">
        <w:rPr>
          <w:rFonts w:ascii="Times New Roman" w:hAnsi="Times New Roman"/>
          <w:color w:val="000000"/>
          <w:sz w:val="22"/>
          <w:szCs w:val="22"/>
        </w:rPr>
        <w:t xml:space="preserve"> 24 230 tis. eur.</w:t>
      </w:r>
    </w:p>
    <w:p w:rsidR="003B7E74" w:rsidRPr="006E50E2" w:rsidP="003B7E74">
      <w:pPr>
        <w:bidi w:val="0"/>
        <w:spacing w:after="120" w:line="336" w:lineRule="auto"/>
        <w:jc w:val="both"/>
        <w:rPr>
          <w:rFonts w:ascii="Times New Roman" w:hAnsi="Times New Roman"/>
          <w:color w:val="000000"/>
          <w:sz w:val="22"/>
          <w:szCs w:val="22"/>
        </w:rPr>
      </w:pPr>
      <w:r w:rsidRPr="006E50E2">
        <w:rPr>
          <w:rFonts w:ascii="Times New Roman" w:hAnsi="Times New Roman"/>
          <w:b/>
          <w:i/>
          <w:color w:val="000000"/>
          <w:sz w:val="22"/>
          <w:szCs w:val="22"/>
        </w:rPr>
        <w:t>Daň z príjmov právnických osôb</w:t>
      </w:r>
      <w:r w:rsidRPr="006E50E2">
        <w:rPr>
          <w:rFonts w:ascii="Times New Roman" w:hAnsi="Times New Roman"/>
          <w:b/>
          <w:color w:val="000000"/>
          <w:sz w:val="22"/>
          <w:szCs w:val="22"/>
        </w:rPr>
        <w:t xml:space="preserve"> </w:t>
      </w:r>
      <w:r w:rsidRPr="006E50E2">
        <w:rPr>
          <w:rFonts w:ascii="Times New Roman" w:hAnsi="Times New Roman"/>
          <w:color w:val="000000"/>
          <w:sz w:val="22"/>
          <w:szCs w:val="22"/>
        </w:rPr>
        <w:t xml:space="preserve">sa rozpočtovala vo výške </w:t>
      </w:r>
      <w:r>
        <w:rPr>
          <w:rFonts w:ascii="Times New Roman" w:hAnsi="Times New Roman"/>
          <w:color w:val="000000"/>
          <w:sz w:val="22"/>
          <w:szCs w:val="22"/>
        </w:rPr>
        <w:t>2</w:t>
      </w:r>
      <w:r w:rsidRPr="006E50E2">
        <w:rPr>
          <w:rFonts w:ascii="Times New Roman" w:hAnsi="Times New Roman"/>
          <w:color w:val="000000"/>
          <w:sz w:val="22"/>
          <w:szCs w:val="22"/>
        </w:rPr>
        <w:t> </w:t>
      </w:r>
      <w:r>
        <w:rPr>
          <w:rFonts w:ascii="Times New Roman" w:hAnsi="Times New Roman"/>
          <w:color w:val="000000"/>
          <w:sz w:val="22"/>
          <w:szCs w:val="22"/>
        </w:rPr>
        <w:t>305 081</w:t>
      </w:r>
      <w:r w:rsidRPr="006E50E2">
        <w:rPr>
          <w:rFonts w:ascii="Times New Roman" w:hAnsi="Times New Roman"/>
          <w:color w:val="000000"/>
          <w:sz w:val="22"/>
          <w:szCs w:val="22"/>
        </w:rPr>
        <w:t xml:space="preserve"> tis. eur. Skutočný výnos dosiahol </w:t>
      </w:r>
      <w:r>
        <w:rPr>
          <w:rFonts w:ascii="Times New Roman" w:hAnsi="Times New Roman"/>
          <w:color w:val="000000"/>
          <w:sz w:val="22"/>
          <w:szCs w:val="22"/>
        </w:rPr>
        <w:t>2</w:t>
      </w:r>
      <w:r w:rsidRPr="006E50E2">
        <w:rPr>
          <w:rFonts w:ascii="Times New Roman" w:hAnsi="Times New Roman"/>
          <w:color w:val="000000"/>
          <w:sz w:val="22"/>
          <w:szCs w:val="22"/>
        </w:rPr>
        <w:t> </w:t>
      </w:r>
      <w:r>
        <w:rPr>
          <w:rFonts w:ascii="Times New Roman" w:hAnsi="Times New Roman"/>
          <w:color w:val="000000"/>
          <w:sz w:val="22"/>
          <w:szCs w:val="22"/>
        </w:rPr>
        <w:t>603</w:t>
      </w:r>
      <w:r w:rsidRPr="006E50E2">
        <w:rPr>
          <w:rFonts w:ascii="Times New Roman" w:hAnsi="Times New Roman"/>
          <w:color w:val="000000"/>
          <w:sz w:val="22"/>
          <w:szCs w:val="22"/>
        </w:rPr>
        <w:t> </w:t>
      </w:r>
      <w:r>
        <w:rPr>
          <w:rFonts w:ascii="Times New Roman" w:hAnsi="Times New Roman"/>
          <w:color w:val="000000"/>
          <w:sz w:val="22"/>
          <w:szCs w:val="22"/>
        </w:rPr>
        <w:t>931</w:t>
      </w:r>
      <w:r w:rsidRPr="006E50E2">
        <w:rPr>
          <w:rFonts w:ascii="Times New Roman" w:hAnsi="Times New Roman"/>
          <w:color w:val="000000"/>
          <w:sz w:val="22"/>
          <w:szCs w:val="22"/>
        </w:rPr>
        <w:t xml:space="preserve"> tis. eur, čo predstavuje plnenie rozpočtu na </w:t>
      </w:r>
      <w:r>
        <w:rPr>
          <w:rFonts w:ascii="Times New Roman" w:hAnsi="Times New Roman"/>
          <w:color w:val="000000"/>
          <w:sz w:val="22"/>
          <w:szCs w:val="22"/>
        </w:rPr>
        <w:t>113,0</w:t>
      </w:r>
      <w:r w:rsidRPr="006E50E2">
        <w:rPr>
          <w:rFonts w:ascii="Times New Roman" w:hAnsi="Times New Roman"/>
          <w:color w:val="000000"/>
          <w:sz w:val="22"/>
          <w:szCs w:val="22"/>
        </w:rPr>
        <w:t xml:space="preserve"> %. Plnenie prevýšilo rozpočtovanú sumu o </w:t>
      </w:r>
      <w:r>
        <w:rPr>
          <w:rFonts w:ascii="Times New Roman" w:hAnsi="Times New Roman"/>
          <w:color w:val="000000"/>
          <w:sz w:val="22"/>
          <w:szCs w:val="22"/>
        </w:rPr>
        <w:t>298</w:t>
      </w:r>
      <w:r w:rsidRPr="006E50E2">
        <w:rPr>
          <w:rFonts w:ascii="Times New Roman" w:hAnsi="Times New Roman"/>
          <w:color w:val="000000"/>
          <w:sz w:val="22"/>
          <w:szCs w:val="22"/>
        </w:rPr>
        <w:t> </w:t>
      </w:r>
      <w:r>
        <w:rPr>
          <w:rFonts w:ascii="Times New Roman" w:hAnsi="Times New Roman"/>
          <w:color w:val="000000"/>
          <w:sz w:val="22"/>
          <w:szCs w:val="22"/>
        </w:rPr>
        <w:t>850</w:t>
      </w:r>
      <w:r w:rsidRPr="006E50E2">
        <w:rPr>
          <w:rFonts w:ascii="Times New Roman" w:hAnsi="Times New Roman"/>
          <w:color w:val="000000"/>
          <w:sz w:val="22"/>
          <w:szCs w:val="22"/>
        </w:rPr>
        <w:t xml:space="preserve"> tis. eur. </w:t>
      </w:r>
      <w:r w:rsidR="00E6047A">
        <w:rPr>
          <w:rFonts w:ascii="Times New Roman" w:hAnsi="Times New Roman"/>
          <w:color w:val="000000"/>
          <w:sz w:val="22"/>
          <w:szCs w:val="22"/>
        </w:rPr>
        <w:t>M</w:t>
      </w:r>
      <w:r w:rsidRPr="006E50E2" w:rsidR="00E6047A">
        <w:rPr>
          <w:rFonts w:ascii="Times New Roman" w:hAnsi="Times New Roman"/>
          <w:color w:val="000000"/>
          <w:sz w:val="22"/>
          <w:szCs w:val="22"/>
        </w:rPr>
        <w:t xml:space="preserve">edziročne </w:t>
      </w:r>
      <w:r w:rsidR="00E6047A">
        <w:rPr>
          <w:rFonts w:ascii="Times New Roman" w:hAnsi="Times New Roman"/>
          <w:color w:val="000000"/>
          <w:sz w:val="22"/>
          <w:szCs w:val="22"/>
        </w:rPr>
        <w:t>vzrástol</w:t>
      </w:r>
      <w:r w:rsidRPr="006E50E2" w:rsidR="00E6047A">
        <w:rPr>
          <w:rFonts w:ascii="Times New Roman" w:hAnsi="Times New Roman"/>
          <w:color w:val="000000"/>
          <w:sz w:val="22"/>
          <w:szCs w:val="22"/>
        </w:rPr>
        <w:t xml:space="preserve"> </w:t>
      </w:r>
      <w:r w:rsidR="00E6047A">
        <w:rPr>
          <w:rFonts w:ascii="Times New Roman" w:hAnsi="Times New Roman"/>
          <w:color w:val="000000"/>
          <w:sz w:val="22"/>
          <w:szCs w:val="22"/>
        </w:rPr>
        <w:t>v</w:t>
      </w:r>
      <w:r w:rsidRPr="006E50E2">
        <w:rPr>
          <w:rFonts w:ascii="Times New Roman" w:hAnsi="Times New Roman"/>
          <w:color w:val="000000"/>
          <w:sz w:val="22"/>
          <w:szCs w:val="22"/>
        </w:rPr>
        <w:t xml:space="preserve">ýnos </w:t>
      </w:r>
      <w:r w:rsidR="00E6047A">
        <w:rPr>
          <w:rFonts w:ascii="Times New Roman" w:hAnsi="Times New Roman"/>
          <w:color w:val="000000"/>
          <w:sz w:val="22"/>
          <w:szCs w:val="22"/>
        </w:rPr>
        <w:t xml:space="preserve">tejto </w:t>
      </w:r>
      <w:r w:rsidRPr="006E50E2">
        <w:rPr>
          <w:rFonts w:ascii="Times New Roman" w:hAnsi="Times New Roman"/>
          <w:color w:val="000000"/>
          <w:sz w:val="22"/>
          <w:szCs w:val="22"/>
        </w:rPr>
        <w:t>dane o</w:t>
      </w:r>
      <w:r>
        <w:rPr>
          <w:rFonts w:ascii="Times New Roman" w:hAnsi="Times New Roman"/>
          <w:color w:val="000000"/>
          <w:sz w:val="22"/>
          <w:szCs w:val="22"/>
        </w:rPr>
        <w:t> 692 658</w:t>
      </w:r>
      <w:r w:rsidRPr="006E50E2">
        <w:rPr>
          <w:rFonts w:ascii="Times New Roman" w:hAnsi="Times New Roman"/>
          <w:color w:val="000000"/>
          <w:sz w:val="22"/>
          <w:szCs w:val="22"/>
        </w:rPr>
        <w:t xml:space="preserve"> tis. eur.</w:t>
      </w:r>
    </w:p>
    <w:p w:rsidR="009179B3" w:rsidRPr="009179B3" w:rsidP="009179B3">
      <w:pPr>
        <w:pStyle w:val="ListParagraph"/>
        <w:bidi w:val="0"/>
        <w:spacing w:after="120" w:line="336" w:lineRule="auto"/>
        <w:ind w:left="0"/>
        <w:jc w:val="both"/>
        <w:rPr>
          <w:rFonts w:ascii="Times New Roman" w:hAnsi="Times New Roman"/>
          <w:color w:val="000000"/>
        </w:rPr>
      </w:pPr>
      <w:r w:rsidRPr="009179B3" w:rsidR="003B7E74">
        <w:rPr>
          <w:rFonts w:ascii="Times New Roman" w:hAnsi="Times New Roman"/>
          <w:color w:val="000000"/>
        </w:rPr>
        <w:t>V roku 2015 mali fyzické a právnické osoby možnosť poukázať 2 % (v špecifických prípadoch právnické osoby len 1,5 % a fyzické osoby až 3 %) z odvedenej dane na verejnoprospešný účel. V priebehu roka bolo týmto spôsobom prevedených 56 948 tis. eur, čo je v porovnaní s predchádzajúcim rokom nárast o</w:t>
      </w:r>
      <w:r w:rsidR="00E6047A">
        <w:rPr>
          <w:rFonts w:ascii="Times New Roman" w:hAnsi="Times New Roman"/>
          <w:color w:val="000000"/>
        </w:rPr>
        <w:t> 4 744</w:t>
      </w:r>
      <w:r w:rsidRPr="009179B3" w:rsidR="003B7E74">
        <w:rPr>
          <w:rFonts w:ascii="Times New Roman" w:hAnsi="Times New Roman"/>
          <w:color w:val="000000"/>
        </w:rPr>
        <w:t xml:space="preserve"> tis. eur (9,1 %). </w:t>
      </w:r>
      <w:r w:rsidRPr="00B754B3" w:rsidR="003B7E74">
        <w:rPr>
          <w:rFonts w:ascii="Times New Roman" w:hAnsi="Times New Roman"/>
          <w:color w:val="000000"/>
        </w:rPr>
        <w:t>Fyzické osoby previedli 24 230 tis. eur a právnické osoby 32 718 tis. eur.</w:t>
      </w:r>
      <w:r w:rsidRPr="009179B3">
        <w:rPr>
          <w:rFonts w:ascii="Times New Roman" w:hAnsi="Times New Roman"/>
          <w:color w:val="000000"/>
        </w:rPr>
        <w:t xml:space="preserve"> </w:t>
      </w:r>
    </w:p>
    <w:tbl>
      <w:tblPr>
        <w:tblStyle w:val="TableNormal"/>
        <w:tblpPr w:leftFromText="141" w:rightFromText="141" w:vertAnchor="text" w:horzAnchor="margin" w:tblpXSpec="center" w:tblpY="59"/>
        <w:tblW w:w="0" w:type="auto"/>
        <w:tblCellMar>
          <w:left w:w="70" w:type="dxa"/>
          <w:right w:w="70" w:type="dxa"/>
        </w:tblCellMar>
        <w:tblLook w:val="04A0"/>
      </w:tblPr>
      <w:tblGrid>
        <w:gridCol w:w="5786"/>
        <w:gridCol w:w="952"/>
        <w:gridCol w:w="952"/>
        <w:gridCol w:w="952"/>
      </w:tblGrid>
      <w:tr>
        <w:tblPrEx>
          <w:tblW w:w="0" w:type="auto"/>
          <w:tblCellMar>
            <w:left w:w="70" w:type="dxa"/>
            <w:right w:w="70" w:type="dxa"/>
          </w:tblCellMar>
          <w:tblLook w:val="04A0"/>
        </w:tblPrEx>
        <w:trPr>
          <w:trHeight w:val="332"/>
        </w:trPr>
        <w:tc>
          <w:tcPr>
            <w:tcW w:w="0" w:type="auto"/>
            <w:gridSpan w:val="4"/>
            <w:tcBorders>
              <w:top w:val="single" w:sz="4" w:space="0" w:color="auto"/>
              <w:left w:val="nil"/>
              <w:bottom w:val="nil"/>
              <w:right w:val="nil"/>
            </w:tcBorders>
            <w:shd w:val="clear" w:color="000000" w:fill="000000"/>
            <w:noWrap/>
            <w:textDirection w:val="lrTb"/>
            <w:vAlign w:val="center"/>
          </w:tcPr>
          <w:p w:rsidR="003B7E74" w:rsidRPr="00BA058B" w:rsidP="00E51D4D">
            <w:pPr>
              <w:bidi w:val="0"/>
              <w:rPr>
                <w:rFonts w:ascii="Times New Roman" w:hAnsi="Times New Roman"/>
                <w:b/>
                <w:bCs/>
                <w:color w:val="FFFFFF"/>
                <w:sz w:val="18"/>
                <w:szCs w:val="18"/>
              </w:rPr>
            </w:pPr>
            <w:r w:rsidRPr="00BA058B">
              <w:rPr>
                <w:rFonts w:ascii="Times New Roman" w:hAnsi="Times New Roman"/>
                <w:b/>
                <w:bCs/>
                <w:color w:val="FFFFFF"/>
                <w:sz w:val="18"/>
                <w:szCs w:val="18"/>
              </w:rPr>
              <w:t xml:space="preserve">Prevod podielu dane </w:t>
            </w:r>
            <w:r w:rsidR="009179B3">
              <w:rPr>
                <w:rFonts w:ascii="Times New Roman" w:hAnsi="Times New Roman"/>
                <w:b/>
                <w:bCs/>
                <w:color w:val="FFFFFF"/>
                <w:sz w:val="18"/>
                <w:szCs w:val="18"/>
              </w:rPr>
              <w:t xml:space="preserve">                                                                                                                                          </w:t>
            </w:r>
            <w:r w:rsidRPr="00BA058B">
              <w:rPr>
                <w:rFonts w:ascii="Times New Roman" w:hAnsi="Times New Roman"/>
                <w:b/>
                <w:bCs/>
                <w:color w:val="FFFFFF"/>
                <w:sz w:val="18"/>
                <w:szCs w:val="18"/>
              </w:rPr>
              <w:t>v tis. eur</w:t>
            </w:r>
          </w:p>
        </w:tc>
      </w:tr>
      <w:tr>
        <w:tblPrEx>
          <w:tblW w:w="0" w:type="auto"/>
          <w:tblCellMar>
            <w:left w:w="70" w:type="dxa"/>
            <w:right w:w="70" w:type="dxa"/>
          </w:tblCellMar>
          <w:tblLook w:val="04A0"/>
        </w:tblPrEx>
        <w:trPr>
          <w:trHeight w:val="194"/>
        </w:trPr>
        <w:tc>
          <w:tcPr>
            <w:tcW w:w="0" w:type="auto"/>
            <w:tcBorders>
              <w:top w:val="nil"/>
              <w:left w:val="nil"/>
              <w:bottom w:val="none" w:sz="0" w:space="0" w:color="auto"/>
              <w:right w:val="nil"/>
            </w:tcBorders>
            <w:shd w:val="clear" w:color="000000" w:fill="BFBFBF"/>
            <w:noWrap/>
            <w:textDirection w:val="lrTb"/>
            <w:vAlign w:val="center"/>
          </w:tcPr>
          <w:p w:rsidR="003B7E74" w:rsidRPr="00BA058B" w:rsidP="00E51D4D">
            <w:pPr>
              <w:bidi w:val="0"/>
              <w:rPr>
                <w:rFonts w:ascii="Arial Narrow" w:hAnsi="Arial Narrow"/>
                <w:color w:val="000000"/>
                <w:sz w:val="18"/>
                <w:szCs w:val="18"/>
              </w:rPr>
            </w:pPr>
            <w:r w:rsidRPr="00BA058B">
              <w:rPr>
                <w:rFonts w:ascii="Arial Narrow" w:hAnsi="Arial Narrow"/>
                <w:color w:val="000000"/>
                <w:sz w:val="18"/>
                <w:szCs w:val="18"/>
              </w:rPr>
              <w:t> </w:t>
            </w:r>
          </w:p>
        </w:tc>
        <w:tc>
          <w:tcPr>
            <w:tcW w:w="0" w:type="auto"/>
            <w:gridSpan w:val="3"/>
            <w:tcBorders>
              <w:top w:val="nil"/>
              <w:left w:val="nil"/>
              <w:bottom w:val="none" w:sz="0" w:space="0" w:color="auto"/>
              <w:right w:val="nil"/>
            </w:tcBorders>
            <w:shd w:val="clear" w:color="000000" w:fill="BFBFBF"/>
            <w:noWrap/>
            <w:textDirection w:val="lrTb"/>
            <w:vAlign w:val="center"/>
          </w:tcPr>
          <w:p w:rsidR="003B7E74" w:rsidRPr="00BA058B" w:rsidP="00E51D4D">
            <w:pPr>
              <w:bidi w:val="0"/>
              <w:jc w:val="center"/>
              <w:rPr>
                <w:rFonts w:ascii="Times New Roman" w:hAnsi="Times New Roman"/>
                <w:b/>
                <w:bCs/>
                <w:color w:val="000000"/>
                <w:sz w:val="18"/>
                <w:szCs w:val="18"/>
              </w:rPr>
            </w:pPr>
            <w:r w:rsidRPr="00BA058B">
              <w:rPr>
                <w:rFonts w:ascii="Times New Roman" w:hAnsi="Times New Roman"/>
                <w:b/>
                <w:bCs/>
                <w:color w:val="000000"/>
                <w:sz w:val="18"/>
                <w:szCs w:val="18"/>
              </w:rPr>
              <w:t>Skutočnosť</w:t>
            </w:r>
          </w:p>
        </w:tc>
      </w:tr>
      <w:tr>
        <w:tblPrEx>
          <w:tblW w:w="0" w:type="auto"/>
          <w:tblCellMar>
            <w:left w:w="70" w:type="dxa"/>
            <w:right w:w="70" w:type="dxa"/>
          </w:tblCellMar>
          <w:tblLook w:val="04A0"/>
        </w:tblPrEx>
        <w:trPr>
          <w:trHeight w:val="352"/>
        </w:trPr>
        <w:tc>
          <w:tcPr>
            <w:tcW w:w="0" w:type="auto"/>
            <w:tcBorders>
              <w:top w:val="nil"/>
              <w:left w:val="nil"/>
              <w:bottom w:val="single" w:sz="4" w:space="0" w:color="auto"/>
              <w:right w:val="nil"/>
            </w:tcBorders>
            <w:shd w:val="clear" w:color="000000" w:fill="BFBFBF"/>
            <w:noWrap/>
            <w:textDirection w:val="lrTb"/>
            <w:vAlign w:val="center"/>
          </w:tcPr>
          <w:p w:rsidR="003B7E74" w:rsidRPr="00BA058B" w:rsidP="00E51D4D">
            <w:pPr>
              <w:bidi w:val="0"/>
              <w:rPr>
                <w:rFonts w:ascii="Arial Narrow" w:hAnsi="Arial Narrow"/>
                <w:color w:val="000000"/>
                <w:sz w:val="18"/>
                <w:szCs w:val="18"/>
              </w:rPr>
            </w:pPr>
            <w:r w:rsidRPr="00BA058B">
              <w:rPr>
                <w:rFonts w:ascii="Arial Narrow" w:hAnsi="Arial Narrow"/>
                <w:color w:val="000000"/>
                <w:sz w:val="18"/>
                <w:szCs w:val="18"/>
              </w:rPr>
              <w:t> </w:t>
            </w:r>
          </w:p>
        </w:tc>
        <w:tc>
          <w:tcPr>
            <w:tcW w:w="0" w:type="auto"/>
            <w:tcBorders>
              <w:top w:val="nil"/>
              <w:left w:val="nil"/>
              <w:bottom w:val="single" w:sz="4" w:space="0" w:color="auto"/>
              <w:right w:val="nil"/>
            </w:tcBorders>
            <w:shd w:val="clear" w:color="000000" w:fill="BFBFBF"/>
            <w:noWrap/>
            <w:textDirection w:val="lrTb"/>
            <w:vAlign w:val="center"/>
          </w:tcPr>
          <w:p w:rsidR="003B7E74" w:rsidRPr="00BA058B" w:rsidP="00AD0444">
            <w:pPr>
              <w:bidi w:val="0"/>
              <w:jc w:val="center"/>
              <w:rPr>
                <w:rFonts w:ascii="Times New Roman" w:hAnsi="Times New Roman"/>
                <w:b/>
                <w:bCs/>
                <w:color w:val="000000"/>
                <w:sz w:val="18"/>
                <w:szCs w:val="18"/>
              </w:rPr>
            </w:pPr>
            <w:r w:rsidRPr="00BA058B">
              <w:rPr>
                <w:rFonts w:ascii="Times New Roman" w:hAnsi="Times New Roman"/>
                <w:b/>
                <w:bCs/>
                <w:color w:val="000000"/>
                <w:sz w:val="18"/>
                <w:szCs w:val="18"/>
              </w:rPr>
              <w:t>2013</w:t>
            </w:r>
          </w:p>
        </w:tc>
        <w:tc>
          <w:tcPr>
            <w:tcW w:w="0" w:type="auto"/>
            <w:tcBorders>
              <w:top w:val="nil"/>
              <w:left w:val="nil"/>
              <w:bottom w:val="single" w:sz="4" w:space="0" w:color="auto"/>
              <w:right w:val="nil"/>
            </w:tcBorders>
            <w:shd w:val="clear" w:color="000000" w:fill="BFBFBF"/>
            <w:noWrap/>
            <w:textDirection w:val="lrTb"/>
            <w:vAlign w:val="center"/>
          </w:tcPr>
          <w:p w:rsidR="003B7E74" w:rsidRPr="00BA058B" w:rsidP="00AD0444">
            <w:pPr>
              <w:bidi w:val="0"/>
              <w:jc w:val="center"/>
              <w:rPr>
                <w:rFonts w:ascii="Times New Roman" w:hAnsi="Times New Roman"/>
                <w:b/>
                <w:bCs/>
                <w:color w:val="000000"/>
                <w:sz w:val="18"/>
                <w:szCs w:val="18"/>
              </w:rPr>
            </w:pPr>
            <w:r w:rsidRPr="00BA058B">
              <w:rPr>
                <w:rFonts w:ascii="Times New Roman" w:hAnsi="Times New Roman"/>
                <w:b/>
                <w:bCs/>
                <w:color w:val="000000"/>
                <w:sz w:val="18"/>
                <w:szCs w:val="18"/>
              </w:rPr>
              <w:t>2014</w:t>
            </w:r>
          </w:p>
        </w:tc>
        <w:tc>
          <w:tcPr>
            <w:tcW w:w="0" w:type="auto"/>
            <w:tcBorders>
              <w:top w:val="nil"/>
              <w:left w:val="nil"/>
              <w:bottom w:val="single" w:sz="4" w:space="0" w:color="auto"/>
              <w:right w:val="nil"/>
            </w:tcBorders>
            <w:shd w:val="clear" w:color="000000" w:fill="BFBFBF"/>
            <w:noWrap/>
            <w:textDirection w:val="lrTb"/>
            <w:vAlign w:val="center"/>
          </w:tcPr>
          <w:p w:rsidR="003B7E74" w:rsidRPr="00BA058B" w:rsidP="00AD0444">
            <w:pPr>
              <w:bidi w:val="0"/>
              <w:jc w:val="center"/>
              <w:rPr>
                <w:rFonts w:ascii="Times New Roman" w:hAnsi="Times New Roman"/>
                <w:b/>
                <w:bCs/>
                <w:color w:val="000000"/>
                <w:sz w:val="18"/>
                <w:szCs w:val="18"/>
              </w:rPr>
            </w:pPr>
            <w:r w:rsidRPr="00BA058B">
              <w:rPr>
                <w:rFonts w:ascii="Times New Roman" w:hAnsi="Times New Roman"/>
                <w:b/>
                <w:bCs/>
                <w:color w:val="000000"/>
                <w:sz w:val="18"/>
                <w:szCs w:val="18"/>
              </w:rPr>
              <w:t>2015</w:t>
            </w:r>
          </w:p>
        </w:tc>
      </w:tr>
      <w:tr>
        <w:tblPrEx>
          <w:tblW w:w="0" w:type="auto"/>
          <w:tblCellMar>
            <w:left w:w="70" w:type="dxa"/>
            <w:right w:w="70" w:type="dxa"/>
          </w:tblCellMar>
          <w:tblLook w:val="04A0"/>
        </w:tblPrEx>
        <w:trPr>
          <w:trHeight w:val="445"/>
        </w:trPr>
        <w:tc>
          <w:tcPr>
            <w:tcW w:w="0" w:type="auto"/>
            <w:tcBorders>
              <w:top w:val="single" w:sz="4" w:space="0" w:color="auto"/>
              <w:left w:val="nil"/>
              <w:bottom w:val="nil"/>
              <w:right w:val="nil"/>
            </w:tcBorders>
            <w:noWrap/>
            <w:textDirection w:val="lrTb"/>
            <w:vAlign w:val="center"/>
          </w:tcPr>
          <w:p w:rsidR="003B7E74" w:rsidRPr="00BA058B" w:rsidP="00E51D4D">
            <w:pPr>
              <w:bidi w:val="0"/>
              <w:rPr>
                <w:rFonts w:ascii="Times New Roman" w:hAnsi="Times New Roman"/>
                <w:color w:val="000000"/>
                <w:sz w:val="18"/>
                <w:szCs w:val="18"/>
              </w:rPr>
            </w:pPr>
            <w:r w:rsidRPr="00BA058B">
              <w:rPr>
                <w:rFonts w:ascii="Times New Roman" w:hAnsi="Times New Roman"/>
                <w:color w:val="000000"/>
                <w:sz w:val="18"/>
                <w:szCs w:val="18"/>
              </w:rPr>
              <w:t>Prevod podielu dane z príjmov FO na osobitný účel</w:t>
            </w:r>
          </w:p>
        </w:tc>
        <w:tc>
          <w:tcPr>
            <w:tcW w:w="0" w:type="auto"/>
            <w:tcBorders>
              <w:top w:val="single" w:sz="4" w:space="0" w:color="auto"/>
              <w:left w:val="nil"/>
              <w:bottom w:val="nil"/>
              <w:right w:val="nil"/>
            </w:tcBorders>
            <w:noWrap/>
            <w:textDirection w:val="lrTb"/>
            <w:vAlign w:val="center"/>
          </w:tcPr>
          <w:p w:rsidR="003B7E74" w:rsidRPr="00BA058B" w:rsidP="00AD0444">
            <w:pPr>
              <w:bidi w:val="0"/>
              <w:jc w:val="right"/>
              <w:rPr>
                <w:rFonts w:ascii="Times New Roman" w:hAnsi="Times New Roman"/>
                <w:color w:val="000000"/>
                <w:sz w:val="18"/>
                <w:szCs w:val="18"/>
              </w:rPr>
            </w:pPr>
            <w:r w:rsidRPr="00BA058B">
              <w:rPr>
                <w:rFonts w:ascii="Times New Roman" w:hAnsi="Times New Roman"/>
                <w:color w:val="000000"/>
                <w:sz w:val="18"/>
                <w:szCs w:val="18"/>
              </w:rPr>
              <w:t>20 944</w:t>
            </w:r>
          </w:p>
        </w:tc>
        <w:tc>
          <w:tcPr>
            <w:tcW w:w="0" w:type="auto"/>
            <w:tcBorders>
              <w:top w:val="single" w:sz="4" w:space="0" w:color="auto"/>
              <w:left w:val="nil"/>
              <w:bottom w:val="nil"/>
              <w:right w:val="nil"/>
            </w:tcBorders>
            <w:noWrap/>
            <w:textDirection w:val="lrTb"/>
            <w:vAlign w:val="center"/>
          </w:tcPr>
          <w:p w:rsidR="003B7E74" w:rsidRPr="00BA058B" w:rsidP="00AD0444">
            <w:pPr>
              <w:bidi w:val="0"/>
              <w:jc w:val="right"/>
              <w:rPr>
                <w:rFonts w:ascii="Times New Roman" w:hAnsi="Times New Roman"/>
                <w:color w:val="000000"/>
                <w:sz w:val="18"/>
                <w:szCs w:val="18"/>
              </w:rPr>
            </w:pPr>
            <w:r w:rsidRPr="00BA058B">
              <w:rPr>
                <w:rFonts w:ascii="Times New Roman" w:hAnsi="Times New Roman"/>
                <w:color w:val="000000"/>
                <w:sz w:val="18"/>
                <w:szCs w:val="18"/>
              </w:rPr>
              <w:t>21 739</w:t>
            </w:r>
          </w:p>
        </w:tc>
        <w:tc>
          <w:tcPr>
            <w:tcW w:w="0" w:type="auto"/>
            <w:tcBorders>
              <w:top w:val="single" w:sz="4" w:space="0" w:color="auto"/>
              <w:left w:val="nil"/>
              <w:bottom w:val="nil"/>
              <w:right w:val="nil"/>
            </w:tcBorders>
            <w:shd w:val="clear" w:color="auto" w:fill="BFBFBF"/>
            <w:noWrap/>
            <w:textDirection w:val="lrTb"/>
            <w:vAlign w:val="center"/>
          </w:tcPr>
          <w:p w:rsidR="003B7E74" w:rsidRPr="00BA058B" w:rsidP="00AD0444">
            <w:pPr>
              <w:bidi w:val="0"/>
              <w:jc w:val="right"/>
              <w:rPr>
                <w:rFonts w:ascii="Times New Roman" w:hAnsi="Times New Roman"/>
                <w:color w:val="000000"/>
                <w:sz w:val="18"/>
                <w:szCs w:val="18"/>
              </w:rPr>
            </w:pPr>
            <w:r w:rsidRPr="00BA058B">
              <w:rPr>
                <w:rFonts w:ascii="Times New Roman" w:hAnsi="Times New Roman"/>
                <w:color w:val="000000"/>
                <w:sz w:val="18"/>
                <w:szCs w:val="18"/>
              </w:rPr>
              <w:t>24 230</w:t>
            </w:r>
          </w:p>
        </w:tc>
      </w:tr>
      <w:tr>
        <w:tblPrEx>
          <w:tblW w:w="0" w:type="auto"/>
          <w:tblCellMar>
            <w:left w:w="70" w:type="dxa"/>
            <w:right w:w="70" w:type="dxa"/>
          </w:tblCellMar>
          <w:tblLook w:val="04A0"/>
        </w:tblPrEx>
        <w:trPr>
          <w:trHeight w:val="352"/>
        </w:trPr>
        <w:tc>
          <w:tcPr>
            <w:tcW w:w="0" w:type="auto"/>
            <w:tcBorders>
              <w:top w:val="nil"/>
              <w:left w:val="nil"/>
              <w:bottom w:val="single" w:sz="8" w:space="0" w:color="auto"/>
              <w:right w:val="nil"/>
            </w:tcBorders>
            <w:noWrap/>
            <w:textDirection w:val="lrTb"/>
            <w:vAlign w:val="center"/>
          </w:tcPr>
          <w:p w:rsidR="003B7E74" w:rsidRPr="00BA058B" w:rsidP="00E51D4D">
            <w:pPr>
              <w:bidi w:val="0"/>
              <w:rPr>
                <w:rFonts w:ascii="Times New Roman" w:hAnsi="Times New Roman"/>
                <w:color w:val="000000"/>
                <w:sz w:val="18"/>
                <w:szCs w:val="18"/>
              </w:rPr>
            </w:pPr>
            <w:r w:rsidRPr="00BA058B">
              <w:rPr>
                <w:rFonts w:ascii="Times New Roman" w:hAnsi="Times New Roman"/>
                <w:color w:val="000000"/>
                <w:sz w:val="18"/>
                <w:szCs w:val="18"/>
              </w:rPr>
              <w:t>Prevod podielu dane z príjmov PO na osobitný účel</w:t>
            </w:r>
          </w:p>
        </w:tc>
        <w:tc>
          <w:tcPr>
            <w:tcW w:w="0" w:type="auto"/>
            <w:tcBorders>
              <w:top w:val="nil"/>
              <w:left w:val="nil"/>
              <w:bottom w:val="single" w:sz="8" w:space="0" w:color="auto"/>
              <w:right w:val="nil"/>
            </w:tcBorders>
            <w:noWrap/>
            <w:textDirection w:val="lrTb"/>
            <w:vAlign w:val="center"/>
          </w:tcPr>
          <w:p w:rsidR="003B7E74" w:rsidRPr="00BA058B" w:rsidP="00AD0444">
            <w:pPr>
              <w:bidi w:val="0"/>
              <w:jc w:val="right"/>
              <w:rPr>
                <w:rFonts w:ascii="Times New Roman" w:hAnsi="Times New Roman"/>
                <w:color w:val="000000"/>
                <w:sz w:val="18"/>
                <w:szCs w:val="18"/>
              </w:rPr>
            </w:pPr>
            <w:r w:rsidRPr="00BA058B">
              <w:rPr>
                <w:rFonts w:ascii="Times New Roman" w:hAnsi="Times New Roman"/>
                <w:color w:val="000000"/>
                <w:sz w:val="18"/>
                <w:szCs w:val="18"/>
              </w:rPr>
              <w:t>25 762</w:t>
            </w:r>
          </w:p>
        </w:tc>
        <w:tc>
          <w:tcPr>
            <w:tcW w:w="0" w:type="auto"/>
            <w:tcBorders>
              <w:top w:val="nil"/>
              <w:left w:val="nil"/>
              <w:bottom w:val="single" w:sz="8" w:space="0" w:color="auto"/>
              <w:right w:val="nil"/>
            </w:tcBorders>
            <w:noWrap/>
            <w:textDirection w:val="lrTb"/>
            <w:vAlign w:val="center"/>
          </w:tcPr>
          <w:p w:rsidR="003B7E74" w:rsidRPr="00BA058B" w:rsidP="00AD0444">
            <w:pPr>
              <w:bidi w:val="0"/>
              <w:jc w:val="right"/>
              <w:rPr>
                <w:rFonts w:ascii="Times New Roman" w:hAnsi="Times New Roman"/>
                <w:color w:val="000000"/>
                <w:sz w:val="18"/>
                <w:szCs w:val="18"/>
              </w:rPr>
            </w:pPr>
            <w:r w:rsidRPr="00BA058B">
              <w:rPr>
                <w:rFonts w:ascii="Times New Roman" w:hAnsi="Times New Roman"/>
                <w:color w:val="000000"/>
                <w:sz w:val="18"/>
                <w:szCs w:val="18"/>
              </w:rPr>
              <w:t>30 466</w:t>
            </w:r>
          </w:p>
        </w:tc>
        <w:tc>
          <w:tcPr>
            <w:tcW w:w="0" w:type="auto"/>
            <w:tcBorders>
              <w:top w:val="nil"/>
              <w:left w:val="nil"/>
              <w:bottom w:val="single" w:sz="8" w:space="0" w:color="auto"/>
              <w:right w:val="nil"/>
            </w:tcBorders>
            <w:shd w:val="clear" w:color="auto" w:fill="BFBFBF"/>
            <w:noWrap/>
            <w:textDirection w:val="lrTb"/>
            <w:vAlign w:val="center"/>
          </w:tcPr>
          <w:p w:rsidR="003B7E74" w:rsidRPr="00BA058B" w:rsidP="00AD0444">
            <w:pPr>
              <w:bidi w:val="0"/>
              <w:jc w:val="right"/>
              <w:rPr>
                <w:rFonts w:ascii="Times New Roman" w:hAnsi="Times New Roman"/>
                <w:color w:val="000000"/>
                <w:sz w:val="18"/>
                <w:szCs w:val="18"/>
              </w:rPr>
            </w:pPr>
            <w:r w:rsidRPr="00BA058B">
              <w:rPr>
                <w:rFonts w:ascii="Times New Roman" w:hAnsi="Times New Roman"/>
                <w:color w:val="000000"/>
                <w:sz w:val="18"/>
                <w:szCs w:val="18"/>
              </w:rPr>
              <w:t>32 718</w:t>
            </w:r>
          </w:p>
        </w:tc>
      </w:tr>
      <w:tr>
        <w:tblPrEx>
          <w:tblW w:w="0" w:type="auto"/>
          <w:tblCellMar>
            <w:left w:w="70" w:type="dxa"/>
            <w:right w:w="70" w:type="dxa"/>
          </w:tblCellMar>
          <w:tblLook w:val="04A0"/>
        </w:tblPrEx>
        <w:trPr>
          <w:trHeight w:val="271"/>
        </w:trPr>
        <w:tc>
          <w:tcPr>
            <w:tcW w:w="0" w:type="auto"/>
            <w:tcBorders>
              <w:top w:val="single" w:sz="8" w:space="0" w:color="auto"/>
              <w:left w:val="nil"/>
              <w:bottom w:val="single" w:sz="8" w:space="0" w:color="auto"/>
              <w:right w:val="nil"/>
            </w:tcBorders>
            <w:noWrap/>
            <w:textDirection w:val="lrTb"/>
            <w:vAlign w:val="center"/>
          </w:tcPr>
          <w:p w:rsidR="003B7E74" w:rsidRPr="008D5149" w:rsidP="00AD0444">
            <w:pPr>
              <w:bidi w:val="0"/>
              <w:rPr>
                <w:rFonts w:ascii="Times New Roman" w:hAnsi="Times New Roman"/>
                <w:b/>
                <w:bCs/>
                <w:color w:val="000000"/>
                <w:sz w:val="18"/>
                <w:szCs w:val="18"/>
              </w:rPr>
            </w:pPr>
            <w:r w:rsidRPr="008D5149">
              <w:rPr>
                <w:rFonts w:ascii="Times New Roman" w:hAnsi="Times New Roman"/>
                <w:b/>
                <w:bCs/>
                <w:color w:val="000000"/>
                <w:sz w:val="18"/>
                <w:szCs w:val="18"/>
              </w:rPr>
              <w:t>Spolu</w:t>
            </w:r>
          </w:p>
        </w:tc>
        <w:tc>
          <w:tcPr>
            <w:tcW w:w="0" w:type="auto"/>
            <w:tcBorders>
              <w:top w:val="single" w:sz="8" w:space="0" w:color="auto"/>
              <w:left w:val="nil"/>
              <w:bottom w:val="single" w:sz="8" w:space="0" w:color="auto"/>
              <w:right w:val="nil"/>
            </w:tcBorders>
            <w:noWrap/>
            <w:textDirection w:val="lrTb"/>
            <w:vAlign w:val="center"/>
          </w:tcPr>
          <w:p w:rsidR="003B7E74" w:rsidRPr="008D5149" w:rsidP="00AD0444">
            <w:pPr>
              <w:bidi w:val="0"/>
              <w:jc w:val="right"/>
              <w:rPr>
                <w:rFonts w:ascii="Times New Roman" w:hAnsi="Times New Roman"/>
                <w:b/>
                <w:bCs/>
                <w:color w:val="000000"/>
                <w:sz w:val="18"/>
                <w:szCs w:val="18"/>
              </w:rPr>
            </w:pPr>
            <w:r w:rsidRPr="008D5149">
              <w:rPr>
                <w:rFonts w:ascii="Times New Roman" w:hAnsi="Times New Roman"/>
                <w:b/>
                <w:bCs/>
                <w:color w:val="000000"/>
                <w:sz w:val="18"/>
                <w:szCs w:val="18"/>
              </w:rPr>
              <w:t>46 706</w:t>
            </w:r>
          </w:p>
        </w:tc>
        <w:tc>
          <w:tcPr>
            <w:tcW w:w="0" w:type="auto"/>
            <w:tcBorders>
              <w:top w:val="single" w:sz="8" w:space="0" w:color="auto"/>
              <w:left w:val="nil"/>
              <w:bottom w:val="single" w:sz="8" w:space="0" w:color="auto"/>
              <w:right w:val="nil"/>
            </w:tcBorders>
            <w:noWrap/>
            <w:textDirection w:val="lrTb"/>
            <w:vAlign w:val="center"/>
          </w:tcPr>
          <w:p w:rsidR="003B7E74" w:rsidRPr="008D5149" w:rsidP="00AD0444">
            <w:pPr>
              <w:bidi w:val="0"/>
              <w:jc w:val="right"/>
              <w:rPr>
                <w:rFonts w:ascii="Times New Roman" w:hAnsi="Times New Roman"/>
                <w:b/>
                <w:bCs/>
                <w:color w:val="000000"/>
                <w:sz w:val="18"/>
                <w:szCs w:val="18"/>
              </w:rPr>
            </w:pPr>
            <w:r w:rsidRPr="008D5149">
              <w:rPr>
                <w:rFonts w:ascii="Times New Roman" w:hAnsi="Times New Roman"/>
                <w:b/>
                <w:bCs/>
                <w:color w:val="000000"/>
                <w:sz w:val="18"/>
                <w:szCs w:val="18"/>
              </w:rPr>
              <w:t>52 205</w:t>
            </w:r>
          </w:p>
        </w:tc>
        <w:tc>
          <w:tcPr>
            <w:tcW w:w="0" w:type="auto"/>
            <w:tcBorders>
              <w:top w:val="single" w:sz="8" w:space="0" w:color="auto"/>
              <w:left w:val="nil"/>
              <w:bottom w:val="single" w:sz="8" w:space="0" w:color="auto"/>
              <w:right w:val="nil"/>
            </w:tcBorders>
            <w:shd w:val="clear" w:color="auto" w:fill="BFBFBF"/>
            <w:noWrap/>
            <w:textDirection w:val="lrTb"/>
            <w:vAlign w:val="center"/>
          </w:tcPr>
          <w:p w:rsidR="003B7E74" w:rsidRPr="008D5149" w:rsidP="00AD0444">
            <w:pPr>
              <w:bidi w:val="0"/>
              <w:jc w:val="right"/>
              <w:rPr>
                <w:rFonts w:ascii="Times New Roman" w:hAnsi="Times New Roman"/>
                <w:b/>
                <w:color w:val="000000"/>
                <w:sz w:val="18"/>
                <w:szCs w:val="18"/>
              </w:rPr>
            </w:pPr>
            <w:r w:rsidRPr="008D5149">
              <w:rPr>
                <w:rFonts w:ascii="Times New Roman" w:hAnsi="Times New Roman"/>
                <w:b/>
                <w:color w:val="000000"/>
                <w:sz w:val="18"/>
                <w:szCs w:val="18"/>
              </w:rPr>
              <w:t>56 948</w:t>
            </w:r>
          </w:p>
        </w:tc>
      </w:tr>
    </w:tbl>
    <w:p w:rsidR="003B7E74" w:rsidRPr="006E50E2" w:rsidP="00DF3EDF">
      <w:pPr>
        <w:bidi w:val="0"/>
        <w:spacing w:after="120" w:line="336" w:lineRule="auto"/>
        <w:ind w:right="141"/>
        <w:jc w:val="right"/>
        <w:rPr>
          <w:rFonts w:ascii="Times New Roman" w:hAnsi="Times New Roman"/>
          <w:sz w:val="18"/>
          <w:szCs w:val="18"/>
        </w:rPr>
      </w:pPr>
      <w:r w:rsidRPr="006E50E2">
        <w:rPr>
          <w:rFonts w:ascii="Times New Roman" w:hAnsi="Times New Roman"/>
          <w:sz w:val="18"/>
          <w:szCs w:val="18"/>
        </w:rPr>
        <w:t>Zdroj: MF SR</w:t>
      </w:r>
    </w:p>
    <w:p w:rsidR="003B7E74" w:rsidRPr="00CA790E" w:rsidP="003B7E74">
      <w:pPr>
        <w:bidi w:val="0"/>
        <w:spacing w:after="120" w:line="336" w:lineRule="auto"/>
        <w:jc w:val="both"/>
        <w:rPr>
          <w:rFonts w:ascii="Times New Roman" w:hAnsi="Times New Roman"/>
          <w:color w:val="FF0000"/>
          <w:sz w:val="22"/>
          <w:szCs w:val="22"/>
        </w:rPr>
      </w:pPr>
      <w:r w:rsidRPr="006E50E2">
        <w:rPr>
          <w:rFonts w:ascii="Times New Roman" w:hAnsi="Times New Roman"/>
          <w:b/>
          <w:bCs/>
          <w:i/>
          <w:color w:val="000000"/>
          <w:sz w:val="22"/>
          <w:szCs w:val="22"/>
        </w:rPr>
        <w:t>Daň z príjmov vyberaná zrážkou</w:t>
      </w:r>
      <w:r w:rsidRPr="006E50E2">
        <w:rPr>
          <w:rFonts w:ascii="Times New Roman" w:hAnsi="Times New Roman"/>
          <w:color w:val="000000"/>
          <w:sz w:val="22"/>
          <w:szCs w:val="22"/>
        </w:rPr>
        <w:t xml:space="preserve"> sa rozpočtovala sumou 1</w:t>
      </w:r>
      <w:r>
        <w:rPr>
          <w:rFonts w:ascii="Times New Roman" w:hAnsi="Times New Roman"/>
          <w:color w:val="000000"/>
          <w:sz w:val="22"/>
          <w:szCs w:val="22"/>
        </w:rPr>
        <w:t>45</w:t>
      </w:r>
      <w:r w:rsidRPr="006E50E2">
        <w:rPr>
          <w:rFonts w:ascii="Times New Roman" w:hAnsi="Times New Roman"/>
          <w:color w:val="000000"/>
          <w:sz w:val="22"/>
          <w:szCs w:val="22"/>
        </w:rPr>
        <w:t> </w:t>
      </w:r>
      <w:r>
        <w:rPr>
          <w:rFonts w:ascii="Times New Roman" w:hAnsi="Times New Roman"/>
          <w:color w:val="000000"/>
          <w:sz w:val="22"/>
          <w:szCs w:val="22"/>
        </w:rPr>
        <w:t>616</w:t>
      </w:r>
      <w:r w:rsidRPr="006E50E2">
        <w:rPr>
          <w:rFonts w:ascii="Times New Roman" w:hAnsi="Times New Roman"/>
          <w:color w:val="000000"/>
          <w:sz w:val="22"/>
          <w:szCs w:val="22"/>
        </w:rPr>
        <w:t xml:space="preserve"> tis. eur a v skutočnosti dosiahla výnos 1</w:t>
      </w:r>
      <w:r>
        <w:rPr>
          <w:rFonts w:ascii="Times New Roman" w:hAnsi="Times New Roman"/>
          <w:color w:val="000000"/>
          <w:sz w:val="22"/>
          <w:szCs w:val="22"/>
        </w:rPr>
        <w:t>62 004 </w:t>
      </w:r>
      <w:r w:rsidRPr="006E50E2">
        <w:rPr>
          <w:rFonts w:ascii="Times New Roman" w:hAnsi="Times New Roman"/>
          <w:color w:val="000000"/>
          <w:sz w:val="22"/>
          <w:szCs w:val="22"/>
        </w:rPr>
        <w:t xml:space="preserve">tis. eur. Rozpočtovaný výnos sa naplnil </w:t>
      </w:r>
      <w:r w:rsidRPr="00217725">
        <w:rPr>
          <w:rFonts w:ascii="Times New Roman" w:hAnsi="Times New Roman"/>
          <w:color w:val="000000"/>
          <w:sz w:val="22"/>
          <w:szCs w:val="22"/>
        </w:rPr>
        <w:t>na</w:t>
      </w:r>
      <w:r w:rsidR="00180FB9">
        <w:rPr>
          <w:rFonts w:ascii="Times New Roman" w:hAnsi="Times New Roman"/>
          <w:color w:val="000000"/>
          <w:sz w:val="22"/>
          <w:szCs w:val="22"/>
        </w:rPr>
        <w:t xml:space="preserve"> </w:t>
      </w:r>
      <w:r>
        <w:rPr>
          <w:rFonts w:ascii="Times New Roman" w:hAnsi="Times New Roman"/>
          <w:color w:val="000000"/>
          <w:sz w:val="22"/>
          <w:szCs w:val="22"/>
        </w:rPr>
        <w:t>111</w:t>
      </w:r>
      <w:r w:rsidRPr="00217725">
        <w:rPr>
          <w:rFonts w:ascii="Times New Roman" w:hAnsi="Times New Roman"/>
          <w:color w:val="000000"/>
          <w:sz w:val="22"/>
          <w:szCs w:val="22"/>
        </w:rPr>
        <w:t>,</w:t>
      </w:r>
      <w:r>
        <w:rPr>
          <w:rFonts w:ascii="Times New Roman" w:hAnsi="Times New Roman"/>
          <w:color w:val="000000"/>
          <w:sz w:val="22"/>
          <w:szCs w:val="22"/>
        </w:rPr>
        <w:t>2</w:t>
      </w:r>
      <w:r w:rsidRPr="00217725">
        <w:rPr>
          <w:rFonts w:ascii="Times New Roman" w:hAnsi="Times New Roman"/>
          <w:color w:val="000000"/>
          <w:sz w:val="22"/>
          <w:szCs w:val="22"/>
        </w:rPr>
        <w:t xml:space="preserve"> %. Plnenie</w:t>
      </w:r>
      <w:r w:rsidRPr="006E50E2">
        <w:rPr>
          <w:rFonts w:ascii="Times New Roman" w:hAnsi="Times New Roman"/>
          <w:color w:val="000000"/>
          <w:sz w:val="22"/>
          <w:szCs w:val="22"/>
        </w:rPr>
        <w:t xml:space="preserve"> tejto dane je v porovnaní s rokom 201</w:t>
      </w:r>
      <w:r>
        <w:rPr>
          <w:rFonts w:ascii="Times New Roman" w:hAnsi="Times New Roman"/>
          <w:color w:val="000000"/>
          <w:sz w:val="22"/>
          <w:szCs w:val="22"/>
        </w:rPr>
        <w:t>4</w:t>
      </w:r>
      <w:r w:rsidRPr="006E50E2">
        <w:rPr>
          <w:rFonts w:ascii="Times New Roman" w:hAnsi="Times New Roman"/>
          <w:color w:val="000000"/>
          <w:sz w:val="22"/>
          <w:szCs w:val="22"/>
        </w:rPr>
        <w:t xml:space="preserve"> nižšie o </w:t>
      </w:r>
      <w:r>
        <w:rPr>
          <w:rFonts w:ascii="Times New Roman" w:hAnsi="Times New Roman"/>
          <w:color w:val="000000"/>
          <w:sz w:val="22"/>
          <w:szCs w:val="22"/>
        </w:rPr>
        <w:t>29</w:t>
      </w:r>
      <w:r w:rsidRPr="006E50E2">
        <w:rPr>
          <w:rFonts w:ascii="Times New Roman" w:hAnsi="Times New Roman"/>
          <w:color w:val="000000"/>
          <w:sz w:val="22"/>
          <w:szCs w:val="22"/>
        </w:rPr>
        <w:t> </w:t>
      </w:r>
      <w:r>
        <w:rPr>
          <w:rFonts w:ascii="Times New Roman" w:hAnsi="Times New Roman"/>
          <w:color w:val="000000"/>
          <w:sz w:val="22"/>
          <w:szCs w:val="22"/>
        </w:rPr>
        <w:t>444</w:t>
      </w:r>
      <w:r w:rsidRPr="006E50E2">
        <w:rPr>
          <w:rFonts w:ascii="Times New Roman" w:hAnsi="Times New Roman"/>
          <w:color w:val="000000"/>
          <w:sz w:val="22"/>
          <w:szCs w:val="22"/>
        </w:rPr>
        <w:t xml:space="preserve"> tis. eur. Výnos dane pozitívne ovplyvnili zaplatené jednorazové licenčné poplatky v celkovej sume </w:t>
      </w:r>
      <w:r w:rsidRPr="000F6B30">
        <w:rPr>
          <w:rFonts w:ascii="Times New Roman" w:hAnsi="Times New Roman"/>
          <w:color w:val="000000"/>
          <w:sz w:val="22"/>
          <w:szCs w:val="22"/>
        </w:rPr>
        <w:t xml:space="preserve">19 </w:t>
      </w:r>
      <w:r>
        <w:rPr>
          <w:rFonts w:ascii="Times New Roman" w:hAnsi="Times New Roman"/>
          <w:color w:val="000000"/>
          <w:sz w:val="22"/>
          <w:szCs w:val="22"/>
        </w:rPr>
        <w:t>003</w:t>
      </w:r>
      <w:r w:rsidRPr="006E50E2">
        <w:rPr>
          <w:rFonts w:ascii="Times New Roman" w:hAnsi="Times New Roman"/>
          <w:color w:val="000000"/>
          <w:sz w:val="22"/>
          <w:szCs w:val="22"/>
        </w:rPr>
        <w:t xml:space="preserve"> tis. eur. </w:t>
      </w:r>
      <w:r>
        <w:rPr>
          <w:rFonts w:ascii="Times New Roman" w:hAnsi="Times New Roman"/>
          <w:color w:val="000000"/>
          <w:sz w:val="22"/>
          <w:szCs w:val="22"/>
        </w:rPr>
        <w:t>Negatívny vplyv na výno</w:t>
      </w:r>
      <w:r w:rsidR="00180FB9">
        <w:rPr>
          <w:rFonts w:ascii="Times New Roman" w:hAnsi="Times New Roman"/>
          <w:color w:val="000000"/>
          <w:sz w:val="22"/>
          <w:szCs w:val="22"/>
        </w:rPr>
        <w:t xml:space="preserve">s dane mal vývoj úrokovej miery, </w:t>
      </w:r>
      <w:r w:rsidRPr="002C5024" w:rsidR="00180FB9">
        <w:rPr>
          <w:rFonts w:ascii="Times New Roman" w:hAnsi="Times New Roman"/>
          <w:color w:val="000000"/>
          <w:sz w:val="22"/>
          <w:szCs w:val="22"/>
        </w:rPr>
        <w:t xml:space="preserve">ktorý vplýval na výšku pripísaných úrokov </w:t>
      </w:r>
      <w:r w:rsidRPr="002C5024" w:rsidR="002C5024">
        <w:rPr>
          <w:rFonts w:ascii="Times New Roman" w:hAnsi="Times New Roman"/>
          <w:color w:val="000000"/>
          <w:sz w:val="22"/>
          <w:szCs w:val="22"/>
        </w:rPr>
        <w:t>z vklado</w:t>
      </w:r>
      <w:r w:rsidR="002C5024">
        <w:rPr>
          <w:rFonts w:ascii="Times New Roman" w:hAnsi="Times New Roman"/>
          <w:color w:val="000000"/>
          <w:sz w:val="22"/>
          <w:szCs w:val="22"/>
        </w:rPr>
        <w:t>v</w:t>
      </w:r>
      <w:r w:rsidR="00180FB9">
        <w:rPr>
          <w:rFonts w:ascii="Times New Roman" w:hAnsi="Times New Roman"/>
          <w:color w:val="000000"/>
          <w:sz w:val="22"/>
          <w:szCs w:val="22"/>
        </w:rPr>
        <w:t>.</w:t>
      </w:r>
    </w:p>
    <w:p w:rsidR="003B7E74" w:rsidRPr="006E50E2" w:rsidP="003B7E74">
      <w:pPr>
        <w:numPr>
          <w:numId w:val="11"/>
        </w:numPr>
        <w:tabs>
          <w:tab w:val="left" w:pos="284"/>
        </w:tabs>
        <w:bidi w:val="0"/>
        <w:spacing w:after="120" w:line="336" w:lineRule="auto"/>
        <w:ind w:left="0" w:firstLine="0"/>
        <w:jc w:val="both"/>
        <w:rPr>
          <w:rFonts w:ascii="Times New Roman" w:hAnsi="Times New Roman"/>
          <w:color w:val="000000"/>
          <w:sz w:val="22"/>
          <w:szCs w:val="22"/>
        </w:rPr>
      </w:pPr>
      <w:r w:rsidRPr="006E50E2">
        <w:rPr>
          <w:rFonts w:ascii="Times New Roman" w:hAnsi="Times New Roman"/>
          <w:b/>
          <w:color w:val="000000"/>
          <w:sz w:val="22"/>
          <w:szCs w:val="22"/>
        </w:rPr>
        <w:t xml:space="preserve">Výnos daní z medzinárodného obchodu a transakcií </w:t>
      </w:r>
      <w:r w:rsidRPr="008D5149">
        <w:rPr>
          <w:rFonts w:ascii="Times New Roman" w:hAnsi="Times New Roman"/>
          <w:color w:val="000000"/>
          <w:sz w:val="22"/>
          <w:szCs w:val="22"/>
        </w:rPr>
        <w:t>sa rozpočtoval v celkovej výške</w:t>
      </w:r>
      <w:r w:rsidRPr="006E50E2">
        <w:rPr>
          <w:rFonts w:ascii="Times New Roman" w:hAnsi="Times New Roman"/>
          <w:color w:val="000000"/>
          <w:sz w:val="22"/>
          <w:szCs w:val="22"/>
        </w:rPr>
        <w:t xml:space="preserve"> </w:t>
      </w:r>
      <w:r>
        <w:rPr>
          <w:rFonts w:ascii="Times New Roman" w:hAnsi="Times New Roman"/>
          <w:color w:val="000000"/>
          <w:sz w:val="22"/>
          <w:szCs w:val="22"/>
        </w:rPr>
        <w:t>30</w:t>
      </w:r>
      <w:r w:rsidRPr="006E50E2">
        <w:rPr>
          <w:rFonts w:ascii="Times New Roman" w:hAnsi="Times New Roman"/>
          <w:color w:val="000000"/>
          <w:sz w:val="22"/>
          <w:szCs w:val="22"/>
        </w:rPr>
        <w:t> </w:t>
      </w:r>
      <w:r>
        <w:rPr>
          <w:rFonts w:ascii="Times New Roman" w:hAnsi="Times New Roman"/>
          <w:color w:val="000000"/>
          <w:sz w:val="22"/>
          <w:szCs w:val="22"/>
        </w:rPr>
        <w:t>363</w:t>
      </w:r>
      <w:r w:rsidRPr="006E50E2">
        <w:rPr>
          <w:rFonts w:ascii="Times New Roman" w:hAnsi="Times New Roman"/>
          <w:color w:val="000000"/>
          <w:sz w:val="22"/>
          <w:szCs w:val="22"/>
        </w:rPr>
        <w:t xml:space="preserve"> tis. eur. V skutočnosti dosiahol </w:t>
      </w:r>
      <w:r>
        <w:rPr>
          <w:rFonts w:ascii="Times New Roman" w:hAnsi="Times New Roman"/>
          <w:color w:val="000000"/>
          <w:sz w:val="22"/>
          <w:szCs w:val="22"/>
        </w:rPr>
        <w:t>28</w:t>
      </w:r>
      <w:r w:rsidRPr="006E50E2">
        <w:rPr>
          <w:rFonts w:ascii="Times New Roman" w:hAnsi="Times New Roman"/>
          <w:color w:val="000000"/>
          <w:sz w:val="22"/>
          <w:szCs w:val="22"/>
        </w:rPr>
        <w:t> </w:t>
      </w:r>
      <w:r>
        <w:rPr>
          <w:rFonts w:ascii="Times New Roman" w:hAnsi="Times New Roman"/>
          <w:color w:val="000000"/>
          <w:sz w:val="22"/>
          <w:szCs w:val="22"/>
        </w:rPr>
        <w:t>893</w:t>
      </w:r>
      <w:r w:rsidRPr="006E50E2">
        <w:rPr>
          <w:rFonts w:ascii="Times New Roman" w:hAnsi="Times New Roman"/>
          <w:color w:val="000000"/>
          <w:sz w:val="22"/>
          <w:szCs w:val="22"/>
        </w:rPr>
        <w:t xml:space="preserve"> tis. eur, čo predstavuje plnenie štátneho rozpočtu na </w:t>
      </w:r>
      <w:r>
        <w:rPr>
          <w:rFonts w:ascii="Times New Roman" w:hAnsi="Times New Roman"/>
          <w:color w:val="000000"/>
          <w:sz w:val="22"/>
          <w:szCs w:val="22"/>
        </w:rPr>
        <w:t>95,2</w:t>
      </w:r>
      <w:r w:rsidRPr="006E50E2">
        <w:rPr>
          <w:rFonts w:ascii="Times New Roman" w:hAnsi="Times New Roman"/>
          <w:color w:val="000000"/>
          <w:sz w:val="22"/>
          <w:szCs w:val="22"/>
        </w:rPr>
        <w:t> %. V porovnaní s rokom 201</w:t>
      </w:r>
      <w:r>
        <w:rPr>
          <w:rFonts w:ascii="Times New Roman" w:hAnsi="Times New Roman"/>
          <w:color w:val="000000"/>
          <w:sz w:val="22"/>
          <w:szCs w:val="22"/>
        </w:rPr>
        <w:t>4</w:t>
      </w:r>
      <w:r w:rsidRPr="006E50E2">
        <w:rPr>
          <w:rFonts w:ascii="Times New Roman" w:hAnsi="Times New Roman"/>
          <w:color w:val="000000"/>
          <w:sz w:val="22"/>
          <w:szCs w:val="22"/>
        </w:rPr>
        <w:t xml:space="preserve"> bol výnos o</w:t>
      </w:r>
      <w:r>
        <w:rPr>
          <w:rFonts w:ascii="Times New Roman" w:hAnsi="Times New Roman"/>
          <w:color w:val="000000"/>
          <w:sz w:val="22"/>
          <w:szCs w:val="22"/>
        </w:rPr>
        <w:t> 2 619</w:t>
      </w:r>
      <w:r w:rsidRPr="006E50E2">
        <w:rPr>
          <w:rFonts w:ascii="Times New Roman" w:hAnsi="Times New Roman"/>
          <w:color w:val="000000"/>
          <w:sz w:val="22"/>
          <w:szCs w:val="22"/>
        </w:rPr>
        <w:t xml:space="preserve"> tis. eur </w:t>
      </w:r>
      <w:r>
        <w:rPr>
          <w:rFonts w:ascii="Times New Roman" w:hAnsi="Times New Roman"/>
          <w:color w:val="000000"/>
          <w:sz w:val="22"/>
          <w:szCs w:val="22"/>
        </w:rPr>
        <w:t>nižší</w:t>
      </w:r>
      <w:r w:rsidRPr="006E50E2">
        <w:rPr>
          <w:rFonts w:ascii="Times New Roman" w:hAnsi="Times New Roman"/>
          <w:color w:val="000000"/>
          <w:sz w:val="22"/>
          <w:szCs w:val="22"/>
        </w:rPr>
        <w:t xml:space="preserve">. </w:t>
      </w:r>
    </w:p>
    <w:p w:rsidR="003B7E74" w:rsidRPr="006E50E2" w:rsidP="003B7E74">
      <w:pPr>
        <w:bidi w:val="0"/>
        <w:spacing w:after="120" w:line="336" w:lineRule="auto"/>
        <w:jc w:val="both"/>
        <w:rPr>
          <w:rFonts w:ascii="Times New Roman" w:hAnsi="Times New Roman"/>
          <w:color w:val="000000"/>
          <w:sz w:val="22"/>
          <w:szCs w:val="22"/>
        </w:rPr>
      </w:pPr>
      <w:r w:rsidRPr="006E50E2">
        <w:rPr>
          <w:rFonts w:ascii="Times New Roman" w:hAnsi="Times New Roman"/>
          <w:color w:val="000000"/>
          <w:sz w:val="22"/>
          <w:szCs w:val="22"/>
        </w:rPr>
        <w:t>Najväčšiu časť na daniach z medzinárodného obchodu a transakcií tvorí výnos z podielu na vybratých finančných prostrie</w:t>
      </w:r>
      <w:r w:rsidR="00535354">
        <w:rPr>
          <w:rFonts w:ascii="Times New Roman" w:hAnsi="Times New Roman"/>
          <w:color w:val="000000"/>
          <w:sz w:val="22"/>
          <w:szCs w:val="22"/>
        </w:rPr>
        <w:t>dkoch.</w:t>
      </w:r>
      <w:r w:rsidRPr="006E50E2">
        <w:rPr>
          <w:rFonts w:ascii="Times New Roman" w:hAnsi="Times New Roman"/>
          <w:color w:val="000000"/>
          <w:sz w:val="22"/>
          <w:szCs w:val="22"/>
        </w:rPr>
        <w:t xml:space="preserve"> </w:t>
      </w:r>
      <w:r w:rsidR="00535354">
        <w:rPr>
          <w:rFonts w:ascii="Times New Roman" w:hAnsi="Times New Roman"/>
          <w:color w:val="000000"/>
          <w:sz w:val="22"/>
          <w:szCs w:val="22"/>
        </w:rPr>
        <w:t>I</w:t>
      </w:r>
      <w:r w:rsidR="002C5024">
        <w:rPr>
          <w:rFonts w:ascii="Times New Roman" w:hAnsi="Times New Roman"/>
          <w:color w:val="000000"/>
          <w:sz w:val="22"/>
          <w:szCs w:val="22"/>
        </w:rPr>
        <w:t>de o 25 % podiel na výbere cla, ako kompenzácie za náklady na jeho výber. S</w:t>
      </w:r>
      <w:r w:rsidRPr="006E50E2">
        <w:rPr>
          <w:rFonts w:ascii="Times New Roman" w:hAnsi="Times New Roman"/>
          <w:color w:val="000000"/>
          <w:sz w:val="22"/>
          <w:szCs w:val="22"/>
        </w:rPr>
        <w:t xml:space="preserve">kutočný výnos bol vo výške </w:t>
      </w:r>
      <w:r>
        <w:rPr>
          <w:rFonts w:ascii="Times New Roman" w:hAnsi="Times New Roman"/>
          <w:color w:val="000000"/>
          <w:sz w:val="22"/>
          <w:szCs w:val="22"/>
        </w:rPr>
        <w:t>28</w:t>
      </w:r>
      <w:r w:rsidRPr="006E50E2">
        <w:rPr>
          <w:rFonts w:ascii="Times New Roman" w:hAnsi="Times New Roman"/>
          <w:color w:val="000000"/>
          <w:sz w:val="22"/>
          <w:szCs w:val="22"/>
        </w:rPr>
        <w:t> </w:t>
      </w:r>
      <w:r>
        <w:rPr>
          <w:rFonts w:ascii="Times New Roman" w:hAnsi="Times New Roman"/>
          <w:color w:val="000000"/>
          <w:sz w:val="22"/>
          <w:szCs w:val="22"/>
        </w:rPr>
        <w:t>872</w:t>
      </w:r>
      <w:r w:rsidRPr="006E50E2">
        <w:rPr>
          <w:rFonts w:ascii="Times New Roman" w:hAnsi="Times New Roman"/>
          <w:color w:val="000000"/>
          <w:sz w:val="22"/>
          <w:szCs w:val="22"/>
        </w:rPr>
        <w:t xml:space="preserve"> tis. eur. Súčasťou daní z medzinárodného obchodu a transakcií je aj výnos z dovozného cla, ktoré bolo vymerané pred 1.</w:t>
      </w:r>
      <w:r>
        <w:rPr>
          <w:rFonts w:ascii="Times New Roman" w:hAnsi="Times New Roman"/>
          <w:color w:val="000000"/>
          <w:sz w:val="22"/>
          <w:szCs w:val="22"/>
        </w:rPr>
        <w:t> </w:t>
      </w:r>
      <w:r w:rsidRPr="006E50E2">
        <w:rPr>
          <w:rFonts w:ascii="Times New Roman" w:hAnsi="Times New Roman"/>
          <w:color w:val="000000"/>
          <w:sz w:val="22"/>
          <w:szCs w:val="22"/>
        </w:rPr>
        <w:t>5.</w:t>
      </w:r>
      <w:r>
        <w:rPr>
          <w:rFonts w:ascii="Times New Roman" w:hAnsi="Times New Roman"/>
          <w:color w:val="000000"/>
          <w:sz w:val="22"/>
          <w:szCs w:val="22"/>
        </w:rPr>
        <w:t> </w:t>
      </w:r>
      <w:r w:rsidRPr="006E50E2">
        <w:rPr>
          <w:rFonts w:ascii="Times New Roman" w:hAnsi="Times New Roman"/>
          <w:color w:val="000000"/>
          <w:sz w:val="22"/>
          <w:szCs w:val="22"/>
        </w:rPr>
        <w:t>2004. Dobeh dovo</w:t>
      </w:r>
      <w:r>
        <w:rPr>
          <w:rFonts w:ascii="Times New Roman" w:hAnsi="Times New Roman"/>
          <w:color w:val="000000"/>
          <w:sz w:val="22"/>
          <w:szCs w:val="22"/>
        </w:rPr>
        <w:t xml:space="preserve">zného cla dosiahol v roku 2015 </w:t>
      </w:r>
      <w:r w:rsidRPr="006E50E2">
        <w:rPr>
          <w:rFonts w:ascii="Times New Roman" w:hAnsi="Times New Roman"/>
          <w:color w:val="000000"/>
          <w:sz w:val="22"/>
          <w:szCs w:val="22"/>
        </w:rPr>
        <w:t xml:space="preserve">hodnotu </w:t>
      </w:r>
      <w:r>
        <w:rPr>
          <w:rFonts w:ascii="Times New Roman" w:hAnsi="Times New Roman"/>
          <w:color w:val="000000"/>
          <w:sz w:val="22"/>
          <w:szCs w:val="22"/>
        </w:rPr>
        <w:t>20</w:t>
      </w:r>
      <w:r w:rsidR="005F26CE">
        <w:rPr>
          <w:rFonts w:ascii="Times New Roman" w:hAnsi="Times New Roman"/>
          <w:color w:val="000000"/>
          <w:sz w:val="22"/>
          <w:szCs w:val="22"/>
        </w:rPr>
        <w:t xml:space="preserve"> tis. eur, d</w:t>
      </w:r>
      <w:r w:rsidRPr="006E50E2">
        <w:rPr>
          <w:rFonts w:ascii="Times New Roman" w:hAnsi="Times New Roman"/>
          <w:color w:val="000000"/>
          <w:sz w:val="22"/>
          <w:szCs w:val="22"/>
        </w:rPr>
        <w:t>obeh zrušenej d</w:t>
      </w:r>
      <w:r>
        <w:rPr>
          <w:rFonts w:ascii="Times New Roman" w:hAnsi="Times New Roman"/>
          <w:color w:val="000000"/>
          <w:sz w:val="22"/>
          <w:szCs w:val="22"/>
        </w:rPr>
        <w:t>ovoznej prirážky dosiahol sumu 2</w:t>
      </w:r>
      <w:r w:rsidRPr="006E50E2">
        <w:rPr>
          <w:rFonts w:ascii="Times New Roman" w:hAnsi="Times New Roman"/>
          <w:color w:val="000000"/>
          <w:sz w:val="22"/>
          <w:szCs w:val="22"/>
        </w:rPr>
        <w:t xml:space="preserve"> tis. eur.</w:t>
      </w:r>
    </w:p>
    <w:p w:rsidR="003B7E74" w:rsidRPr="000F6B30" w:rsidP="003B7E74">
      <w:pPr>
        <w:numPr>
          <w:numId w:val="11"/>
        </w:numPr>
        <w:tabs>
          <w:tab w:val="left" w:pos="284"/>
        </w:tabs>
        <w:bidi w:val="0"/>
        <w:spacing w:after="120" w:line="336" w:lineRule="auto"/>
        <w:ind w:left="0" w:firstLine="0"/>
        <w:jc w:val="both"/>
        <w:rPr>
          <w:rFonts w:ascii="Times New Roman" w:hAnsi="Times New Roman"/>
          <w:b/>
          <w:color w:val="000000"/>
          <w:sz w:val="22"/>
          <w:szCs w:val="22"/>
        </w:rPr>
      </w:pPr>
      <w:r w:rsidRPr="000F6B30">
        <w:rPr>
          <w:rFonts w:ascii="Times New Roman" w:hAnsi="Times New Roman"/>
          <w:b/>
          <w:color w:val="000000"/>
          <w:sz w:val="22"/>
          <w:szCs w:val="22"/>
        </w:rPr>
        <w:t xml:space="preserve">Sankcie uložené v daňovom konaní a sankcie súvisiace s úhradou dane </w:t>
      </w:r>
      <w:r w:rsidRPr="000F6B30">
        <w:rPr>
          <w:rFonts w:ascii="Times New Roman" w:hAnsi="Times New Roman"/>
          <w:color w:val="000000"/>
          <w:sz w:val="22"/>
          <w:szCs w:val="22"/>
        </w:rPr>
        <w:t>sa rozpočtovali v sume 19 761 tis. eur. Ich skutočná výška dosiahla sumu 18 205 tis. eur, resp. 14 728 tis. eur po presune podielu sankcií do dane z príjmov fyzických osôb, z ktorých bol poukázaný výnos územnej samospráve. Plnenie rozpočtu tak dosiahlo 92,1 %</w:t>
      </w:r>
      <w:r>
        <w:rPr>
          <w:rFonts w:ascii="Times New Roman" w:hAnsi="Times New Roman"/>
          <w:color w:val="000000"/>
          <w:sz w:val="22"/>
          <w:szCs w:val="22"/>
        </w:rPr>
        <w:t xml:space="preserve"> (resp.74,5 %)</w:t>
      </w:r>
      <w:r w:rsidRPr="000F6B30">
        <w:rPr>
          <w:rFonts w:ascii="Times New Roman" w:hAnsi="Times New Roman"/>
          <w:color w:val="000000"/>
          <w:sz w:val="22"/>
          <w:szCs w:val="22"/>
        </w:rPr>
        <w:t>.</w:t>
      </w:r>
    </w:p>
    <w:p w:rsidR="003B7E74" w:rsidP="003B7E74">
      <w:pPr>
        <w:pStyle w:val="HALVNEPISMOVS"/>
        <w:bidi w:val="0"/>
        <w:spacing w:line="336" w:lineRule="auto"/>
        <w:rPr>
          <w:rFonts w:ascii="Times New Roman" w:hAnsi="Times New Roman"/>
        </w:rPr>
      </w:pPr>
      <w:r>
        <w:rPr>
          <w:rFonts w:ascii="Times New Roman" w:hAnsi="Times New Roman" w:hint="default"/>
        </w:rPr>
        <w:t>Finanč</w:t>
      </w:r>
      <w:r>
        <w:rPr>
          <w:rFonts w:ascii="Times New Roman" w:hAnsi="Times New Roman" w:hint="default"/>
        </w:rPr>
        <w:t>né</w:t>
      </w:r>
      <w:r>
        <w:rPr>
          <w:rFonts w:ascii="Times New Roman" w:hAnsi="Times New Roman" w:hint="default"/>
        </w:rPr>
        <w:t xml:space="preserve"> orgá</w:t>
      </w:r>
      <w:r>
        <w:rPr>
          <w:rFonts w:ascii="Times New Roman" w:hAnsi="Times New Roman" w:hint="default"/>
        </w:rPr>
        <w:t>ny v sledovanom roku 2015 na ž</w:t>
      </w:r>
      <w:r>
        <w:rPr>
          <w:rFonts w:ascii="Times New Roman" w:hAnsi="Times New Roman" w:hint="default"/>
        </w:rPr>
        <w:t>iadosť</w:t>
      </w:r>
      <w:r>
        <w:rPr>
          <w:rFonts w:ascii="Times New Roman" w:hAnsi="Times New Roman" w:hint="default"/>
        </w:rPr>
        <w:t xml:space="preserve"> daň</w:t>
      </w:r>
      <w:r>
        <w:rPr>
          <w:rFonts w:ascii="Times New Roman" w:hAnsi="Times New Roman" w:hint="default"/>
        </w:rPr>
        <w:t>ové</w:t>
      </w:r>
      <w:r>
        <w:rPr>
          <w:rFonts w:ascii="Times New Roman" w:hAnsi="Times New Roman" w:hint="default"/>
        </w:rPr>
        <w:t>ho subjektu povolil</w:t>
      </w:r>
      <w:r>
        <w:rPr>
          <w:rFonts w:ascii="Times New Roman" w:hAnsi="Times New Roman" w:hint="default"/>
        </w:rPr>
        <w:t>i úľ</w:t>
      </w:r>
      <w:r>
        <w:rPr>
          <w:rFonts w:ascii="Times New Roman" w:hAnsi="Times New Roman" w:hint="default"/>
        </w:rPr>
        <w:t>avu na dani alebo odpustili daň</w:t>
      </w:r>
      <w:r>
        <w:rPr>
          <w:rFonts w:ascii="Times New Roman" w:hAnsi="Times New Roman" w:hint="default"/>
        </w:rPr>
        <w:t>ový</w:t>
      </w:r>
      <w:r>
        <w:rPr>
          <w:rFonts w:ascii="Times New Roman" w:hAnsi="Times New Roman" w:hint="default"/>
        </w:rPr>
        <w:t xml:space="preserve"> nedoplatok na dani v </w:t>
      </w:r>
      <w:r>
        <w:rPr>
          <w:rFonts w:ascii="Times New Roman" w:hAnsi="Times New Roman" w:hint="default"/>
        </w:rPr>
        <w:t>zmysle §</w:t>
      </w:r>
      <w:r>
        <w:rPr>
          <w:rFonts w:ascii="Times New Roman" w:hAnsi="Times New Roman" w:hint="default"/>
        </w:rPr>
        <w:t xml:space="preserve"> 70 daň</w:t>
      </w:r>
      <w:r>
        <w:rPr>
          <w:rFonts w:ascii="Times New Roman" w:hAnsi="Times New Roman" w:hint="default"/>
        </w:rPr>
        <w:t>ové</w:t>
      </w:r>
      <w:r>
        <w:rPr>
          <w:rFonts w:ascii="Times New Roman" w:hAnsi="Times New Roman" w:hint="default"/>
        </w:rPr>
        <w:t>ho poriadku v </w:t>
      </w:r>
      <w:r>
        <w:rPr>
          <w:rFonts w:ascii="Times New Roman" w:hAnsi="Times New Roman" w:hint="default"/>
        </w:rPr>
        <w:t>2 prí</w:t>
      </w:r>
      <w:r>
        <w:rPr>
          <w:rFonts w:ascii="Times New Roman" w:hAnsi="Times New Roman" w:hint="default"/>
        </w:rPr>
        <w:t>padoch v </w:t>
      </w:r>
      <w:r>
        <w:rPr>
          <w:rFonts w:ascii="Times New Roman" w:hAnsi="Times New Roman" w:hint="default"/>
        </w:rPr>
        <w:t>celkovej výš</w:t>
      </w:r>
      <w:r>
        <w:rPr>
          <w:rFonts w:ascii="Times New Roman" w:hAnsi="Times New Roman" w:hint="default"/>
        </w:rPr>
        <w:t xml:space="preserve">ke </w:t>
      </w:r>
      <w:r w:rsidR="00180FB9">
        <w:rPr>
          <w:rFonts w:ascii="Times New Roman" w:hAnsi="Times New Roman"/>
        </w:rPr>
        <w:t xml:space="preserve">1 tis. </w:t>
      </w:r>
      <w:r>
        <w:rPr>
          <w:rFonts w:ascii="Times New Roman" w:hAnsi="Times New Roman" w:hint="default"/>
        </w:rPr>
        <w:t>eur. Úľ</w:t>
      </w:r>
      <w:r>
        <w:rPr>
          <w:rFonts w:ascii="Times New Roman" w:hAnsi="Times New Roman" w:hint="default"/>
        </w:rPr>
        <w:t>av</w:t>
      </w:r>
      <w:r w:rsidR="00180FB9">
        <w:rPr>
          <w:rFonts w:ascii="Times New Roman" w:hAnsi="Times New Roman"/>
        </w:rPr>
        <w:t>y</w:t>
      </w:r>
      <w:r>
        <w:rPr>
          <w:rFonts w:ascii="Times New Roman" w:hAnsi="Times New Roman"/>
        </w:rPr>
        <w:t xml:space="preserve"> zo sankcie alebo odpustenie sankcie v </w:t>
      </w:r>
      <w:r>
        <w:rPr>
          <w:rFonts w:ascii="Times New Roman" w:hAnsi="Times New Roman" w:hint="default"/>
        </w:rPr>
        <w:t>zmysle §</w:t>
      </w:r>
      <w:r>
        <w:rPr>
          <w:rFonts w:ascii="Times New Roman" w:hAnsi="Times New Roman" w:hint="default"/>
        </w:rPr>
        <w:t xml:space="preserve"> 157 daň</w:t>
      </w:r>
      <w:r>
        <w:rPr>
          <w:rFonts w:ascii="Times New Roman" w:hAnsi="Times New Roman" w:hint="default"/>
        </w:rPr>
        <w:t>ové</w:t>
      </w:r>
      <w:r>
        <w:rPr>
          <w:rFonts w:ascii="Times New Roman" w:hAnsi="Times New Roman" w:hint="default"/>
        </w:rPr>
        <w:t>ho poriadku boli povolené</w:t>
      </w:r>
      <w:r>
        <w:rPr>
          <w:rFonts w:ascii="Times New Roman" w:hAnsi="Times New Roman" w:hint="default"/>
        </w:rPr>
        <w:t xml:space="preserve"> v 1 </w:t>
      </w:r>
      <w:r>
        <w:rPr>
          <w:rFonts w:ascii="Times New Roman" w:hAnsi="Times New Roman" w:hint="default"/>
        </w:rPr>
        <w:t>083 prí</w:t>
      </w:r>
      <w:r>
        <w:rPr>
          <w:rFonts w:ascii="Times New Roman" w:hAnsi="Times New Roman" w:hint="default"/>
        </w:rPr>
        <w:t>padoch v </w:t>
      </w:r>
      <w:r>
        <w:rPr>
          <w:rFonts w:ascii="Times New Roman" w:hAnsi="Times New Roman" w:hint="default"/>
        </w:rPr>
        <w:t>celkovej výš</w:t>
      </w:r>
      <w:r>
        <w:rPr>
          <w:rFonts w:ascii="Times New Roman" w:hAnsi="Times New Roman" w:hint="default"/>
        </w:rPr>
        <w:t>ke</w:t>
      </w:r>
      <w:r>
        <w:rPr>
          <w:rFonts w:ascii="Times New Roman" w:hAnsi="Times New Roman" w:hint="default"/>
        </w:rPr>
        <w:t xml:space="preserve"> 802 tis. eur.</w:t>
      </w:r>
      <w:r w:rsidR="000155FA">
        <w:rPr>
          <w:rFonts w:ascii="Times New Roman" w:hAnsi="Times New Roman"/>
        </w:rPr>
        <w:t xml:space="preserve"> V </w:t>
      </w:r>
      <w:r w:rsidR="000155FA">
        <w:rPr>
          <w:rFonts w:ascii="Times New Roman" w:hAnsi="Times New Roman" w:hint="default"/>
        </w:rPr>
        <w:t>roku 2014 bolo povolený</w:t>
      </w:r>
      <w:r w:rsidR="000155FA">
        <w:rPr>
          <w:rFonts w:ascii="Times New Roman" w:hAnsi="Times New Roman" w:hint="default"/>
        </w:rPr>
        <w:t>ch 2 </w:t>
      </w:r>
      <w:r w:rsidR="000155FA">
        <w:rPr>
          <w:rFonts w:ascii="Times New Roman" w:hAnsi="Times New Roman" w:hint="default"/>
        </w:rPr>
        <w:t>107 prí</w:t>
      </w:r>
      <w:r w:rsidR="000155FA">
        <w:rPr>
          <w:rFonts w:ascii="Times New Roman" w:hAnsi="Times New Roman" w:hint="default"/>
        </w:rPr>
        <w:t>padov v </w:t>
      </w:r>
      <w:r w:rsidR="000155FA">
        <w:rPr>
          <w:rFonts w:ascii="Times New Roman" w:hAnsi="Times New Roman" w:hint="default"/>
        </w:rPr>
        <w:t>ú</w:t>
      </w:r>
      <w:r w:rsidR="000155FA">
        <w:rPr>
          <w:rFonts w:ascii="Times New Roman" w:hAnsi="Times New Roman" w:hint="default"/>
        </w:rPr>
        <w:t>hrnnej výš</w:t>
      </w:r>
      <w:r w:rsidR="000155FA">
        <w:rPr>
          <w:rFonts w:ascii="Times New Roman" w:hAnsi="Times New Roman" w:hint="default"/>
        </w:rPr>
        <w:t>ke 1 471 tis. eur.</w:t>
      </w:r>
    </w:p>
    <w:tbl>
      <w:tblPr>
        <w:tblStyle w:val="TableNormal"/>
        <w:tblW w:w="8789" w:type="dxa"/>
        <w:tblInd w:w="108" w:type="dxa"/>
        <w:tblLayout w:type="fixed"/>
        <w:tblCellMar>
          <w:left w:w="0" w:type="dxa"/>
          <w:right w:w="0" w:type="dxa"/>
        </w:tblCellMar>
        <w:tblLook w:val="04A0"/>
      </w:tblPr>
      <w:tblGrid>
        <w:gridCol w:w="1519"/>
        <w:gridCol w:w="1883"/>
        <w:gridCol w:w="1985"/>
        <w:gridCol w:w="1559"/>
        <w:gridCol w:w="1843"/>
      </w:tblGrid>
      <w:tr>
        <w:tblPrEx>
          <w:tblW w:w="8789" w:type="dxa"/>
          <w:tblInd w:w="108" w:type="dxa"/>
          <w:tblLayout w:type="fixed"/>
          <w:tblCellMar>
            <w:left w:w="0" w:type="dxa"/>
            <w:right w:w="0" w:type="dxa"/>
          </w:tblCellMar>
          <w:tblLook w:val="04A0"/>
        </w:tblPrEx>
        <w:trPr>
          <w:trHeight w:val="414"/>
        </w:trPr>
        <w:tc>
          <w:tcPr>
            <w:tcW w:w="8789" w:type="dxa"/>
            <w:gridSpan w:val="5"/>
            <w:tcBorders>
              <w:top w:val="none" w:sz="0" w:space="0" w:color="auto"/>
              <w:left w:val="none" w:sz="0" w:space="0" w:color="auto"/>
              <w:bottom w:val="none" w:sz="0" w:space="0" w:color="auto"/>
              <w:right w:val="none" w:sz="0" w:space="0" w:color="auto"/>
            </w:tcBorders>
            <w:shd w:val="clear" w:color="auto" w:fill="000000"/>
            <w:tcMar>
              <w:top w:w="0" w:type="dxa"/>
              <w:left w:w="108" w:type="dxa"/>
              <w:bottom w:w="0" w:type="dxa"/>
              <w:right w:w="108" w:type="dxa"/>
            </w:tcMar>
            <w:textDirection w:val="lrTb"/>
            <w:vAlign w:val="center"/>
            <w:hideMark/>
          </w:tcPr>
          <w:p w:rsidR="003B7E74" w:rsidP="00AD0444">
            <w:pPr>
              <w:pStyle w:val="HALVNEPISMOVS"/>
              <w:bidi w:val="0"/>
              <w:spacing w:after="0"/>
              <w:jc w:val="left"/>
              <w:rPr>
                <w:rFonts w:ascii="Times New Roman" w:hAnsi="Times New Roman"/>
                <w:b/>
                <w:bCs/>
                <w:color w:val="auto"/>
                <w:sz w:val="18"/>
                <w:szCs w:val="18"/>
                <w:lang w:eastAsia="en-US"/>
              </w:rPr>
            </w:pPr>
            <w:r>
              <w:rPr>
                <w:rFonts w:eastAsia="Times New Roman"/>
              </w:rPr>
              <w:br w:type="page"/>
            </w:r>
            <w:r>
              <w:rPr>
                <w:rFonts w:ascii="Times New Roman" w:hAnsi="Times New Roman" w:hint="default"/>
                <w:b/>
                <w:bCs/>
                <w:color w:val="auto"/>
                <w:sz w:val="18"/>
                <w:szCs w:val="18"/>
                <w:lang w:eastAsia="en-US"/>
              </w:rPr>
              <w:t>Povolené</w:t>
            </w:r>
            <w:r>
              <w:rPr>
                <w:rFonts w:ascii="Times New Roman" w:hAnsi="Times New Roman" w:hint="default"/>
                <w:b/>
                <w:bCs/>
                <w:color w:val="auto"/>
                <w:sz w:val="18"/>
                <w:szCs w:val="18"/>
                <w:lang w:eastAsia="en-US"/>
              </w:rPr>
              <w:t xml:space="preserve"> úľ</w:t>
            </w:r>
            <w:r>
              <w:rPr>
                <w:rFonts w:ascii="Times New Roman" w:hAnsi="Times New Roman" w:hint="default"/>
                <w:b/>
                <w:bCs/>
                <w:color w:val="auto"/>
                <w:sz w:val="18"/>
                <w:szCs w:val="18"/>
                <w:lang w:eastAsia="en-US"/>
              </w:rPr>
              <w:t>avy na dani alebo odpustenie daň</w:t>
            </w:r>
            <w:r>
              <w:rPr>
                <w:rFonts w:ascii="Times New Roman" w:hAnsi="Times New Roman" w:hint="default"/>
                <w:b/>
                <w:bCs/>
                <w:color w:val="auto"/>
                <w:sz w:val="18"/>
                <w:szCs w:val="18"/>
                <w:lang w:eastAsia="en-US"/>
              </w:rPr>
              <w:t>ové</w:t>
            </w:r>
            <w:r>
              <w:rPr>
                <w:rFonts w:ascii="Times New Roman" w:hAnsi="Times New Roman" w:hint="default"/>
                <w:b/>
                <w:bCs/>
                <w:color w:val="auto"/>
                <w:sz w:val="18"/>
                <w:szCs w:val="18"/>
                <w:lang w:eastAsia="en-US"/>
              </w:rPr>
              <w:t>ho nedoplatku na dani a </w:t>
            </w:r>
            <w:r>
              <w:rPr>
                <w:rFonts w:ascii="Times New Roman" w:hAnsi="Times New Roman" w:hint="default"/>
                <w:b/>
                <w:bCs/>
                <w:color w:val="auto"/>
                <w:sz w:val="18"/>
                <w:szCs w:val="18"/>
                <w:lang w:eastAsia="en-US"/>
              </w:rPr>
              <w:t>úľ</w:t>
            </w:r>
            <w:r>
              <w:rPr>
                <w:rFonts w:ascii="Times New Roman" w:hAnsi="Times New Roman" w:hint="default"/>
                <w:b/>
                <w:bCs/>
                <w:color w:val="auto"/>
                <w:sz w:val="18"/>
                <w:szCs w:val="18"/>
                <w:lang w:eastAsia="en-US"/>
              </w:rPr>
              <w:t>avy zo sa</w:t>
            </w:r>
            <w:r w:rsidR="001F1246">
              <w:rPr>
                <w:rFonts w:ascii="Times New Roman" w:hAnsi="Times New Roman"/>
                <w:b/>
                <w:bCs/>
                <w:color w:val="auto"/>
                <w:sz w:val="18"/>
                <w:szCs w:val="18"/>
                <w:lang w:eastAsia="en-US"/>
              </w:rPr>
              <w:t xml:space="preserve">nkcie alebo odpustenie sankcie                                                      </w:t>
            </w:r>
            <w:r w:rsidR="001F1246">
              <w:rPr>
                <w:rFonts w:ascii="Times New Roman" w:hAnsi="Times New Roman"/>
                <w:b/>
                <w:bCs/>
                <w:color w:val="auto"/>
                <w:sz w:val="18"/>
                <w:szCs w:val="18"/>
                <w:lang w:eastAsia="en-US"/>
              </w:rPr>
              <w:t xml:space="preserve">                                                                                                             </w:t>
            </w:r>
            <w:r>
              <w:rPr>
                <w:rFonts w:ascii="Times New Roman" w:hAnsi="Times New Roman"/>
                <w:b/>
                <w:bCs/>
                <w:color w:val="auto"/>
                <w:sz w:val="18"/>
                <w:szCs w:val="18"/>
                <w:lang w:eastAsia="en-US"/>
              </w:rPr>
              <w:t>v tis. eur</w:t>
            </w:r>
          </w:p>
        </w:tc>
      </w:tr>
      <w:tr>
        <w:tblPrEx>
          <w:tblW w:w="8789" w:type="dxa"/>
          <w:tblInd w:w="108" w:type="dxa"/>
          <w:tblLayout w:type="fixed"/>
          <w:tblCellMar>
            <w:left w:w="0" w:type="dxa"/>
            <w:right w:w="0" w:type="dxa"/>
          </w:tblCellMar>
          <w:tblLook w:val="04A0"/>
        </w:tblPrEx>
        <w:trPr>
          <w:trHeight w:val="433"/>
        </w:trPr>
        <w:tc>
          <w:tcPr>
            <w:tcW w:w="1519" w:type="dxa"/>
            <w:vMerge w:val="restart"/>
            <w:tcBorders>
              <w:top w:val="nil"/>
              <w:left w:val="nil"/>
              <w:bottom w:val="none" w:sz="0" w:space="0" w:color="auto"/>
              <w:right w:val="nil"/>
            </w:tcBorders>
            <w:shd w:val="clear" w:color="auto" w:fill="BFBFBF"/>
            <w:tcMar>
              <w:top w:w="0" w:type="dxa"/>
              <w:left w:w="108" w:type="dxa"/>
              <w:bottom w:w="0" w:type="dxa"/>
              <w:right w:w="108" w:type="dxa"/>
            </w:tcMar>
            <w:textDirection w:val="lrTb"/>
            <w:vAlign w:val="center"/>
            <w:hideMark/>
          </w:tcPr>
          <w:p w:rsidR="003B7E74" w:rsidP="00F36D7E">
            <w:pPr>
              <w:pStyle w:val="HALVNEPISMOVS"/>
              <w:bidi w:val="0"/>
              <w:spacing w:after="0"/>
              <w:jc w:val="left"/>
              <w:rPr>
                <w:rFonts w:ascii="Times New Roman" w:hAnsi="Times New Roman" w:hint="default"/>
                <w:b/>
                <w:bCs/>
                <w:color w:val="auto"/>
                <w:sz w:val="18"/>
                <w:szCs w:val="18"/>
                <w:lang w:eastAsia="en-US"/>
              </w:rPr>
            </w:pPr>
            <w:r>
              <w:rPr>
                <w:rFonts w:ascii="Times New Roman" w:hAnsi="Times New Roman" w:hint="default"/>
                <w:b/>
                <w:bCs/>
                <w:color w:val="auto"/>
                <w:sz w:val="18"/>
                <w:szCs w:val="18"/>
                <w:lang w:eastAsia="en-US"/>
              </w:rPr>
              <w:t>Finanč</w:t>
            </w:r>
            <w:r>
              <w:rPr>
                <w:rFonts w:ascii="Times New Roman" w:hAnsi="Times New Roman" w:hint="default"/>
                <w:b/>
                <w:bCs/>
                <w:color w:val="auto"/>
                <w:sz w:val="18"/>
                <w:szCs w:val="18"/>
                <w:lang w:eastAsia="en-US"/>
              </w:rPr>
              <w:t>ný</w:t>
            </w:r>
            <w:r>
              <w:rPr>
                <w:rFonts w:ascii="Times New Roman" w:hAnsi="Times New Roman" w:hint="default"/>
                <w:b/>
                <w:bCs/>
                <w:color w:val="auto"/>
                <w:sz w:val="18"/>
                <w:szCs w:val="18"/>
                <w:lang w:eastAsia="en-US"/>
              </w:rPr>
              <w:t xml:space="preserve"> orgá</w:t>
            </w:r>
            <w:r>
              <w:rPr>
                <w:rFonts w:ascii="Times New Roman" w:hAnsi="Times New Roman" w:hint="default"/>
                <w:b/>
                <w:bCs/>
                <w:color w:val="auto"/>
                <w:sz w:val="18"/>
                <w:szCs w:val="18"/>
                <w:lang w:eastAsia="en-US"/>
              </w:rPr>
              <w:t>n</w:t>
            </w:r>
          </w:p>
        </w:tc>
        <w:tc>
          <w:tcPr>
            <w:tcW w:w="3868" w:type="dxa"/>
            <w:gridSpan w:val="2"/>
            <w:tcBorders>
              <w:top w:val="none" w:sz="0" w:space="0" w:color="auto"/>
              <w:left w:val="none" w:sz="0" w:space="0" w:color="auto"/>
              <w:bottom w:val="none" w:sz="0" w:space="0" w:color="auto"/>
              <w:right w:val="none" w:sz="0" w:space="0" w:color="auto"/>
            </w:tcBorders>
            <w:shd w:val="clear" w:color="auto" w:fill="BFBFBF"/>
            <w:tcMar>
              <w:top w:w="0" w:type="dxa"/>
              <w:left w:w="108" w:type="dxa"/>
              <w:bottom w:w="0" w:type="dxa"/>
              <w:right w:w="108" w:type="dxa"/>
            </w:tcMar>
            <w:textDirection w:val="lrTb"/>
            <w:vAlign w:val="top"/>
            <w:hideMark/>
          </w:tcPr>
          <w:p w:rsidR="003B7E74" w:rsidP="00F36D7E">
            <w:pPr>
              <w:pStyle w:val="HALVNEPISMOVS"/>
              <w:bidi w:val="0"/>
              <w:spacing w:after="0"/>
              <w:jc w:val="center"/>
              <w:rPr>
                <w:rFonts w:ascii="Times New Roman" w:hAnsi="Times New Roman" w:hint="default"/>
                <w:b/>
                <w:bCs/>
                <w:color w:val="auto"/>
                <w:sz w:val="18"/>
                <w:szCs w:val="18"/>
                <w:lang w:eastAsia="en-US"/>
              </w:rPr>
            </w:pPr>
            <w:r>
              <w:rPr>
                <w:rFonts w:ascii="Times New Roman" w:hAnsi="Times New Roman" w:hint="default"/>
                <w:b/>
                <w:bCs/>
                <w:color w:val="auto"/>
                <w:sz w:val="18"/>
                <w:szCs w:val="18"/>
                <w:lang w:eastAsia="en-US"/>
              </w:rPr>
              <w:t>Úľ</w:t>
            </w:r>
            <w:r>
              <w:rPr>
                <w:rFonts w:ascii="Times New Roman" w:hAnsi="Times New Roman" w:hint="default"/>
                <w:b/>
                <w:bCs/>
                <w:color w:val="auto"/>
                <w:sz w:val="18"/>
                <w:szCs w:val="18"/>
                <w:lang w:eastAsia="en-US"/>
              </w:rPr>
              <w:t>avy na dani alebo odpustenie daň</w:t>
            </w:r>
            <w:r>
              <w:rPr>
                <w:rFonts w:ascii="Times New Roman" w:hAnsi="Times New Roman" w:hint="default"/>
                <w:b/>
                <w:bCs/>
                <w:color w:val="auto"/>
                <w:sz w:val="18"/>
                <w:szCs w:val="18"/>
                <w:lang w:eastAsia="en-US"/>
              </w:rPr>
              <w:t>ové</w:t>
            </w:r>
            <w:r>
              <w:rPr>
                <w:rFonts w:ascii="Times New Roman" w:hAnsi="Times New Roman" w:hint="default"/>
                <w:b/>
                <w:bCs/>
                <w:color w:val="auto"/>
                <w:sz w:val="18"/>
                <w:szCs w:val="18"/>
                <w:lang w:eastAsia="en-US"/>
              </w:rPr>
              <w:t xml:space="preserve">ho nedoplatku na dani </w:t>
            </w:r>
          </w:p>
        </w:tc>
        <w:tc>
          <w:tcPr>
            <w:tcW w:w="3402" w:type="dxa"/>
            <w:gridSpan w:val="2"/>
            <w:tcBorders>
              <w:top w:val="none" w:sz="0" w:space="0" w:color="auto"/>
              <w:left w:val="none" w:sz="0" w:space="0" w:color="auto"/>
              <w:bottom w:val="none" w:sz="0" w:space="0" w:color="auto"/>
              <w:right w:val="none" w:sz="0" w:space="0" w:color="auto"/>
            </w:tcBorders>
            <w:shd w:val="clear" w:color="auto" w:fill="BFBFBF"/>
            <w:tcMar>
              <w:top w:w="0" w:type="dxa"/>
              <w:left w:w="108" w:type="dxa"/>
              <w:bottom w:w="0" w:type="dxa"/>
              <w:right w:w="108" w:type="dxa"/>
            </w:tcMar>
            <w:textDirection w:val="lrTb"/>
            <w:vAlign w:val="top"/>
            <w:hideMark/>
          </w:tcPr>
          <w:p w:rsidR="003B7E74" w:rsidP="00F36D7E">
            <w:pPr>
              <w:pStyle w:val="HALVNEPISMOVS"/>
              <w:bidi w:val="0"/>
              <w:spacing w:after="0"/>
              <w:jc w:val="center"/>
              <w:rPr>
                <w:rFonts w:ascii="Times New Roman" w:hAnsi="Times New Roman" w:hint="default"/>
                <w:b/>
                <w:bCs/>
                <w:color w:val="auto"/>
                <w:sz w:val="18"/>
                <w:szCs w:val="18"/>
                <w:lang w:eastAsia="en-US"/>
              </w:rPr>
            </w:pPr>
            <w:r>
              <w:rPr>
                <w:rFonts w:ascii="Times New Roman" w:hAnsi="Times New Roman" w:hint="default"/>
                <w:b/>
                <w:bCs/>
                <w:color w:val="auto"/>
                <w:sz w:val="18"/>
                <w:szCs w:val="18"/>
                <w:lang w:eastAsia="en-US"/>
              </w:rPr>
              <w:t>Úľ</w:t>
            </w:r>
            <w:r>
              <w:rPr>
                <w:rFonts w:ascii="Times New Roman" w:hAnsi="Times New Roman" w:hint="default"/>
                <w:b/>
                <w:bCs/>
                <w:color w:val="auto"/>
                <w:sz w:val="18"/>
                <w:szCs w:val="18"/>
                <w:lang w:eastAsia="en-US"/>
              </w:rPr>
              <w:t xml:space="preserve">avy zo sankcie alebo odpustenie sankcie </w:t>
            </w:r>
          </w:p>
        </w:tc>
      </w:tr>
      <w:tr>
        <w:tblPrEx>
          <w:tblW w:w="8789" w:type="dxa"/>
          <w:tblInd w:w="108" w:type="dxa"/>
          <w:tblLayout w:type="fixed"/>
          <w:tblCellMar>
            <w:left w:w="0" w:type="dxa"/>
            <w:right w:w="0" w:type="dxa"/>
          </w:tblCellMar>
          <w:tblLook w:val="04A0"/>
        </w:tblPrEx>
        <w:trPr>
          <w:trHeight w:val="89"/>
        </w:trPr>
        <w:tc>
          <w:tcPr>
            <w:tcW w:w="1519" w:type="dxa"/>
            <w:vMerge/>
            <w:tcBorders>
              <w:top w:val="nil"/>
              <w:left w:val="nil"/>
              <w:bottom w:val="single" w:sz="8" w:space="0" w:color="auto"/>
              <w:right w:val="nil"/>
            </w:tcBorders>
            <w:textDirection w:val="lrTb"/>
            <w:vAlign w:val="center"/>
            <w:hideMark/>
          </w:tcPr>
          <w:p w:rsidR="003B7E74" w:rsidRPr="003B7E74" w:rsidP="00F36D7E">
            <w:pPr>
              <w:bidi w:val="0"/>
              <w:rPr>
                <w:rFonts w:ascii="Times New Roman" w:eastAsia="Calibri" w:hAnsi="Times New Roman"/>
                <w:b/>
                <w:bCs/>
                <w:sz w:val="18"/>
                <w:szCs w:val="18"/>
                <w:lang w:eastAsia="en-US"/>
              </w:rPr>
            </w:pPr>
          </w:p>
        </w:tc>
        <w:tc>
          <w:tcPr>
            <w:tcW w:w="1883" w:type="dxa"/>
            <w:tcBorders>
              <w:top w:val="nil"/>
              <w:left w:val="nil"/>
              <w:bottom w:val="single" w:sz="8" w:space="0" w:color="auto"/>
              <w:right w:val="nil"/>
            </w:tcBorders>
            <w:shd w:val="clear" w:color="auto" w:fill="BFBFBF"/>
            <w:tcMar>
              <w:top w:w="0" w:type="dxa"/>
              <w:left w:w="108" w:type="dxa"/>
              <w:bottom w:w="0" w:type="dxa"/>
              <w:right w:w="108" w:type="dxa"/>
            </w:tcMar>
            <w:textDirection w:val="lrTb"/>
            <w:vAlign w:val="center"/>
            <w:hideMark/>
          </w:tcPr>
          <w:p w:rsidR="003B7E74" w:rsidRPr="003B7E74" w:rsidP="00F36D7E">
            <w:pPr>
              <w:bidi w:val="0"/>
              <w:ind w:right="259"/>
              <w:jc w:val="center"/>
              <w:rPr>
                <w:rFonts w:ascii="Times New Roman" w:eastAsia="Calibri" w:hAnsi="Times New Roman"/>
                <w:b/>
                <w:bCs/>
                <w:sz w:val="18"/>
                <w:szCs w:val="18"/>
                <w:lang w:eastAsia="en-US"/>
              </w:rPr>
            </w:pPr>
            <w:r>
              <w:rPr>
                <w:rFonts w:ascii="Times New Roman" w:hAnsi="Times New Roman"/>
                <w:b/>
                <w:bCs/>
                <w:sz w:val="18"/>
                <w:szCs w:val="18"/>
              </w:rPr>
              <w:t>počet</w:t>
            </w:r>
          </w:p>
        </w:tc>
        <w:tc>
          <w:tcPr>
            <w:tcW w:w="1985" w:type="dxa"/>
            <w:tcBorders>
              <w:top w:val="nil"/>
              <w:left w:val="nil"/>
              <w:bottom w:val="single" w:sz="8" w:space="0" w:color="auto"/>
              <w:right w:val="nil"/>
            </w:tcBorders>
            <w:shd w:val="clear" w:color="auto" w:fill="BFBFBF"/>
            <w:tcMar>
              <w:top w:w="0" w:type="dxa"/>
              <w:left w:w="108" w:type="dxa"/>
              <w:bottom w:w="0" w:type="dxa"/>
              <w:right w:w="108" w:type="dxa"/>
            </w:tcMar>
            <w:textDirection w:val="lrTb"/>
            <w:vAlign w:val="center"/>
            <w:hideMark/>
          </w:tcPr>
          <w:p w:rsidR="003B7E74" w:rsidRPr="003B7E74" w:rsidP="00F36D7E">
            <w:pPr>
              <w:bidi w:val="0"/>
              <w:ind w:right="265"/>
              <w:jc w:val="center"/>
              <w:rPr>
                <w:rFonts w:ascii="Times New Roman" w:eastAsia="Calibri" w:hAnsi="Times New Roman"/>
                <w:b/>
                <w:bCs/>
                <w:sz w:val="18"/>
                <w:szCs w:val="18"/>
                <w:lang w:eastAsia="en-US"/>
              </w:rPr>
            </w:pPr>
            <w:r>
              <w:rPr>
                <w:rFonts w:ascii="Times New Roman" w:hAnsi="Times New Roman"/>
                <w:b/>
                <w:bCs/>
                <w:sz w:val="18"/>
                <w:szCs w:val="18"/>
              </w:rPr>
              <w:t>suma</w:t>
            </w:r>
          </w:p>
        </w:tc>
        <w:tc>
          <w:tcPr>
            <w:tcW w:w="1559" w:type="dxa"/>
            <w:tcBorders>
              <w:top w:val="nil"/>
              <w:left w:val="nil"/>
              <w:bottom w:val="single" w:sz="8" w:space="0" w:color="auto"/>
              <w:right w:val="nil"/>
            </w:tcBorders>
            <w:shd w:val="clear" w:color="auto" w:fill="BFBFBF"/>
            <w:tcMar>
              <w:top w:w="0" w:type="dxa"/>
              <w:left w:w="108" w:type="dxa"/>
              <w:bottom w:w="0" w:type="dxa"/>
              <w:right w:w="108" w:type="dxa"/>
            </w:tcMar>
            <w:textDirection w:val="lrTb"/>
            <w:vAlign w:val="center"/>
            <w:hideMark/>
          </w:tcPr>
          <w:p w:rsidR="003B7E74" w:rsidRPr="003B7E74" w:rsidP="00F36D7E">
            <w:pPr>
              <w:bidi w:val="0"/>
              <w:ind w:right="271"/>
              <w:jc w:val="center"/>
              <w:rPr>
                <w:rFonts w:ascii="Times New Roman" w:eastAsia="Calibri" w:hAnsi="Times New Roman"/>
                <w:b/>
                <w:bCs/>
                <w:sz w:val="18"/>
                <w:szCs w:val="18"/>
                <w:lang w:eastAsia="en-US"/>
              </w:rPr>
            </w:pPr>
            <w:r>
              <w:rPr>
                <w:rFonts w:ascii="Times New Roman" w:hAnsi="Times New Roman"/>
                <w:b/>
                <w:bCs/>
                <w:sz w:val="18"/>
                <w:szCs w:val="18"/>
              </w:rPr>
              <w:t>počet</w:t>
            </w:r>
          </w:p>
        </w:tc>
        <w:tc>
          <w:tcPr>
            <w:tcW w:w="1843" w:type="dxa"/>
            <w:tcBorders>
              <w:top w:val="nil"/>
              <w:left w:val="nil"/>
              <w:bottom w:val="single" w:sz="8" w:space="0" w:color="auto"/>
              <w:right w:val="nil"/>
            </w:tcBorders>
            <w:shd w:val="clear" w:color="auto" w:fill="BFBFBF"/>
            <w:tcMar>
              <w:top w:w="0" w:type="dxa"/>
              <w:left w:w="108" w:type="dxa"/>
              <w:bottom w:w="0" w:type="dxa"/>
              <w:right w:w="108" w:type="dxa"/>
            </w:tcMar>
            <w:textDirection w:val="lrTb"/>
            <w:vAlign w:val="center"/>
            <w:hideMark/>
          </w:tcPr>
          <w:p w:rsidR="003B7E74" w:rsidRPr="003B7E74" w:rsidP="00F36D7E">
            <w:pPr>
              <w:bidi w:val="0"/>
              <w:ind w:right="277"/>
              <w:jc w:val="center"/>
              <w:rPr>
                <w:rFonts w:ascii="Times New Roman" w:eastAsia="Calibri" w:hAnsi="Times New Roman"/>
                <w:b/>
                <w:bCs/>
                <w:sz w:val="18"/>
                <w:szCs w:val="18"/>
                <w:lang w:eastAsia="en-US"/>
              </w:rPr>
            </w:pPr>
            <w:r>
              <w:rPr>
                <w:rFonts w:ascii="Times New Roman" w:hAnsi="Times New Roman"/>
                <w:b/>
                <w:bCs/>
                <w:sz w:val="18"/>
                <w:szCs w:val="18"/>
              </w:rPr>
              <w:t>suma</w:t>
            </w:r>
          </w:p>
        </w:tc>
      </w:tr>
      <w:tr>
        <w:tblPrEx>
          <w:tblW w:w="8789" w:type="dxa"/>
          <w:tblInd w:w="108" w:type="dxa"/>
          <w:tblLayout w:type="fixed"/>
          <w:tblCellMar>
            <w:left w:w="0" w:type="dxa"/>
            <w:right w:w="0" w:type="dxa"/>
          </w:tblCellMar>
          <w:tblLook w:val="04A0"/>
        </w:tblPrEx>
        <w:trPr>
          <w:trHeight w:val="325"/>
        </w:trPr>
        <w:tc>
          <w:tcPr>
            <w:tcW w:w="1519"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P="00F36D7E">
            <w:pPr>
              <w:pStyle w:val="HALVNEPISMOVS"/>
              <w:bidi w:val="0"/>
              <w:spacing w:after="0"/>
              <w:jc w:val="left"/>
              <w:rPr>
                <w:rFonts w:ascii="Times New Roman" w:hAnsi="Times New Roman" w:hint="default"/>
                <w:color w:val="auto"/>
                <w:sz w:val="18"/>
                <w:szCs w:val="18"/>
                <w:lang w:eastAsia="en-US"/>
              </w:rPr>
            </w:pPr>
            <w:r>
              <w:rPr>
                <w:rFonts w:ascii="Times New Roman" w:hAnsi="Times New Roman" w:hint="default"/>
                <w:color w:val="auto"/>
                <w:sz w:val="18"/>
                <w:szCs w:val="18"/>
                <w:lang w:eastAsia="en-US"/>
              </w:rPr>
              <w:t>Daň</w:t>
            </w:r>
            <w:r>
              <w:rPr>
                <w:rFonts w:ascii="Times New Roman" w:hAnsi="Times New Roman" w:hint="default"/>
                <w:color w:val="auto"/>
                <w:sz w:val="18"/>
                <w:szCs w:val="18"/>
                <w:lang w:eastAsia="en-US"/>
              </w:rPr>
              <w:t>ové</w:t>
            </w:r>
            <w:r>
              <w:rPr>
                <w:rFonts w:ascii="Times New Roman" w:hAnsi="Times New Roman" w:hint="default"/>
                <w:color w:val="auto"/>
                <w:sz w:val="18"/>
                <w:szCs w:val="18"/>
                <w:lang w:eastAsia="en-US"/>
              </w:rPr>
              <w:t xml:space="preserve"> ú</w:t>
            </w:r>
            <w:r>
              <w:rPr>
                <w:rFonts w:ascii="Times New Roman" w:hAnsi="Times New Roman" w:hint="default"/>
                <w:color w:val="auto"/>
                <w:sz w:val="18"/>
                <w:szCs w:val="18"/>
                <w:lang w:eastAsia="en-US"/>
              </w:rPr>
              <w:t>rady</w:t>
            </w:r>
          </w:p>
        </w:tc>
        <w:tc>
          <w:tcPr>
            <w:tcW w:w="1883"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59"/>
              <w:jc w:val="center"/>
              <w:rPr>
                <w:rFonts w:ascii="Calibri" w:eastAsia="Calibri" w:hAnsi="Calibri"/>
                <w:sz w:val="18"/>
                <w:szCs w:val="18"/>
                <w:lang w:eastAsia="en-US"/>
              </w:rPr>
            </w:pPr>
            <w:r>
              <w:rPr>
                <w:rFonts w:ascii="Times New Roman" w:hAnsi="Times New Roman"/>
                <w:sz w:val="18"/>
                <w:szCs w:val="18"/>
              </w:rPr>
              <w:t>2</w:t>
            </w:r>
          </w:p>
        </w:tc>
        <w:tc>
          <w:tcPr>
            <w:tcW w:w="1985"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65"/>
              <w:jc w:val="center"/>
              <w:rPr>
                <w:rFonts w:ascii="Calibri" w:eastAsia="Calibri" w:hAnsi="Calibri"/>
                <w:sz w:val="18"/>
                <w:szCs w:val="18"/>
                <w:lang w:eastAsia="en-US"/>
              </w:rPr>
            </w:pPr>
            <w:r>
              <w:rPr>
                <w:rFonts w:ascii="Times New Roman" w:hAnsi="Times New Roman"/>
                <w:sz w:val="18"/>
                <w:szCs w:val="18"/>
              </w:rPr>
              <w:t xml:space="preserve">1 </w:t>
            </w:r>
          </w:p>
        </w:tc>
        <w:tc>
          <w:tcPr>
            <w:tcW w:w="1559"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71"/>
              <w:jc w:val="center"/>
              <w:rPr>
                <w:rFonts w:ascii="Calibri" w:eastAsia="Calibri" w:hAnsi="Calibri"/>
                <w:sz w:val="18"/>
                <w:szCs w:val="18"/>
                <w:lang w:eastAsia="en-US"/>
              </w:rPr>
            </w:pPr>
            <w:r>
              <w:rPr>
                <w:rFonts w:ascii="Times New Roman" w:hAnsi="Times New Roman"/>
                <w:sz w:val="18"/>
                <w:szCs w:val="18"/>
              </w:rPr>
              <w:t>1 080</w:t>
            </w:r>
          </w:p>
        </w:tc>
        <w:tc>
          <w:tcPr>
            <w:tcW w:w="1843"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77"/>
              <w:jc w:val="center"/>
              <w:rPr>
                <w:rFonts w:ascii="Calibri" w:eastAsia="Calibri" w:hAnsi="Calibri"/>
                <w:sz w:val="18"/>
                <w:szCs w:val="18"/>
                <w:lang w:eastAsia="en-US"/>
              </w:rPr>
            </w:pPr>
            <w:r>
              <w:rPr>
                <w:rFonts w:ascii="Times New Roman" w:hAnsi="Times New Roman"/>
                <w:sz w:val="18"/>
                <w:szCs w:val="18"/>
              </w:rPr>
              <w:t>783</w:t>
            </w:r>
          </w:p>
        </w:tc>
      </w:tr>
      <w:tr>
        <w:tblPrEx>
          <w:tblW w:w="8789" w:type="dxa"/>
          <w:tblInd w:w="108" w:type="dxa"/>
          <w:tblLayout w:type="fixed"/>
          <w:tblCellMar>
            <w:left w:w="0" w:type="dxa"/>
            <w:right w:w="0" w:type="dxa"/>
          </w:tblCellMar>
          <w:tblLook w:val="04A0"/>
        </w:tblPrEx>
        <w:trPr>
          <w:trHeight w:val="217"/>
        </w:trPr>
        <w:tc>
          <w:tcPr>
            <w:tcW w:w="1519"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P="00F36D7E">
            <w:pPr>
              <w:pStyle w:val="HALVNEPISMOVS"/>
              <w:bidi w:val="0"/>
              <w:spacing w:after="0"/>
              <w:jc w:val="left"/>
              <w:rPr>
                <w:rFonts w:ascii="Times New Roman" w:hAnsi="Times New Roman" w:hint="default"/>
                <w:color w:val="auto"/>
                <w:sz w:val="18"/>
                <w:szCs w:val="18"/>
                <w:lang w:eastAsia="en-US"/>
              </w:rPr>
            </w:pPr>
            <w:r>
              <w:rPr>
                <w:rFonts w:ascii="Times New Roman" w:hAnsi="Times New Roman" w:hint="default"/>
                <w:color w:val="auto"/>
                <w:sz w:val="18"/>
                <w:szCs w:val="18"/>
                <w:lang w:eastAsia="en-US"/>
              </w:rPr>
              <w:t>Colné</w:t>
            </w:r>
            <w:r>
              <w:rPr>
                <w:rFonts w:ascii="Times New Roman" w:hAnsi="Times New Roman" w:hint="default"/>
                <w:color w:val="auto"/>
                <w:sz w:val="18"/>
                <w:szCs w:val="18"/>
                <w:lang w:eastAsia="en-US"/>
              </w:rPr>
              <w:t xml:space="preserve"> ú</w:t>
            </w:r>
            <w:r>
              <w:rPr>
                <w:rFonts w:ascii="Times New Roman" w:hAnsi="Times New Roman" w:hint="default"/>
                <w:color w:val="auto"/>
                <w:sz w:val="18"/>
                <w:szCs w:val="18"/>
                <w:lang w:eastAsia="en-US"/>
              </w:rPr>
              <w:t xml:space="preserve">rady /* </w:t>
            </w:r>
          </w:p>
        </w:tc>
        <w:tc>
          <w:tcPr>
            <w:tcW w:w="1883"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59"/>
              <w:jc w:val="center"/>
              <w:rPr>
                <w:rFonts w:ascii="Calibri" w:eastAsia="Calibri" w:hAnsi="Calibri"/>
                <w:sz w:val="18"/>
                <w:szCs w:val="18"/>
                <w:lang w:eastAsia="en-US"/>
              </w:rPr>
            </w:pPr>
            <w:r>
              <w:rPr>
                <w:rFonts w:ascii="Times New Roman" w:hAnsi="Times New Roman"/>
                <w:sz w:val="18"/>
                <w:szCs w:val="18"/>
              </w:rPr>
              <w:t>x</w:t>
            </w:r>
          </w:p>
        </w:tc>
        <w:tc>
          <w:tcPr>
            <w:tcW w:w="1985"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65"/>
              <w:jc w:val="center"/>
              <w:rPr>
                <w:rFonts w:ascii="Calibri" w:eastAsia="Calibri" w:hAnsi="Calibri"/>
                <w:sz w:val="18"/>
                <w:szCs w:val="18"/>
                <w:lang w:eastAsia="en-US"/>
              </w:rPr>
            </w:pPr>
            <w:r>
              <w:rPr>
                <w:rFonts w:ascii="Times New Roman" w:hAnsi="Times New Roman"/>
                <w:sz w:val="18"/>
                <w:szCs w:val="18"/>
              </w:rPr>
              <w:t>x</w:t>
            </w:r>
          </w:p>
        </w:tc>
        <w:tc>
          <w:tcPr>
            <w:tcW w:w="1559"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71"/>
              <w:jc w:val="center"/>
              <w:rPr>
                <w:rFonts w:ascii="Calibri" w:eastAsia="Calibri" w:hAnsi="Calibri"/>
                <w:sz w:val="18"/>
                <w:szCs w:val="18"/>
                <w:lang w:eastAsia="en-US"/>
              </w:rPr>
            </w:pPr>
            <w:r>
              <w:rPr>
                <w:rFonts w:ascii="Times New Roman" w:hAnsi="Times New Roman"/>
                <w:sz w:val="18"/>
                <w:szCs w:val="18"/>
              </w:rPr>
              <w:t>3</w:t>
            </w:r>
          </w:p>
        </w:tc>
        <w:tc>
          <w:tcPr>
            <w:tcW w:w="1843" w:type="dxa"/>
            <w:tcBorders>
              <w:top w:val="none" w:sz="0" w:space="0" w:color="auto"/>
              <w:left w:val="none" w:sz="0" w:space="0" w:color="auto"/>
              <w:bottom w:val="none" w:sz="0"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77"/>
              <w:jc w:val="center"/>
              <w:rPr>
                <w:rFonts w:ascii="Calibri" w:eastAsia="Calibri" w:hAnsi="Calibri"/>
                <w:sz w:val="18"/>
                <w:szCs w:val="18"/>
                <w:lang w:eastAsia="en-US"/>
              </w:rPr>
            </w:pPr>
            <w:r>
              <w:rPr>
                <w:rFonts w:ascii="Times New Roman" w:hAnsi="Times New Roman"/>
                <w:sz w:val="18"/>
                <w:szCs w:val="18"/>
              </w:rPr>
              <w:t>19</w:t>
            </w:r>
          </w:p>
        </w:tc>
      </w:tr>
      <w:tr>
        <w:tblPrEx>
          <w:tblW w:w="8789" w:type="dxa"/>
          <w:tblInd w:w="108" w:type="dxa"/>
          <w:tblLayout w:type="fixed"/>
          <w:tblCellMar>
            <w:left w:w="0" w:type="dxa"/>
            <w:right w:w="0" w:type="dxa"/>
          </w:tblCellMar>
          <w:tblLook w:val="04A0"/>
        </w:tblPrEx>
        <w:trPr>
          <w:trHeight w:val="217"/>
        </w:trPr>
        <w:tc>
          <w:tcPr>
            <w:tcW w:w="1519" w:type="dxa"/>
            <w:tcBorders>
              <w:top w:val="none" w:sz="0" w:space="0" w:color="auto"/>
              <w:left w:val="none" w:sz="0" w:space="0" w:color="auto"/>
              <w:bottom w:val="single" w:sz="8" w:space="0" w:color="auto"/>
              <w:right w:val="none" w:sz="0" w:space="0" w:color="auto"/>
            </w:tcBorders>
            <w:tcMar>
              <w:top w:w="0" w:type="dxa"/>
              <w:left w:w="108" w:type="dxa"/>
              <w:bottom w:w="0" w:type="dxa"/>
              <w:right w:w="108" w:type="dxa"/>
            </w:tcMar>
            <w:textDirection w:val="lrTb"/>
            <w:vAlign w:val="center"/>
            <w:hideMark/>
          </w:tcPr>
          <w:p w:rsidR="003B7E74" w:rsidP="00F36D7E">
            <w:pPr>
              <w:pStyle w:val="HALVNEPISMOVS"/>
              <w:bidi w:val="0"/>
              <w:spacing w:after="0"/>
              <w:jc w:val="left"/>
              <w:rPr>
                <w:rFonts w:ascii="Times New Roman" w:hAnsi="Times New Roman"/>
                <w:color w:val="auto"/>
                <w:sz w:val="18"/>
                <w:szCs w:val="18"/>
                <w:lang w:eastAsia="en-US"/>
              </w:rPr>
            </w:pPr>
            <w:r>
              <w:rPr>
                <w:rFonts w:ascii="Times New Roman" w:hAnsi="Times New Roman"/>
                <w:color w:val="auto"/>
                <w:sz w:val="18"/>
                <w:szCs w:val="18"/>
                <w:lang w:eastAsia="en-US"/>
              </w:rPr>
              <w:t>FR SR</w:t>
            </w:r>
          </w:p>
        </w:tc>
        <w:tc>
          <w:tcPr>
            <w:tcW w:w="1883" w:type="dxa"/>
            <w:tcBorders>
              <w:top w:val="none" w:sz="0" w:space="0" w:color="auto"/>
              <w:left w:val="none" w:sz="0" w:space="0" w:color="auto"/>
              <w:bottom w:val="single" w:sz="8"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59"/>
              <w:jc w:val="center"/>
              <w:rPr>
                <w:rFonts w:ascii="Calibri" w:eastAsia="Calibri" w:hAnsi="Calibri"/>
                <w:sz w:val="18"/>
                <w:szCs w:val="18"/>
                <w:lang w:eastAsia="en-US"/>
              </w:rPr>
            </w:pPr>
            <w:r>
              <w:rPr>
                <w:rFonts w:ascii="Times New Roman" w:hAnsi="Times New Roman"/>
                <w:sz w:val="18"/>
                <w:szCs w:val="18"/>
              </w:rPr>
              <w:t>x</w:t>
            </w:r>
          </w:p>
        </w:tc>
        <w:tc>
          <w:tcPr>
            <w:tcW w:w="1985" w:type="dxa"/>
            <w:tcBorders>
              <w:top w:val="none" w:sz="0" w:space="0" w:color="auto"/>
              <w:left w:val="none" w:sz="0" w:space="0" w:color="auto"/>
              <w:bottom w:val="single" w:sz="8"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65"/>
              <w:jc w:val="center"/>
              <w:rPr>
                <w:rFonts w:ascii="Calibri" w:eastAsia="Calibri" w:hAnsi="Calibri"/>
                <w:sz w:val="18"/>
                <w:szCs w:val="18"/>
                <w:lang w:eastAsia="en-US"/>
              </w:rPr>
            </w:pPr>
            <w:r>
              <w:rPr>
                <w:rFonts w:ascii="Times New Roman" w:hAnsi="Times New Roman"/>
                <w:sz w:val="18"/>
                <w:szCs w:val="18"/>
              </w:rPr>
              <w:t>x</w:t>
            </w:r>
          </w:p>
        </w:tc>
        <w:tc>
          <w:tcPr>
            <w:tcW w:w="1559" w:type="dxa"/>
            <w:tcBorders>
              <w:top w:val="none" w:sz="0" w:space="0" w:color="auto"/>
              <w:left w:val="none" w:sz="0" w:space="0" w:color="auto"/>
              <w:bottom w:val="single" w:sz="8"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71"/>
              <w:jc w:val="center"/>
              <w:rPr>
                <w:rFonts w:ascii="Calibri" w:eastAsia="Calibri" w:hAnsi="Calibri"/>
                <w:sz w:val="18"/>
                <w:szCs w:val="18"/>
                <w:lang w:eastAsia="en-US"/>
              </w:rPr>
            </w:pPr>
            <w:r>
              <w:rPr>
                <w:rFonts w:ascii="Times New Roman" w:hAnsi="Times New Roman"/>
                <w:sz w:val="18"/>
                <w:szCs w:val="18"/>
              </w:rPr>
              <w:t>x</w:t>
            </w:r>
          </w:p>
        </w:tc>
        <w:tc>
          <w:tcPr>
            <w:tcW w:w="1843" w:type="dxa"/>
            <w:tcBorders>
              <w:top w:val="none" w:sz="0" w:space="0" w:color="auto"/>
              <w:left w:val="none" w:sz="0" w:space="0" w:color="auto"/>
              <w:bottom w:val="single" w:sz="8" w:space="0" w:color="auto"/>
              <w:right w:val="none" w:sz="0" w:space="0" w:color="auto"/>
            </w:tcBorders>
            <w:tcMar>
              <w:top w:w="0" w:type="dxa"/>
              <w:left w:w="108" w:type="dxa"/>
              <w:bottom w:w="0" w:type="dxa"/>
              <w:right w:w="108" w:type="dxa"/>
            </w:tcMar>
            <w:textDirection w:val="lrTb"/>
            <w:vAlign w:val="center"/>
            <w:hideMark/>
          </w:tcPr>
          <w:p w:rsidR="003B7E74" w:rsidRPr="003B7E74" w:rsidP="00F36D7E">
            <w:pPr>
              <w:bidi w:val="0"/>
              <w:ind w:right="277"/>
              <w:jc w:val="center"/>
              <w:rPr>
                <w:rFonts w:ascii="Calibri" w:eastAsia="Calibri" w:hAnsi="Calibri"/>
                <w:sz w:val="18"/>
                <w:szCs w:val="18"/>
                <w:lang w:eastAsia="en-US"/>
              </w:rPr>
            </w:pPr>
            <w:r>
              <w:rPr>
                <w:rFonts w:ascii="Times New Roman" w:hAnsi="Times New Roman"/>
                <w:sz w:val="18"/>
                <w:szCs w:val="18"/>
              </w:rPr>
              <w:t>x</w:t>
            </w:r>
          </w:p>
        </w:tc>
      </w:tr>
      <w:tr>
        <w:tblPrEx>
          <w:tblW w:w="8789" w:type="dxa"/>
          <w:tblInd w:w="108" w:type="dxa"/>
          <w:tblLayout w:type="fixed"/>
          <w:tblCellMar>
            <w:left w:w="0" w:type="dxa"/>
            <w:right w:w="0" w:type="dxa"/>
          </w:tblCellMar>
          <w:tblLook w:val="04A0"/>
        </w:tblPrEx>
        <w:trPr>
          <w:trHeight w:val="217"/>
        </w:trPr>
        <w:tc>
          <w:tcPr>
            <w:tcW w:w="1519" w:type="dxa"/>
            <w:tcBorders>
              <w:top w:val="single" w:sz="8" w:space="0" w:color="auto"/>
              <w:left w:val="nil"/>
              <w:bottom w:val="single" w:sz="8" w:space="0" w:color="auto"/>
              <w:right w:val="nil"/>
            </w:tcBorders>
            <w:tcMar>
              <w:top w:w="0" w:type="dxa"/>
              <w:left w:w="108" w:type="dxa"/>
              <w:bottom w:w="0" w:type="dxa"/>
              <w:right w:w="108" w:type="dxa"/>
            </w:tcMar>
            <w:textDirection w:val="lrTb"/>
            <w:vAlign w:val="center"/>
            <w:hideMark/>
          </w:tcPr>
          <w:p w:rsidR="003B7E74" w:rsidRPr="000155FA" w:rsidP="00F36D7E">
            <w:pPr>
              <w:pStyle w:val="HALVNEPISMOVS"/>
              <w:bidi w:val="0"/>
              <w:spacing w:after="0"/>
              <w:jc w:val="left"/>
              <w:rPr>
                <w:rFonts w:ascii="Times New Roman" w:hAnsi="Times New Roman"/>
                <w:b/>
                <w:color w:val="auto"/>
                <w:sz w:val="18"/>
                <w:szCs w:val="18"/>
                <w:lang w:eastAsia="en-US"/>
              </w:rPr>
            </w:pPr>
            <w:r w:rsidRPr="000155FA">
              <w:rPr>
                <w:rFonts w:ascii="Times New Roman" w:hAnsi="Times New Roman"/>
                <w:b/>
                <w:color w:val="auto"/>
                <w:sz w:val="18"/>
                <w:szCs w:val="18"/>
                <w:lang w:eastAsia="en-US"/>
              </w:rPr>
              <w:t>Spolu</w:t>
            </w:r>
          </w:p>
        </w:tc>
        <w:tc>
          <w:tcPr>
            <w:tcW w:w="1883" w:type="dxa"/>
            <w:tcBorders>
              <w:top w:val="single" w:sz="8" w:space="0" w:color="auto"/>
              <w:left w:val="nil"/>
              <w:bottom w:val="single" w:sz="8" w:space="0" w:color="auto"/>
              <w:right w:val="nil"/>
            </w:tcBorders>
            <w:tcMar>
              <w:top w:w="0" w:type="dxa"/>
              <w:left w:w="108" w:type="dxa"/>
              <w:bottom w:w="0" w:type="dxa"/>
              <w:right w:w="108" w:type="dxa"/>
            </w:tcMar>
            <w:textDirection w:val="lrTb"/>
            <w:vAlign w:val="center"/>
            <w:hideMark/>
          </w:tcPr>
          <w:p w:rsidR="003B7E74" w:rsidRPr="000155FA" w:rsidP="00F36D7E">
            <w:pPr>
              <w:bidi w:val="0"/>
              <w:ind w:right="259"/>
              <w:jc w:val="center"/>
              <w:rPr>
                <w:rFonts w:ascii="Calibri" w:eastAsia="Calibri" w:hAnsi="Calibri"/>
                <w:b/>
                <w:sz w:val="18"/>
                <w:szCs w:val="18"/>
                <w:lang w:eastAsia="en-US"/>
              </w:rPr>
            </w:pPr>
            <w:r w:rsidRPr="000155FA">
              <w:rPr>
                <w:rFonts w:ascii="Times New Roman" w:hAnsi="Times New Roman"/>
                <w:b/>
                <w:sz w:val="18"/>
                <w:szCs w:val="18"/>
              </w:rPr>
              <w:t>2</w:t>
            </w:r>
          </w:p>
        </w:tc>
        <w:tc>
          <w:tcPr>
            <w:tcW w:w="1985" w:type="dxa"/>
            <w:tcBorders>
              <w:top w:val="single" w:sz="8" w:space="0" w:color="auto"/>
              <w:left w:val="nil"/>
              <w:bottom w:val="single" w:sz="8" w:space="0" w:color="auto"/>
              <w:right w:val="nil"/>
            </w:tcBorders>
            <w:tcMar>
              <w:top w:w="0" w:type="dxa"/>
              <w:left w:w="108" w:type="dxa"/>
              <w:bottom w:w="0" w:type="dxa"/>
              <w:right w:w="108" w:type="dxa"/>
            </w:tcMar>
            <w:textDirection w:val="lrTb"/>
            <w:vAlign w:val="center"/>
            <w:hideMark/>
          </w:tcPr>
          <w:p w:rsidR="003B7E74" w:rsidRPr="000155FA" w:rsidP="00F36D7E">
            <w:pPr>
              <w:bidi w:val="0"/>
              <w:ind w:right="265"/>
              <w:jc w:val="center"/>
              <w:rPr>
                <w:rFonts w:ascii="Calibri" w:eastAsia="Calibri" w:hAnsi="Calibri"/>
                <w:b/>
                <w:sz w:val="18"/>
                <w:szCs w:val="18"/>
                <w:lang w:eastAsia="en-US"/>
              </w:rPr>
            </w:pPr>
            <w:r w:rsidRPr="000155FA">
              <w:rPr>
                <w:rFonts w:ascii="Times New Roman" w:hAnsi="Times New Roman"/>
                <w:b/>
                <w:sz w:val="18"/>
                <w:szCs w:val="18"/>
              </w:rPr>
              <w:t>1</w:t>
            </w:r>
          </w:p>
        </w:tc>
        <w:tc>
          <w:tcPr>
            <w:tcW w:w="1559" w:type="dxa"/>
            <w:tcBorders>
              <w:top w:val="single" w:sz="8" w:space="0" w:color="auto"/>
              <w:left w:val="nil"/>
              <w:bottom w:val="single" w:sz="8" w:space="0" w:color="auto"/>
              <w:right w:val="nil"/>
            </w:tcBorders>
            <w:tcMar>
              <w:top w:w="0" w:type="dxa"/>
              <w:left w:w="108" w:type="dxa"/>
              <w:bottom w:w="0" w:type="dxa"/>
              <w:right w:w="108" w:type="dxa"/>
            </w:tcMar>
            <w:textDirection w:val="lrTb"/>
            <w:vAlign w:val="center"/>
            <w:hideMark/>
          </w:tcPr>
          <w:p w:rsidR="003B7E74" w:rsidRPr="000155FA" w:rsidP="00F36D7E">
            <w:pPr>
              <w:bidi w:val="0"/>
              <w:ind w:right="271"/>
              <w:jc w:val="center"/>
              <w:rPr>
                <w:rFonts w:ascii="Calibri" w:eastAsia="Calibri" w:hAnsi="Calibri"/>
                <w:b/>
                <w:sz w:val="18"/>
                <w:szCs w:val="18"/>
                <w:lang w:eastAsia="en-US"/>
              </w:rPr>
            </w:pPr>
            <w:r w:rsidRPr="000155FA">
              <w:rPr>
                <w:rFonts w:ascii="Times New Roman" w:hAnsi="Times New Roman"/>
                <w:b/>
                <w:sz w:val="18"/>
                <w:szCs w:val="18"/>
              </w:rPr>
              <w:t>1 083</w:t>
            </w:r>
          </w:p>
        </w:tc>
        <w:tc>
          <w:tcPr>
            <w:tcW w:w="1843" w:type="dxa"/>
            <w:tcBorders>
              <w:top w:val="single" w:sz="8" w:space="0" w:color="auto"/>
              <w:left w:val="nil"/>
              <w:bottom w:val="single" w:sz="8" w:space="0" w:color="auto"/>
              <w:right w:val="nil"/>
            </w:tcBorders>
            <w:tcMar>
              <w:top w:w="0" w:type="dxa"/>
              <w:left w:w="108" w:type="dxa"/>
              <w:bottom w:w="0" w:type="dxa"/>
              <w:right w:w="108" w:type="dxa"/>
            </w:tcMar>
            <w:textDirection w:val="lrTb"/>
            <w:vAlign w:val="center"/>
            <w:hideMark/>
          </w:tcPr>
          <w:p w:rsidR="003B7E74" w:rsidRPr="000155FA" w:rsidP="00F36D7E">
            <w:pPr>
              <w:bidi w:val="0"/>
              <w:ind w:right="277"/>
              <w:jc w:val="center"/>
              <w:rPr>
                <w:rFonts w:ascii="Calibri" w:eastAsia="Calibri" w:hAnsi="Calibri"/>
                <w:b/>
                <w:sz w:val="18"/>
                <w:szCs w:val="18"/>
                <w:lang w:eastAsia="en-US"/>
              </w:rPr>
            </w:pPr>
            <w:r w:rsidRPr="000155FA">
              <w:rPr>
                <w:rFonts w:ascii="Times New Roman" w:hAnsi="Times New Roman"/>
                <w:b/>
                <w:sz w:val="18"/>
                <w:szCs w:val="18"/>
              </w:rPr>
              <w:t>802</w:t>
            </w:r>
          </w:p>
        </w:tc>
      </w:tr>
    </w:tbl>
    <w:p w:rsidR="003B7E74" w:rsidRPr="003B7E74" w:rsidP="00AD0444">
      <w:pPr>
        <w:pStyle w:val="HLAVNYVS"/>
        <w:bidi w:val="0"/>
        <w:spacing w:after="120" w:line="336" w:lineRule="auto"/>
        <w:rPr>
          <w:rFonts w:ascii="Times New Roman" w:hAnsi="Times New Roman"/>
          <w:b w:val="0"/>
          <w:bCs w:val="0"/>
          <w:caps w:val="0"/>
          <w:color w:val="000000"/>
          <w:sz w:val="18"/>
          <w:szCs w:val="18"/>
        </w:rPr>
      </w:pPr>
      <w:r>
        <w:rPr>
          <w:rFonts w:ascii="Times New Roman" w:hAnsi="Times New Roman" w:hint="default"/>
          <w:b w:val="0"/>
          <w:bCs w:val="0"/>
          <w:caps w:val="0"/>
          <w:color w:val="000000"/>
          <w:sz w:val="18"/>
          <w:szCs w:val="18"/>
        </w:rPr>
        <w:t>*Colná</w:t>
      </w:r>
      <w:r>
        <w:rPr>
          <w:rFonts w:ascii="Times New Roman" w:hAnsi="Times New Roman" w:hint="default"/>
          <w:b w:val="0"/>
          <w:bCs w:val="0"/>
          <w:caps w:val="0"/>
          <w:color w:val="000000"/>
          <w:sz w:val="18"/>
          <w:szCs w:val="18"/>
        </w:rPr>
        <w:t xml:space="preserve"> sprá</w:t>
      </w:r>
      <w:r>
        <w:rPr>
          <w:rFonts w:ascii="Times New Roman" w:hAnsi="Times New Roman" w:hint="default"/>
          <w:b w:val="0"/>
          <w:bCs w:val="0"/>
          <w:caps w:val="0"/>
          <w:color w:val="000000"/>
          <w:sz w:val="18"/>
          <w:szCs w:val="18"/>
        </w:rPr>
        <w:t>va neposkytuje úľ</w:t>
      </w:r>
      <w:r>
        <w:rPr>
          <w:rFonts w:ascii="Times New Roman" w:hAnsi="Times New Roman" w:hint="default"/>
          <w:b w:val="0"/>
          <w:bCs w:val="0"/>
          <w:caps w:val="0"/>
          <w:color w:val="000000"/>
          <w:sz w:val="18"/>
          <w:szCs w:val="18"/>
        </w:rPr>
        <w:t>avy a</w:t>
      </w:r>
      <w:r w:rsidR="001F1246">
        <w:rPr>
          <w:rFonts w:ascii="Times New Roman" w:hAnsi="Times New Roman"/>
          <w:b w:val="0"/>
          <w:bCs w:val="0"/>
          <w:caps w:val="0"/>
          <w:color w:val="000000"/>
          <w:sz w:val="18"/>
          <w:szCs w:val="18"/>
        </w:rPr>
        <w:t xml:space="preserve"> </w:t>
      </w:r>
      <w:r>
        <w:rPr>
          <w:rFonts w:ascii="Times New Roman" w:hAnsi="Times New Roman"/>
          <w:b w:val="0"/>
          <w:bCs w:val="0"/>
          <w:caps w:val="0"/>
          <w:color w:val="000000"/>
          <w:sz w:val="18"/>
          <w:szCs w:val="18"/>
        </w:rPr>
        <w:t>odpustenie dane v </w:t>
      </w:r>
      <w:r>
        <w:rPr>
          <w:rFonts w:ascii="Times New Roman" w:hAnsi="Times New Roman" w:hint="default"/>
          <w:b w:val="0"/>
          <w:bCs w:val="0"/>
          <w:caps w:val="0"/>
          <w:color w:val="000000"/>
          <w:sz w:val="18"/>
          <w:szCs w:val="18"/>
        </w:rPr>
        <w:t>zmysle §</w:t>
      </w:r>
      <w:r>
        <w:rPr>
          <w:rFonts w:ascii="Times New Roman" w:hAnsi="Times New Roman" w:hint="default"/>
          <w:b w:val="0"/>
          <w:bCs w:val="0"/>
          <w:caps w:val="0"/>
          <w:color w:val="000000"/>
          <w:sz w:val="18"/>
          <w:szCs w:val="18"/>
        </w:rPr>
        <w:t xml:space="preserve"> 70 daň</w:t>
      </w:r>
      <w:r>
        <w:rPr>
          <w:rFonts w:ascii="Times New Roman" w:hAnsi="Times New Roman" w:hint="default"/>
          <w:b w:val="0"/>
          <w:bCs w:val="0"/>
          <w:caps w:val="0"/>
          <w:color w:val="000000"/>
          <w:sz w:val="18"/>
          <w:szCs w:val="18"/>
        </w:rPr>
        <w:t>ové</w:t>
      </w:r>
      <w:r>
        <w:rPr>
          <w:rFonts w:ascii="Times New Roman" w:hAnsi="Times New Roman" w:hint="default"/>
          <w:b w:val="0"/>
          <w:bCs w:val="0"/>
          <w:caps w:val="0"/>
          <w:color w:val="000000"/>
          <w:sz w:val="18"/>
          <w:szCs w:val="18"/>
        </w:rPr>
        <w:t>ho poriadku</w:t>
      </w:r>
      <w:r w:rsidRPr="00AD0444" w:rsidR="00AD0444">
        <w:rPr>
          <w:rFonts w:ascii="Times New Roman" w:hAnsi="Times New Roman"/>
          <w:b w:val="0"/>
          <w:bCs w:val="0"/>
          <w:caps w:val="0"/>
          <w:color w:val="000000"/>
          <w:sz w:val="18"/>
          <w:szCs w:val="18"/>
        </w:rPr>
        <w:t xml:space="preserve"> </w:t>
      </w:r>
      <w:r w:rsidR="00AD0444">
        <w:rPr>
          <w:rFonts w:ascii="Times New Roman" w:hAnsi="Times New Roman"/>
          <w:b w:val="0"/>
          <w:bCs w:val="0"/>
          <w:caps w:val="0"/>
          <w:color w:val="000000"/>
          <w:sz w:val="18"/>
          <w:szCs w:val="18"/>
        </w:rPr>
        <w:t xml:space="preserve">                                  Zdroj: FR SR</w:t>
      </w:r>
    </w:p>
    <w:p w:rsidR="003B7E74" w:rsidRPr="00A31D34" w:rsidP="003B7E74">
      <w:pPr>
        <w:numPr>
          <w:numId w:val="11"/>
        </w:numPr>
        <w:tabs>
          <w:tab w:val="left" w:pos="284"/>
        </w:tabs>
        <w:bidi w:val="0"/>
        <w:spacing w:after="120" w:line="336" w:lineRule="auto"/>
        <w:ind w:left="0" w:firstLine="0"/>
        <w:jc w:val="both"/>
        <w:rPr>
          <w:rFonts w:ascii="Times New Roman" w:hAnsi="Times New Roman"/>
          <w:b/>
          <w:color w:val="000000"/>
          <w:sz w:val="22"/>
          <w:szCs w:val="22"/>
        </w:rPr>
      </w:pPr>
      <w:r w:rsidRPr="006E50E2">
        <w:rPr>
          <w:rFonts w:ascii="Times New Roman" w:hAnsi="Times New Roman"/>
          <w:b/>
          <w:color w:val="000000"/>
          <w:sz w:val="22"/>
          <w:szCs w:val="22"/>
        </w:rPr>
        <w:t xml:space="preserve">Ostatné dane </w:t>
      </w:r>
      <w:r w:rsidRPr="006E50E2">
        <w:rPr>
          <w:rFonts w:ascii="Times New Roman" w:hAnsi="Times New Roman"/>
          <w:color w:val="000000"/>
          <w:sz w:val="22"/>
          <w:szCs w:val="22"/>
        </w:rPr>
        <w:t xml:space="preserve">sú tvorené daňou z emisných kvót a daňami z majetku. Daň z emisných kvót bola na základe iniciatívy Ministerstva financií SR zrušená s účinnosťou od 30. júna 2012 z dôvodu konania Európskej komisie a Ústavného súdu voči Slovenskej republike za porušenie európskej legislatívy. </w:t>
      </w:r>
      <w:r>
        <w:rPr>
          <w:rFonts w:ascii="Times New Roman" w:hAnsi="Times New Roman"/>
          <w:color w:val="000000"/>
          <w:sz w:val="22"/>
          <w:szCs w:val="22"/>
        </w:rPr>
        <w:t>Pokým d</w:t>
      </w:r>
      <w:r w:rsidRPr="00A31D34">
        <w:rPr>
          <w:rFonts w:ascii="Times New Roman" w:hAnsi="Times New Roman"/>
          <w:color w:val="000000"/>
          <w:sz w:val="22"/>
          <w:szCs w:val="22"/>
        </w:rPr>
        <w:t xml:space="preserve">obeh zrušenej emisnej dane v roku 2014 predstavoval 6 tis. eur, v roku 2015 už nebol žiadny výnos z tejto dane. </w:t>
      </w:r>
    </w:p>
    <w:p w:rsidR="003B7E74" w:rsidP="003B7E74">
      <w:pPr>
        <w:bidi w:val="0"/>
        <w:spacing w:after="120" w:line="336" w:lineRule="auto"/>
        <w:jc w:val="both"/>
        <w:rPr>
          <w:rFonts w:ascii="Times New Roman" w:hAnsi="Times New Roman"/>
        </w:rPr>
      </w:pPr>
      <w:r w:rsidRPr="006E50E2">
        <w:rPr>
          <w:rFonts w:ascii="Times New Roman" w:hAnsi="Times New Roman"/>
          <w:i/>
          <w:color w:val="000000"/>
          <w:sz w:val="22"/>
          <w:szCs w:val="22"/>
        </w:rPr>
        <w:t>Podrobné údaje o plnení daňových príjmov štátneho rozpočtu v roku 201</w:t>
      </w:r>
      <w:r>
        <w:rPr>
          <w:rFonts w:ascii="Times New Roman" w:hAnsi="Times New Roman"/>
          <w:i/>
          <w:color w:val="000000"/>
          <w:sz w:val="22"/>
          <w:szCs w:val="22"/>
        </w:rPr>
        <w:t>5</w:t>
      </w:r>
      <w:r w:rsidRPr="006E50E2">
        <w:rPr>
          <w:rFonts w:ascii="Times New Roman" w:hAnsi="Times New Roman"/>
          <w:i/>
          <w:color w:val="000000"/>
          <w:sz w:val="22"/>
          <w:szCs w:val="22"/>
        </w:rPr>
        <w:t xml:space="preserve"> sú uvedené v tab. č. 2 tabuľkovej prílohy štátneho záverečného účtu.</w:t>
      </w:r>
    </w:p>
    <w:p w:rsidR="00B07DEC" w:rsidP="008D72D9">
      <w:pPr>
        <w:pStyle w:val="Heading3"/>
        <w:numPr>
          <w:ilvl w:val="2"/>
          <w:numId w:val="20"/>
        </w:numPr>
        <w:bidi w:val="0"/>
        <w:spacing w:line="336" w:lineRule="auto"/>
        <w:rPr>
          <w:rFonts w:ascii="Times New Roman" w:hAnsi="Times New Roman"/>
          <w:lang w:val="sk-SK"/>
        </w:rPr>
      </w:pPr>
      <w:bookmarkStart w:id="24" w:name="_Toc449622835"/>
      <w:r w:rsidRPr="006E50E2">
        <w:rPr>
          <w:rFonts w:ascii="Times New Roman" w:hAnsi="Times New Roman"/>
          <w:lang w:val="sk-SK"/>
        </w:rPr>
        <w:t>Nedaňové príjmy</w:t>
      </w:r>
      <w:bookmarkEnd w:id="24"/>
    </w:p>
    <w:p w:rsidR="00422D66" w:rsidRPr="00422D66" w:rsidP="00422D66">
      <w:pPr>
        <w:bidi w:val="0"/>
        <w:spacing w:after="120" w:line="336" w:lineRule="auto"/>
        <w:jc w:val="both"/>
        <w:rPr>
          <w:rFonts w:ascii="Times New Roman" w:hAnsi="Times New Roman"/>
          <w:color w:val="000000"/>
          <w:sz w:val="22"/>
          <w:szCs w:val="22"/>
        </w:rPr>
      </w:pPr>
      <w:r w:rsidRPr="00422D66">
        <w:rPr>
          <w:rFonts w:ascii="Times New Roman" w:hAnsi="Times New Roman"/>
          <w:color w:val="000000"/>
          <w:sz w:val="22"/>
          <w:szCs w:val="22"/>
        </w:rPr>
        <w:t xml:space="preserve">Nedaňové príjmy </w:t>
      </w:r>
      <w:r w:rsidR="00872D04">
        <w:rPr>
          <w:rFonts w:ascii="Times New Roman" w:hAnsi="Times New Roman"/>
          <w:color w:val="000000"/>
          <w:sz w:val="22"/>
          <w:szCs w:val="22"/>
        </w:rPr>
        <w:t xml:space="preserve">do </w:t>
      </w:r>
      <w:r w:rsidRPr="00422D66">
        <w:rPr>
          <w:rFonts w:ascii="Times New Roman" w:hAnsi="Times New Roman"/>
          <w:color w:val="000000"/>
          <w:sz w:val="22"/>
          <w:szCs w:val="22"/>
        </w:rPr>
        <w:t>štátneho rozpočtu plynú najmä z vlastníctva majetku, poplatkov a platieb, kapitálových príjmov a úrokov. Tieto príjmy dosiahli za rok 2015 sumu 1 278 722 tis. eur, čo bolo 7,9 % z celkovo dosiahnutých príjmov štátneho rozpočtu</w:t>
      </w:r>
      <w:r w:rsidR="00872D04">
        <w:rPr>
          <w:rFonts w:ascii="Times New Roman" w:hAnsi="Times New Roman"/>
          <w:color w:val="000000"/>
          <w:sz w:val="22"/>
          <w:szCs w:val="22"/>
        </w:rPr>
        <w:t>.</w:t>
      </w:r>
      <w:r w:rsidRPr="00422D66">
        <w:rPr>
          <w:rFonts w:ascii="Times New Roman" w:hAnsi="Times New Roman"/>
          <w:color w:val="000000"/>
          <w:sz w:val="22"/>
          <w:szCs w:val="22"/>
        </w:rPr>
        <w:t xml:space="preserve"> V porovnaní s rokom 2014 sa skutočne vyinkasovaná suma nedaňových príjmov znížila o 356 830 tis. eur. </w:t>
      </w:r>
    </w:p>
    <w:p w:rsidR="00422D66" w:rsidP="00422D66">
      <w:pPr>
        <w:bidi w:val="0"/>
        <w:spacing w:after="120" w:line="336" w:lineRule="auto"/>
        <w:jc w:val="both"/>
        <w:rPr>
          <w:rFonts w:ascii="Times New Roman" w:hAnsi="Times New Roman"/>
          <w:color w:val="000000"/>
          <w:sz w:val="22"/>
          <w:szCs w:val="22"/>
        </w:rPr>
      </w:pPr>
      <w:r w:rsidR="00F746FC">
        <w:rPr>
          <w:rFonts w:ascii="Times New Roman" w:hAnsi="Times New Roman"/>
          <w:color w:val="000000"/>
          <w:sz w:val="22"/>
          <w:szCs w:val="22"/>
        </w:rPr>
        <w:br w:type="page"/>
      </w:r>
      <w:r>
        <w:rPr>
          <w:rFonts w:ascii="Times New Roman" w:hAnsi="Times New Roman"/>
          <w:color w:val="000000"/>
          <w:sz w:val="22"/>
          <w:szCs w:val="22"/>
        </w:rPr>
        <w:t>Súhrnný prehľad o plnení nedaňových príjmov poskytuje nasledovná tabuľka:</w:t>
      </w:r>
    </w:p>
    <w:tbl>
      <w:tblPr>
        <w:tblStyle w:val="TableNormal"/>
        <w:tblW w:w="0" w:type="auto"/>
        <w:tblInd w:w="55" w:type="dxa"/>
        <w:tblCellMar>
          <w:left w:w="70" w:type="dxa"/>
          <w:right w:w="70" w:type="dxa"/>
        </w:tblCellMar>
        <w:tblLook w:val="04A0"/>
      </w:tblPr>
      <w:tblGrid>
        <w:gridCol w:w="3703"/>
        <w:gridCol w:w="860"/>
        <w:gridCol w:w="860"/>
        <w:gridCol w:w="860"/>
        <w:gridCol w:w="1025"/>
        <w:gridCol w:w="760"/>
        <w:gridCol w:w="805"/>
      </w:tblGrid>
      <w:tr>
        <w:tblPrEx>
          <w:tblW w:w="0" w:type="auto"/>
          <w:tblInd w:w="55" w:type="dxa"/>
          <w:tblCellMar>
            <w:left w:w="70" w:type="dxa"/>
            <w:right w:w="70" w:type="dxa"/>
          </w:tblCellMar>
          <w:tblLook w:val="04A0"/>
        </w:tblPrEx>
        <w:trPr>
          <w:trHeight w:val="330"/>
        </w:trPr>
        <w:tc>
          <w:tcPr>
            <w:tcW w:w="0" w:type="auto"/>
            <w:gridSpan w:val="6"/>
            <w:tcBorders>
              <w:top w:val="nil"/>
              <w:left w:val="single" w:sz="8" w:space="0" w:color="auto"/>
              <w:bottom w:val="nil"/>
              <w:right w:val="nil"/>
            </w:tcBorders>
            <w:shd w:val="clear" w:color="000000" w:fill="000000"/>
            <w:textDirection w:val="lrTb"/>
            <w:vAlign w:val="center"/>
            <w:hideMark/>
          </w:tcPr>
          <w:p w:rsidR="00422D66" w:rsidRPr="001B5BF8" w:rsidP="0027279E">
            <w:pPr>
              <w:bidi w:val="0"/>
              <w:rPr>
                <w:rFonts w:ascii="Times New Roman" w:hAnsi="Times New Roman"/>
                <w:b/>
                <w:bCs/>
                <w:color w:val="FFFFFF"/>
                <w:sz w:val="18"/>
                <w:szCs w:val="18"/>
              </w:rPr>
            </w:pPr>
            <w:bookmarkStart w:id="25" w:name="RANGE!B5:H14"/>
            <w:r w:rsidRPr="001B5BF8">
              <w:rPr>
                <w:rFonts w:ascii="Times New Roman" w:hAnsi="Times New Roman"/>
                <w:b/>
                <w:bCs/>
                <w:color w:val="FFFFFF"/>
                <w:sz w:val="18"/>
                <w:szCs w:val="18"/>
              </w:rPr>
              <w:t>Nedaňové príjmy</w:t>
            </w:r>
            <w:bookmarkEnd w:id="25"/>
          </w:p>
        </w:tc>
        <w:tc>
          <w:tcPr>
            <w:tcW w:w="0" w:type="auto"/>
            <w:tcBorders>
              <w:top w:val="nil"/>
              <w:left w:val="nil"/>
              <w:bottom w:val="nil"/>
              <w:right w:val="nil"/>
            </w:tcBorders>
            <w:shd w:val="clear" w:color="000000" w:fill="000000"/>
            <w:noWrap/>
            <w:textDirection w:val="lrTb"/>
            <w:vAlign w:val="center"/>
            <w:hideMark/>
          </w:tcPr>
          <w:p w:rsidR="00422D66" w:rsidRPr="001B5BF8" w:rsidP="00AD0444">
            <w:pPr>
              <w:bidi w:val="0"/>
              <w:jc w:val="center"/>
              <w:rPr>
                <w:rFonts w:ascii="Times New Roman" w:hAnsi="Times New Roman"/>
                <w:b/>
                <w:bCs/>
                <w:color w:val="FFFFFF"/>
                <w:sz w:val="18"/>
                <w:szCs w:val="18"/>
              </w:rPr>
            </w:pPr>
            <w:r w:rsidRPr="001B5BF8">
              <w:rPr>
                <w:rFonts w:ascii="Times New Roman" w:hAnsi="Times New Roman"/>
                <w:b/>
                <w:bCs/>
                <w:color w:val="FFFFFF"/>
                <w:sz w:val="18"/>
                <w:szCs w:val="18"/>
              </w:rPr>
              <w:t>v tis.</w:t>
            </w:r>
            <w:r w:rsidR="001B5BF8">
              <w:rPr>
                <w:rFonts w:ascii="Times New Roman" w:hAnsi="Times New Roman"/>
                <w:b/>
                <w:bCs/>
                <w:color w:val="FFFFFF"/>
                <w:sz w:val="18"/>
                <w:szCs w:val="18"/>
              </w:rPr>
              <w:t xml:space="preserve"> </w:t>
            </w:r>
            <w:r w:rsidRPr="001B5BF8">
              <w:rPr>
                <w:rFonts w:ascii="Times New Roman" w:hAnsi="Times New Roman"/>
                <w:b/>
                <w:bCs/>
                <w:color w:val="FFFFFF"/>
                <w:sz w:val="18"/>
                <w:szCs w:val="18"/>
              </w:rPr>
              <w:t>eur</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BFBFBF"/>
            <w:textDirection w:val="lrTb"/>
            <w:vAlign w:val="center"/>
            <w:hideMark/>
          </w:tcPr>
          <w:p w:rsidR="00422D66" w:rsidRPr="001B5BF8" w:rsidP="0027279E">
            <w:pPr>
              <w:bidi w:val="0"/>
              <w:rPr>
                <w:rFonts w:ascii="Times New Roman" w:hAnsi="Times New Roman"/>
                <w:b/>
                <w:bCs/>
                <w:color w:val="FFFFFF"/>
                <w:sz w:val="18"/>
                <w:szCs w:val="18"/>
              </w:rPr>
            </w:pPr>
            <w:r w:rsidRPr="001B5BF8">
              <w:rPr>
                <w:rFonts w:ascii="Times New Roman" w:hAnsi="Times New Roman"/>
                <w:b/>
                <w:bCs/>
                <w:color w:val="FFFFFF"/>
                <w:sz w:val="18"/>
                <w:szCs w:val="18"/>
              </w:rPr>
              <w:t> </w:t>
            </w:r>
          </w:p>
        </w:tc>
        <w:tc>
          <w:tcPr>
            <w:tcW w:w="0" w:type="auto"/>
            <w:gridSpan w:val="2"/>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Rozpočet</w:t>
            </w:r>
          </w:p>
        </w:tc>
        <w:tc>
          <w:tcPr>
            <w:tcW w:w="0" w:type="auto"/>
            <w:tcBorders>
              <w:top w:val="nil"/>
              <w:left w:val="nil"/>
              <w:bottom w:val="nil"/>
              <w:right w:val="nil"/>
            </w:tcBorders>
            <w:shd w:val="pct25" w:color="auto" w:fill="auto"/>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Skutočnosť</w:t>
            </w:r>
          </w:p>
        </w:tc>
        <w:tc>
          <w:tcPr>
            <w:tcW w:w="0" w:type="auto"/>
            <w:gridSpan w:val="2"/>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Rozdiel</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sz w:val="18"/>
                <w:szCs w:val="18"/>
              </w:rPr>
            </w:pPr>
            <w:r w:rsidRPr="001B5BF8">
              <w:rPr>
                <w:rFonts w:ascii="Times New Roman" w:hAnsi="Times New Roman"/>
                <w:b/>
                <w:bCs/>
                <w:sz w:val="18"/>
                <w:szCs w:val="18"/>
              </w:rPr>
              <w:t> </w:t>
            </w:r>
          </w:p>
        </w:tc>
        <w:tc>
          <w:tcPr>
            <w:tcW w:w="0" w:type="auto"/>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2013</w:t>
            </w:r>
          </w:p>
        </w:tc>
        <w:tc>
          <w:tcPr>
            <w:tcW w:w="0" w:type="auto"/>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2015</w:t>
            </w:r>
          </w:p>
        </w:tc>
        <w:tc>
          <w:tcPr>
            <w:tcW w:w="0" w:type="auto"/>
            <w:tcBorders>
              <w:top w:val="nil"/>
              <w:left w:val="nil"/>
              <w:bottom w:val="nil"/>
              <w:right w:val="nil"/>
            </w:tcBorders>
            <w:shd w:val="pct25" w:color="auto" w:fill="auto"/>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 xml:space="preserve"> v tis. eur</w:t>
            </w:r>
          </w:p>
        </w:tc>
        <w:tc>
          <w:tcPr>
            <w:tcW w:w="0" w:type="auto"/>
            <w:tcBorders>
              <w:top w:val="nil"/>
              <w:left w:val="nil"/>
              <w:bottom w:val="nil"/>
              <w:right w:val="nil"/>
            </w:tcBorders>
            <w:shd w:val="clear" w:color="000000" w:fill="BFBFBF"/>
            <w:textDirection w:val="lrTb"/>
            <w:vAlign w:val="center"/>
            <w:hideMark/>
          </w:tcPr>
          <w:p w:rsidR="00422D66" w:rsidRPr="001B5BF8" w:rsidP="0027279E">
            <w:pPr>
              <w:bidi w:val="0"/>
              <w:jc w:val="center"/>
              <w:rPr>
                <w:rFonts w:ascii="Times New Roman" w:hAnsi="Times New Roman"/>
                <w:b/>
                <w:bCs/>
                <w:color w:val="000000"/>
                <w:sz w:val="18"/>
                <w:szCs w:val="18"/>
              </w:rPr>
            </w:pPr>
            <w:r w:rsidRPr="001B5BF8">
              <w:rPr>
                <w:rFonts w:ascii="Times New Roman" w:hAnsi="Times New Roman"/>
                <w:b/>
                <w:bCs/>
                <w:color w:val="000000"/>
                <w:sz w:val="18"/>
                <w:szCs w:val="18"/>
              </w:rPr>
              <w:t>v %</w:t>
            </w:r>
          </w:p>
        </w:tc>
      </w:tr>
      <w:tr>
        <w:tblPrEx>
          <w:tblW w:w="0" w:type="auto"/>
          <w:tblInd w:w="55" w:type="dxa"/>
          <w:tblCellMar>
            <w:left w:w="70" w:type="dxa"/>
            <w:right w:w="70" w:type="dxa"/>
          </w:tblCellMar>
          <w:tblLook w:val="04A0"/>
        </w:tblPrEx>
        <w:trPr>
          <w:trHeight w:val="345"/>
        </w:trPr>
        <w:tc>
          <w:tcPr>
            <w:tcW w:w="0" w:type="auto"/>
            <w:tcBorders>
              <w:top w:val="nil"/>
              <w:left w:val="nil"/>
              <w:bottom w:val="single" w:sz="8" w:space="0" w:color="auto"/>
              <w:right w:val="nil"/>
            </w:tcBorders>
            <w:shd w:val="clear" w:color="000000" w:fill="BFBFBF"/>
            <w:textDirection w:val="lrTb"/>
            <w:vAlign w:val="center"/>
            <w:hideMark/>
          </w:tcPr>
          <w:p w:rsidR="00422D66" w:rsidRPr="001B5BF8" w:rsidP="0027279E">
            <w:pPr>
              <w:bidi w:val="0"/>
              <w:rPr>
                <w:rFonts w:ascii="Times New Roman" w:hAnsi="Times New Roman"/>
                <w:b/>
                <w:bCs/>
                <w:color w:val="FFFFFF"/>
                <w:sz w:val="18"/>
                <w:szCs w:val="18"/>
              </w:rPr>
            </w:pPr>
            <w:r w:rsidRPr="001B5BF8">
              <w:rPr>
                <w:rFonts w:ascii="Times New Roman" w:hAnsi="Times New Roman"/>
                <w:b/>
                <w:bCs/>
                <w:color w:val="FFFFFF"/>
                <w:sz w:val="18"/>
                <w:szCs w:val="18"/>
              </w:rPr>
              <w:t> </w:t>
            </w:r>
          </w:p>
        </w:tc>
        <w:tc>
          <w:tcPr>
            <w:tcW w:w="0" w:type="auto"/>
            <w:tcBorders>
              <w:top w:val="nil"/>
              <w:left w:val="nil"/>
              <w:bottom w:val="single" w:sz="8" w:space="0" w:color="auto"/>
              <w:right w:val="nil"/>
            </w:tcBorders>
            <w:shd w:val="clear" w:color="000000" w:fill="BFBFBF"/>
            <w:textDirection w:val="lrTb"/>
            <w:vAlign w:val="center"/>
            <w:hideMark/>
          </w:tcPr>
          <w:p w:rsidR="00422D66" w:rsidRPr="001B5BF8" w:rsidP="0027279E">
            <w:pPr>
              <w:bidi w:val="0"/>
              <w:jc w:val="center"/>
              <w:rPr>
                <w:rFonts w:ascii="Times New Roman" w:hAnsi="Times New Roman"/>
                <w:b/>
                <w:bCs/>
                <w:sz w:val="18"/>
                <w:szCs w:val="18"/>
              </w:rPr>
            </w:pPr>
            <w:r w:rsidRPr="001B5BF8">
              <w:rPr>
                <w:rFonts w:ascii="Times New Roman" w:hAnsi="Times New Roman"/>
                <w:b/>
                <w:bCs/>
                <w:sz w:val="18"/>
                <w:szCs w:val="18"/>
              </w:rPr>
              <w:t>1</w:t>
            </w:r>
          </w:p>
        </w:tc>
        <w:tc>
          <w:tcPr>
            <w:tcW w:w="0" w:type="auto"/>
            <w:tcBorders>
              <w:top w:val="nil"/>
              <w:left w:val="nil"/>
              <w:bottom w:val="single" w:sz="8" w:space="0" w:color="auto"/>
              <w:right w:val="nil"/>
            </w:tcBorders>
            <w:shd w:val="clear" w:color="000000" w:fill="BFBFBF"/>
            <w:textDirection w:val="lrTb"/>
            <w:vAlign w:val="center"/>
            <w:hideMark/>
          </w:tcPr>
          <w:p w:rsidR="00422D66" w:rsidRPr="001B5BF8" w:rsidP="0027279E">
            <w:pPr>
              <w:bidi w:val="0"/>
              <w:jc w:val="center"/>
              <w:rPr>
                <w:rFonts w:ascii="Times New Roman" w:hAnsi="Times New Roman"/>
                <w:b/>
                <w:bCs/>
                <w:sz w:val="18"/>
                <w:szCs w:val="18"/>
              </w:rPr>
            </w:pPr>
            <w:r w:rsidRPr="001B5BF8">
              <w:rPr>
                <w:rFonts w:ascii="Times New Roman" w:hAnsi="Times New Roman"/>
                <w:b/>
                <w:bCs/>
                <w:sz w:val="18"/>
                <w:szCs w:val="18"/>
              </w:rPr>
              <w:t>2</w:t>
            </w:r>
          </w:p>
        </w:tc>
        <w:tc>
          <w:tcPr>
            <w:tcW w:w="0" w:type="auto"/>
            <w:tcBorders>
              <w:top w:val="nil"/>
              <w:left w:val="nil"/>
              <w:bottom w:val="single" w:sz="8" w:space="0" w:color="auto"/>
              <w:right w:val="nil"/>
            </w:tcBorders>
            <w:shd w:val="clear" w:color="000000" w:fill="BFBFBF"/>
            <w:textDirection w:val="lrTb"/>
            <w:vAlign w:val="center"/>
            <w:hideMark/>
          </w:tcPr>
          <w:p w:rsidR="00422D66" w:rsidRPr="001B5BF8" w:rsidP="0027279E">
            <w:pPr>
              <w:bidi w:val="0"/>
              <w:jc w:val="center"/>
              <w:rPr>
                <w:rFonts w:ascii="Times New Roman" w:hAnsi="Times New Roman"/>
                <w:b/>
                <w:bCs/>
                <w:sz w:val="18"/>
                <w:szCs w:val="18"/>
              </w:rPr>
            </w:pPr>
            <w:r w:rsidRPr="001B5BF8">
              <w:rPr>
                <w:rFonts w:ascii="Times New Roman" w:hAnsi="Times New Roman"/>
                <w:b/>
                <w:bCs/>
                <w:sz w:val="18"/>
                <w:szCs w:val="18"/>
              </w:rPr>
              <w:t>3</w:t>
            </w:r>
          </w:p>
        </w:tc>
        <w:tc>
          <w:tcPr>
            <w:tcW w:w="0" w:type="auto"/>
            <w:tcBorders>
              <w:top w:val="nil"/>
              <w:left w:val="nil"/>
              <w:bottom w:val="single" w:sz="8" w:space="0" w:color="auto"/>
              <w:right w:val="nil"/>
            </w:tcBorders>
            <w:shd w:val="pct25" w:color="auto" w:fill="auto"/>
            <w:textDirection w:val="lrTb"/>
            <w:vAlign w:val="center"/>
            <w:hideMark/>
          </w:tcPr>
          <w:p w:rsidR="00422D66" w:rsidRPr="001B5BF8" w:rsidP="0027279E">
            <w:pPr>
              <w:bidi w:val="0"/>
              <w:jc w:val="center"/>
              <w:rPr>
                <w:rFonts w:ascii="Times New Roman" w:hAnsi="Times New Roman"/>
                <w:b/>
                <w:bCs/>
                <w:sz w:val="18"/>
                <w:szCs w:val="18"/>
              </w:rPr>
            </w:pPr>
            <w:r w:rsidRPr="001B5BF8">
              <w:rPr>
                <w:rFonts w:ascii="Times New Roman" w:hAnsi="Times New Roman"/>
                <w:b/>
                <w:bCs/>
                <w:sz w:val="18"/>
                <w:szCs w:val="18"/>
              </w:rPr>
              <w:t>4</w:t>
            </w:r>
          </w:p>
        </w:tc>
        <w:tc>
          <w:tcPr>
            <w:tcW w:w="0" w:type="auto"/>
            <w:tcBorders>
              <w:top w:val="nil"/>
              <w:left w:val="nil"/>
              <w:bottom w:val="single" w:sz="8" w:space="0" w:color="auto"/>
              <w:right w:val="nil"/>
            </w:tcBorders>
            <w:shd w:val="clear" w:color="000000" w:fill="BFBFBF"/>
            <w:textDirection w:val="lrTb"/>
            <w:vAlign w:val="center"/>
            <w:hideMark/>
          </w:tcPr>
          <w:p w:rsidR="00422D66" w:rsidRPr="001B5BF8" w:rsidP="0027279E">
            <w:pPr>
              <w:bidi w:val="0"/>
              <w:jc w:val="center"/>
              <w:rPr>
                <w:rFonts w:ascii="Times New Roman" w:hAnsi="Times New Roman"/>
                <w:b/>
                <w:bCs/>
                <w:sz w:val="18"/>
                <w:szCs w:val="18"/>
              </w:rPr>
            </w:pPr>
            <w:r w:rsidRPr="001B5BF8">
              <w:rPr>
                <w:rFonts w:ascii="Times New Roman" w:hAnsi="Times New Roman"/>
                <w:b/>
                <w:bCs/>
                <w:sz w:val="18"/>
                <w:szCs w:val="18"/>
              </w:rPr>
              <w:t>5=4-3</w:t>
            </w:r>
          </w:p>
        </w:tc>
        <w:tc>
          <w:tcPr>
            <w:tcW w:w="0" w:type="auto"/>
            <w:tcBorders>
              <w:top w:val="nil"/>
              <w:left w:val="nil"/>
              <w:bottom w:val="single" w:sz="8" w:space="0" w:color="auto"/>
              <w:right w:val="nil"/>
            </w:tcBorders>
            <w:shd w:val="clear" w:color="000000" w:fill="BFBFBF"/>
            <w:textDirection w:val="lrTb"/>
            <w:vAlign w:val="center"/>
            <w:hideMark/>
          </w:tcPr>
          <w:p w:rsidR="00422D66" w:rsidRPr="001B5BF8" w:rsidP="0027279E">
            <w:pPr>
              <w:bidi w:val="0"/>
              <w:jc w:val="center"/>
              <w:rPr>
                <w:rFonts w:ascii="Times New Roman" w:hAnsi="Times New Roman"/>
                <w:b/>
                <w:bCs/>
                <w:sz w:val="18"/>
                <w:szCs w:val="18"/>
              </w:rPr>
            </w:pPr>
            <w:r w:rsidRPr="001B5BF8">
              <w:rPr>
                <w:rFonts w:ascii="Times New Roman" w:hAnsi="Times New Roman"/>
                <w:b/>
                <w:bCs/>
                <w:sz w:val="18"/>
                <w:szCs w:val="18"/>
              </w:rPr>
              <w:t>6=4-3</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top"/>
            <w:hideMark/>
          </w:tcPr>
          <w:p w:rsidR="00422D66" w:rsidRPr="001B5BF8" w:rsidP="00AD0444">
            <w:pPr>
              <w:bidi w:val="0"/>
              <w:rPr>
                <w:rFonts w:ascii="Times New Roman" w:hAnsi="Times New Roman"/>
                <w:color w:val="000000"/>
                <w:sz w:val="18"/>
                <w:szCs w:val="18"/>
              </w:rPr>
            </w:pPr>
            <w:r w:rsidRPr="001B5BF8">
              <w:rPr>
                <w:rFonts w:ascii="Times New Roman" w:hAnsi="Times New Roman"/>
                <w:color w:val="000000"/>
                <w:sz w:val="18"/>
                <w:szCs w:val="18"/>
              </w:rPr>
              <w:t>Príjmy z podnikania a z vlastníctva majetku</w:t>
            </w:r>
          </w:p>
        </w:tc>
        <w:tc>
          <w:tcPr>
            <w:tcW w:w="0" w:type="auto"/>
            <w:tcBorders>
              <w:top w:val="nil"/>
              <w:left w:val="nil"/>
              <w:bottom w:val="nil"/>
              <w:right w:val="nil"/>
            </w:tcBorders>
            <w:shd w:val="clear" w:color="000000" w:fill="FFFFFF"/>
            <w:noWrap/>
            <w:textDirection w:val="lrTb"/>
            <w:vAlign w:val="top"/>
            <w:hideMark/>
          </w:tcPr>
          <w:p w:rsidR="00422D66" w:rsidRPr="001B5BF8" w:rsidP="00AD0444">
            <w:pPr>
              <w:bidi w:val="0"/>
              <w:jc w:val="right"/>
              <w:rPr>
                <w:rFonts w:ascii="Times New Roman" w:hAnsi="Times New Roman"/>
                <w:color w:val="000000"/>
                <w:sz w:val="18"/>
                <w:szCs w:val="18"/>
              </w:rPr>
            </w:pPr>
            <w:r w:rsidRPr="001B5BF8">
              <w:rPr>
                <w:rFonts w:ascii="Times New Roman" w:hAnsi="Times New Roman"/>
                <w:color w:val="000000"/>
                <w:sz w:val="18"/>
                <w:szCs w:val="18"/>
              </w:rPr>
              <w:t>50 221</w:t>
            </w:r>
          </w:p>
        </w:tc>
        <w:tc>
          <w:tcPr>
            <w:tcW w:w="0" w:type="auto"/>
            <w:tcBorders>
              <w:top w:val="nil"/>
              <w:left w:val="nil"/>
              <w:bottom w:val="nil"/>
              <w:right w:val="nil"/>
            </w:tcBorders>
            <w:shd w:val="clear" w:color="000000" w:fill="FFFFFF"/>
            <w:noWrap/>
            <w:textDirection w:val="lrTb"/>
            <w:vAlign w:val="top"/>
            <w:hideMark/>
          </w:tcPr>
          <w:p w:rsidR="00422D66" w:rsidRPr="001B5BF8" w:rsidP="00AD0444">
            <w:pPr>
              <w:bidi w:val="0"/>
              <w:jc w:val="right"/>
              <w:rPr>
                <w:rFonts w:ascii="Times New Roman" w:hAnsi="Times New Roman"/>
                <w:color w:val="000000"/>
                <w:sz w:val="18"/>
                <w:szCs w:val="18"/>
              </w:rPr>
            </w:pPr>
            <w:r w:rsidRPr="001B5BF8">
              <w:rPr>
                <w:rFonts w:ascii="Times New Roman" w:hAnsi="Times New Roman"/>
                <w:color w:val="000000"/>
                <w:sz w:val="18"/>
                <w:szCs w:val="18"/>
              </w:rPr>
              <w:t>625 684</w:t>
            </w:r>
          </w:p>
        </w:tc>
        <w:tc>
          <w:tcPr>
            <w:tcW w:w="0" w:type="auto"/>
            <w:tcBorders>
              <w:top w:val="nil"/>
              <w:left w:val="nil"/>
              <w:bottom w:val="nil"/>
              <w:right w:val="nil"/>
            </w:tcBorders>
            <w:shd w:val="clear" w:color="000000" w:fill="FFFFFF"/>
            <w:noWrap/>
            <w:textDirection w:val="lrTb"/>
            <w:vAlign w:val="top"/>
            <w:hideMark/>
          </w:tcPr>
          <w:p w:rsidR="00422D66" w:rsidRPr="001B5BF8" w:rsidP="00AD0444">
            <w:pPr>
              <w:bidi w:val="0"/>
              <w:jc w:val="right"/>
              <w:rPr>
                <w:rFonts w:ascii="Times New Roman" w:hAnsi="Times New Roman"/>
                <w:color w:val="000000"/>
                <w:sz w:val="18"/>
                <w:szCs w:val="18"/>
              </w:rPr>
            </w:pPr>
            <w:r w:rsidRPr="001B5BF8">
              <w:rPr>
                <w:rFonts w:ascii="Times New Roman" w:hAnsi="Times New Roman"/>
                <w:color w:val="000000"/>
                <w:sz w:val="18"/>
                <w:szCs w:val="18"/>
              </w:rPr>
              <w:t>476 318</w:t>
            </w:r>
          </w:p>
        </w:tc>
        <w:tc>
          <w:tcPr>
            <w:tcW w:w="0" w:type="auto"/>
            <w:tcBorders>
              <w:top w:val="nil"/>
              <w:left w:val="nil"/>
              <w:bottom w:val="nil"/>
              <w:right w:val="nil"/>
            </w:tcBorders>
            <w:shd w:val="pct25" w:color="auto" w:fill="auto"/>
            <w:noWrap/>
            <w:textDirection w:val="lrTb"/>
            <w:vAlign w:val="top"/>
            <w:hideMark/>
          </w:tcPr>
          <w:p w:rsidR="00422D66" w:rsidRPr="001B5BF8" w:rsidP="00AD0444">
            <w:pPr>
              <w:bidi w:val="0"/>
              <w:jc w:val="right"/>
              <w:rPr>
                <w:rFonts w:ascii="Times New Roman" w:hAnsi="Times New Roman"/>
                <w:color w:val="000000"/>
                <w:sz w:val="18"/>
                <w:szCs w:val="18"/>
              </w:rPr>
            </w:pPr>
            <w:r w:rsidRPr="001B5BF8">
              <w:rPr>
                <w:rFonts w:ascii="Times New Roman" w:hAnsi="Times New Roman"/>
                <w:color w:val="000000"/>
                <w:sz w:val="18"/>
                <w:szCs w:val="18"/>
              </w:rPr>
              <w:t>493 085</w:t>
            </w:r>
          </w:p>
        </w:tc>
        <w:tc>
          <w:tcPr>
            <w:tcW w:w="0" w:type="auto"/>
            <w:tcBorders>
              <w:top w:val="nil"/>
              <w:left w:val="nil"/>
              <w:bottom w:val="nil"/>
              <w:right w:val="nil"/>
            </w:tcBorders>
            <w:shd w:val="clear" w:color="000000" w:fill="FFFFFF"/>
            <w:textDirection w:val="lrTb"/>
            <w:vAlign w:val="top"/>
            <w:hideMark/>
          </w:tcPr>
          <w:p w:rsidR="00422D66" w:rsidRPr="001B5BF8" w:rsidP="00AD0444">
            <w:pPr>
              <w:bidi w:val="0"/>
              <w:jc w:val="right"/>
              <w:rPr>
                <w:rFonts w:ascii="Times New Roman" w:hAnsi="Times New Roman"/>
                <w:color w:val="000000"/>
                <w:sz w:val="18"/>
                <w:szCs w:val="18"/>
              </w:rPr>
            </w:pPr>
            <w:r w:rsidRPr="001B5BF8">
              <w:rPr>
                <w:rFonts w:ascii="Times New Roman" w:hAnsi="Times New Roman"/>
                <w:color w:val="000000"/>
                <w:sz w:val="18"/>
                <w:szCs w:val="18"/>
              </w:rPr>
              <w:t>16 767</w:t>
            </w:r>
          </w:p>
        </w:tc>
        <w:tc>
          <w:tcPr>
            <w:tcW w:w="0" w:type="auto"/>
            <w:tcBorders>
              <w:top w:val="nil"/>
              <w:left w:val="nil"/>
              <w:bottom w:val="nil"/>
              <w:right w:val="nil"/>
            </w:tcBorders>
            <w:shd w:val="clear" w:color="000000" w:fill="FFFFFF"/>
            <w:textDirection w:val="lrTb"/>
            <w:vAlign w:val="top"/>
            <w:hideMark/>
          </w:tcPr>
          <w:p w:rsidR="00422D66" w:rsidRPr="001B5BF8" w:rsidP="00AD0444">
            <w:pPr>
              <w:bidi w:val="0"/>
              <w:jc w:val="right"/>
              <w:rPr>
                <w:rFonts w:ascii="Times New Roman" w:hAnsi="Times New Roman"/>
                <w:color w:val="000000"/>
                <w:sz w:val="18"/>
                <w:szCs w:val="18"/>
              </w:rPr>
            </w:pPr>
            <w:r w:rsidRPr="001B5BF8">
              <w:rPr>
                <w:rFonts w:ascii="Times New Roman" w:hAnsi="Times New Roman"/>
                <w:color w:val="000000"/>
                <w:sz w:val="18"/>
                <w:szCs w:val="18"/>
              </w:rPr>
              <w:t>3,5</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rPr>
                <w:rFonts w:ascii="Times New Roman" w:hAnsi="Times New Roman"/>
                <w:color w:val="000000"/>
                <w:sz w:val="18"/>
                <w:szCs w:val="18"/>
              </w:rPr>
            </w:pPr>
            <w:r w:rsidRPr="001B5BF8">
              <w:rPr>
                <w:rFonts w:ascii="Times New Roman" w:hAnsi="Times New Roman"/>
                <w:color w:val="000000"/>
                <w:sz w:val="18"/>
                <w:szCs w:val="18"/>
              </w:rPr>
              <w:t>Administrat. poplatky a iné poplatky a platby</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317 042</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497 678</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327 163</w:t>
            </w:r>
          </w:p>
        </w:tc>
        <w:tc>
          <w:tcPr>
            <w:tcW w:w="0" w:type="auto"/>
            <w:tcBorders>
              <w:top w:val="nil"/>
              <w:left w:val="nil"/>
              <w:bottom w:val="nil"/>
              <w:right w:val="nil"/>
            </w:tcBorders>
            <w:shd w:val="pct25" w:color="auto" w:fill="auto"/>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323 534</w:t>
            </w:r>
          </w:p>
        </w:tc>
        <w:tc>
          <w:tcPr>
            <w:tcW w:w="0" w:type="auto"/>
            <w:tcBorders>
              <w:top w:val="nil"/>
              <w:left w:val="nil"/>
              <w:bottom w:val="nil"/>
              <w:right w:val="nil"/>
            </w:tcBorders>
            <w:shd w:val="clear" w:color="000000" w:fill="FFFFFF"/>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-3 629</w:t>
            </w:r>
          </w:p>
        </w:tc>
        <w:tc>
          <w:tcPr>
            <w:tcW w:w="0" w:type="auto"/>
            <w:tcBorders>
              <w:top w:val="nil"/>
              <w:left w:val="nil"/>
              <w:bottom w:val="nil"/>
              <w:right w:val="nil"/>
            </w:tcBorders>
            <w:shd w:val="clear" w:color="000000" w:fill="FFFFFF"/>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-1,1</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rPr>
                <w:rFonts w:ascii="Times New Roman" w:hAnsi="Times New Roman"/>
                <w:color w:val="000000"/>
                <w:sz w:val="18"/>
                <w:szCs w:val="18"/>
              </w:rPr>
            </w:pPr>
            <w:r w:rsidRPr="001B5BF8">
              <w:rPr>
                <w:rFonts w:ascii="Times New Roman" w:hAnsi="Times New Roman"/>
                <w:color w:val="000000"/>
                <w:sz w:val="18"/>
                <w:szCs w:val="18"/>
              </w:rPr>
              <w:t>Kapitálové príjmy</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530 954</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152 666</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75 816</w:t>
            </w:r>
          </w:p>
        </w:tc>
        <w:tc>
          <w:tcPr>
            <w:tcW w:w="0" w:type="auto"/>
            <w:tcBorders>
              <w:top w:val="nil"/>
              <w:left w:val="nil"/>
              <w:bottom w:val="nil"/>
              <w:right w:val="nil"/>
            </w:tcBorders>
            <w:shd w:val="pct25" w:color="auto" w:fill="auto"/>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12 580</w:t>
            </w:r>
          </w:p>
        </w:tc>
        <w:tc>
          <w:tcPr>
            <w:tcW w:w="0" w:type="auto"/>
            <w:tcBorders>
              <w:top w:val="nil"/>
              <w:left w:val="nil"/>
              <w:bottom w:val="nil"/>
              <w:right w:val="nil"/>
            </w:tcBorders>
            <w:shd w:val="clear" w:color="000000" w:fill="FFFFFF"/>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-63 236</w:t>
            </w:r>
          </w:p>
        </w:tc>
        <w:tc>
          <w:tcPr>
            <w:tcW w:w="0" w:type="auto"/>
            <w:tcBorders>
              <w:top w:val="nil"/>
              <w:left w:val="nil"/>
              <w:bottom w:val="nil"/>
              <w:right w:val="nil"/>
            </w:tcBorders>
            <w:shd w:val="clear" w:color="000000" w:fill="FFFFFF"/>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-83,4</w:t>
            </w:r>
          </w:p>
        </w:tc>
      </w:tr>
      <w:tr>
        <w:tblPrEx>
          <w:tblW w:w="0" w:type="auto"/>
          <w:tblInd w:w="55" w:type="dxa"/>
          <w:tblCellMar>
            <w:left w:w="70" w:type="dxa"/>
            <w:right w:w="70" w:type="dxa"/>
          </w:tblCellMar>
          <w:tblLook w:val="04A0"/>
        </w:tblPrEx>
        <w:trPr>
          <w:trHeight w:val="510"/>
        </w:trPr>
        <w:tc>
          <w:tcPr>
            <w:tcW w:w="0" w:type="auto"/>
            <w:tcBorders>
              <w:top w:val="nil"/>
              <w:left w:val="nil"/>
              <w:bottom w:val="nil"/>
              <w:right w:val="nil"/>
            </w:tcBorders>
            <w:shd w:val="clear" w:color="000000" w:fill="FFFFFF"/>
            <w:textDirection w:val="lrTb"/>
            <w:vAlign w:val="center"/>
            <w:hideMark/>
          </w:tcPr>
          <w:p w:rsidR="00422D66" w:rsidRPr="001B5BF8" w:rsidP="001670FD">
            <w:pPr>
              <w:bidi w:val="0"/>
              <w:rPr>
                <w:rFonts w:ascii="Times New Roman" w:hAnsi="Times New Roman"/>
                <w:color w:val="000000"/>
                <w:sz w:val="18"/>
                <w:szCs w:val="18"/>
              </w:rPr>
            </w:pPr>
            <w:r w:rsidRPr="001B5BF8">
              <w:rPr>
                <w:rFonts w:ascii="Times New Roman" w:hAnsi="Times New Roman"/>
                <w:color w:val="000000"/>
                <w:sz w:val="18"/>
                <w:szCs w:val="18"/>
              </w:rPr>
              <w:t>Úroky z tuzemských a zahraničných úverov, pôžičiek,</w:t>
            </w:r>
            <w:r w:rsidR="001670FD">
              <w:rPr>
                <w:rFonts w:ascii="Times New Roman" w:hAnsi="Times New Roman"/>
                <w:color w:val="000000"/>
                <w:sz w:val="18"/>
                <w:szCs w:val="18"/>
              </w:rPr>
              <w:t xml:space="preserve"> </w:t>
            </w:r>
            <w:r w:rsidRPr="001B5BF8">
              <w:rPr>
                <w:rFonts w:ascii="Times New Roman" w:hAnsi="Times New Roman"/>
                <w:color w:val="000000"/>
                <w:sz w:val="18"/>
                <w:szCs w:val="18"/>
              </w:rPr>
              <w:t>NFV</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18 806</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9 591</w:t>
            </w:r>
          </w:p>
        </w:tc>
        <w:tc>
          <w:tcPr>
            <w:tcW w:w="0" w:type="auto"/>
            <w:tcBorders>
              <w:top w:val="nil"/>
              <w:left w:val="nil"/>
              <w:bottom w:val="nil"/>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2 647</w:t>
            </w:r>
          </w:p>
        </w:tc>
        <w:tc>
          <w:tcPr>
            <w:tcW w:w="0" w:type="auto"/>
            <w:tcBorders>
              <w:top w:val="nil"/>
              <w:left w:val="nil"/>
              <w:bottom w:val="nil"/>
              <w:right w:val="nil"/>
            </w:tcBorders>
            <w:shd w:val="pct25" w:color="auto" w:fill="auto"/>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14 927</w:t>
            </w:r>
          </w:p>
        </w:tc>
        <w:tc>
          <w:tcPr>
            <w:tcW w:w="0" w:type="auto"/>
            <w:tcBorders>
              <w:top w:val="nil"/>
              <w:left w:val="nil"/>
              <w:bottom w:val="nil"/>
              <w:right w:val="nil"/>
            </w:tcBorders>
            <w:shd w:val="clear" w:color="000000" w:fill="FFFFFF"/>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12 280</w:t>
            </w:r>
          </w:p>
        </w:tc>
        <w:tc>
          <w:tcPr>
            <w:tcW w:w="0" w:type="auto"/>
            <w:tcBorders>
              <w:top w:val="nil"/>
              <w:left w:val="nil"/>
              <w:bottom w:val="nil"/>
              <w:right w:val="nil"/>
            </w:tcBorders>
            <w:shd w:val="clear" w:color="000000" w:fill="FFFFFF"/>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463,9</w:t>
            </w:r>
          </w:p>
        </w:tc>
      </w:tr>
      <w:tr>
        <w:tblPrEx>
          <w:tblW w:w="0" w:type="auto"/>
          <w:tblInd w:w="55" w:type="dxa"/>
          <w:tblCellMar>
            <w:left w:w="70" w:type="dxa"/>
            <w:right w:w="70" w:type="dxa"/>
          </w:tblCellMar>
          <w:tblLook w:val="04A0"/>
        </w:tblPrEx>
        <w:trPr>
          <w:trHeight w:val="330"/>
        </w:trPr>
        <w:tc>
          <w:tcPr>
            <w:tcW w:w="0" w:type="auto"/>
            <w:tcBorders>
              <w:top w:val="nil"/>
              <w:left w:val="nil"/>
              <w:bottom w:val="single" w:sz="8" w:space="0" w:color="auto"/>
              <w:right w:val="nil"/>
            </w:tcBorders>
            <w:shd w:val="clear" w:color="000000" w:fill="FFFFFF"/>
            <w:noWrap/>
            <w:textDirection w:val="lrTb"/>
            <w:vAlign w:val="center"/>
            <w:hideMark/>
          </w:tcPr>
          <w:p w:rsidR="00422D66" w:rsidRPr="001B5BF8" w:rsidP="0027279E">
            <w:pPr>
              <w:bidi w:val="0"/>
              <w:rPr>
                <w:rFonts w:ascii="Times New Roman" w:hAnsi="Times New Roman"/>
                <w:color w:val="000000"/>
                <w:sz w:val="18"/>
                <w:szCs w:val="18"/>
              </w:rPr>
            </w:pPr>
            <w:r w:rsidRPr="001B5BF8">
              <w:rPr>
                <w:rFonts w:ascii="Times New Roman" w:hAnsi="Times New Roman"/>
                <w:color w:val="000000"/>
                <w:sz w:val="18"/>
                <w:szCs w:val="18"/>
              </w:rPr>
              <w:t>Iné nedaňové príjmy</w:t>
            </w:r>
          </w:p>
        </w:tc>
        <w:tc>
          <w:tcPr>
            <w:tcW w:w="0" w:type="auto"/>
            <w:tcBorders>
              <w:top w:val="nil"/>
              <w:left w:val="nil"/>
              <w:bottom w:val="single" w:sz="8" w:space="0" w:color="auto"/>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345 457</w:t>
            </w:r>
          </w:p>
        </w:tc>
        <w:tc>
          <w:tcPr>
            <w:tcW w:w="0" w:type="auto"/>
            <w:tcBorders>
              <w:top w:val="nil"/>
              <w:left w:val="nil"/>
              <w:bottom w:val="single" w:sz="8" w:space="0" w:color="auto"/>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349 933</w:t>
            </w:r>
          </w:p>
        </w:tc>
        <w:tc>
          <w:tcPr>
            <w:tcW w:w="0" w:type="auto"/>
            <w:tcBorders>
              <w:top w:val="nil"/>
              <w:left w:val="nil"/>
              <w:bottom w:val="single" w:sz="8" w:space="0" w:color="auto"/>
              <w:right w:val="nil"/>
            </w:tcBorders>
            <w:shd w:val="clear" w:color="000000" w:fill="FFFFFF"/>
            <w:noWrap/>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262 276</w:t>
            </w:r>
          </w:p>
        </w:tc>
        <w:tc>
          <w:tcPr>
            <w:tcW w:w="0" w:type="auto"/>
            <w:tcBorders>
              <w:top w:val="nil"/>
              <w:left w:val="nil"/>
              <w:bottom w:val="single" w:sz="8" w:space="0" w:color="auto"/>
              <w:right w:val="nil"/>
            </w:tcBorders>
            <w:shd w:val="pct25" w:color="auto" w:fill="auto"/>
            <w:noWrap/>
            <w:textDirection w:val="lrTb"/>
            <w:vAlign w:val="center"/>
            <w:hideMark/>
          </w:tcPr>
          <w:p w:rsidR="00422D66" w:rsidRPr="001B5BF8" w:rsidP="00CD74B1">
            <w:pPr>
              <w:bidi w:val="0"/>
              <w:jc w:val="right"/>
              <w:rPr>
                <w:rFonts w:ascii="Times New Roman" w:hAnsi="Times New Roman"/>
                <w:color w:val="000000"/>
                <w:sz w:val="18"/>
                <w:szCs w:val="18"/>
              </w:rPr>
            </w:pPr>
            <w:r w:rsidRPr="001B5BF8">
              <w:rPr>
                <w:rFonts w:ascii="Times New Roman" w:hAnsi="Times New Roman"/>
                <w:color w:val="000000"/>
                <w:sz w:val="18"/>
                <w:szCs w:val="18"/>
              </w:rPr>
              <w:t>434 596</w:t>
            </w:r>
          </w:p>
        </w:tc>
        <w:tc>
          <w:tcPr>
            <w:tcW w:w="0" w:type="auto"/>
            <w:tcBorders>
              <w:top w:val="nil"/>
              <w:left w:val="nil"/>
              <w:bottom w:val="single" w:sz="8" w:space="0" w:color="auto"/>
              <w:right w:val="nil"/>
            </w:tcBorders>
            <w:shd w:val="clear" w:color="000000" w:fill="FFFFFF"/>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172 320</w:t>
            </w:r>
          </w:p>
        </w:tc>
        <w:tc>
          <w:tcPr>
            <w:tcW w:w="0" w:type="auto"/>
            <w:tcBorders>
              <w:top w:val="nil"/>
              <w:left w:val="nil"/>
              <w:bottom w:val="single" w:sz="8" w:space="0" w:color="auto"/>
              <w:right w:val="nil"/>
            </w:tcBorders>
            <w:shd w:val="clear" w:color="000000" w:fill="FFFFFF"/>
            <w:textDirection w:val="lrTb"/>
            <w:vAlign w:val="center"/>
            <w:hideMark/>
          </w:tcPr>
          <w:p w:rsidR="00422D66" w:rsidRPr="001B5BF8" w:rsidP="0027279E">
            <w:pPr>
              <w:bidi w:val="0"/>
              <w:jc w:val="right"/>
              <w:rPr>
                <w:rFonts w:ascii="Times New Roman" w:hAnsi="Times New Roman"/>
                <w:color w:val="000000"/>
                <w:sz w:val="18"/>
                <w:szCs w:val="18"/>
              </w:rPr>
            </w:pPr>
            <w:r w:rsidRPr="001B5BF8">
              <w:rPr>
                <w:rFonts w:ascii="Times New Roman" w:hAnsi="Times New Roman"/>
                <w:color w:val="000000"/>
                <w:sz w:val="18"/>
                <w:szCs w:val="18"/>
              </w:rPr>
              <w:t>65,7</w:t>
            </w:r>
          </w:p>
        </w:tc>
      </w:tr>
      <w:tr>
        <w:tblPrEx>
          <w:tblW w:w="0" w:type="auto"/>
          <w:tblInd w:w="55" w:type="dxa"/>
          <w:tblCellMar>
            <w:left w:w="70" w:type="dxa"/>
            <w:right w:w="70" w:type="dxa"/>
          </w:tblCellMar>
          <w:tblLook w:val="04A0"/>
        </w:tblPrEx>
        <w:trPr>
          <w:trHeight w:val="345"/>
        </w:trPr>
        <w:tc>
          <w:tcPr>
            <w:tcW w:w="0" w:type="auto"/>
            <w:tcBorders>
              <w:top w:val="single" w:sz="8" w:space="0" w:color="auto"/>
              <w:left w:val="nil"/>
              <w:bottom w:val="single" w:sz="8" w:space="0" w:color="auto"/>
              <w:right w:val="nil"/>
            </w:tcBorders>
            <w:shd w:val="clear" w:color="000000" w:fill="FFFFFF"/>
            <w:noWrap/>
            <w:textDirection w:val="lrTb"/>
            <w:vAlign w:val="center"/>
            <w:hideMark/>
          </w:tcPr>
          <w:p w:rsidR="00422D66" w:rsidRPr="001B5BF8" w:rsidP="0027279E">
            <w:pPr>
              <w:bidi w:val="0"/>
              <w:rPr>
                <w:rFonts w:ascii="Times New Roman" w:hAnsi="Times New Roman"/>
                <w:b/>
                <w:bCs/>
                <w:color w:val="000000"/>
                <w:sz w:val="18"/>
                <w:szCs w:val="18"/>
              </w:rPr>
            </w:pPr>
            <w:r w:rsidRPr="001B5BF8">
              <w:rPr>
                <w:rFonts w:ascii="Times New Roman" w:hAnsi="Times New Roman"/>
                <w:b/>
                <w:bCs/>
                <w:color w:val="000000"/>
                <w:sz w:val="18"/>
                <w:szCs w:val="18"/>
              </w:rPr>
              <w:t>Spolu</w:t>
            </w:r>
          </w:p>
        </w:tc>
        <w:tc>
          <w:tcPr>
            <w:tcW w:w="0" w:type="auto"/>
            <w:tcBorders>
              <w:top w:val="single" w:sz="8" w:space="0" w:color="auto"/>
              <w:left w:val="nil"/>
              <w:bottom w:val="single" w:sz="8" w:space="0" w:color="auto"/>
              <w:right w:val="nil"/>
            </w:tcBorders>
            <w:shd w:val="clear" w:color="000000" w:fill="FFFFFF"/>
            <w:noWrap/>
            <w:textDirection w:val="lrTb"/>
            <w:vAlign w:val="center"/>
            <w:hideMark/>
          </w:tcPr>
          <w:p w:rsidR="00422D66" w:rsidRPr="001B5BF8" w:rsidP="0027279E">
            <w:pPr>
              <w:bidi w:val="0"/>
              <w:jc w:val="right"/>
              <w:rPr>
                <w:rFonts w:ascii="Times New Roman" w:hAnsi="Times New Roman"/>
                <w:b/>
                <w:bCs/>
                <w:color w:val="000000"/>
                <w:sz w:val="18"/>
                <w:szCs w:val="18"/>
              </w:rPr>
            </w:pPr>
            <w:r w:rsidRPr="001B5BF8">
              <w:rPr>
                <w:rFonts w:ascii="Times New Roman" w:hAnsi="Times New Roman"/>
                <w:b/>
                <w:bCs/>
                <w:color w:val="000000"/>
                <w:sz w:val="18"/>
                <w:szCs w:val="18"/>
              </w:rPr>
              <w:t>1 262 480</w:t>
            </w:r>
          </w:p>
        </w:tc>
        <w:tc>
          <w:tcPr>
            <w:tcW w:w="0" w:type="auto"/>
            <w:tcBorders>
              <w:top w:val="single" w:sz="8" w:space="0" w:color="auto"/>
              <w:left w:val="nil"/>
              <w:bottom w:val="single" w:sz="8" w:space="0" w:color="auto"/>
              <w:right w:val="nil"/>
            </w:tcBorders>
            <w:shd w:val="clear" w:color="000000" w:fill="FFFFFF"/>
            <w:noWrap/>
            <w:textDirection w:val="lrTb"/>
            <w:vAlign w:val="center"/>
            <w:hideMark/>
          </w:tcPr>
          <w:p w:rsidR="00422D66" w:rsidRPr="001B5BF8" w:rsidP="0027279E">
            <w:pPr>
              <w:bidi w:val="0"/>
              <w:jc w:val="right"/>
              <w:rPr>
                <w:rFonts w:ascii="Times New Roman" w:hAnsi="Times New Roman"/>
                <w:b/>
                <w:bCs/>
                <w:color w:val="000000"/>
                <w:sz w:val="18"/>
                <w:szCs w:val="18"/>
              </w:rPr>
            </w:pPr>
            <w:r w:rsidRPr="001B5BF8">
              <w:rPr>
                <w:rFonts w:ascii="Times New Roman" w:hAnsi="Times New Roman"/>
                <w:b/>
                <w:bCs/>
                <w:color w:val="000000"/>
                <w:sz w:val="18"/>
                <w:szCs w:val="18"/>
              </w:rPr>
              <w:t>1 635 552</w:t>
            </w:r>
          </w:p>
        </w:tc>
        <w:tc>
          <w:tcPr>
            <w:tcW w:w="0" w:type="auto"/>
            <w:tcBorders>
              <w:top w:val="single" w:sz="8" w:space="0" w:color="auto"/>
              <w:left w:val="nil"/>
              <w:bottom w:val="single" w:sz="8" w:space="0" w:color="auto"/>
              <w:right w:val="nil"/>
            </w:tcBorders>
            <w:shd w:val="clear" w:color="000000" w:fill="FFFFFF"/>
            <w:noWrap/>
            <w:textDirection w:val="lrTb"/>
            <w:vAlign w:val="center"/>
            <w:hideMark/>
          </w:tcPr>
          <w:p w:rsidR="00422D66" w:rsidRPr="001B5BF8" w:rsidP="0027279E">
            <w:pPr>
              <w:bidi w:val="0"/>
              <w:jc w:val="right"/>
              <w:rPr>
                <w:rFonts w:ascii="Times New Roman" w:hAnsi="Times New Roman"/>
                <w:b/>
                <w:bCs/>
                <w:color w:val="000000"/>
                <w:sz w:val="18"/>
                <w:szCs w:val="18"/>
              </w:rPr>
            </w:pPr>
            <w:r w:rsidRPr="001B5BF8">
              <w:rPr>
                <w:rFonts w:ascii="Times New Roman" w:hAnsi="Times New Roman"/>
                <w:b/>
                <w:bCs/>
                <w:color w:val="000000"/>
                <w:sz w:val="18"/>
                <w:szCs w:val="18"/>
              </w:rPr>
              <w:t>1 144 220</w:t>
            </w:r>
          </w:p>
        </w:tc>
        <w:tc>
          <w:tcPr>
            <w:tcW w:w="0" w:type="auto"/>
            <w:tcBorders>
              <w:top w:val="single" w:sz="8" w:space="0" w:color="auto"/>
              <w:left w:val="nil"/>
              <w:bottom w:val="single" w:sz="8" w:space="0" w:color="auto"/>
              <w:right w:val="nil"/>
            </w:tcBorders>
            <w:shd w:val="pct25" w:color="auto" w:fill="auto"/>
            <w:noWrap/>
            <w:textDirection w:val="lrTb"/>
            <w:vAlign w:val="center"/>
            <w:hideMark/>
          </w:tcPr>
          <w:p w:rsidR="00422D66" w:rsidRPr="001B5BF8" w:rsidP="0027279E">
            <w:pPr>
              <w:bidi w:val="0"/>
              <w:jc w:val="right"/>
              <w:rPr>
                <w:rFonts w:ascii="Times New Roman" w:hAnsi="Times New Roman"/>
                <w:b/>
                <w:bCs/>
                <w:color w:val="000000"/>
                <w:sz w:val="18"/>
                <w:szCs w:val="18"/>
              </w:rPr>
            </w:pPr>
            <w:r w:rsidRPr="001B5BF8">
              <w:rPr>
                <w:rFonts w:ascii="Times New Roman" w:hAnsi="Times New Roman"/>
                <w:b/>
                <w:bCs/>
                <w:color w:val="000000"/>
                <w:sz w:val="18"/>
                <w:szCs w:val="18"/>
              </w:rPr>
              <w:t>1 278 722</w:t>
            </w:r>
          </w:p>
        </w:tc>
        <w:tc>
          <w:tcPr>
            <w:tcW w:w="0" w:type="auto"/>
            <w:tcBorders>
              <w:top w:val="single" w:sz="8" w:space="0" w:color="auto"/>
              <w:left w:val="nil"/>
              <w:bottom w:val="single" w:sz="8" w:space="0" w:color="auto"/>
              <w:right w:val="nil"/>
            </w:tcBorders>
            <w:shd w:val="clear" w:color="000000" w:fill="FFFFFF"/>
            <w:noWrap/>
            <w:textDirection w:val="lrTb"/>
            <w:vAlign w:val="center"/>
            <w:hideMark/>
          </w:tcPr>
          <w:p w:rsidR="00422D66" w:rsidRPr="001B5BF8" w:rsidP="0027279E">
            <w:pPr>
              <w:bidi w:val="0"/>
              <w:jc w:val="right"/>
              <w:rPr>
                <w:rFonts w:ascii="Times New Roman" w:hAnsi="Times New Roman"/>
                <w:b/>
                <w:bCs/>
                <w:color w:val="000000"/>
                <w:sz w:val="18"/>
                <w:szCs w:val="18"/>
              </w:rPr>
            </w:pPr>
            <w:r w:rsidRPr="001B5BF8">
              <w:rPr>
                <w:rFonts w:ascii="Times New Roman" w:hAnsi="Times New Roman"/>
                <w:b/>
                <w:bCs/>
                <w:color w:val="000000"/>
                <w:sz w:val="18"/>
                <w:szCs w:val="18"/>
              </w:rPr>
              <w:t>134 502</w:t>
            </w:r>
          </w:p>
        </w:tc>
        <w:tc>
          <w:tcPr>
            <w:tcW w:w="0" w:type="auto"/>
            <w:tcBorders>
              <w:top w:val="single" w:sz="8" w:space="0" w:color="auto"/>
              <w:left w:val="nil"/>
              <w:bottom w:val="single" w:sz="8" w:space="0" w:color="auto"/>
              <w:right w:val="nil"/>
            </w:tcBorders>
            <w:shd w:val="clear" w:color="000000" w:fill="FFFFFF"/>
            <w:noWrap/>
            <w:textDirection w:val="lrTb"/>
            <w:vAlign w:val="center"/>
            <w:hideMark/>
          </w:tcPr>
          <w:p w:rsidR="00422D66" w:rsidRPr="001B5BF8" w:rsidP="0027279E">
            <w:pPr>
              <w:bidi w:val="0"/>
              <w:jc w:val="right"/>
              <w:rPr>
                <w:rFonts w:ascii="Times New Roman" w:hAnsi="Times New Roman"/>
                <w:b/>
                <w:bCs/>
                <w:color w:val="000000"/>
                <w:sz w:val="18"/>
                <w:szCs w:val="18"/>
              </w:rPr>
            </w:pPr>
            <w:r w:rsidRPr="001B5BF8">
              <w:rPr>
                <w:rFonts w:ascii="Times New Roman" w:hAnsi="Times New Roman"/>
                <w:b/>
                <w:bCs/>
                <w:color w:val="000000"/>
                <w:sz w:val="18"/>
                <w:szCs w:val="18"/>
              </w:rPr>
              <w:t>11,8</w:t>
            </w:r>
          </w:p>
        </w:tc>
      </w:tr>
    </w:tbl>
    <w:p w:rsidR="00422D66" w:rsidP="00B870C1">
      <w:pPr>
        <w:bidi w:val="0"/>
        <w:spacing w:after="120" w:line="336" w:lineRule="auto"/>
        <w:jc w:val="right"/>
        <w:rPr>
          <w:rFonts w:ascii="Times New Roman" w:hAnsi="Times New Roman"/>
          <w:color w:val="000000"/>
          <w:sz w:val="18"/>
          <w:szCs w:val="18"/>
        </w:rPr>
      </w:pPr>
      <w:r>
        <w:rPr>
          <w:rFonts w:ascii="Times New Roman" w:hAnsi="Times New Roman"/>
          <w:color w:val="000000"/>
          <w:sz w:val="18"/>
          <w:szCs w:val="18"/>
        </w:rPr>
        <w:t>Zdroj: MF SR</w:t>
      </w:r>
    </w:p>
    <w:p w:rsidR="00422D66" w:rsidRPr="00422D66" w:rsidP="00422D66">
      <w:pPr>
        <w:numPr>
          <w:numId w:val="8"/>
        </w:numPr>
        <w:tabs>
          <w:tab w:val="left" w:pos="284"/>
        </w:tabs>
        <w:suppressAutoHyphens/>
        <w:bidi w:val="0"/>
        <w:spacing w:after="120" w:line="336" w:lineRule="auto"/>
        <w:ind w:left="0" w:firstLine="0"/>
        <w:jc w:val="both"/>
        <w:rPr>
          <w:rFonts w:ascii="Times New Roman" w:eastAsia="Calibri" w:hAnsi="Times New Roman" w:hint="default"/>
          <w:color w:val="000000"/>
          <w:sz w:val="22"/>
          <w:szCs w:val="22"/>
          <w:lang w:eastAsia="en-US"/>
        </w:rPr>
      </w:pPr>
      <w:r w:rsidRPr="00422D66">
        <w:rPr>
          <w:rFonts w:ascii="Times New Roman" w:eastAsia="Calibri" w:hAnsi="Times New Roman" w:hint="default"/>
          <w:b/>
          <w:color w:val="000000"/>
          <w:sz w:val="22"/>
          <w:szCs w:val="22"/>
          <w:lang w:eastAsia="en-US"/>
        </w:rPr>
        <w:t>Prí</w:t>
      </w:r>
      <w:r w:rsidRPr="00422D66">
        <w:rPr>
          <w:rFonts w:ascii="Times New Roman" w:eastAsia="Calibri" w:hAnsi="Times New Roman" w:hint="default"/>
          <w:b/>
          <w:color w:val="000000"/>
          <w:sz w:val="22"/>
          <w:szCs w:val="22"/>
          <w:lang w:eastAsia="en-US"/>
        </w:rPr>
        <w:t>jmy z podnikania a </w:t>
      </w:r>
      <w:r w:rsidRPr="00422D66">
        <w:rPr>
          <w:rFonts w:ascii="Times New Roman" w:eastAsia="Calibri" w:hAnsi="Times New Roman" w:hint="default"/>
          <w:b/>
          <w:color w:val="000000"/>
          <w:sz w:val="22"/>
          <w:szCs w:val="22"/>
          <w:lang w:eastAsia="en-US"/>
        </w:rPr>
        <w:t>z vlastní</w:t>
      </w:r>
      <w:r w:rsidRPr="00422D66">
        <w:rPr>
          <w:rFonts w:ascii="Times New Roman" w:eastAsia="Calibri" w:hAnsi="Times New Roman" w:hint="default"/>
          <w:b/>
          <w:color w:val="000000"/>
          <w:sz w:val="22"/>
          <w:szCs w:val="22"/>
          <w:lang w:eastAsia="en-US"/>
        </w:rPr>
        <w:t>ctva majetku</w:t>
      </w:r>
      <w:r w:rsidRPr="00422D66">
        <w:rPr>
          <w:rFonts w:ascii="Times New Roman" w:eastAsia="Calibri" w:hAnsi="Times New Roman" w:hint="default"/>
          <w:color w:val="000000"/>
          <w:sz w:val="22"/>
          <w:szCs w:val="22"/>
          <w:lang w:eastAsia="en-US"/>
        </w:rPr>
        <w:t>, ktoré</w:t>
      </w:r>
      <w:r w:rsidRPr="00422D66">
        <w:rPr>
          <w:rFonts w:ascii="Times New Roman" w:eastAsia="Calibri" w:hAnsi="Times New Roman" w:hint="default"/>
          <w:color w:val="000000"/>
          <w:sz w:val="22"/>
          <w:szCs w:val="22"/>
          <w:lang w:eastAsia="en-US"/>
        </w:rPr>
        <w:t xml:space="preserve"> dosiahli sumu 493 085 </w:t>
      </w:r>
      <w:r w:rsidRPr="00422D66">
        <w:rPr>
          <w:rFonts w:ascii="Times New Roman" w:eastAsia="Calibri" w:hAnsi="Times New Roman" w:hint="default"/>
          <w:color w:val="000000"/>
          <w:sz w:val="22"/>
          <w:szCs w:val="22"/>
          <w:lang w:eastAsia="en-US"/>
        </w:rPr>
        <w:t>tis. eur sú</w:t>
      </w:r>
      <w:r w:rsidRPr="00422D66">
        <w:rPr>
          <w:rFonts w:ascii="Times New Roman" w:eastAsia="Calibri" w:hAnsi="Times New Roman" w:hint="default"/>
          <w:color w:val="000000"/>
          <w:sz w:val="22"/>
          <w:szCs w:val="22"/>
          <w:lang w:eastAsia="en-US"/>
        </w:rPr>
        <w:t xml:space="preserve"> svojou výš</w:t>
      </w:r>
      <w:r w:rsidRPr="00422D66">
        <w:rPr>
          <w:rFonts w:ascii="Times New Roman" w:eastAsia="Calibri" w:hAnsi="Times New Roman" w:hint="default"/>
          <w:color w:val="000000"/>
          <w:sz w:val="22"/>
          <w:szCs w:val="22"/>
          <w:lang w:eastAsia="en-US"/>
        </w:rPr>
        <w:t>kou najdô</w:t>
      </w:r>
      <w:r w:rsidRPr="00422D66">
        <w:rPr>
          <w:rFonts w:ascii="Times New Roman" w:eastAsia="Calibri" w:hAnsi="Times New Roman" w:hint="default"/>
          <w:color w:val="000000"/>
          <w:sz w:val="22"/>
          <w:szCs w:val="22"/>
          <w:lang w:eastAsia="en-US"/>
        </w:rPr>
        <w:t>lež</w:t>
      </w:r>
      <w:r w:rsidRPr="00422D66">
        <w:rPr>
          <w:rFonts w:ascii="Times New Roman" w:eastAsia="Calibri" w:hAnsi="Times New Roman" w:hint="default"/>
          <w:color w:val="000000"/>
          <w:sz w:val="22"/>
          <w:szCs w:val="22"/>
          <w:lang w:eastAsia="en-US"/>
        </w:rPr>
        <w:t>itejš</w:t>
      </w:r>
      <w:r w:rsidRPr="00422D66">
        <w:rPr>
          <w:rFonts w:ascii="Times New Roman" w:eastAsia="Calibri" w:hAnsi="Times New Roman" w:hint="default"/>
          <w:color w:val="000000"/>
          <w:sz w:val="22"/>
          <w:szCs w:val="22"/>
          <w:lang w:eastAsia="en-US"/>
        </w:rPr>
        <w:t>ou č</w:t>
      </w:r>
      <w:r w:rsidRPr="00422D66">
        <w:rPr>
          <w:rFonts w:ascii="Times New Roman" w:eastAsia="Calibri" w:hAnsi="Times New Roman" w:hint="default"/>
          <w:color w:val="000000"/>
          <w:sz w:val="22"/>
          <w:szCs w:val="22"/>
          <w:lang w:eastAsia="en-US"/>
        </w:rPr>
        <w:t>asť</w:t>
      </w:r>
      <w:r w:rsidRPr="00422D66">
        <w:rPr>
          <w:rFonts w:ascii="Times New Roman" w:eastAsia="Calibri" w:hAnsi="Times New Roman" w:hint="default"/>
          <w:color w:val="000000"/>
          <w:sz w:val="22"/>
          <w:szCs w:val="22"/>
          <w:lang w:eastAsia="en-US"/>
        </w:rPr>
        <w:t>ou nedaň</w:t>
      </w:r>
      <w:r w:rsidRPr="00422D66">
        <w:rPr>
          <w:rFonts w:ascii="Times New Roman" w:eastAsia="Calibri" w:hAnsi="Times New Roman" w:hint="default"/>
          <w:color w:val="000000"/>
          <w:sz w:val="22"/>
          <w:szCs w:val="22"/>
          <w:lang w:eastAsia="en-US"/>
        </w:rPr>
        <w:t>ový</w:t>
      </w:r>
      <w:r w:rsidRPr="00422D66">
        <w:rPr>
          <w:rFonts w:ascii="Times New Roman" w:eastAsia="Calibri" w:hAnsi="Times New Roman" w:hint="default"/>
          <w:color w:val="000000"/>
          <w:sz w:val="22"/>
          <w:szCs w:val="22"/>
          <w:lang w:eastAsia="en-US"/>
        </w:rPr>
        <w:t>ch prí</w:t>
      </w:r>
      <w:r w:rsidRPr="00422D66">
        <w:rPr>
          <w:rFonts w:ascii="Times New Roman" w:eastAsia="Calibri" w:hAnsi="Times New Roman" w:hint="default"/>
          <w:color w:val="000000"/>
          <w:sz w:val="22"/>
          <w:szCs w:val="22"/>
          <w:lang w:eastAsia="en-US"/>
        </w:rPr>
        <w:t>jmov. Z </w:t>
      </w:r>
      <w:r w:rsidRPr="00422D66">
        <w:rPr>
          <w:rFonts w:ascii="Times New Roman" w:eastAsia="Calibri" w:hAnsi="Times New Roman" w:hint="default"/>
          <w:color w:val="000000"/>
          <w:sz w:val="22"/>
          <w:szCs w:val="22"/>
          <w:lang w:eastAsia="en-US"/>
        </w:rPr>
        <w:t>tejto sumy najpodstatnejš</w:t>
      </w:r>
      <w:r w:rsidRPr="00422D66">
        <w:rPr>
          <w:rFonts w:ascii="Times New Roman" w:eastAsia="Calibri" w:hAnsi="Times New Roman" w:hint="default"/>
          <w:color w:val="000000"/>
          <w:sz w:val="22"/>
          <w:szCs w:val="22"/>
          <w:lang w:eastAsia="en-US"/>
        </w:rPr>
        <w:t>iu č</w:t>
      </w:r>
      <w:r w:rsidRPr="00422D66">
        <w:rPr>
          <w:rFonts w:ascii="Times New Roman" w:eastAsia="Calibri" w:hAnsi="Times New Roman" w:hint="default"/>
          <w:color w:val="000000"/>
          <w:sz w:val="22"/>
          <w:szCs w:val="22"/>
          <w:lang w:eastAsia="en-US"/>
        </w:rPr>
        <w:t>asť</w:t>
      </w:r>
      <w:r w:rsidRPr="00422D66">
        <w:rPr>
          <w:rFonts w:ascii="Times New Roman" w:eastAsia="Calibri" w:hAnsi="Times New Roman" w:hint="default"/>
          <w:color w:val="000000"/>
          <w:sz w:val="22"/>
          <w:szCs w:val="22"/>
          <w:lang w:eastAsia="en-US"/>
        </w:rPr>
        <w:t xml:space="preserve"> tvorili prijaté</w:t>
      </w:r>
      <w:r w:rsidRPr="00422D66">
        <w:rPr>
          <w:rFonts w:ascii="Times New Roman" w:eastAsia="Calibri" w:hAnsi="Times New Roman" w:hint="default"/>
          <w:color w:val="000000"/>
          <w:sz w:val="22"/>
          <w:szCs w:val="22"/>
          <w:lang w:eastAsia="en-US"/>
        </w:rPr>
        <w:t xml:space="preserve"> dividendy</w:t>
      </w:r>
      <w:r w:rsidRPr="00422D66">
        <w:rPr>
          <w:rFonts w:ascii="Times New Roman" w:eastAsia="Calibri" w:hAnsi="Times New Roman"/>
          <w:b/>
          <w:color w:val="000000"/>
          <w:sz w:val="22"/>
          <w:szCs w:val="22"/>
          <w:lang w:eastAsia="en-US"/>
        </w:rPr>
        <w:t xml:space="preserve"> </w:t>
      </w:r>
      <w:r w:rsidRPr="00422D66">
        <w:rPr>
          <w:rFonts w:ascii="Times New Roman" w:eastAsia="Calibri" w:hAnsi="Times New Roman"/>
          <w:color w:val="000000"/>
          <w:sz w:val="22"/>
          <w:szCs w:val="22"/>
          <w:lang w:eastAsia="en-US"/>
        </w:rPr>
        <w:t>z </w:t>
      </w:r>
      <w:r w:rsidRPr="00422D66">
        <w:rPr>
          <w:rFonts w:ascii="Times New Roman" w:eastAsia="Calibri" w:hAnsi="Times New Roman" w:hint="default"/>
          <w:color w:val="000000"/>
          <w:sz w:val="22"/>
          <w:szCs w:val="22"/>
          <w:lang w:eastAsia="en-US"/>
        </w:rPr>
        <w:t>obchodný</w:t>
      </w:r>
      <w:r w:rsidRPr="00422D66">
        <w:rPr>
          <w:rFonts w:ascii="Times New Roman" w:eastAsia="Calibri" w:hAnsi="Times New Roman" w:hint="default"/>
          <w:color w:val="000000"/>
          <w:sz w:val="22"/>
          <w:szCs w:val="22"/>
          <w:lang w:eastAsia="en-US"/>
        </w:rPr>
        <w:t>ch spoloč</w:t>
      </w:r>
      <w:r w:rsidRPr="00422D66">
        <w:rPr>
          <w:rFonts w:ascii="Times New Roman" w:eastAsia="Calibri" w:hAnsi="Times New Roman" w:hint="default"/>
          <w:color w:val="000000"/>
          <w:sz w:val="22"/>
          <w:szCs w:val="22"/>
          <w:lang w:eastAsia="en-US"/>
        </w:rPr>
        <w:t>ností</w:t>
      </w:r>
      <w:r w:rsidRPr="00422D66">
        <w:rPr>
          <w:rFonts w:ascii="Times New Roman" w:eastAsia="Calibri" w:hAnsi="Times New Roman" w:hint="default"/>
          <w:color w:val="000000"/>
          <w:sz w:val="22"/>
          <w:szCs w:val="22"/>
          <w:lang w:eastAsia="en-US"/>
        </w:rPr>
        <w:t xml:space="preserve"> š</w:t>
      </w:r>
      <w:r w:rsidRPr="00422D66">
        <w:rPr>
          <w:rFonts w:ascii="Times New Roman" w:eastAsia="Calibri" w:hAnsi="Times New Roman" w:hint="default"/>
          <w:color w:val="000000"/>
          <w:sz w:val="22"/>
          <w:szCs w:val="22"/>
          <w:lang w:eastAsia="en-US"/>
        </w:rPr>
        <w:t>tá</w:t>
      </w:r>
      <w:r w:rsidRPr="00422D66">
        <w:rPr>
          <w:rFonts w:ascii="Times New Roman" w:eastAsia="Calibri" w:hAnsi="Times New Roman" w:hint="default"/>
          <w:color w:val="000000"/>
          <w:sz w:val="22"/>
          <w:szCs w:val="22"/>
          <w:lang w:eastAsia="en-US"/>
        </w:rPr>
        <w:t>tu (rozdelené</w:t>
      </w:r>
      <w:r w:rsidRPr="00422D66">
        <w:rPr>
          <w:rFonts w:ascii="Times New Roman" w:eastAsia="Calibri" w:hAnsi="Times New Roman" w:hint="default"/>
          <w:color w:val="000000"/>
          <w:sz w:val="22"/>
          <w:szCs w:val="22"/>
          <w:lang w:eastAsia="en-US"/>
        </w:rPr>
        <w:t xml:space="preserve"> v </w:t>
      </w:r>
      <w:r w:rsidRPr="00422D66">
        <w:rPr>
          <w:rFonts w:ascii="Times New Roman" w:eastAsia="Calibri" w:hAnsi="Times New Roman" w:hint="default"/>
          <w:color w:val="000000"/>
          <w:sz w:val="22"/>
          <w:szCs w:val="22"/>
          <w:lang w:eastAsia="en-US"/>
        </w:rPr>
        <w:t>prechá</w:t>
      </w:r>
      <w:r w:rsidRPr="00422D66">
        <w:rPr>
          <w:rFonts w:ascii="Times New Roman" w:eastAsia="Calibri" w:hAnsi="Times New Roman" w:hint="default"/>
          <w:color w:val="000000"/>
          <w:sz w:val="22"/>
          <w:szCs w:val="22"/>
          <w:lang w:eastAsia="en-US"/>
        </w:rPr>
        <w:t>dzajú</w:t>
      </w:r>
      <w:r w:rsidRPr="00422D66">
        <w:rPr>
          <w:rFonts w:ascii="Times New Roman" w:eastAsia="Calibri" w:hAnsi="Times New Roman" w:hint="default"/>
          <w:color w:val="000000"/>
          <w:sz w:val="22"/>
          <w:szCs w:val="22"/>
          <w:lang w:eastAsia="en-US"/>
        </w:rPr>
        <w:t>com období</w:t>
      </w:r>
      <w:r w:rsidRPr="00422D66">
        <w:rPr>
          <w:rFonts w:ascii="Times New Roman" w:eastAsia="Calibri" w:hAnsi="Times New Roman" w:hint="default"/>
          <w:color w:val="000000"/>
          <w:sz w:val="22"/>
          <w:szCs w:val="22"/>
          <w:lang w:eastAsia="en-US"/>
        </w:rPr>
        <w:t>) v objem</w:t>
      </w:r>
      <w:r w:rsidRPr="00422D66">
        <w:rPr>
          <w:rFonts w:ascii="Times New Roman" w:eastAsia="Calibri" w:hAnsi="Times New Roman" w:hint="default"/>
          <w:color w:val="000000"/>
          <w:sz w:val="22"/>
          <w:szCs w:val="22"/>
          <w:lang w:eastAsia="en-US"/>
        </w:rPr>
        <w:t>e 479 663 tis. </w:t>
      </w:r>
      <w:r w:rsidRPr="00422D66">
        <w:rPr>
          <w:rFonts w:ascii="Times New Roman" w:eastAsia="Calibri" w:hAnsi="Times New Roman" w:hint="default"/>
          <w:color w:val="000000"/>
          <w:sz w:val="22"/>
          <w:szCs w:val="22"/>
          <w:lang w:eastAsia="en-US"/>
        </w:rPr>
        <w:t>eur, ktoré</w:t>
      </w:r>
      <w:r w:rsidRPr="00422D66">
        <w:rPr>
          <w:rFonts w:ascii="Times New Roman" w:eastAsia="Calibri" w:hAnsi="Times New Roman" w:hint="default"/>
          <w:color w:val="000000"/>
          <w:sz w:val="22"/>
          <w:szCs w:val="22"/>
          <w:lang w:eastAsia="en-US"/>
        </w:rPr>
        <w:t xml:space="preserve"> vyinkasovali vybrané</w:t>
      </w:r>
      <w:r w:rsidRPr="00422D66">
        <w:rPr>
          <w:rFonts w:ascii="Times New Roman" w:eastAsia="Calibri" w:hAnsi="Times New Roman" w:hint="default"/>
          <w:color w:val="000000"/>
          <w:sz w:val="22"/>
          <w:szCs w:val="22"/>
          <w:lang w:eastAsia="en-US"/>
        </w:rPr>
        <w:t xml:space="preserve"> kapitoly š</w:t>
      </w:r>
      <w:r w:rsidRPr="00422D66">
        <w:rPr>
          <w:rFonts w:ascii="Times New Roman" w:eastAsia="Calibri" w:hAnsi="Times New Roman" w:hint="default"/>
          <w:color w:val="000000"/>
          <w:sz w:val="22"/>
          <w:szCs w:val="22"/>
          <w:lang w:eastAsia="en-US"/>
        </w:rPr>
        <w:t>tá</w:t>
      </w:r>
      <w:r w:rsidRPr="00422D66">
        <w:rPr>
          <w:rFonts w:ascii="Times New Roman" w:eastAsia="Calibri" w:hAnsi="Times New Roman" w:hint="default"/>
          <w:color w:val="000000"/>
          <w:sz w:val="22"/>
          <w:szCs w:val="22"/>
          <w:lang w:eastAsia="en-US"/>
        </w:rPr>
        <w:t>tneho rozpoč</w:t>
      </w:r>
      <w:r w:rsidRPr="00422D66">
        <w:rPr>
          <w:rFonts w:ascii="Times New Roman" w:eastAsia="Calibri" w:hAnsi="Times New Roman" w:hint="default"/>
          <w:color w:val="000000"/>
          <w:sz w:val="22"/>
          <w:szCs w:val="22"/>
          <w:lang w:eastAsia="en-US"/>
        </w:rPr>
        <w:t>tu v </w:t>
      </w:r>
      <w:r w:rsidRPr="00422D66">
        <w:rPr>
          <w:rFonts w:ascii="Times New Roman" w:eastAsia="Calibri" w:hAnsi="Times New Roman" w:hint="default"/>
          <w:color w:val="000000"/>
          <w:sz w:val="22"/>
          <w:szCs w:val="22"/>
          <w:lang w:eastAsia="en-US"/>
        </w:rPr>
        <w:t>roku 2015. Najvyšší</w:t>
      </w:r>
      <w:r w:rsidRPr="00422D66">
        <w:rPr>
          <w:rFonts w:ascii="Times New Roman" w:eastAsia="Calibri" w:hAnsi="Times New Roman" w:hint="default"/>
          <w:color w:val="000000"/>
          <w:sz w:val="22"/>
          <w:szCs w:val="22"/>
          <w:lang w:eastAsia="en-US"/>
        </w:rPr>
        <w:t xml:space="preserve"> prí</w:t>
      </w:r>
      <w:r w:rsidRPr="00422D66">
        <w:rPr>
          <w:rFonts w:ascii="Times New Roman" w:eastAsia="Calibri" w:hAnsi="Times New Roman" w:hint="default"/>
          <w:color w:val="000000"/>
          <w:sz w:val="22"/>
          <w:szCs w:val="22"/>
          <w:lang w:eastAsia="en-US"/>
        </w:rPr>
        <w:t>jem z </w:t>
      </w:r>
      <w:r w:rsidRPr="00422D66">
        <w:rPr>
          <w:rFonts w:ascii="Times New Roman" w:eastAsia="Calibri" w:hAnsi="Times New Roman" w:hint="default"/>
          <w:color w:val="000000"/>
          <w:sz w:val="22"/>
          <w:szCs w:val="22"/>
          <w:lang w:eastAsia="en-US"/>
        </w:rPr>
        <w:t>dividend bol v kapitole Vš</w:t>
      </w:r>
      <w:r w:rsidRPr="00422D66">
        <w:rPr>
          <w:rFonts w:ascii="Times New Roman" w:eastAsia="Calibri" w:hAnsi="Times New Roman" w:hint="default"/>
          <w:color w:val="000000"/>
          <w:sz w:val="22"/>
          <w:szCs w:val="22"/>
          <w:lang w:eastAsia="en-US"/>
        </w:rPr>
        <w:t>eobecná</w:t>
      </w:r>
      <w:r w:rsidRPr="00422D66">
        <w:rPr>
          <w:rFonts w:ascii="Times New Roman" w:eastAsia="Calibri" w:hAnsi="Times New Roman" w:hint="default"/>
          <w:color w:val="000000"/>
          <w:sz w:val="22"/>
          <w:szCs w:val="22"/>
          <w:lang w:eastAsia="en-US"/>
        </w:rPr>
        <w:t xml:space="preserve"> pokladnič</w:t>
      </w:r>
      <w:r w:rsidRPr="00422D66">
        <w:rPr>
          <w:rFonts w:ascii="Times New Roman" w:eastAsia="Calibri" w:hAnsi="Times New Roman" w:hint="default"/>
          <w:color w:val="000000"/>
          <w:sz w:val="22"/>
          <w:szCs w:val="22"/>
          <w:lang w:eastAsia="en-US"/>
        </w:rPr>
        <w:t>ná</w:t>
      </w:r>
      <w:r w:rsidRPr="00422D66">
        <w:rPr>
          <w:rFonts w:ascii="Times New Roman" w:eastAsia="Calibri" w:hAnsi="Times New Roman" w:hint="default"/>
          <w:color w:val="000000"/>
          <w:sz w:val="22"/>
          <w:szCs w:val="22"/>
          <w:lang w:eastAsia="en-US"/>
        </w:rPr>
        <w:t xml:space="preserve"> sprá</w:t>
      </w:r>
      <w:r w:rsidRPr="00422D66">
        <w:rPr>
          <w:rFonts w:ascii="Times New Roman" w:eastAsia="Calibri" w:hAnsi="Times New Roman" w:hint="default"/>
          <w:color w:val="000000"/>
          <w:sz w:val="22"/>
          <w:szCs w:val="22"/>
          <w:lang w:eastAsia="en-US"/>
        </w:rPr>
        <w:t xml:space="preserve">va </w:t>
      </w:r>
      <w:r w:rsidR="00872D04">
        <w:rPr>
          <w:rFonts w:ascii="Times New Roman" w:eastAsia="Calibri" w:hAnsi="Times New Roman"/>
          <w:color w:val="000000"/>
          <w:sz w:val="22"/>
          <w:szCs w:val="22"/>
          <w:lang w:eastAsia="en-US"/>
        </w:rPr>
        <w:t>v sume</w:t>
      </w:r>
      <w:r w:rsidRPr="00422D66">
        <w:rPr>
          <w:rFonts w:ascii="Times New Roman" w:eastAsia="Calibri" w:hAnsi="Times New Roman"/>
          <w:color w:val="000000"/>
          <w:sz w:val="22"/>
          <w:szCs w:val="22"/>
          <w:lang w:eastAsia="en-US"/>
        </w:rPr>
        <w:t xml:space="preserve"> 377 349 tis. eur</w:t>
      </w:r>
      <w:r w:rsidRPr="00872D04" w:rsidR="00872D04">
        <w:rPr>
          <w:rFonts w:ascii="Times New Roman" w:eastAsia="Calibri" w:hAnsi="Times New Roman"/>
          <w:color w:val="000000"/>
          <w:sz w:val="22"/>
          <w:szCs w:val="22"/>
          <w:lang w:eastAsia="en-US"/>
        </w:rPr>
        <w:t xml:space="preserve"> </w:t>
      </w:r>
      <w:r w:rsidRPr="00422D66" w:rsidR="00872D04">
        <w:rPr>
          <w:rFonts w:ascii="Times New Roman" w:eastAsia="Calibri" w:hAnsi="Times New Roman" w:hint="default"/>
          <w:color w:val="000000"/>
          <w:sz w:val="22"/>
          <w:szCs w:val="22"/>
          <w:lang w:eastAsia="en-US"/>
        </w:rPr>
        <w:t>od jednotlivý</w:t>
      </w:r>
      <w:r w:rsidRPr="00422D66" w:rsidR="00872D04">
        <w:rPr>
          <w:rFonts w:ascii="Times New Roman" w:eastAsia="Calibri" w:hAnsi="Times New Roman" w:hint="default"/>
          <w:color w:val="000000"/>
          <w:sz w:val="22"/>
          <w:szCs w:val="22"/>
          <w:lang w:eastAsia="en-US"/>
        </w:rPr>
        <w:t>ch energetický</w:t>
      </w:r>
      <w:r w:rsidRPr="00422D66" w:rsidR="00872D04">
        <w:rPr>
          <w:rFonts w:ascii="Times New Roman" w:eastAsia="Calibri" w:hAnsi="Times New Roman" w:hint="default"/>
          <w:color w:val="000000"/>
          <w:sz w:val="22"/>
          <w:szCs w:val="22"/>
          <w:lang w:eastAsia="en-US"/>
        </w:rPr>
        <w:t>ch spoloč</w:t>
      </w:r>
      <w:r w:rsidRPr="00422D66" w:rsidR="00872D04">
        <w:rPr>
          <w:rFonts w:ascii="Times New Roman" w:eastAsia="Calibri" w:hAnsi="Times New Roman" w:hint="default"/>
          <w:color w:val="000000"/>
          <w:sz w:val="22"/>
          <w:szCs w:val="22"/>
          <w:lang w:eastAsia="en-US"/>
        </w:rPr>
        <w:t>ností</w:t>
      </w:r>
      <w:r w:rsidR="00872D04">
        <w:rPr>
          <w:rFonts w:ascii="Times New Roman" w:eastAsia="Calibri" w:hAnsi="Times New Roman"/>
          <w:color w:val="000000"/>
          <w:sz w:val="22"/>
          <w:szCs w:val="22"/>
          <w:lang w:eastAsia="en-US"/>
        </w:rPr>
        <w:t>. V </w:t>
      </w:r>
      <w:r w:rsidR="00872D04">
        <w:rPr>
          <w:rFonts w:ascii="Times New Roman" w:eastAsia="Calibri" w:hAnsi="Times New Roman" w:hint="default"/>
          <w:color w:val="000000"/>
          <w:sz w:val="22"/>
          <w:szCs w:val="22"/>
          <w:lang w:eastAsia="en-US"/>
        </w:rPr>
        <w:t>sú</w:t>
      </w:r>
      <w:r w:rsidR="00872D04">
        <w:rPr>
          <w:rFonts w:ascii="Times New Roman" w:eastAsia="Calibri" w:hAnsi="Times New Roman" w:hint="default"/>
          <w:color w:val="000000"/>
          <w:sz w:val="22"/>
          <w:szCs w:val="22"/>
          <w:lang w:eastAsia="en-US"/>
        </w:rPr>
        <w:t>lade s §</w:t>
      </w:r>
      <w:r w:rsidR="00872D04">
        <w:rPr>
          <w:rFonts w:ascii="Times New Roman" w:eastAsia="Calibri" w:hAnsi="Times New Roman" w:hint="default"/>
          <w:color w:val="000000"/>
          <w:sz w:val="22"/>
          <w:szCs w:val="22"/>
          <w:lang w:eastAsia="en-US"/>
        </w:rPr>
        <w:t xml:space="preserve"> 47</w:t>
      </w:r>
      <w:r w:rsidRPr="00422D66">
        <w:rPr>
          <w:rFonts w:ascii="Times New Roman" w:eastAsia="Calibri" w:hAnsi="Times New Roman" w:hint="default"/>
          <w:color w:val="000000"/>
          <w:sz w:val="22"/>
          <w:szCs w:val="22"/>
          <w:lang w:eastAsia="en-US"/>
        </w:rPr>
        <w:t>da zá</w:t>
      </w:r>
      <w:r w:rsidRPr="00422D66">
        <w:rPr>
          <w:rFonts w:ascii="Times New Roman" w:eastAsia="Calibri" w:hAnsi="Times New Roman" w:hint="default"/>
          <w:color w:val="000000"/>
          <w:sz w:val="22"/>
          <w:szCs w:val="22"/>
          <w:lang w:eastAsia="en-US"/>
        </w:rPr>
        <w:t>kona č</w:t>
      </w:r>
      <w:r w:rsidRPr="00422D66">
        <w:rPr>
          <w:rFonts w:ascii="Times New Roman" w:eastAsia="Calibri" w:hAnsi="Times New Roman" w:hint="default"/>
          <w:color w:val="000000"/>
          <w:sz w:val="22"/>
          <w:szCs w:val="22"/>
          <w:lang w:eastAsia="en-US"/>
        </w:rPr>
        <w:t>. 92/</w:t>
      </w:r>
      <w:r w:rsidRPr="00422D66">
        <w:rPr>
          <w:rFonts w:ascii="Times New Roman" w:eastAsia="Calibri" w:hAnsi="Times New Roman" w:hint="default"/>
          <w:color w:val="000000"/>
          <w:sz w:val="22"/>
          <w:szCs w:val="22"/>
          <w:lang w:eastAsia="en-US"/>
        </w:rPr>
        <w:t>1991 Zb. o </w:t>
      </w:r>
      <w:r w:rsidRPr="00422D66">
        <w:rPr>
          <w:rFonts w:ascii="Times New Roman" w:eastAsia="Calibri" w:hAnsi="Times New Roman" w:hint="default"/>
          <w:color w:val="000000"/>
          <w:sz w:val="22"/>
          <w:szCs w:val="22"/>
          <w:lang w:eastAsia="en-US"/>
        </w:rPr>
        <w:t>podmienkach prevodu majetku š</w:t>
      </w:r>
      <w:r w:rsidRPr="00422D66">
        <w:rPr>
          <w:rFonts w:ascii="Times New Roman" w:eastAsia="Calibri" w:hAnsi="Times New Roman" w:hint="default"/>
          <w:color w:val="000000"/>
          <w:sz w:val="22"/>
          <w:szCs w:val="22"/>
          <w:lang w:eastAsia="en-US"/>
        </w:rPr>
        <w:t>tá</w:t>
      </w:r>
      <w:r w:rsidRPr="00422D66">
        <w:rPr>
          <w:rFonts w:ascii="Times New Roman" w:eastAsia="Calibri" w:hAnsi="Times New Roman" w:hint="default"/>
          <w:color w:val="000000"/>
          <w:sz w:val="22"/>
          <w:szCs w:val="22"/>
          <w:lang w:eastAsia="en-US"/>
        </w:rPr>
        <w:t>tu na iné</w:t>
      </w:r>
      <w:r w:rsidRPr="00422D66">
        <w:rPr>
          <w:rFonts w:ascii="Times New Roman" w:eastAsia="Calibri" w:hAnsi="Times New Roman" w:hint="default"/>
          <w:color w:val="000000"/>
          <w:sz w:val="22"/>
          <w:szCs w:val="22"/>
          <w:lang w:eastAsia="en-US"/>
        </w:rPr>
        <w:t xml:space="preserve"> osoby v </w:t>
      </w:r>
      <w:r w:rsidRPr="00422D66">
        <w:rPr>
          <w:rFonts w:ascii="Times New Roman" w:eastAsia="Calibri" w:hAnsi="Times New Roman" w:hint="default"/>
          <w:color w:val="000000"/>
          <w:sz w:val="22"/>
          <w:szCs w:val="22"/>
          <w:lang w:eastAsia="en-US"/>
        </w:rPr>
        <w:t>znení</w:t>
      </w:r>
      <w:r w:rsidRPr="00422D66">
        <w:rPr>
          <w:rFonts w:ascii="Times New Roman" w:eastAsia="Calibri" w:hAnsi="Times New Roman" w:hint="default"/>
          <w:color w:val="000000"/>
          <w:sz w:val="22"/>
          <w:szCs w:val="22"/>
          <w:lang w:eastAsia="en-US"/>
        </w:rPr>
        <w:t xml:space="preserve"> neskorší</w:t>
      </w:r>
      <w:r w:rsidRPr="00422D66">
        <w:rPr>
          <w:rFonts w:ascii="Times New Roman" w:eastAsia="Calibri" w:hAnsi="Times New Roman" w:hint="default"/>
          <w:color w:val="000000"/>
          <w:sz w:val="22"/>
          <w:szCs w:val="22"/>
          <w:lang w:eastAsia="en-US"/>
        </w:rPr>
        <w:t>ch predpisov preš</w:t>
      </w:r>
      <w:r w:rsidRPr="00422D66">
        <w:rPr>
          <w:rFonts w:ascii="Times New Roman" w:eastAsia="Calibri" w:hAnsi="Times New Roman" w:hint="default"/>
          <w:color w:val="000000"/>
          <w:sz w:val="22"/>
          <w:szCs w:val="22"/>
          <w:lang w:eastAsia="en-US"/>
        </w:rPr>
        <w:t>li dň</w:t>
      </w:r>
      <w:r w:rsidRPr="00422D66">
        <w:rPr>
          <w:rFonts w:ascii="Times New Roman" w:eastAsia="Calibri" w:hAnsi="Times New Roman" w:hint="default"/>
          <w:color w:val="000000"/>
          <w:sz w:val="22"/>
          <w:szCs w:val="22"/>
          <w:lang w:eastAsia="en-US"/>
        </w:rPr>
        <w:t>om 1. augusta 2014 majetkové</w:t>
      </w:r>
      <w:r w:rsidRPr="00422D66">
        <w:rPr>
          <w:rFonts w:ascii="Times New Roman" w:eastAsia="Calibri" w:hAnsi="Times New Roman" w:hint="default"/>
          <w:color w:val="000000"/>
          <w:sz w:val="22"/>
          <w:szCs w:val="22"/>
          <w:lang w:eastAsia="en-US"/>
        </w:rPr>
        <w:t xml:space="preserve"> úč</w:t>
      </w:r>
      <w:r w:rsidRPr="00422D66">
        <w:rPr>
          <w:rFonts w:ascii="Times New Roman" w:eastAsia="Calibri" w:hAnsi="Times New Roman" w:hint="default"/>
          <w:color w:val="000000"/>
          <w:sz w:val="22"/>
          <w:szCs w:val="22"/>
          <w:lang w:eastAsia="en-US"/>
        </w:rPr>
        <w:t>asti Fondu ná</w:t>
      </w:r>
      <w:r w:rsidRPr="00422D66">
        <w:rPr>
          <w:rFonts w:ascii="Times New Roman" w:eastAsia="Calibri" w:hAnsi="Times New Roman" w:hint="default"/>
          <w:color w:val="000000"/>
          <w:sz w:val="22"/>
          <w:szCs w:val="22"/>
          <w:lang w:eastAsia="en-US"/>
        </w:rPr>
        <w:t>rodné</w:t>
      </w:r>
      <w:r w:rsidRPr="00422D66">
        <w:rPr>
          <w:rFonts w:ascii="Times New Roman" w:eastAsia="Calibri" w:hAnsi="Times New Roman" w:hint="default"/>
          <w:color w:val="000000"/>
          <w:sz w:val="22"/>
          <w:szCs w:val="22"/>
          <w:lang w:eastAsia="en-US"/>
        </w:rPr>
        <w:t>ho majetku SR v </w:t>
      </w:r>
      <w:r w:rsidRPr="00422D66">
        <w:rPr>
          <w:rFonts w:ascii="Times New Roman" w:eastAsia="Calibri" w:hAnsi="Times New Roman" w:hint="default"/>
          <w:color w:val="000000"/>
          <w:sz w:val="22"/>
          <w:szCs w:val="22"/>
          <w:lang w:eastAsia="en-US"/>
        </w:rPr>
        <w:t>spoloč</w:t>
      </w:r>
      <w:r w:rsidRPr="00422D66">
        <w:rPr>
          <w:rFonts w:ascii="Times New Roman" w:eastAsia="Calibri" w:hAnsi="Times New Roman" w:hint="default"/>
          <w:color w:val="000000"/>
          <w:sz w:val="22"/>
          <w:szCs w:val="22"/>
          <w:lang w:eastAsia="en-US"/>
        </w:rPr>
        <w:t>nostiach Zá</w:t>
      </w:r>
      <w:r w:rsidRPr="00422D66">
        <w:rPr>
          <w:rFonts w:ascii="Times New Roman" w:eastAsia="Calibri" w:hAnsi="Times New Roman" w:hint="default"/>
          <w:color w:val="000000"/>
          <w:sz w:val="22"/>
          <w:szCs w:val="22"/>
          <w:lang w:eastAsia="en-US"/>
        </w:rPr>
        <w:t>padoslovenská</w:t>
      </w:r>
      <w:r w:rsidRPr="00422D66">
        <w:rPr>
          <w:rFonts w:ascii="Times New Roman" w:eastAsia="Calibri" w:hAnsi="Times New Roman" w:hint="default"/>
          <w:color w:val="000000"/>
          <w:sz w:val="22"/>
          <w:szCs w:val="22"/>
          <w:lang w:eastAsia="en-US"/>
        </w:rPr>
        <w:t xml:space="preserve"> energetika, a.s. Bratislava, Stredoslovenská</w:t>
      </w:r>
      <w:r w:rsidRPr="00422D66">
        <w:rPr>
          <w:rFonts w:ascii="Times New Roman" w:eastAsia="Calibri" w:hAnsi="Times New Roman" w:hint="default"/>
          <w:color w:val="000000"/>
          <w:sz w:val="22"/>
          <w:szCs w:val="22"/>
          <w:lang w:eastAsia="en-US"/>
        </w:rPr>
        <w:t xml:space="preserve"> energetika, a.s. Ž</w:t>
      </w:r>
      <w:r w:rsidRPr="00422D66">
        <w:rPr>
          <w:rFonts w:ascii="Times New Roman" w:eastAsia="Calibri" w:hAnsi="Times New Roman" w:hint="default"/>
          <w:color w:val="000000"/>
          <w:sz w:val="22"/>
          <w:szCs w:val="22"/>
          <w:lang w:eastAsia="en-US"/>
        </w:rPr>
        <w:t>i</w:t>
      </w:r>
      <w:r w:rsidRPr="00422D66">
        <w:rPr>
          <w:rFonts w:ascii="Times New Roman" w:eastAsia="Calibri" w:hAnsi="Times New Roman" w:hint="default"/>
          <w:color w:val="000000"/>
          <w:sz w:val="22"/>
          <w:szCs w:val="22"/>
          <w:lang w:eastAsia="en-US"/>
        </w:rPr>
        <w:t>lina, Vý</w:t>
      </w:r>
      <w:r w:rsidRPr="00422D66">
        <w:rPr>
          <w:rFonts w:ascii="Times New Roman" w:eastAsia="Calibri" w:hAnsi="Times New Roman" w:hint="default"/>
          <w:color w:val="000000"/>
          <w:sz w:val="22"/>
          <w:szCs w:val="22"/>
          <w:lang w:eastAsia="en-US"/>
        </w:rPr>
        <w:t>chodoslovenská</w:t>
      </w:r>
      <w:r w:rsidRPr="00422D66">
        <w:rPr>
          <w:rFonts w:ascii="Times New Roman" w:eastAsia="Calibri" w:hAnsi="Times New Roman" w:hint="default"/>
          <w:color w:val="000000"/>
          <w:sz w:val="22"/>
          <w:szCs w:val="22"/>
          <w:lang w:eastAsia="en-US"/>
        </w:rPr>
        <w:t xml:space="preserve"> energetika Holding, a.s. Koš</w:t>
      </w:r>
      <w:r w:rsidRPr="00422D66">
        <w:rPr>
          <w:rFonts w:ascii="Times New Roman" w:eastAsia="Calibri" w:hAnsi="Times New Roman" w:hint="default"/>
          <w:color w:val="000000"/>
          <w:sz w:val="22"/>
          <w:szCs w:val="22"/>
          <w:lang w:eastAsia="en-US"/>
        </w:rPr>
        <w:t>ice, Slovenské</w:t>
      </w:r>
      <w:r w:rsidRPr="00422D66">
        <w:rPr>
          <w:rFonts w:ascii="Times New Roman" w:eastAsia="Calibri" w:hAnsi="Times New Roman" w:hint="default"/>
          <w:color w:val="000000"/>
          <w:sz w:val="22"/>
          <w:szCs w:val="22"/>
          <w:lang w:eastAsia="en-US"/>
        </w:rPr>
        <w:t xml:space="preserve"> elektrá</w:t>
      </w:r>
      <w:r w:rsidRPr="00422D66">
        <w:rPr>
          <w:rFonts w:ascii="Times New Roman" w:eastAsia="Calibri" w:hAnsi="Times New Roman" w:hint="default"/>
          <w:color w:val="000000"/>
          <w:sz w:val="22"/>
          <w:szCs w:val="22"/>
          <w:lang w:eastAsia="en-US"/>
        </w:rPr>
        <w:t>rne, a.s. Bratislava a </w:t>
      </w:r>
      <w:r w:rsidRPr="00422D66">
        <w:rPr>
          <w:rFonts w:ascii="Times New Roman" w:eastAsia="Calibri" w:hAnsi="Times New Roman" w:hint="default"/>
          <w:color w:val="000000"/>
          <w:sz w:val="22"/>
          <w:szCs w:val="22"/>
          <w:lang w:eastAsia="en-US"/>
        </w:rPr>
        <w:t>Slovenský</w:t>
      </w:r>
      <w:r w:rsidRPr="00422D66">
        <w:rPr>
          <w:rFonts w:ascii="Times New Roman" w:eastAsia="Calibri" w:hAnsi="Times New Roman" w:hint="default"/>
          <w:color w:val="000000"/>
          <w:sz w:val="22"/>
          <w:szCs w:val="22"/>
          <w:lang w:eastAsia="en-US"/>
        </w:rPr>
        <w:t xml:space="preserve"> plyná</w:t>
      </w:r>
      <w:r w:rsidRPr="00422D66">
        <w:rPr>
          <w:rFonts w:ascii="Times New Roman" w:eastAsia="Calibri" w:hAnsi="Times New Roman" w:hint="default"/>
          <w:color w:val="000000"/>
          <w:sz w:val="22"/>
          <w:szCs w:val="22"/>
          <w:lang w:eastAsia="en-US"/>
        </w:rPr>
        <w:t>renský</w:t>
      </w:r>
      <w:r w:rsidRPr="00422D66">
        <w:rPr>
          <w:rFonts w:ascii="Times New Roman" w:eastAsia="Calibri" w:hAnsi="Times New Roman" w:hint="default"/>
          <w:color w:val="000000"/>
          <w:sz w:val="22"/>
          <w:szCs w:val="22"/>
          <w:lang w:eastAsia="en-US"/>
        </w:rPr>
        <w:t xml:space="preserve"> priemysel, a.s. Bratislava do vlastní</w:t>
      </w:r>
      <w:r w:rsidRPr="00422D66">
        <w:rPr>
          <w:rFonts w:ascii="Times New Roman" w:eastAsia="Calibri" w:hAnsi="Times New Roman" w:hint="default"/>
          <w:color w:val="000000"/>
          <w:sz w:val="22"/>
          <w:szCs w:val="22"/>
          <w:lang w:eastAsia="en-US"/>
        </w:rPr>
        <w:t>ctva Slovenskej republiky, v </w:t>
      </w:r>
      <w:r w:rsidRPr="00422D66">
        <w:rPr>
          <w:rFonts w:ascii="Times New Roman" w:eastAsia="Calibri" w:hAnsi="Times New Roman" w:hint="default"/>
          <w:color w:val="000000"/>
          <w:sz w:val="22"/>
          <w:szCs w:val="22"/>
          <w:lang w:eastAsia="en-US"/>
        </w:rPr>
        <w:t>mene ktorej koná</w:t>
      </w:r>
      <w:r w:rsidRPr="00422D66">
        <w:rPr>
          <w:rFonts w:ascii="Times New Roman" w:eastAsia="Calibri" w:hAnsi="Times New Roman" w:hint="default"/>
          <w:color w:val="000000"/>
          <w:sz w:val="22"/>
          <w:szCs w:val="22"/>
          <w:lang w:eastAsia="en-US"/>
        </w:rPr>
        <w:t xml:space="preserve"> Ministerstvo hospodá</w:t>
      </w:r>
      <w:r w:rsidRPr="00422D66">
        <w:rPr>
          <w:rFonts w:ascii="Times New Roman" w:eastAsia="Calibri" w:hAnsi="Times New Roman" w:hint="default"/>
          <w:color w:val="000000"/>
          <w:sz w:val="22"/>
          <w:szCs w:val="22"/>
          <w:lang w:eastAsia="en-US"/>
        </w:rPr>
        <w:t>rstva SR. Prí</w:t>
      </w:r>
      <w:r w:rsidRPr="00422D66">
        <w:rPr>
          <w:rFonts w:ascii="Times New Roman" w:eastAsia="Calibri" w:hAnsi="Times New Roman" w:hint="default"/>
          <w:color w:val="000000"/>
          <w:sz w:val="22"/>
          <w:szCs w:val="22"/>
          <w:lang w:eastAsia="en-US"/>
        </w:rPr>
        <w:t>jmy z dividend z </w:t>
      </w:r>
      <w:r w:rsidRPr="00422D66">
        <w:rPr>
          <w:rFonts w:ascii="Times New Roman" w:eastAsia="Calibri" w:hAnsi="Times New Roman" w:hint="default"/>
          <w:color w:val="000000"/>
          <w:sz w:val="22"/>
          <w:szCs w:val="22"/>
          <w:lang w:eastAsia="en-US"/>
        </w:rPr>
        <w:t>vyšš</w:t>
      </w:r>
      <w:r w:rsidRPr="00422D66">
        <w:rPr>
          <w:rFonts w:ascii="Times New Roman" w:eastAsia="Calibri" w:hAnsi="Times New Roman" w:hint="default"/>
          <w:color w:val="000000"/>
          <w:sz w:val="22"/>
          <w:szCs w:val="22"/>
          <w:lang w:eastAsia="en-US"/>
        </w:rPr>
        <w:t>i</w:t>
      </w:r>
      <w:r w:rsidRPr="00422D66">
        <w:rPr>
          <w:rFonts w:ascii="Times New Roman" w:eastAsia="Calibri" w:hAnsi="Times New Roman" w:hint="default"/>
          <w:color w:val="000000"/>
          <w:sz w:val="22"/>
          <w:szCs w:val="22"/>
          <w:lang w:eastAsia="en-US"/>
        </w:rPr>
        <w:t>e uvedený</w:t>
      </w:r>
      <w:r w:rsidRPr="00422D66">
        <w:rPr>
          <w:rFonts w:ascii="Times New Roman" w:eastAsia="Calibri" w:hAnsi="Times New Roman" w:hint="default"/>
          <w:color w:val="000000"/>
          <w:sz w:val="22"/>
          <w:szCs w:val="22"/>
          <w:lang w:eastAsia="en-US"/>
        </w:rPr>
        <w:t>ch spoloč</w:t>
      </w:r>
      <w:r w:rsidRPr="00422D66">
        <w:rPr>
          <w:rFonts w:ascii="Times New Roman" w:eastAsia="Calibri" w:hAnsi="Times New Roman" w:hint="default"/>
          <w:color w:val="000000"/>
          <w:sz w:val="22"/>
          <w:szCs w:val="22"/>
          <w:lang w:eastAsia="en-US"/>
        </w:rPr>
        <w:t>ností</w:t>
      </w:r>
      <w:r w:rsidRPr="00422D66">
        <w:rPr>
          <w:rFonts w:ascii="Times New Roman" w:eastAsia="Calibri" w:hAnsi="Times New Roman" w:hint="default"/>
          <w:color w:val="000000"/>
          <w:sz w:val="22"/>
          <w:szCs w:val="22"/>
          <w:lang w:eastAsia="en-US"/>
        </w:rPr>
        <w:t xml:space="preserve"> boli pouká</w:t>
      </w:r>
      <w:r w:rsidRPr="00422D66">
        <w:rPr>
          <w:rFonts w:ascii="Times New Roman" w:eastAsia="Calibri" w:hAnsi="Times New Roman" w:hint="default"/>
          <w:color w:val="000000"/>
          <w:sz w:val="22"/>
          <w:szCs w:val="22"/>
          <w:lang w:eastAsia="en-US"/>
        </w:rPr>
        <w:t>zané</w:t>
      </w:r>
      <w:r w:rsidRPr="00422D66">
        <w:rPr>
          <w:rFonts w:ascii="Times New Roman" w:eastAsia="Calibri" w:hAnsi="Times New Roman" w:hint="default"/>
          <w:color w:val="000000"/>
          <w:sz w:val="22"/>
          <w:szCs w:val="22"/>
          <w:lang w:eastAsia="en-US"/>
        </w:rPr>
        <w:t xml:space="preserve"> na úč</w:t>
      </w:r>
      <w:r w:rsidRPr="00422D66">
        <w:rPr>
          <w:rFonts w:ascii="Times New Roman" w:eastAsia="Calibri" w:hAnsi="Times New Roman" w:hint="default"/>
          <w:color w:val="000000"/>
          <w:sz w:val="22"/>
          <w:szCs w:val="22"/>
          <w:lang w:eastAsia="en-US"/>
        </w:rPr>
        <w:t>et kapitoly Vš</w:t>
      </w:r>
      <w:r w:rsidRPr="00422D66">
        <w:rPr>
          <w:rFonts w:ascii="Times New Roman" w:eastAsia="Calibri" w:hAnsi="Times New Roman" w:hint="default"/>
          <w:color w:val="000000"/>
          <w:sz w:val="22"/>
          <w:szCs w:val="22"/>
          <w:lang w:eastAsia="en-US"/>
        </w:rPr>
        <w:t>eobecná</w:t>
      </w:r>
      <w:r w:rsidRPr="00422D66">
        <w:rPr>
          <w:rFonts w:ascii="Times New Roman" w:eastAsia="Calibri" w:hAnsi="Times New Roman" w:hint="default"/>
          <w:color w:val="000000"/>
          <w:sz w:val="22"/>
          <w:szCs w:val="22"/>
          <w:lang w:eastAsia="en-US"/>
        </w:rPr>
        <w:t xml:space="preserve"> pokladnič</w:t>
      </w:r>
      <w:r w:rsidRPr="00422D66">
        <w:rPr>
          <w:rFonts w:ascii="Times New Roman" w:eastAsia="Calibri" w:hAnsi="Times New Roman" w:hint="default"/>
          <w:color w:val="000000"/>
          <w:sz w:val="22"/>
          <w:szCs w:val="22"/>
          <w:lang w:eastAsia="en-US"/>
        </w:rPr>
        <w:t>ná</w:t>
      </w:r>
      <w:r w:rsidRPr="00422D66">
        <w:rPr>
          <w:rFonts w:ascii="Times New Roman" w:eastAsia="Calibri" w:hAnsi="Times New Roman" w:hint="default"/>
          <w:color w:val="000000"/>
          <w:sz w:val="22"/>
          <w:szCs w:val="22"/>
          <w:lang w:eastAsia="en-US"/>
        </w:rPr>
        <w:t xml:space="preserve"> sprá</w:t>
      </w:r>
      <w:r w:rsidRPr="00422D66">
        <w:rPr>
          <w:rFonts w:ascii="Times New Roman" w:eastAsia="Calibri" w:hAnsi="Times New Roman" w:hint="default"/>
          <w:color w:val="000000"/>
          <w:sz w:val="22"/>
          <w:szCs w:val="22"/>
          <w:lang w:eastAsia="en-US"/>
        </w:rPr>
        <w:t>va. Druhý</w:t>
      </w:r>
      <w:r w:rsidRPr="00422D66">
        <w:rPr>
          <w:rFonts w:ascii="Times New Roman" w:eastAsia="Calibri" w:hAnsi="Times New Roman" w:hint="default"/>
          <w:color w:val="000000"/>
          <w:sz w:val="22"/>
          <w:szCs w:val="22"/>
          <w:lang w:eastAsia="en-US"/>
        </w:rPr>
        <w:t xml:space="preserve"> najvyšší</w:t>
      </w:r>
      <w:r w:rsidRPr="00422D66">
        <w:rPr>
          <w:rFonts w:ascii="Times New Roman" w:eastAsia="Calibri" w:hAnsi="Times New Roman" w:hint="default"/>
          <w:color w:val="000000"/>
          <w:sz w:val="22"/>
          <w:szCs w:val="22"/>
          <w:lang w:eastAsia="en-US"/>
        </w:rPr>
        <w:t xml:space="preserve"> prí</w:t>
      </w:r>
      <w:r w:rsidRPr="00422D66">
        <w:rPr>
          <w:rFonts w:ascii="Times New Roman" w:eastAsia="Calibri" w:hAnsi="Times New Roman" w:hint="default"/>
          <w:color w:val="000000"/>
          <w:sz w:val="22"/>
          <w:szCs w:val="22"/>
          <w:lang w:eastAsia="en-US"/>
        </w:rPr>
        <w:t>jem z </w:t>
      </w:r>
      <w:r w:rsidRPr="00422D66">
        <w:rPr>
          <w:rFonts w:ascii="Times New Roman" w:eastAsia="Calibri" w:hAnsi="Times New Roman" w:hint="default"/>
          <w:color w:val="000000"/>
          <w:sz w:val="22"/>
          <w:szCs w:val="22"/>
          <w:lang w:eastAsia="en-US"/>
        </w:rPr>
        <w:t>dividend dosiahlo Ministerstvo financií</w:t>
      </w:r>
      <w:r w:rsidRPr="00422D66">
        <w:rPr>
          <w:rFonts w:ascii="Times New Roman" w:eastAsia="Calibri" w:hAnsi="Times New Roman" w:hint="default"/>
          <w:color w:val="000000"/>
          <w:sz w:val="22"/>
          <w:szCs w:val="22"/>
          <w:lang w:eastAsia="en-US"/>
        </w:rPr>
        <w:t xml:space="preserve"> SR, ktoré</w:t>
      </w:r>
      <w:r w:rsidRPr="00422D66">
        <w:rPr>
          <w:rFonts w:ascii="Times New Roman" w:eastAsia="Calibri" w:hAnsi="Times New Roman" w:hint="default"/>
          <w:color w:val="000000"/>
          <w:sz w:val="22"/>
          <w:szCs w:val="22"/>
          <w:lang w:eastAsia="en-US"/>
        </w:rPr>
        <w:t xml:space="preserve"> zí</w:t>
      </w:r>
      <w:r w:rsidRPr="00422D66">
        <w:rPr>
          <w:rFonts w:ascii="Times New Roman" w:eastAsia="Calibri" w:hAnsi="Times New Roman" w:hint="default"/>
          <w:color w:val="000000"/>
          <w:sz w:val="22"/>
          <w:szCs w:val="22"/>
          <w:lang w:eastAsia="en-US"/>
        </w:rPr>
        <w:t>skalo od Slovenskej elektrizač</w:t>
      </w:r>
      <w:r w:rsidRPr="00422D66">
        <w:rPr>
          <w:rFonts w:ascii="Times New Roman" w:eastAsia="Calibri" w:hAnsi="Times New Roman" w:hint="default"/>
          <w:color w:val="000000"/>
          <w:sz w:val="22"/>
          <w:szCs w:val="22"/>
          <w:lang w:eastAsia="en-US"/>
        </w:rPr>
        <w:t>nej prenosovej sú</w:t>
      </w:r>
      <w:r w:rsidRPr="00422D66">
        <w:rPr>
          <w:rFonts w:ascii="Times New Roman" w:eastAsia="Calibri" w:hAnsi="Times New Roman" w:hint="default"/>
          <w:color w:val="000000"/>
          <w:sz w:val="22"/>
          <w:szCs w:val="22"/>
          <w:lang w:eastAsia="en-US"/>
        </w:rPr>
        <w:t>stavy, a.s. č</w:t>
      </w:r>
      <w:r w:rsidRPr="00422D66">
        <w:rPr>
          <w:rFonts w:ascii="Times New Roman" w:eastAsia="Calibri" w:hAnsi="Times New Roman" w:hint="default"/>
          <w:color w:val="000000"/>
          <w:sz w:val="22"/>
          <w:szCs w:val="22"/>
          <w:lang w:eastAsia="en-US"/>
        </w:rPr>
        <w:t>iastku 66 135 tis. eur.</w:t>
      </w:r>
    </w:p>
    <w:p w:rsidR="00422D66" w:rsidRPr="00422D66" w:rsidP="00422D66">
      <w:pPr>
        <w:tabs>
          <w:tab w:val="left" w:pos="284"/>
        </w:tabs>
        <w:suppressAutoHyphens/>
        <w:bidi w:val="0"/>
        <w:spacing w:after="120" w:line="336" w:lineRule="auto"/>
        <w:jc w:val="both"/>
        <w:rPr>
          <w:rFonts w:ascii="Times New Roman" w:eastAsia="Calibri" w:hAnsi="Times New Roman" w:hint="default"/>
          <w:color w:val="000000"/>
          <w:sz w:val="22"/>
          <w:szCs w:val="22"/>
          <w:lang w:eastAsia="en-US"/>
        </w:rPr>
      </w:pPr>
      <w:r w:rsidRPr="00422D66">
        <w:rPr>
          <w:rFonts w:ascii="Times New Roman" w:eastAsia="Calibri" w:hAnsi="Times New Roman"/>
          <w:color w:val="000000"/>
          <w:sz w:val="22"/>
          <w:szCs w:val="22"/>
          <w:lang w:eastAsia="en-US"/>
        </w:rPr>
        <w:t>V </w:t>
      </w:r>
      <w:r w:rsidRPr="00422D66">
        <w:rPr>
          <w:rFonts w:ascii="Times New Roman" w:eastAsia="Calibri" w:hAnsi="Times New Roman" w:hint="default"/>
          <w:color w:val="000000"/>
          <w:sz w:val="22"/>
          <w:szCs w:val="22"/>
          <w:lang w:eastAsia="en-US"/>
        </w:rPr>
        <w:t>rá</w:t>
      </w:r>
      <w:r w:rsidRPr="00422D66">
        <w:rPr>
          <w:rFonts w:ascii="Times New Roman" w:eastAsia="Calibri" w:hAnsi="Times New Roman" w:hint="default"/>
          <w:color w:val="000000"/>
          <w:sz w:val="22"/>
          <w:szCs w:val="22"/>
          <w:lang w:eastAsia="en-US"/>
        </w:rPr>
        <w:t>mci pr</w:t>
      </w:r>
      <w:r w:rsidRPr="00422D66">
        <w:rPr>
          <w:rFonts w:ascii="Times New Roman" w:eastAsia="Calibri" w:hAnsi="Times New Roman" w:hint="default"/>
          <w:color w:val="000000"/>
          <w:sz w:val="22"/>
          <w:szCs w:val="22"/>
          <w:lang w:eastAsia="en-US"/>
        </w:rPr>
        <w:t>í</w:t>
      </w:r>
      <w:r w:rsidRPr="00422D66">
        <w:rPr>
          <w:rFonts w:ascii="Times New Roman" w:eastAsia="Calibri" w:hAnsi="Times New Roman" w:hint="default"/>
          <w:color w:val="000000"/>
          <w:sz w:val="22"/>
          <w:szCs w:val="22"/>
          <w:lang w:eastAsia="en-US"/>
        </w:rPr>
        <w:t xml:space="preserve">jmov z podnikania </w:t>
      </w:r>
      <w:r w:rsidR="00872D04">
        <w:rPr>
          <w:rFonts w:ascii="Times New Roman" w:eastAsia="Calibri" w:hAnsi="Times New Roman"/>
          <w:color w:val="000000"/>
          <w:sz w:val="22"/>
          <w:szCs w:val="22"/>
          <w:lang w:eastAsia="en-US"/>
        </w:rPr>
        <w:t>prijalo</w:t>
      </w:r>
      <w:r w:rsidRPr="00422D66">
        <w:rPr>
          <w:rFonts w:ascii="Times New Roman" w:eastAsia="Calibri" w:hAnsi="Times New Roman" w:hint="default"/>
          <w:color w:val="000000"/>
          <w:sz w:val="22"/>
          <w:szCs w:val="22"/>
          <w:lang w:eastAsia="en-US"/>
        </w:rPr>
        <w:t xml:space="preserve"> Ministerstvo pô</w:t>
      </w:r>
      <w:r w:rsidRPr="00422D66">
        <w:rPr>
          <w:rFonts w:ascii="Times New Roman" w:eastAsia="Calibri" w:hAnsi="Times New Roman" w:hint="default"/>
          <w:color w:val="000000"/>
          <w:sz w:val="22"/>
          <w:szCs w:val="22"/>
          <w:lang w:eastAsia="en-US"/>
        </w:rPr>
        <w:t>dohospodá</w:t>
      </w:r>
      <w:r w:rsidRPr="00422D66">
        <w:rPr>
          <w:rFonts w:ascii="Times New Roman" w:eastAsia="Calibri" w:hAnsi="Times New Roman" w:hint="default"/>
          <w:color w:val="000000"/>
          <w:sz w:val="22"/>
          <w:szCs w:val="22"/>
          <w:lang w:eastAsia="en-US"/>
        </w:rPr>
        <w:t>rstva a </w:t>
      </w:r>
      <w:r w:rsidRPr="00422D66">
        <w:rPr>
          <w:rFonts w:ascii="Times New Roman" w:eastAsia="Calibri" w:hAnsi="Times New Roman" w:hint="default"/>
          <w:color w:val="000000"/>
          <w:sz w:val="22"/>
          <w:szCs w:val="22"/>
          <w:lang w:eastAsia="en-US"/>
        </w:rPr>
        <w:t>rozvoja vidieka SR č</w:t>
      </w:r>
      <w:r w:rsidRPr="00422D66">
        <w:rPr>
          <w:rFonts w:ascii="Times New Roman" w:eastAsia="Calibri" w:hAnsi="Times New Roman" w:hint="default"/>
          <w:color w:val="000000"/>
          <w:sz w:val="22"/>
          <w:szCs w:val="22"/>
          <w:lang w:eastAsia="en-US"/>
        </w:rPr>
        <w:t>iastku 5 320 tis. </w:t>
      </w:r>
      <w:r w:rsidRPr="00422D66">
        <w:rPr>
          <w:rFonts w:ascii="Times New Roman" w:eastAsia="Calibri" w:hAnsi="Times New Roman" w:hint="default"/>
          <w:color w:val="000000"/>
          <w:sz w:val="22"/>
          <w:szCs w:val="22"/>
          <w:lang w:eastAsia="en-US"/>
        </w:rPr>
        <w:t>eur ako osobitný</w:t>
      </w:r>
      <w:r w:rsidRPr="00422D66">
        <w:rPr>
          <w:rFonts w:ascii="Times New Roman" w:eastAsia="Calibri" w:hAnsi="Times New Roman" w:hint="default"/>
          <w:color w:val="000000"/>
          <w:sz w:val="22"/>
          <w:szCs w:val="22"/>
          <w:lang w:eastAsia="en-US"/>
        </w:rPr>
        <w:t xml:space="preserve"> odvod zo </w:t>
      </w:r>
      <w:r w:rsidRPr="00422D66">
        <w:rPr>
          <w:rFonts w:ascii="Times New Roman" w:eastAsia="Calibri" w:hAnsi="Times New Roman" w:hint="default"/>
          <w:color w:val="000000"/>
          <w:sz w:val="22"/>
          <w:szCs w:val="22"/>
          <w:lang w:eastAsia="en-US"/>
        </w:rPr>
        <w:t>zisku od š</w:t>
      </w:r>
      <w:r w:rsidRPr="00422D66">
        <w:rPr>
          <w:rFonts w:ascii="Times New Roman" w:eastAsia="Calibri" w:hAnsi="Times New Roman" w:hint="default"/>
          <w:color w:val="000000"/>
          <w:sz w:val="22"/>
          <w:szCs w:val="22"/>
          <w:lang w:eastAsia="en-US"/>
        </w:rPr>
        <w:t>tá</w:t>
      </w:r>
      <w:r w:rsidRPr="00422D66">
        <w:rPr>
          <w:rFonts w:ascii="Times New Roman" w:eastAsia="Calibri" w:hAnsi="Times New Roman" w:hint="default"/>
          <w:color w:val="000000"/>
          <w:sz w:val="22"/>
          <w:szCs w:val="22"/>
          <w:lang w:eastAsia="en-US"/>
        </w:rPr>
        <w:t>tnych podnikov (LESY SR, š</w:t>
      </w:r>
      <w:r w:rsidRPr="00422D66">
        <w:rPr>
          <w:rFonts w:ascii="Times New Roman" w:eastAsia="Calibri" w:hAnsi="Times New Roman" w:hint="default"/>
          <w:color w:val="000000"/>
          <w:sz w:val="22"/>
          <w:szCs w:val="22"/>
          <w:lang w:eastAsia="en-US"/>
        </w:rPr>
        <w:t>.p. 5 300 tis. eur a </w:t>
      </w:r>
      <w:r w:rsidRPr="00422D66">
        <w:rPr>
          <w:rFonts w:ascii="Times New Roman" w:eastAsia="Calibri" w:hAnsi="Times New Roman" w:hint="default"/>
          <w:color w:val="000000"/>
          <w:sz w:val="22"/>
          <w:szCs w:val="22"/>
          <w:lang w:eastAsia="en-US"/>
        </w:rPr>
        <w:t>Plemená</w:t>
      </w:r>
      <w:r w:rsidRPr="00422D66">
        <w:rPr>
          <w:rFonts w:ascii="Times New Roman" w:eastAsia="Calibri" w:hAnsi="Times New Roman" w:hint="default"/>
          <w:color w:val="000000"/>
          <w:sz w:val="22"/>
          <w:szCs w:val="22"/>
          <w:lang w:eastAsia="en-US"/>
        </w:rPr>
        <w:t>rske služ</w:t>
      </w:r>
      <w:r w:rsidRPr="00422D66">
        <w:rPr>
          <w:rFonts w:ascii="Times New Roman" w:eastAsia="Calibri" w:hAnsi="Times New Roman" w:hint="default"/>
          <w:color w:val="000000"/>
          <w:sz w:val="22"/>
          <w:szCs w:val="22"/>
          <w:lang w:eastAsia="en-US"/>
        </w:rPr>
        <w:t>by SR, š</w:t>
      </w:r>
      <w:r w:rsidRPr="00422D66">
        <w:rPr>
          <w:rFonts w:ascii="Times New Roman" w:eastAsia="Calibri" w:hAnsi="Times New Roman" w:hint="default"/>
          <w:color w:val="000000"/>
          <w:sz w:val="22"/>
          <w:szCs w:val="22"/>
          <w:lang w:eastAsia="en-US"/>
        </w:rPr>
        <w:t>.p. 20 tis. </w:t>
      </w:r>
      <w:r w:rsidRPr="00422D66">
        <w:rPr>
          <w:rFonts w:ascii="Times New Roman" w:eastAsia="Calibri" w:hAnsi="Times New Roman" w:hint="default"/>
          <w:color w:val="000000"/>
          <w:sz w:val="22"/>
          <w:szCs w:val="22"/>
          <w:lang w:eastAsia="en-US"/>
        </w:rPr>
        <w:t>eur), Ministerstvo financií</w:t>
      </w:r>
      <w:r w:rsidRPr="00422D66">
        <w:rPr>
          <w:rFonts w:ascii="Times New Roman" w:eastAsia="Calibri" w:hAnsi="Times New Roman" w:hint="default"/>
          <w:color w:val="000000"/>
          <w:sz w:val="22"/>
          <w:szCs w:val="22"/>
          <w:lang w:eastAsia="en-US"/>
        </w:rPr>
        <w:t xml:space="preserve"> SR č</w:t>
      </w:r>
      <w:r w:rsidRPr="00422D66">
        <w:rPr>
          <w:rFonts w:ascii="Times New Roman" w:eastAsia="Calibri" w:hAnsi="Times New Roman" w:hint="default"/>
          <w:color w:val="000000"/>
          <w:sz w:val="22"/>
          <w:szCs w:val="22"/>
          <w:lang w:eastAsia="en-US"/>
        </w:rPr>
        <w:t>iastku</w:t>
      </w:r>
      <w:r w:rsidRPr="00422D66">
        <w:rPr>
          <w:rFonts w:ascii="Times New Roman" w:eastAsia="Calibri" w:hAnsi="Times New Roman" w:hint="default"/>
          <w:color w:val="000000"/>
          <w:sz w:val="22"/>
          <w:szCs w:val="22"/>
          <w:lang w:eastAsia="en-US"/>
        </w:rPr>
        <w:t xml:space="preserve"> 250 tis. </w:t>
      </w:r>
      <w:r w:rsidRPr="00422D66">
        <w:rPr>
          <w:rFonts w:ascii="Times New Roman" w:eastAsia="Calibri" w:hAnsi="Times New Roman" w:hint="default"/>
          <w:color w:val="000000"/>
          <w:sz w:val="22"/>
          <w:szCs w:val="22"/>
          <w:lang w:eastAsia="en-US"/>
        </w:rPr>
        <w:t>eur ako osobitný</w:t>
      </w:r>
      <w:r w:rsidRPr="00422D66">
        <w:rPr>
          <w:rFonts w:ascii="Times New Roman" w:eastAsia="Calibri" w:hAnsi="Times New Roman" w:hint="default"/>
          <w:color w:val="000000"/>
          <w:sz w:val="22"/>
          <w:szCs w:val="22"/>
          <w:lang w:eastAsia="en-US"/>
        </w:rPr>
        <w:t xml:space="preserve"> odvod zo zisku od Exportno-importnej banky SR a </w:t>
      </w:r>
      <w:r w:rsidRPr="00422D66">
        <w:rPr>
          <w:rFonts w:ascii="Times New Roman" w:eastAsia="Calibri" w:hAnsi="Times New Roman" w:hint="default"/>
          <w:color w:val="000000"/>
          <w:sz w:val="22"/>
          <w:szCs w:val="22"/>
          <w:lang w:eastAsia="en-US"/>
        </w:rPr>
        <w:t>Ministerstvo dopravy, vý</w:t>
      </w:r>
      <w:r w:rsidRPr="00422D66">
        <w:rPr>
          <w:rFonts w:ascii="Times New Roman" w:eastAsia="Calibri" w:hAnsi="Times New Roman" w:hint="default"/>
          <w:color w:val="000000"/>
          <w:sz w:val="22"/>
          <w:szCs w:val="22"/>
          <w:lang w:eastAsia="en-US"/>
        </w:rPr>
        <w:t>stavby a </w:t>
      </w:r>
      <w:r w:rsidRPr="00422D66">
        <w:rPr>
          <w:rFonts w:ascii="Times New Roman" w:eastAsia="Calibri" w:hAnsi="Times New Roman" w:hint="default"/>
          <w:color w:val="000000"/>
          <w:sz w:val="22"/>
          <w:szCs w:val="22"/>
          <w:lang w:eastAsia="en-US"/>
        </w:rPr>
        <w:t>regioná</w:t>
      </w:r>
      <w:r w:rsidRPr="00422D66">
        <w:rPr>
          <w:rFonts w:ascii="Times New Roman" w:eastAsia="Calibri" w:hAnsi="Times New Roman" w:hint="default"/>
          <w:color w:val="000000"/>
          <w:sz w:val="22"/>
          <w:szCs w:val="22"/>
          <w:lang w:eastAsia="en-US"/>
        </w:rPr>
        <w:t>lneho rozvoja SR sumu 127 </w:t>
      </w:r>
      <w:r w:rsidRPr="00422D66">
        <w:rPr>
          <w:rFonts w:ascii="Times New Roman" w:eastAsia="Calibri" w:hAnsi="Times New Roman" w:hint="default"/>
          <w:color w:val="000000"/>
          <w:sz w:val="22"/>
          <w:szCs w:val="22"/>
          <w:lang w:eastAsia="en-US"/>
        </w:rPr>
        <w:t>tis. eur, ktorú</w:t>
      </w:r>
      <w:r w:rsidRPr="00422D66">
        <w:rPr>
          <w:rFonts w:ascii="Times New Roman" w:eastAsia="Calibri" w:hAnsi="Times New Roman" w:hint="default"/>
          <w:color w:val="000000"/>
          <w:sz w:val="22"/>
          <w:szCs w:val="22"/>
          <w:lang w:eastAsia="en-US"/>
        </w:rPr>
        <w:t xml:space="preserve"> tvorili prí</w:t>
      </w:r>
      <w:r w:rsidRPr="00422D66">
        <w:rPr>
          <w:rFonts w:ascii="Times New Roman" w:eastAsia="Calibri" w:hAnsi="Times New Roman" w:hint="default"/>
          <w:color w:val="000000"/>
          <w:sz w:val="22"/>
          <w:szCs w:val="22"/>
          <w:lang w:eastAsia="en-US"/>
        </w:rPr>
        <w:t>jmy z </w:t>
      </w:r>
      <w:r w:rsidRPr="00422D66">
        <w:rPr>
          <w:rFonts w:ascii="Times New Roman" w:eastAsia="Calibri" w:hAnsi="Times New Roman" w:hint="default"/>
          <w:color w:val="000000"/>
          <w:sz w:val="22"/>
          <w:szCs w:val="22"/>
          <w:lang w:eastAsia="en-US"/>
        </w:rPr>
        <w:t>prená</w:t>
      </w:r>
      <w:r w:rsidRPr="00422D66">
        <w:rPr>
          <w:rFonts w:ascii="Times New Roman" w:eastAsia="Calibri" w:hAnsi="Times New Roman" w:hint="default"/>
          <w:color w:val="000000"/>
          <w:sz w:val="22"/>
          <w:szCs w:val="22"/>
          <w:lang w:eastAsia="en-US"/>
        </w:rPr>
        <w:t>jmu diaľ</w:t>
      </w:r>
      <w:r w:rsidRPr="00422D66">
        <w:rPr>
          <w:rFonts w:ascii="Times New Roman" w:eastAsia="Calibri" w:hAnsi="Times New Roman" w:hint="default"/>
          <w:color w:val="000000"/>
          <w:sz w:val="22"/>
          <w:szCs w:val="22"/>
          <w:lang w:eastAsia="en-US"/>
        </w:rPr>
        <w:t>nič</w:t>
      </w:r>
      <w:r w:rsidRPr="00422D66">
        <w:rPr>
          <w:rFonts w:ascii="Times New Roman" w:eastAsia="Calibri" w:hAnsi="Times New Roman" w:hint="default"/>
          <w:color w:val="000000"/>
          <w:sz w:val="22"/>
          <w:szCs w:val="22"/>
          <w:lang w:eastAsia="en-US"/>
        </w:rPr>
        <w:t>ný</w:t>
      </w:r>
      <w:r w:rsidRPr="00422D66">
        <w:rPr>
          <w:rFonts w:ascii="Times New Roman" w:eastAsia="Calibri" w:hAnsi="Times New Roman" w:hint="default"/>
          <w:color w:val="000000"/>
          <w:sz w:val="22"/>
          <w:szCs w:val="22"/>
          <w:lang w:eastAsia="en-US"/>
        </w:rPr>
        <w:t>ch odpočí</w:t>
      </w:r>
      <w:r w:rsidRPr="00422D66">
        <w:rPr>
          <w:rFonts w:ascii="Times New Roman" w:eastAsia="Calibri" w:hAnsi="Times New Roman" w:hint="default"/>
          <w:color w:val="000000"/>
          <w:sz w:val="22"/>
          <w:szCs w:val="22"/>
          <w:lang w:eastAsia="en-US"/>
        </w:rPr>
        <w:t>vadiel.</w:t>
      </w:r>
    </w:p>
    <w:p w:rsidR="00422D66" w:rsidRPr="00422D66" w:rsidP="00422D66">
      <w:pPr>
        <w:tabs>
          <w:tab w:val="left" w:pos="284"/>
        </w:tabs>
        <w:suppressAutoHyphens/>
        <w:bidi w:val="0"/>
        <w:spacing w:after="120" w:line="336" w:lineRule="auto"/>
        <w:jc w:val="both"/>
        <w:rPr>
          <w:rFonts w:ascii="Times New Roman" w:eastAsia="Calibri" w:hAnsi="Times New Roman" w:hint="default"/>
          <w:color w:val="000000"/>
          <w:sz w:val="22"/>
          <w:szCs w:val="22"/>
          <w:lang w:eastAsia="en-US"/>
        </w:rPr>
      </w:pPr>
      <w:r w:rsidRPr="00422D66">
        <w:rPr>
          <w:rFonts w:ascii="Times New Roman" w:eastAsia="Calibri" w:hAnsi="Times New Roman" w:hint="default"/>
          <w:color w:val="000000"/>
          <w:sz w:val="22"/>
          <w:szCs w:val="22"/>
          <w:lang w:eastAsia="en-US"/>
        </w:rPr>
        <w:t>Prí</w:t>
      </w:r>
      <w:r w:rsidRPr="00422D66">
        <w:rPr>
          <w:rFonts w:ascii="Times New Roman" w:eastAsia="Calibri" w:hAnsi="Times New Roman" w:hint="default"/>
          <w:color w:val="000000"/>
          <w:sz w:val="22"/>
          <w:szCs w:val="22"/>
          <w:lang w:eastAsia="en-US"/>
        </w:rPr>
        <w:t>jmy z </w:t>
      </w:r>
      <w:r w:rsidRPr="00422D66">
        <w:rPr>
          <w:rFonts w:ascii="Times New Roman" w:eastAsia="Calibri" w:hAnsi="Times New Roman" w:hint="default"/>
          <w:color w:val="000000"/>
          <w:sz w:val="22"/>
          <w:szCs w:val="22"/>
          <w:lang w:eastAsia="en-US"/>
        </w:rPr>
        <w:t>vlastní</w:t>
      </w:r>
      <w:r w:rsidRPr="00422D66">
        <w:rPr>
          <w:rFonts w:ascii="Times New Roman" w:eastAsia="Calibri" w:hAnsi="Times New Roman" w:hint="default"/>
          <w:color w:val="000000"/>
          <w:sz w:val="22"/>
          <w:szCs w:val="22"/>
          <w:lang w:eastAsia="en-US"/>
        </w:rPr>
        <w:t>ctva prenajatý</w:t>
      </w:r>
      <w:r w:rsidRPr="00422D66">
        <w:rPr>
          <w:rFonts w:ascii="Times New Roman" w:eastAsia="Calibri" w:hAnsi="Times New Roman" w:hint="default"/>
          <w:color w:val="000000"/>
          <w:sz w:val="22"/>
          <w:szCs w:val="22"/>
          <w:lang w:eastAsia="en-US"/>
        </w:rPr>
        <w:t>ch budov, priesto</w:t>
      </w:r>
      <w:r w:rsidRPr="00422D66">
        <w:rPr>
          <w:rFonts w:ascii="Times New Roman" w:eastAsia="Calibri" w:hAnsi="Times New Roman" w:hint="default"/>
          <w:color w:val="000000"/>
          <w:sz w:val="22"/>
          <w:szCs w:val="22"/>
          <w:lang w:eastAsia="en-US"/>
        </w:rPr>
        <w:t>rov a objektov dosiahli v roku 2015 sumu 7 725 tis. eur, z </w:t>
      </w:r>
      <w:r w:rsidRPr="00422D66">
        <w:rPr>
          <w:rFonts w:ascii="Times New Roman" w:eastAsia="Calibri" w:hAnsi="Times New Roman" w:hint="default"/>
          <w:color w:val="000000"/>
          <w:sz w:val="22"/>
          <w:szCs w:val="22"/>
          <w:lang w:eastAsia="en-US"/>
        </w:rPr>
        <w:t>toho najviac Ministerstvo vnú</w:t>
      </w:r>
      <w:r w:rsidRPr="00422D66">
        <w:rPr>
          <w:rFonts w:ascii="Times New Roman" w:eastAsia="Calibri" w:hAnsi="Times New Roman" w:hint="default"/>
          <w:color w:val="000000"/>
          <w:sz w:val="22"/>
          <w:szCs w:val="22"/>
          <w:lang w:eastAsia="en-US"/>
        </w:rPr>
        <w:t>tra SR 1 733 tis. </w:t>
      </w:r>
      <w:r w:rsidRPr="00422D66">
        <w:rPr>
          <w:rFonts w:ascii="Times New Roman" w:eastAsia="Calibri" w:hAnsi="Times New Roman" w:hint="default"/>
          <w:color w:val="000000"/>
          <w:sz w:val="22"/>
          <w:szCs w:val="22"/>
          <w:lang w:eastAsia="en-US"/>
        </w:rPr>
        <w:t>eur, Ministerstvo zdravotní</w:t>
      </w:r>
      <w:r w:rsidRPr="00422D66">
        <w:rPr>
          <w:rFonts w:ascii="Times New Roman" w:eastAsia="Calibri" w:hAnsi="Times New Roman" w:hint="default"/>
          <w:color w:val="000000"/>
          <w:sz w:val="22"/>
          <w:szCs w:val="22"/>
          <w:lang w:eastAsia="en-US"/>
        </w:rPr>
        <w:t>ctva SR 1 248 tis. </w:t>
      </w:r>
      <w:r w:rsidRPr="00422D66">
        <w:rPr>
          <w:rFonts w:ascii="Times New Roman" w:eastAsia="Calibri" w:hAnsi="Times New Roman" w:hint="default"/>
          <w:color w:val="000000"/>
          <w:sz w:val="22"/>
          <w:szCs w:val="22"/>
          <w:lang w:eastAsia="en-US"/>
        </w:rPr>
        <w:t>eur a Ministerstvo zahranič</w:t>
      </w:r>
      <w:r w:rsidRPr="00422D66">
        <w:rPr>
          <w:rFonts w:ascii="Times New Roman" w:eastAsia="Calibri" w:hAnsi="Times New Roman" w:hint="default"/>
          <w:color w:val="000000"/>
          <w:sz w:val="22"/>
          <w:szCs w:val="22"/>
          <w:lang w:eastAsia="en-US"/>
        </w:rPr>
        <w:t>ný</w:t>
      </w:r>
      <w:r w:rsidRPr="00422D66">
        <w:rPr>
          <w:rFonts w:ascii="Times New Roman" w:eastAsia="Calibri" w:hAnsi="Times New Roman" w:hint="default"/>
          <w:color w:val="000000"/>
          <w:sz w:val="22"/>
          <w:szCs w:val="22"/>
          <w:lang w:eastAsia="en-US"/>
        </w:rPr>
        <w:t>ch vecí</w:t>
      </w:r>
      <w:r w:rsidRPr="00422D66">
        <w:rPr>
          <w:rFonts w:ascii="Times New Roman" w:eastAsia="Calibri" w:hAnsi="Times New Roman" w:hint="default"/>
          <w:color w:val="000000"/>
          <w:sz w:val="22"/>
          <w:szCs w:val="22"/>
          <w:lang w:eastAsia="en-US"/>
        </w:rPr>
        <w:t xml:space="preserve"> a </w:t>
      </w:r>
      <w:r w:rsidRPr="00422D66">
        <w:rPr>
          <w:rFonts w:ascii="Times New Roman" w:eastAsia="Calibri" w:hAnsi="Times New Roman" w:hint="default"/>
          <w:color w:val="000000"/>
          <w:sz w:val="22"/>
          <w:szCs w:val="22"/>
          <w:lang w:eastAsia="en-US"/>
        </w:rPr>
        <w:t>euró</w:t>
      </w:r>
      <w:r w:rsidRPr="00422D66">
        <w:rPr>
          <w:rFonts w:ascii="Times New Roman" w:eastAsia="Calibri" w:hAnsi="Times New Roman" w:hint="default"/>
          <w:color w:val="000000"/>
          <w:sz w:val="22"/>
          <w:szCs w:val="22"/>
          <w:lang w:eastAsia="en-US"/>
        </w:rPr>
        <w:t>pskych zá</w:t>
      </w:r>
      <w:r w:rsidRPr="00422D66">
        <w:rPr>
          <w:rFonts w:ascii="Times New Roman" w:eastAsia="Calibri" w:hAnsi="Times New Roman" w:hint="default"/>
          <w:color w:val="000000"/>
          <w:sz w:val="22"/>
          <w:szCs w:val="22"/>
          <w:lang w:eastAsia="en-US"/>
        </w:rPr>
        <w:t>lež</w:t>
      </w:r>
      <w:r w:rsidRPr="00422D66">
        <w:rPr>
          <w:rFonts w:ascii="Times New Roman" w:eastAsia="Calibri" w:hAnsi="Times New Roman" w:hint="default"/>
          <w:color w:val="000000"/>
          <w:sz w:val="22"/>
          <w:szCs w:val="22"/>
          <w:lang w:eastAsia="en-US"/>
        </w:rPr>
        <w:t>itostí</w:t>
      </w:r>
      <w:r w:rsidRPr="00422D66">
        <w:rPr>
          <w:rFonts w:ascii="Times New Roman" w:eastAsia="Calibri" w:hAnsi="Times New Roman" w:hint="default"/>
          <w:color w:val="000000"/>
          <w:sz w:val="22"/>
          <w:szCs w:val="22"/>
          <w:lang w:eastAsia="en-US"/>
        </w:rPr>
        <w:t xml:space="preserve"> SR 1 227 tis. eur.</w:t>
      </w:r>
    </w:p>
    <w:p w:rsidR="009C1C71" w:rsidP="00422D66">
      <w:pPr>
        <w:suppressAutoHyphens/>
        <w:bidi w:val="0"/>
        <w:spacing w:after="120" w:line="336" w:lineRule="auto"/>
        <w:jc w:val="both"/>
        <w:rPr>
          <w:rFonts w:ascii="Times New Roman" w:hAnsi="Times New Roman"/>
          <w:color w:val="000000"/>
          <w:sz w:val="22"/>
          <w:szCs w:val="22"/>
        </w:rPr>
      </w:pPr>
      <w:r w:rsidR="00DF3EDF">
        <w:rPr>
          <w:rFonts w:ascii="Times New Roman" w:hAnsi="Times New Roman"/>
          <w:color w:val="000000"/>
          <w:sz w:val="22"/>
          <w:szCs w:val="22"/>
        </w:rPr>
        <w:br w:type="page"/>
      </w:r>
      <w:r w:rsidR="00422D66">
        <w:rPr>
          <w:rFonts w:ascii="Times New Roman" w:hAnsi="Times New Roman"/>
          <w:color w:val="000000"/>
          <w:sz w:val="22"/>
          <w:szCs w:val="22"/>
        </w:rPr>
        <w:t>Súhrnný prehľad prijatých dividend podľa kapitol ŠR poskytuje nasledujúca tabuľka:</w:t>
      </w:r>
    </w:p>
    <w:tbl>
      <w:tblPr>
        <w:tblStyle w:val="TableNormal"/>
        <w:tblW w:w="8946" w:type="dxa"/>
        <w:tblInd w:w="55" w:type="dxa"/>
        <w:tblLayout w:type="fixed"/>
        <w:tblCellMar>
          <w:left w:w="70" w:type="dxa"/>
          <w:right w:w="70" w:type="dxa"/>
        </w:tblCellMar>
        <w:tblLook w:val="04A0"/>
      </w:tblPr>
      <w:tblGrid>
        <w:gridCol w:w="3701"/>
        <w:gridCol w:w="992"/>
        <w:gridCol w:w="851"/>
        <w:gridCol w:w="850"/>
        <w:gridCol w:w="1134"/>
        <w:gridCol w:w="709"/>
        <w:gridCol w:w="709"/>
      </w:tblGrid>
      <w:tr>
        <w:tblPrEx>
          <w:tblW w:w="8946" w:type="dxa"/>
          <w:tblInd w:w="55" w:type="dxa"/>
          <w:tblLayout w:type="fixed"/>
          <w:tblCellMar>
            <w:left w:w="70" w:type="dxa"/>
            <w:right w:w="70" w:type="dxa"/>
          </w:tblCellMar>
          <w:tblLook w:val="04A0"/>
        </w:tblPrEx>
        <w:trPr>
          <w:trHeight w:val="330"/>
        </w:trPr>
        <w:tc>
          <w:tcPr>
            <w:tcW w:w="8946" w:type="dxa"/>
            <w:gridSpan w:val="7"/>
            <w:tcBorders>
              <w:top w:val="nil"/>
              <w:left w:val="single" w:sz="8" w:space="0" w:color="auto"/>
              <w:bottom w:val="nil"/>
              <w:right w:val="nil"/>
            </w:tcBorders>
            <w:shd w:val="clear" w:color="000000" w:fill="000000"/>
            <w:textDirection w:val="lrTb"/>
            <w:vAlign w:val="center"/>
            <w:hideMark/>
          </w:tcPr>
          <w:p w:rsidR="009C1C71" w:rsidRPr="009C1C71" w:rsidP="00F263C4">
            <w:pPr>
              <w:bidi w:val="0"/>
              <w:rPr>
                <w:rFonts w:ascii="Times New Roman" w:hAnsi="Times New Roman"/>
                <w:b/>
                <w:bCs/>
                <w:color w:val="FFFFFF"/>
                <w:sz w:val="18"/>
                <w:szCs w:val="18"/>
              </w:rPr>
            </w:pPr>
            <w:bookmarkStart w:id="26" w:name="RANGE!B5:H33"/>
            <w:r w:rsidRPr="009C1C71">
              <w:rPr>
                <w:rFonts w:ascii="Times New Roman" w:hAnsi="Times New Roman"/>
                <w:b/>
                <w:bCs/>
                <w:color w:val="FFFFFF"/>
                <w:sz w:val="18"/>
                <w:szCs w:val="18"/>
              </w:rPr>
              <w:t>Príjem dividend podľa kapitol ŠR</w:t>
            </w:r>
            <w:bookmarkEnd w:id="26"/>
            <w:r>
              <w:rPr>
                <w:rFonts w:ascii="Times New Roman" w:hAnsi="Times New Roman"/>
                <w:b/>
                <w:bCs/>
                <w:color w:val="FFFFFF"/>
                <w:sz w:val="18"/>
                <w:szCs w:val="18"/>
              </w:rPr>
              <w:t xml:space="preserve">                                                                                                                          </w:t>
            </w:r>
            <w:r w:rsidRPr="009C1C71">
              <w:rPr>
                <w:rFonts w:ascii="Times New Roman" w:hAnsi="Times New Roman"/>
                <w:b/>
                <w:bCs/>
                <w:color w:val="FFFFFF"/>
                <w:sz w:val="18"/>
                <w:szCs w:val="18"/>
              </w:rPr>
              <w:t>v tis.</w:t>
            </w:r>
            <w:r>
              <w:rPr>
                <w:rFonts w:ascii="Times New Roman" w:hAnsi="Times New Roman"/>
                <w:b/>
                <w:bCs/>
                <w:color w:val="FFFFFF"/>
                <w:sz w:val="18"/>
                <w:szCs w:val="18"/>
              </w:rPr>
              <w:t xml:space="preserve"> </w:t>
            </w:r>
            <w:r w:rsidRPr="009C1C71">
              <w:rPr>
                <w:rFonts w:ascii="Times New Roman" w:hAnsi="Times New Roman"/>
                <w:b/>
                <w:bCs/>
                <w:color w:val="FFFFFF"/>
                <w:sz w:val="18"/>
                <w:szCs w:val="18"/>
              </w:rPr>
              <w:t>eur</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BFBFBF"/>
            <w:textDirection w:val="lrTb"/>
            <w:vAlign w:val="center"/>
            <w:hideMark/>
          </w:tcPr>
          <w:p w:rsidR="009C1C71" w:rsidRPr="009C1C71" w:rsidP="009C1C71">
            <w:pPr>
              <w:bidi w:val="0"/>
              <w:rPr>
                <w:rFonts w:ascii="Times New Roman" w:hAnsi="Times New Roman"/>
                <w:b/>
                <w:bCs/>
                <w:color w:val="FFFFFF"/>
                <w:sz w:val="18"/>
                <w:szCs w:val="18"/>
              </w:rPr>
            </w:pPr>
            <w:r w:rsidRPr="009C1C71">
              <w:rPr>
                <w:rFonts w:ascii="Times New Roman" w:hAnsi="Times New Roman"/>
                <w:b/>
                <w:bCs/>
                <w:color w:val="FFFFFF"/>
                <w:sz w:val="18"/>
                <w:szCs w:val="18"/>
              </w:rPr>
              <w:t> </w:t>
            </w:r>
          </w:p>
        </w:tc>
        <w:tc>
          <w:tcPr>
            <w:tcW w:w="1843" w:type="dxa"/>
            <w:gridSpan w:val="2"/>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Skutočnosť</w:t>
            </w:r>
          </w:p>
        </w:tc>
        <w:tc>
          <w:tcPr>
            <w:tcW w:w="850"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Rozpočet</w:t>
            </w:r>
          </w:p>
        </w:tc>
        <w:tc>
          <w:tcPr>
            <w:tcW w:w="1134"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Skutočnosť</w:t>
            </w:r>
          </w:p>
        </w:tc>
        <w:tc>
          <w:tcPr>
            <w:tcW w:w="1418" w:type="dxa"/>
            <w:gridSpan w:val="2"/>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Rozdiel</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sz w:val="18"/>
                <w:szCs w:val="18"/>
              </w:rPr>
            </w:pPr>
            <w:r w:rsidRPr="009C1C71">
              <w:rPr>
                <w:rFonts w:ascii="Times New Roman" w:hAnsi="Times New Roman"/>
                <w:b/>
                <w:bCs/>
                <w:sz w:val="18"/>
                <w:szCs w:val="18"/>
              </w:rPr>
              <w:t> </w:t>
            </w:r>
          </w:p>
        </w:tc>
        <w:tc>
          <w:tcPr>
            <w:tcW w:w="992"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2013</w:t>
            </w:r>
          </w:p>
        </w:tc>
        <w:tc>
          <w:tcPr>
            <w:tcW w:w="851"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2014</w:t>
            </w:r>
          </w:p>
        </w:tc>
        <w:tc>
          <w:tcPr>
            <w:tcW w:w="850"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2015</w:t>
            </w:r>
          </w:p>
        </w:tc>
        <w:tc>
          <w:tcPr>
            <w:tcW w:w="1134"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2015</w:t>
            </w:r>
          </w:p>
        </w:tc>
        <w:tc>
          <w:tcPr>
            <w:tcW w:w="709"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 xml:space="preserve"> v tis. eur</w:t>
            </w:r>
          </w:p>
        </w:tc>
        <w:tc>
          <w:tcPr>
            <w:tcW w:w="709" w:type="dxa"/>
            <w:tcBorders>
              <w:top w:val="nil"/>
              <w:left w:val="nil"/>
              <w:bottom w:val="nil"/>
              <w:right w:val="nil"/>
            </w:tcBorders>
            <w:shd w:val="clear" w:color="000000" w:fill="BFBFBF"/>
            <w:textDirection w:val="lrTb"/>
            <w:vAlign w:val="center"/>
            <w:hideMark/>
          </w:tcPr>
          <w:p w:rsidR="009C1C71" w:rsidRPr="009C1C71" w:rsidP="009C1C71">
            <w:pPr>
              <w:bidi w:val="0"/>
              <w:jc w:val="center"/>
              <w:rPr>
                <w:rFonts w:ascii="Times New Roman" w:hAnsi="Times New Roman"/>
                <w:b/>
                <w:bCs/>
                <w:color w:val="000000"/>
                <w:sz w:val="18"/>
                <w:szCs w:val="18"/>
              </w:rPr>
            </w:pPr>
            <w:r w:rsidRPr="009C1C71">
              <w:rPr>
                <w:rFonts w:ascii="Times New Roman" w:hAnsi="Times New Roman"/>
                <w:b/>
                <w:bCs/>
                <w:color w:val="000000"/>
                <w:sz w:val="18"/>
                <w:szCs w:val="18"/>
              </w:rPr>
              <w:t>v %</w:t>
            </w:r>
          </w:p>
        </w:tc>
      </w:tr>
      <w:tr>
        <w:tblPrEx>
          <w:tblW w:w="8946" w:type="dxa"/>
          <w:tblInd w:w="55" w:type="dxa"/>
          <w:tblLayout w:type="fixed"/>
          <w:tblCellMar>
            <w:left w:w="70" w:type="dxa"/>
            <w:right w:w="70" w:type="dxa"/>
          </w:tblCellMar>
          <w:tblLook w:val="04A0"/>
        </w:tblPrEx>
        <w:trPr>
          <w:trHeight w:val="345"/>
        </w:trPr>
        <w:tc>
          <w:tcPr>
            <w:tcW w:w="3701" w:type="dxa"/>
            <w:tcBorders>
              <w:top w:val="nil"/>
              <w:left w:val="nil"/>
              <w:bottom w:val="single" w:sz="8" w:space="0" w:color="auto"/>
              <w:right w:val="nil"/>
            </w:tcBorders>
            <w:shd w:val="clear" w:color="000000" w:fill="BFBFBF"/>
            <w:textDirection w:val="lrTb"/>
            <w:vAlign w:val="center"/>
            <w:hideMark/>
          </w:tcPr>
          <w:p w:rsidR="009C1C71" w:rsidRPr="009C1C71" w:rsidP="009C1C71">
            <w:pPr>
              <w:bidi w:val="0"/>
              <w:rPr>
                <w:rFonts w:ascii="Times New Roman" w:hAnsi="Times New Roman"/>
                <w:b/>
                <w:bCs/>
                <w:color w:val="FFFFFF"/>
                <w:sz w:val="18"/>
                <w:szCs w:val="18"/>
              </w:rPr>
            </w:pPr>
            <w:r w:rsidRPr="009C1C71">
              <w:rPr>
                <w:rFonts w:ascii="Times New Roman" w:hAnsi="Times New Roman"/>
                <w:b/>
                <w:bCs/>
                <w:color w:val="FFFFFF"/>
                <w:sz w:val="18"/>
                <w:szCs w:val="18"/>
              </w:rPr>
              <w:t> </w:t>
            </w:r>
          </w:p>
        </w:tc>
        <w:tc>
          <w:tcPr>
            <w:tcW w:w="992" w:type="dxa"/>
            <w:tcBorders>
              <w:top w:val="nil"/>
              <w:left w:val="nil"/>
              <w:bottom w:val="single" w:sz="8" w:space="0" w:color="auto"/>
              <w:right w:val="nil"/>
            </w:tcBorders>
            <w:shd w:val="clear" w:color="000000" w:fill="BFBFBF"/>
            <w:textDirection w:val="lrTb"/>
            <w:vAlign w:val="center"/>
            <w:hideMark/>
          </w:tcPr>
          <w:p w:rsidR="009C1C71" w:rsidRPr="009C1C71" w:rsidP="009C1C71">
            <w:pPr>
              <w:bidi w:val="0"/>
              <w:jc w:val="center"/>
              <w:rPr>
                <w:rFonts w:ascii="Times New Roman" w:hAnsi="Times New Roman"/>
                <w:b/>
                <w:bCs/>
                <w:sz w:val="18"/>
                <w:szCs w:val="18"/>
              </w:rPr>
            </w:pPr>
            <w:r w:rsidRPr="009C1C71">
              <w:rPr>
                <w:rFonts w:ascii="Times New Roman" w:hAnsi="Times New Roman"/>
                <w:b/>
                <w:bCs/>
                <w:sz w:val="18"/>
                <w:szCs w:val="18"/>
              </w:rPr>
              <w:t>1</w:t>
            </w:r>
          </w:p>
        </w:tc>
        <w:tc>
          <w:tcPr>
            <w:tcW w:w="851" w:type="dxa"/>
            <w:tcBorders>
              <w:top w:val="nil"/>
              <w:left w:val="nil"/>
              <w:bottom w:val="single" w:sz="8" w:space="0" w:color="auto"/>
              <w:right w:val="nil"/>
            </w:tcBorders>
            <w:shd w:val="clear" w:color="000000" w:fill="BFBFBF"/>
            <w:textDirection w:val="lrTb"/>
            <w:vAlign w:val="center"/>
            <w:hideMark/>
          </w:tcPr>
          <w:p w:rsidR="009C1C71" w:rsidRPr="009C1C71" w:rsidP="009C1C71">
            <w:pPr>
              <w:bidi w:val="0"/>
              <w:jc w:val="center"/>
              <w:rPr>
                <w:rFonts w:ascii="Times New Roman" w:hAnsi="Times New Roman"/>
                <w:b/>
                <w:bCs/>
                <w:sz w:val="18"/>
                <w:szCs w:val="18"/>
              </w:rPr>
            </w:pPr>
            <w:r w:rsidRPr="009C1C71">
              <w:rPr>
                <w:rFonts w:ascii="Times New Roman" w:hAnsi="Times New Roman"/>
                <w:b/>
                <w:bCs/>
                <w:sz w:val="18"/>
                <w:szCs w:val="18"/>
              </w:rPr>
              <w:t>2</w:t>
            </w:r>
          </w:p>
        </w:tc>
        <w:tc>
          <w:tcPr>
            <w:tcW w:w="850" w:type="dxa"/>
            <w:tcBorders>
              <w:top w:val="nil"/>
              <w:left w:val="nil"/>
              <w:bottom w:val="single" w:sz="8" w:space="0" w:color="auto"/>
              <w:right w:val="nil"/>
            </w:tcBorders>
            <w:shd w:val="clear" w:color="000000" w:fill="BFBFBF"/>
            <w:textDirection w:val="lrTb"/>
            <w:vAlign w:val="center"/>
            <w:hideMark/>
          </w:tcPr>
          <w:p w:rsidR="009C1C71" w:rsidRPr="009C1C71" w:rsidP="009C1C71">
            <w:pPr>
              <w:bidi w:val="0"/>
              <w:jc w:val="center"/>
              <w:rPr>
                <w:rFonts w:ascii="Times New Roman" w:hAnsi="Times New Roman"/>
                <w:b/>
                <w:bCs/>
                <w:sz w:val="18"/>
                <w:szCs w:val="18"/>
              </w:rPr>
            </w:pPr>
            <w:r w:rsidRPr="009C1C71">
              <w:rPr>
                <w:rFonts w:ascii="Times New Roman" w:hAnsi="Times New Roman"/>
                <w:b/>
                <w:bCs/>
                <w:sz w:val="18"/>
                <w:szCs w:val="18"/>
              </w:rPr>
              <w:t>3</w:t>
            </w:r>
          </w:p>
        </w:tc>
        <w:tc>
          <w:tcPr>
            <w:tcW w:w="1134" w:type="dxa"/>
            <w:tcBorders>
              <w:top w:val="nil"/>
              <w:left w:val="nil"/>
              <w:bottom w:val="single" w:sz="8" w:space="0" w:color="auto"/>
              <w:right w:val="nil"/>
            </w:tcBorders>
            <w:shd w:val="clear" w:color="000000" w:fill="BFBFBF"/>
            <w:textDirection w:val="lrTb"/>
            <w:vAlign w:val="center"/>
            <w:hideMark/>
          </w:tcPr>
          <w:p w:rsidR="009C1C71" w:rsidRPr="009C1C71" w:rsidP="009C1C71">
            <w:pPr>
              <w:bidi w:val="0"/>
              <w:jc w:val="center"/>
              <w:rPr>
                <w:rFonts w:ascii="Times New Roman" w:hAnsi="Times New Roman"/>
                <w:b/>
                <w:bCs/>
                <w:sz w:val="18"/>
                <w:szCs w:val="18"/>
              </w:rPr>
            </w:pPr>
            <w:r w:rsidRPr="009C1C71">
              <w:rPr>
                <w:rFonts w:ascii="Times New Roman" w:hAnsi="Times New Roman"/>
                <w:b/>
                <w:bCs/>
                <w:sz w:val="18"/>
                <w:szCs w:val="18"/>
              </w:rPr>
              <w:t>4</w:t>
            </w:r>
          </w:p>
        </w:tc>
        <w:tc>
          <w:tcPr>
            <w:tcW w:w="709" w:type="dxa"/>
            <w:tcBorders>
              <w:top w:val="nil"/>
              <w:left w:val="nil"/>
              <w:bottom w:val="single" w:sz="8" w:space="0" w:color="auto"/>
              <w:right w:val="nil"/>
            </w:tcBorders>
            <w:shd w:val="clear" w:color="000000" w:fill="BFBFBF"/>
            <w:textDirection w:val="lrTb"/>
            <w:vAlign w:val="center"/>
            <w:hideMark/>
          </w:tcPr>
          <w:p w:rsidR="009C1C71" w:rsidRPr="009C1C71" w:rsidP="009C1C71">
            <w:pPr>
              <w:bidi w:val="0"/>
              <w:jc w:val="center"/>
              <w:rPr>
                <w:rFonts w:ascii="Times New Roman" w:hAnsi="Times New Roman"/>
                <w:b/>
                <w:bCs/>
                <w:sz w:val="18"/>
                <w:szCs w:val="18"/>
              </w:rPr>
            </w:pPr>
            <w:r w:rsidRPr="009C1C71">
              <w:rPr>
                <w:rFonts w:ascii="Times New Roman" w:hAnsi="Times New Roman"/>
                <w:b/>
                <w:bCs/>
                <w:sz w:val="18"/>
                <w:szCs w:val="18"/>
              </w:rPr>
              <w:t>5=4-3</w:t>
            </w:r>
          </w:p>
        </w:tc>
        <w:tc>
          <w:tcPr>
            <w:tcW w:w="709" w:type="dxa"/>
            <w:tcBorders>
              <w:top w:val="nil"/>
              <w:left w:val="nil"/>
              <w:bottom w:val="single" w:sz="8" w:space="0" w:color="auto"/>
              <w:right w:val="nil"/>
            </w:tcBorders>
            <w:shd w:val="clear" w:color="000000" w:fill="BFBFBF"/>
            <w:textDirection w:val="lrTb"/>
            <w:vAlign w:val="center"/>
            <w:hideMark/>
          </w:tcPr>
          <w:p w:rsidR="009C1C71" w:rsidRPr="009C1C71" w:rsidP="009C1C71">
            <w:pPr>
              <w:bidi w:val="0"/>
              <w:jc w:val="center"/>
              <w:rPr>
                <w:rFonts w:ascii="Times New Roman" w:hAnsi="Times New Roman"/>
                <w:b/>
                <w:bCs/>
                <w:sz w:val="18"/>
                <w:szCs w:val="18"/>
              </w:rPr>
            </w:pPr>
            <w:r w:rsidRPr="009C1C71">
              <w:rPr>
                <w:rFonts w:ascii="Times New Roman" w:hAnsi="Times New Roman"/>
                <w:b/>
                <w:bCs/>
                <w:sz w:val="18"/>
                <w:szCs w:val="18"/>
              </w:rPr>
              <w:t>6=4-3</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AD0444">
            <w:pPr>
              <w:bidi w:val="0"/>
              <w:rPr>
                <w:rFonts w:ascii="Times New Roman" w:hAnsi="Times New Roman"/>
                <w:b/>
                <w:bCs/>
                <w:color w:val="000000"/>
                <w:sz w:val="18"/>
                <w:szCs w:val="18"/>
              </w:rPr>
            </w:pPr>
            <w:r w:rsidRPr="009C1C71">
              <w:rPr>
                <w:rFonts w:ascii="Times New Roman" w:hAnsi="Times New Roman"/>
                <w:b/>
                <w:bCs/>
                <w:color w:val="000000"/>
                <w:sz w:val="18"/>
                <w:szCs w:val="18"/>
              </w:rPr>
              <w:t>Ministerstvo zahr.</w:t>
            </w:r>
            <w:r>
              <w:rPr>
                <w:rFonts w:ascii="Times New Roman" w:hAnsi="Times New Roman"/>
                <w:b/>
                <w:bCs/>
                <w:color w:val="000000"/>
                <w:sz w:val="18"/>
                <w:szCs w:val="18"/>
              </w:rPr>
              <w:t xml:space="preserve"> </w:t>
            </w:r>
            <w:r w:rsidRPr="009C1C71">
              <w:rPr>
                <w:rFonts w:ascii="Times New Roman" w:hAnsi="Times New Roman"/>
                <w:b/>
                <w:bCs/>
                <w:color w:val="000000"/>
                <w:sz w:val="18"/>
                <w:szCs w:val="18"/>
              </w:rPr>
              <w:t>vecí a európskych záležitostí SR</w:t>
            </w:r>
          </w:p>
        </w:tc>
        <w:tc>
          <w:tcPr>
            <w:tcW w:w="992" w:type="dxa"/>
            <w:tcBorders>
              <w:top w:val="nil"/>
              <w:left w:val="nil"/>
              <w:bottom w:val="nil"/>
              <w:right w:val="nil"/>
            </w:tcBorders>
            <w:shd w:val="clear" w:color="000000" w:fill="FFFFFF"/>
            <w:noWrap/>
            <w:textDirection w:val="lrTb"/>
            <w:vAlign w:val="center"/>
            <w:hideMark/>
          </w:tcPr>
          <w:p w:rsidR="009C1C71" w:rsidRPr="009C1C71" w:rsidP="00AD0444">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178</w:t>
            </w:r>
          </w:p>
        </w:tc>
        <w:tc>
          <w:tcPr>
            <w:tcW w:w="851" w:type="dxa"/>
            <w:tcBorders>
              <w:top w:val="nil"/>
              <w:left w:val="nil"/>
              <w:bottom w:val="nil"/>
              <w:right w:val="nil"/>
            </w:tcBorders>
            <w:shd w:val="clear" w:color="000000" w:fill="FFFFFF"/>
            <w:noWrap/>
            <w:textDirection w:val="lrTb"/>
            <w:vAlign w:val="center"/>
            <w:hideMark/>
          </w:tcPr>
          <w:p w:rsidR="009C1C71" w:rsidRPr="009C1C71" w:rsidP="00AD0444">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194</w:t>
            </w:r>
          </w:p>
        </w:tc>
        <w:tc>
          <w:tcPr>
            <w:tcW w:w="850" w:type="dxa"/>
            <w:tcBorders>
              <w:top w:val="nil"/>
              <w:left w:val="nil"/>
              <w:bottom w:val="nil"/>
              <w:right w:val="nil"/>
            </w:tcBorders>
            <w:shd w:val="clear" w:color="000000" w:fill="FFFFFF"/>
            <w:noWrap/>
            <w:textDirection w:val="lrTb"/>
            <w:vAlign w:val="center"/>
            <w:hideMark/>
          </w:tcPr>
          <w:p w:rsidR="009C1C71" w:rsidRPr="009C1C71" w:rsidP="00AD0444">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202</w:t>
            </w:r>
          </w:p>
        </w:tc>
        <w:tc>
          <w:tcPr>
            <w:tcW w:w="1134" w:type="dxa"/>
            <w:tcBorders>
              <w:top w:val="nil"/>
              <w:left w:val="nil"/>
              <w:bottom w:val="nil"/>
              <w:right w:val="nil"/>
            </w:tcBorders>
            <w:shd w:val="clear" w:color="000000" w:fill="BFBFBF"/>
            <w:noWrap/>
            <w:textDirection w:val="lrTb"/>
            <w:vAlign w:val="center"/>
            <w:hideMark/>
          </w:tcPr>
          <w:p w:rsidR="009C1C71" w:rsidRPr="009C1C71" w:rsidP="00AD0444">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202</w:t>
            </w:r>
          </w:p>
        </w:tc>
        <w:tc>
          <w:tcPr>
            <w:tcW w:w="709" w:type="dxa"/>
            <w:tcBorders>
              <w:top w:val="nil"/>
              <w:left w:val="nil"/>
              <w:bottom w:val="nil"/>
              <w:right w:val="nil"/>
            </w:tcBorders>
            <w:shd w:val="clear" w:color="000000" w:fill="FFFFFF"/>
            <w:textDirection w:val="lrTb"/>
            <w:vAlign w:val="center"/>
            <w:hideMark/>
          </w:tcPr>
          <w:p w:rsidR="009C1C71" w:rsidRPr="009C1C71" w:rsidP="00AD0444">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709" w:type="dxa"/>
            <w:tcBorders>
              <w:top w:val="nil"/>
              <w:left w:val="nil"/>
              <w:bottom w:val="nil"/>
              <w:right w:val="nil"/>
            </w:tcBorders>
            <w:shd w:val="clear" w:color="000000" w:fill="FFFFFF"/>
            <w:textDirection w:val="lrTb"/>
            <w:vAlign w:val="center"/>
            <w:hideMark/>
          </w:tcPr>
          <w:p w:rsidR="009C1C71" w:rsidRPr="009C1C71" w:rsidP="00AD0444">
            <w:pPr>
              <w:bidi w:val="0"/>
              <w:jc w:val="right"/>
              <w:rPr>
                <w:rFonts w:ascii="Times New Roman" w:hAnsi="Times New Roman"/>
                <w:color w:val="000000"/>
                <w:sz w:val="18"/>
                <w:szCs w:val="18"/>
              </w:rPr>
            </w:pPr>
            <w:r w:rsidRPr="009C1C71">
              <w:rPr>
                <w:rFonts w:ascii="Times New Roman" w:hAnsi="Times New Roman"/>
                <w:color w:val="000000"/>
                <w:sz w:val="18"/>
                <w:szCs w:val="18"/>
              </w:rPr>
              <w:t>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0D22E7">
            <w:pPr>
              <w:bidi w:val="0"/>
              <w:rPr>
                <w:rFonts w:ascii="Times New Roman" w:hAnsi="Times New Roman"/>
                <w:color w:val="000000"/>
                <w:sz w:val="18"/>
                <w:szCs w:val="18"/>
              </w:rPr>
            </w:pPr>
            <w:r w:rsidRPr="009C1C71">
              <w:rPr>
                <w:rFonts w:ascii="Times New Roman" w:hAnsi="Times New Roman"/>
                <w:color w:val="000000"/>
                <w:sz w:val="18"/>
                <w:szCs w:val="18"/>
              </w:rPr>
              <w:t xml:space="preserve">     Správa služieb diplomatické</w:t>
            </w:r>
            <w:r w:rsidR="000D22E7">
              <w:rPr>
                <w:rFonts w:ascii="Times New Roman" w:hAnsi="Times New Roman"/>
                <w:color w:val="000000"/>
                <w:sz w:val="18"/>
                <w:szCs w:val="18"/>
              </w:rPr>
              <w:t>mu</w:t>
            </w:r>
            <w:r w:rsidRPr="009C1C71">
              <w:rPr>
                <w:rFonts w:ascii="Times New Roman" w:hAnsi="Times New Roman"/>
                <w:color w:val="000000"/>
                <w:sz w:val="18"/>
                <w:szCs w:val="18"/>
              </w:rPr>
              <w:t xml:space="preserve"> zboru,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178</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194</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202</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202</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b/>
                <w:bCs/>
                <w:color w:val="000000"/>
                <w:sz w:val="18"/>
                <w:szCs w:val="18"/>
              </w:rPr>
            </w:pPr>
            <w:r w:rsidRPr="009C1C71">
              <w:rPr>
                <w:rFonts w:ascii="Times New Roman" w:hAnsi="Times New Roman"/>
                <w:b/>
                <w:bCs/>
                <w:color w:val="000000"/>
                <w:sz w:val="18"/>
                <w:szCs w:val="18"/>
              </w:rPr>
              <w:t>Ministerstvo financií SR</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4 175</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151 067</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20 910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78 279</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57 369</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274,4</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F263C4">
            <w:pPr>
              <w:bidi w:val="0"/>
              <w:rPr>
                <w:rFonts w:ascii="Times New Roman" w:hAnsi="Times New Roman"/>
                <w:color w:val="000000"/>
                <w:sz w:val="18"/>
                <w:szCs w:val="18"/>
              </w:rPr>
            </w:pPr>
            <w:r w:rsidRPr="009C1C71">
              <w:rPr>
                <w:rFonts w:ascii="Times New Roman" w:hAnsi="Times New Roman"/>
                <w:color w:val="000000"/>
                <w:sz w:val="18"/>
                <w:szCs w:val="18"/>
              </w:rPr>
              <w:t xml:space="preserve">     Tipos, národná lotériová spoločnosť, a.s. </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3 000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3 000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3 000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8 500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5 500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183,3</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F263C4">
            <w:pPr>
              <w:bidi w:val="0"/>
              <w:rPr>
                <w:rFonts w:ascii="Times New Roman" w:hAnsi="Times New Roman"/>
                <w:color w:val="000000"/>
                <w:sz w:val="18"/>
                <w:szCs w:val="18"/>
              </w:rPr>
            </w:pPr>
            <w:r w:rsidRPr="009C1C71">
              <w:rPr>
                <w:rFonts w:ascii="Times New Roman" w:hAnsi="Times New Roman"/>
                <w:color w:val="000000"/>
                <w:sz w:val="18"/>
                <w:szCs w:val="18"/>
              </w:rPr>
              <w:t xml:space="preserve">     Slovenská konsolidačná, a.s. </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1 175</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1 477</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2 485</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2 644</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159</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6,4</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Slovenská záručná a rozvojová banka,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500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500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1 000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500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100,0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F263C4">
            <w:pPr>
              <w:bidi w:val="0"/>
              <w:rPr>
                <w:rFonts w:ascii="Times New Roman" w:hAnsi="Times New Roman"/>
                <w:color w:val="000000"/>
                <w:sz w:val="18"/>
                <w:szCs w:val="18"/>
              </w:rPr>
            </w:pPr>
            <w:r w:rsidRPr="009C1C71">
              <w:rPr>
                <w:rFonts w:ascii="Times New Roman" w:hAnsi="Times New Roman"/>
                <w:color w:val="000000"/>
                <w:sz w:val="18"/>
                <w:szCs w:val="18"/>
              </w:rPr>
              <w:t xml:space="preserve">     Slov</w:t>
            </w:r>
            <w:r w:rsidR="00F263C4">
              <w:rPr>
                <w:rFonts w:ascii="Times New Roman" w:hAnsi="Times New Roman"/>
                <w:color w:val="000000"/>
                <w:sz w:val="18"/>
                <w:szCs w:val="18"/>
              </w:rPr>
              <w:t>.</w:t>
            </w:r>
            <w:r w:rsidRPr="009C1C71">
              <w:rPr>
                <w:rFonts w:ascii="Times New Roman" w:hAnsi="Times New Roman"/>
                <w:color w:val="000000"/>
                <w:sz w:val="18"/>
                <w:szCs w:val="18"/>
              </w:rPr>
              <w:t xml:space="preserve"> elektrizačná prenosová sústava,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146 090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14 925</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66 135</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51 210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343,1</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b/>
                <w:bCs/>
                <w:color w:val="000000"/>
                <w:sz w:val="18"/>
                <w:szCs w:val="18"/>
              </w:rPr>
            </w:pPr>
            <w:r w:rsidRPr="009C1C71">
              <w:rPr>
                <w:rFonts w:ascii="Times New Roman" w:hAnsi="Times New Roman"/>
                <w:b/>
                <w:bCs/>
                <w:color w:val="000000"/>
                <w:sz w:val="18"/>
                <w:szCs w:val="18"/>
              </w:rPr>
              <w:t>Ministerstvo práce, sociálnych vecí a rodiny SR</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35</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32</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16</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32</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16</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100,0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F263C4">
            <w:pPr>
              <w:bidi w:val="0"/>
              <w:rPr>
                <w:rFonts w:ascii="Times New Roman" w:hAnsi="Times New Roman"/>
                <w:color w:val="000000"/>
                <w:sz w:val="18"/>
                <w:szCs w:val="18"/>
              </w:rPr>
            </w:pPr>
            <w:r w:rsidRPr="009C1C71">
              <w:rPr>
                <w:rFonts w:ascii="Times New Roman" w:hAnsi="Times New Roman"/>
                <w:color w:val="000000"/>
                <w:sz w:val="18"/>
                <w:szCs w:val="18"/>
              </w:rPr>
              <w:t xml:space="preserve">     Technická inšpekcia, a.s. </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35</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32</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16</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32</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16</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100,0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b/>
                <w:bCs/>
                <w:color w:val="000000"/>
                <w:sz w:val="18"/>
                <w:szCs w:val="18"/>
              </w:rPr>
            </w:pPr>
            <w:r w:rsidRPr="009C1C71">
              <w:rPr>
                <w:rFonts w:ascii="Times New Roman" w:hAnsi="Times New Roman"/>
                <w:b/>
                <w:bCs/>
                <w:color w:val="000000"/>
                <w:sz w:val="18"/>
                <w:szCs w:val="18"/>
              </w:rPr>
              <w:t>Ministerstvo hospodárstva SR</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31 854</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14 200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41 770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23 065</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-18 705</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-44,8</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Transpetrol,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7 861</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7 000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7 000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7 000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00223EFD">
              <w:rPr>
                <w:rFonts w:ascii="Times New Roman" w:hAnsi="Times New Roman"/>
                <w:color w:val="000000"/>
                <w:sz w:val="18"/>
                <w:szCs w:val="18"/>
              </w:rPr>
              <w:t>0,00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Slovak Telekom,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23 993</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5 576</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31 582</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11 065</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-20 517</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-65,0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JAVYS,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1 624</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3 188</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5 000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1 812</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56,8</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b/>
                <w:bCs/>
                <w:color w:val="000000"/>
                <w:sz w:val="18"/>
                <w:szCs w:val="18"/>
              </w:rPr>
            </w:pPr>
            <w:r w:rsidRPr="009C1C71">
              <w:rPr>
                <w:rFonts w:ascii="Times New Roman" w:hAnsi="Times New Roman"/>
                <w:b/>
                <w:bCs/>
                <w:color w:val="000000"/>
                <w:sz w:val="18"/>
                <w:szCs w:val="18"/>
              </w:rPr>
              <w:t>Ministerstvo dopravy, výstavby a reg. rozvoja SR</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650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717</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519</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736</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217</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41,8</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Letisko Sliač,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235</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00223EFD">
              <w:rPr>
                <w:rFonts w:ascii="Times New Roman" w:hAnsi="Times New Roman"/>
                <w:color w:val="000000"/>
                <w:sz w:val="18"/>
                <w:szCs w:val="18"/>
              </w:rPr>
              <w:t>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Letisko Poprad - Tatry,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150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00223EFD">
              <w:rPr>
                <w:rFonts w:ascii="Times New Roman" w:hAnsi="Times New Roman"/>
                <w:color w:val="000000"/>
                <w:sz w:val="18"/>
                <w:szCs w:val="18"/>
              </w:rPr>
              <w:t>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Letisko Košice - Airport Košice,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415</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226</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250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458</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208</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83,2</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Verejné prístavy,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341</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269</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269</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Poštová banka,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9</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9</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00223EFD">
              <w:rPr>
                <w:rFonts w:ascii="Times New Roman" w:hAnsi="Times New Roman"/>
                <w:color w:val="000000"/>
                <w:sz w:val="18"/>
                <w:szCs w:val="18"/>
              </w:rPr>
              <w:t>0,0</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textDirection w:val="lrTb"/>
            <w:vAlign w:val="center"/>
            <w:hideMark/>
          </w:tcPr>
          <w:p w:rsidR="009C1C71" w:rsidRPr="009C1C71" w:rsidP="009C1C71">
            <w:pPr>
              <w:bidi w:val="0"/>
              <w:rPr>
                <w:rFonts w:ascii="Times New Roman" w:hAnsi="Times New Roman"/>
                <w:b/>
                <w:bCs/>
                <w:color w:val="000000"/>
                <w:sz w:val="18"/>
                <w:szCs w:val="18"/>
              </w:rPr>
            </w:pPr>
            <w:r w:rsidRPr="009C1C71">
              <w:rPr>
                <w:rFonts w:ascii="Times New Roman" w:hAnsi="Times New Roman"/>
                <w:b/>
                <w:bCs/>
                <w:color w:val="000000"/>
                <w:sz w:val="18"/>
                <w:szCs w:val="18"/>
              </w:rPr>
              <w:t>Všeobecná pokladničná správa</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446 594</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398 705</w:t>
            </w:r>
          </w:p>
        </w:tc>
        <w:tc>
          <w:tcPr>
            <w:tcW w:w="1134" w:type="dxa"/>
            <w:tcBorders>
              <w:top w:val="nil"/>
              <w:left w:val="nil"/>
              <w:bottom w:val="nil"/>
              <w:right w:val="nil"/>
            </w:tcBorders>
            <w:shd w:val="clear" w:color="000000" w:fill="BFBFB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377 349</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-21 356</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-5,4</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Slovenský plynárenský priemysel, a.s.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446 594</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300 000</w:t>
            </w:r>
          </w:p>
        </w:tc>
        <w:tc>
          <w:tcPr>
            <w:tcW w:w="1134" w:type="dxa"/>
            <w:tcBorders>
              <w:top w:val="nil"/>
              <w:left w:val="nil"/>
              <w:bottom w:val="nil"/>
              <w:right w:val="nil"/>
            </w:tcBorders>
            <w:shd w:val="clear" w:color="000000" w:fill="BFBFBF"/>
            <w:noWrap/>
            <w:textDirection w:val="lrTb"/>
            <w:vAlign w:val="center"/>
            <w:hideMark/>
          </w:tcPr>
          <w:p w:rsidR="009C1C71" w:rsidRPr="009C1C71" w:rsidP="00CD74B1">
            <w:pPr>
              <w:bidi w:val="0"/>
              <w:jc w:val="right"/>
              <w:rPr>
                <w:rFonts w:ascii="Times New Roman" w:hAnsi="Times New Roman"/>
                <w:color w:val="000000"/>
                <w:sz w:val="18"/>
                <w:szCs w:val="18"/>
              </w:rPr>
            </w:pPr>
            <w:r w:rsidRPr="009C1C71">
              <w:rPr>
                <w:rFonts w:ascii="Times New Roman" w:hAnsi="Times New Roman"/>
                <w:color w:val="000000"/>
                <w:sz w:val="18"/>
                <w:szCs w:val="18"/>
              </w:rPr>
              <w:t>288 547</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-11 453</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-3,8</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Západoslovenská energetika, a. 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34 415</w:t>
            </w:r>
          </w:p>
        </w:tc>
        <w:tc>
          <w:tcPr>
            <w:tcW w:w="1134" w:type="dxa"/>
            <w:tcBorders>
              <w:top w:val="nil"/>
              <w:left w:val="nil"/>
              <w:bottom w:val="nil"/>
              <w:right w:val="nil"/>
            </w:tcBorders>
            <w:shd w:val="clear" w:color="000000" w:fill="BFBFBF"/>
            <w:noWrap/>
            <w:textDirection w:val="lrTb"/>
            <w:vAlign w:val="bottom"/>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31 089</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-3 326</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-9,7</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nil"/>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Stredoslovenská energetika, a s.</w:t>
            </w:r>
          </w:p>
        </w:tc>
        <w:tc>
          <w:tcPr>
            <w:tcW w:w="992"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0" w:type="dxa"/>
            <w:tcBorders>
              <w:top w:val="nil"/>
              <w:left w:val="nil"/>
              <w:bottom w:val="nil"/>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27 774</w:t>
            </w:r>
          </w:p>
        </w:tc>
        <w:tc>
          <w:tcPr>
            <w:tcW w:w="1134" w:type="dxa"/>
            <w:tcBorders>
              <w:top w:val="nil"/>
              <w:left w:val="nil"/>
              <w:bottom w:val="nil"/>
              <w:right w:val="nil"/>
            </w:tcBorders>
            <w:shd w:val="clear" w:color="000000" w:fill="BFBFBF"/>
            <w:noWrap/>
            <w:textDirection w:val="lrTb"/>
            <w:vAlign w:val="bottom"/>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26 413</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-1 361</w:t>
            </w:r>
          </w:p>
        </w:tc>
        <w:tc>
          <w:tcPr>
            <w:tcW w:w="709" w:type="dxa"/>
            <w:tcBorders>
              <w:top w:val="nil"/>
              <w:left w:val="nil"/>
              <w:bottom w:val="nil"/>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-4,9</w:t>
            </w:r>
          </w:p>
        </w:tc>
      </w:tr>
      <w:tr>
        <w:tblPrEx>
          <w:tblW w:w="8946" w:type="dxa"/>
          <w:tblInd w:w="55" w:type="dxa"/>
          <w:tblLayout w:type="fixed"/>
          <w:tblCellMar>
            <w:left w:w="70" w:type="dxa"/>
            <w:right w:w="70" w:type="dxa"/>
          </w:tblCellMar>
          <w:tblLook w:val="04A0"/>
        </w:tblPrEx>
        <w:trPr>
          <w:trHeight w:val="330"/>
        </w:trPr>
        <w:tc>
          <w:tcPr>
            <w:tcW w:w="3701" w:type="dxa"/>
            <w:tcBorders>
              <w:top w:val="nil"/>
              <w:left w:val="nil"/>
              <w:bottom w:val="single" w:sz="6" w:space="0" w:color="auto"/>
              <w:right w:val="nil"/>
            </w:tcBorders>
            <w:shd w:val="clear" w:color="000000" w:fill="FFFFFF"/>
            <w:noWrap/>
            <w:textDirection w:val="lrTb"/>
            <w:vAlign w:val="center"/>
            <w:hideMark/>
          </w:tcPr>
          <w:p w:rsidR="009C1C71" w:rsidRPr="009C1C71" w:rsidP="009C1C71">
            <w:pPr>
              <w:bidi w:val="0"/>
              <w:rPr>
                <w:rFonts w:ascii="Times New Roman" w:hAnsi="Times New Roman"/>
                <w:color w:val="000000"/>
                <w:sz w:val="18"/>
                <w:szCs w:val="18"/>
              </w:rPr>
            </w:pPr>
            <w:r w:rsidRPr="009C1C71">
              <w:rPr>
                <w:rFonts w:ascii="Times New Roman" w:hAnsi="Times New Roman"/>
                <w:color w:val="000000"/>
                <w:sz w:val="18"/>
                <w:szCs w:val="18"/>
              </w:rPr>
              <w:t xml:space="preserve">   Východoslovenská energetika HOLDING, a.s.</w:t>
            </w:r>
          </w:p>
        </w:tc>
        <w:tc>
          <w:tcPr>
            <w:tcW w:w="992" w:type="dxa"/>
            <w:tcBorders>
              <w:top w:val="nil"/>
              <w:left w:val="nil"/>
              <w:bottom w:val="single" w:sz="6" w:space="0" w:color="auto"/>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1" w:type="dxa"/>
            <w:tcBorders>
              <w:top w:val="nil"/>
              <w:left w:val="nil"/>
              <w:bottom w:val="single" w:sz="6" w:space="0" w:color="auto"/>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0</w:t>
            </w:r>
          </w:p>
        </w:tc>
        <w:tc>
          <w:tcPr>
            <w:tcW w:w="850" w:type="dxa"/>
            <w:tcBorders>
              <w:top w:val="nil"/>
              <w:left w:val="nil"/>
              <w:bottom w:val="single" w:sz="6" w:space="0" w:color="auto"/>
              <w:right w:val="nil"/>
            </w:tcBorders>
            <w:shd w:val="clear" w:color="000000" w:fill="FFFFFF"/>
            <w:noWrap/>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36 516</w:t>
            </w:r>
          </w:p>
        </w:tc>
        <w:tc>
          <w:tcPr>
            <w:tcW w:w="1134" w:type="dxa"/>
            <w:tcBorders>
              <w:top w:val="nil"/>
              <w:left w:val="nil"/>
              <w:bottom w:val="single" w:sz="6" w:space="0" w:color="auto"/>
              <w:right w:val="nil"/>
            </w:tcBorders>
            <w:shd w:val="clear" w:color="000000" w:fill="BFBFBF"/>
            <w:noWrap/>
            <w:textDirection w:val="lrTb"/>
            <w:vAlign w:val="center"/>
            <w:hideMark/>
          </w:tcPr>
          <w:p w:rsidR="009C1C71" w:rsidRPr="009C1C71" w:rsidP="00CD74B1">
            <w:pPr>
              <w:bidi w:val="0"/>
              <w:jc w:val="right"/>
              <w:rPr>
                <w:rFonts w:ascii="Times New Roman" w:hAnsi="Times New Roman"/>
                <w:color w:val="000000"/>
                <w:sz w:val="18"/>
                <w:szCs w:val="18"/>
              </w:rPr>
            </w:pPr>
            <w:r w:rsidRPr="009C1C71">
              <w:rPr>
                <w:rFonts w:ascii="Times New Roman" w:hAnsi="Times New Roman"/>
                <w:color w:val="000000"/>
                <w:sz w:val="18"/>
                <w:szCs w:val="18"/>
              </w:rPr>
              <w:t>31 300</w:t>
            </w:r>
          </w:p>
        </w:tc>
        <w:tc>
          <w:tcPr>
            <w:tcW w:w="709" w:type="dxa"/>
            <w:tcBorders>
              <w:top w:val="nil"/>
              <w:left w:val="nil"/>
              <w:bottom w:val="single" w:sz="6" w:space="0" w:color="auto"/>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-5 216</w:t>
            </w:r>
          </w:p>
        </w:tc>
        <w:tc>
          <w:tcPr>
            <w:tcW w:w="709" w:type="dxa"/>
            <w:tcBorders>
              <w:top w:val="nil"/>
              <w:left w:val="nil"/>
              <w:bottom w:val="single" w:sz="6" w:space="0" w:color="auto"/>
              <w:right w:val="nil"/>
            </w:tcBorders>
            <w:shd w:val="clear" w:color="000000" w:fill="FFFFFF"/>
            <w:textDirection w:val="lrTb"/>
            <w:vAlign w:val="center"/>
            <w:hideMark/>
          </w:tcPr>
          <w:p w:rsidR="009C1C71" w:rsidRPr="009C1C71" w:rsidP="009C1C71">
            <w:pPr>
              <w:bidi w:val="0"/>
              <w:jc w:val="right"/>
              <w:rPr>
                <w:rFonts w:ascii="Times New Roman" w:hAnsi="Times New Roman"/>
                <w:color w:val="000000"/>
                <w:sz w:val="18"/>
                <w:szCs w:val="18"/>
              </w:rPr>
            </w:pPr>
            <w:r w:rsidRPr="009C1C71">
              <w:rPr>
                <w:rFonts w:ascii="Times New Roman" w:hAnsi="Times New Roman"/>
                <w:color w:val="000000"/>
                <w:sz w:val="18"/>
                <w:szCs w:val="18"/>
              </w:rPr>
              <w:t>-14,3</w:t>
            </w:r>
          </w:p>
        </w:tc>
      </w:tr>
      <w:tr>
        <w:tblPrEx>
          <w:tblW w:w="8946" w:type="dxa"/>
          <w:tblInd w:w="55" w:type="dxa"/>
          <w:tblLayout w:type="fixed"/>
          <w:tblCellMar>
            <w:left w:w="70" w:type="dxa"/>
            <w:right w:w="70" w:type="dxa"/>
          </w:tblCellMar>
          <w:tblLook w:val="04A0"/>
        </w:tblPrEx>
        <w:trPr>
          <w:trHeight w:val="345"/>
        </w:trPr>
        <w:tc>
          <w:tcPr>
            <w:tcW w:w="3701" w:type="dxa"/>
            <w:tcBorders>
              <w:top w:val="single" w:sz="6" w:space="0" w:color="auto"/>
              <w:left w:val="nil"/>
              <w:bottom w:val="single" w:sz="6" w:space="0" w:color="auto"/>
              <w:right w:val="nil"/>
            </w:tcBorders>
            <w:shd w:val="clear" w:color="000000" w:fill="FFFFFF"/>
            <w:noWrap/>
            <w:textDirection w:val="lrTb"/>
            <w:vAlign w:val="center"/>
            <w:hideMark/>
          </w:tcPr>
          <w:p w:rsidR="009C1C71" w:rsidRPr="009C1C71" w:rsidP="009C1C71">
            <w:pPr>
              <w:bidi w:val="0"/>
              <w:rPr>
                <w:rFonts w:ascii="Times New Roman" w:hAnsi="Times New Roman"/>
                <w:b/>
                <w:bCs/>
                <w:color w:val="000000"/>
                <w:sz w:val="18"/>
                <w:szCs w:val="18"/>
              </w:rPr>
            </w:pPr>
            <w:r w:rsidRPr="009C1C71">
              <w:rPr>
                <w:rFonts w:ascii="Times New Roman" w:hAnsi="Times New Roman"/>
                <w:b/>
                <w:bCs/>
                <w:color w:val="000000"/>
                <w:sz w:val="18"/>
                <w:szCs w:val="18"/>
              </w:rPr>
              <w:t>Spolu</w:t>
            </w:r>
          </w:p>
        </w:tc>
        <w:tc>
          <w:tcPr>
            <w:tcW w:w="992" w:type="dxa"/>
            <w:tcBorders>
              <w:top w:val="single" w:sz="6" w:space="0" w:color="auto"/>
              <w:left w:val="nil"/>
              <w:bottom w:val="single" w:sz="6" w:space="0" w:color="auto"/>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36 892</w:t>
            </w:r>
          </w:p>
        </w:tc>
        <w:tc>
          <w:tcPr>
            <w:tcW w:w="851" w:type="dxa"/>
            <w:tcBorders>
              <w:top w:val="single" w:sz="6" w:space="0" w:color="auto"/>
              <w:left w:val="nil"/>
              <w:bottom w:val="single" w:sz="6" w:space="0" w:color="auto"/>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612 804</w:t>
            </w:r>
          </w:p>
        </w:tc>
        <w:tc>
          <w:tcPr>
            <w:tcW w:w="850" w:type="dxa"/>
            <w:tcBorders>
              <w:top w:val="single" w:sz="6" w:space="0" w:color="auto"/>
              <w:left w:val="nil"/>
              <w:bottom w:val="single" w:sz="6" w:space="0" w:color="auto"/>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462 122</w:t>
            </w:r>
          </w:p>
        </w:tc>
        <w:tc>
          <w:tcPr>
            <w:tcW w:w="1134" w:type="dxa"/>
            <w:tcBorders>
              <w:top w:val="single" w:sz="6" w:space="0" w:color="auto"/>
              <w:left w:val="nil"/>
              <w:bottom w:val="single" w:sz="6" w:space="0" w:color="auto"/>
              <w:right w:val="nil"/>
            </w:tcBorders>
            <w:shd w:val="clear" w:color="000000" w:fill="BFBFB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479 663</w:t>
            </w:r>
          </w:p>
        </w:tc>
        <w:tc>
          <w:tcPr>
            <w:tcW w:w="709" w:type="dxa"/>
            <w:tcBorders>
              <w:top w:val="single" w:sz="6" w:space="0" w:color="auto"/>
              <w:left w:val="nil"/>
              <w:bottom w:val="single" w:sz="6" w:space="0" w:color="auto"/>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17 541</w:t>
            </w:r>
          </w:p>
        </w:tc>
        <w:tc>
          <w:tcPr>
            <w:tcW w:w="709" w:type="dxa"/>
            <w:tcBorders>
              <w:top w:val="single" w:sz="6" w:space="0" w:color="auto"/>
              <w:left w:val="nil"/>
              <w:bottom w:val="single" w:sz="6" w:space="0" w:color="auto"/>
              <w:right w:val="nil"/>
            </w:tcBorders>
            <w:shd w:val="clear" w:color="000000" w:fill="FFFFFF"/>
            <w:noWrap/>
            <w:textDirection w:val="lrTb"/>
            <w:vAlign w:val="center"/>
            <w:hideMark/>
          </w:tcPr>
          <w:p w:rsidR="009C1C71" w:rsidRPr="009C1C71" w:rsidP="009C1C71">
            <w:pPr>
              <w:bidi w:val="0"/>
              <w:jc w:val="right"/>
              <w:rPr>
                <w:rFonts w:ascii="Times New Roman" w:hAnsi="Times New Roman"/>
                <w:b/>
                <w:bCs/>
                <w:color w:val="000000"/>
                <w:sz w:val="18"/>
                <w:szCs w:val="18"/>
              </w:rPr>
            </w:pPr>
            <w:r w:rsidRPr="009C1C71">
              <w:rPr>
                <w:rFonts w:ascii="Times New Roman" w:hAnsi="Times New Roman"/>
                <w:b/>
                <w:bCs/>
                <w:color w:val="000000"/>
                <w:sz w:val="18"/>
                <w:szCs w:val="18"/>
              </w:rPr>
              <w:t>3,8</w:t>
            </w:r>
          </w:p>
        </w:tc>
      </w:tr>
    </w:tbl>
    <w:p w:rsidR="00422D66" w:rsidRPr="006174DE" w:rsidP="00F263C4">
      <w:pPr>
        <w:suppressAutoHyphens/>
        <w:bidi w:val="0"/>
        <w:spacing w:after="120" w:line="336" w:lineRule="auto"/>
        <w:jc w:val="right"/>
        <w:rPr>
          <w:rFonts w:ascii="Times New Roman" w:hAnsi="Times New Roman"/>
          <w:color w:val="000000"/>
          <w:sz w:val="22"/>
          <w:szCs w:val="22"/>
        </w:rPr>
      </w:pPr>
      <w:r>
        <w:rPr>
          <w:rFonts w:ascii="Times New Roman" w:eastAsia="Calibri" w:hAnsi="Times New Roman"/>
          <w:color w:val="000000"/>
          <w:sz w:val="18"/>
          <w:szCs w:val="18"/>
          <w:lang w:eastAsia="en-US"/>
        </w:rPr>
        <w:t>Zdroj: MF SR</w:t>
      </w:r>
    </w:p>
    <w:p w:rsidR="00872D04" w:rsidP="00422D66">
      <w:pPr>
        <w:numPr>
          <w:numId w:val="8"/>
        </w:numPr>
        <w:tabs>
          <w:tab w:val="left" w:pos="284"/>
        </w:tabs>
        <w:suppressAutoHyphens/>
        <w:bidi w:val="0"/>
        <w:spacing w:after="120" w:line="336" w:lineRule="auto"/>
        <w:ind w:left="0" w:firstLine="0"/>
        <w:jc w:val="both"/>
        <w:rPr>
          <w:rFonts w:ascii="Times New Roman" w:eastAsia="Calibri" w:hAnsi="Times New Roman" w:hint="default"/>
          <w:color w:val="000000"/>
          <w:sz w:val="22"/>
          <w:szCs w:val="22"/>
          <w:lang w:eastAsia="en-US"/>
        </w:rPr>
      </w:pPr>
      <w:r w:rsidRPr="00422D66" w:rsidR="00422D66">
        <w:rPr>
          <w:rFonts w:ascii="Times New Roman" w:eastAsia="Calibri" w:hAnsi="Times New Roman"/>
          <w:b/>
          <w:color w:val="000000"/>
          <w:sz w:val="22"/>
          <w:szCs w:val="22"/>
          <w:lang w:eastAsia="en-US"/>
        </w:rPr>
        <w:t>Pr</w:t>
      </w:r>
      <w:r>
        <w:rPr>
          <w:rFonts w:ascii="Times New Roman" w:eastAsia="Calibri" w:hAnsi="Times New Roman" w:hint="default"/>
          <w:b/>
          <w:color w:val="000000"/>
          <w:sz w:val="22"/>
          <w:szCs w:val="22"/>
          <w:lang w:eastAsia="en-US"/>
        </w:rPr>
        <w:t>í</w:t>
      </w:r>
      <w:r>
        <w:rPr>
          <w:rFonts w:ascii="Times New Roman" w:eastAsia="Calibri" w:hAnsi="Times New Roman" w:hint="default"/>
          <w:b/>
          <w:color w:val="000000"/>
          <w:sz w:val="22"/>
          <w:szCs w:val="22"/>
          <w:lang w:eastAsia="en-US"/>
        </w:rPr>
        <w:t>jem z</w:t>
      </w:r>
      <w:r w:rsidRPr="00422D66" w:rsidR="00422D66">
        <w:rPr>
          <w:rFonts w:ascii="Times New Roman" w:eastAsia="Calibri" w:hAnsi="Times New Roman" w:hint="default"/>
          <w:b/>
          <w:color w:val="000000"/>
          <w:sz w:val="22"/>
          <w:szCs w:val="22"/>
          <w:lang w:eastAsia="en-US"/>
        </w:rPr>
        <w:t xml:space="preserve"> administratí</w:t>
      </w:r>
      <w:r w:rsidRPr="00422D66" w:rsidR="00422D66">
        <w:rPr>
          <w:rFonts w:ascii="Times New Roman" w:eastAsia="Calibri" w:hAnsi="Times New Roman" w:hint="default"/>
          <w:b/>
          <w:color w:val="000000"/>
          <w:sz w:val="22"/>
          <w:szCs w:val="22"/>
          <w:lang w:eastAsia="en-US"/>
        </w:rPr>
        <w:t>vnych poplatko</w:t>
      </w:r>
      <w:r>
        <w:rPr>
          <w:rFonts w:ascii="Times New Roman" w:eastAsia="Calibri" w:hAnsi="Times New Roman"/>
          <w:b/>
          <w:color w:val="000000"/>
          <w:sz w:val="22"/>
          <w:szCs w:val="22"/>
          <w:lang w:eastAsia="en-US"/>
        </w:rPr>
        <w:t>v</w:t>
      </w:r>
      <w:r w:rsidRPr="00422D66" w:rsidR="00422D66">
        <w:rPr>
          <w:rFonts w:ascii="Times New Roman" w:eastAsia="Calibri" w:hAnsi="Times New Roman"/>
          <w:b/>
          <w:color w:val="000000"/>
          <w:sz w:val="22"/>
          <w:szCs w:val="22"/>
          <w:lang w:eastAsia="en-US"/>
        </w:rPr>
        <w:t xml:space="preserve"> a </w:t>
      </w:r>
      <w:r w:rsidRPr="00422D66" w:rsidR="00422D66">
        <w:rPr>
          <w:rFonts w:ascii="Times New Roman" w:eastAsia="Calibri" w:hAnsi="Times New Roman" w:hint="default"/>
          <w:b/>
          <w:color w:val="000000"/>
          <w:sz w:val="22"/>
          <w:szCs w:val="22"/>
          <w:lang w:eastAsia="en-US"/>
        </w:rPr>
        <w:t>iný</w:t>
      </w:r>
      <w:r w:rsidRPr="00422D66" w:rsidR="00422D66">
        <w:rPr>
          <w:rFonts w:ascii="Times New Roman" w:eastAsia="Calibri" w:hAnsi="Times New Roman" w:hint="default"/>
          <w:b/>
          <w:color w:val="000000"/>
          <w:sz w:val="22"/>
          <w:szCs w:val="22"/>
          <w:lang w:eastAsia="en-US"/>
        </w:rPr>
        <w:t>ch poplatko</w:t>
      </w:r>
      <w:r>
        <w:rPr>
          <w:rFonts w:ascii="Times New Roman" w:eastAsia="Calibri" w:hAnsi="Times New Roman"/>
          <w:b/>
          <w:color w:val="000000"/>
          <w:sz w:val="22"/>
          <w:szCs w:val="22"/>
          <w:lang w:eastAsia="en-US"/>
        </w:rPr>
        <w:t>v</w:t>
      </w:r>
      <w:r w:rsidRPr="00422D66" w:rsidR="00422D66">
        <w:rPr>
          <w:rFonts w:ascii="Times New Roman" w:eastAsia="Calibri" w:hAnsi="Times New Roman"/>
          <w:b/>
          <w:color w:val="000000"/>
          <w:sz w:val="22"/>
          <w:szCs w:val="22"/>
          <w:lang w:eastAsia="en-US"/>
        </w:rPr>
        <w:t xml:space="preserve"> a plat</w:t>
      </w:r>
      <w:r>
        <w:rPr>
          <w:rFonts w:ascii="Times New Roman" w:eastAsia="Calibri" w:hAnsi="Times New Roman"/>
          <w:b/>
          <w:color w:val="000000"/>
          <w:sz w:val="22"/>
          <w:szCs w:val="22"/>
          <w:lang w:eastAsia="en-US"/>
        </w:rPr>
        <w:t>ieb</w:t>
      </w:r>
      <w:r w:rsidRPr="00422D66" w:rsidR="00422D66">
        <w:rPr>
          <w:rFonts w:ascii="Times New Roman" w:eastAsia="Calibri" w:hAnsi="Times New Roman" w:hint="default"/>
          <w:color w:val="000000"/>
          <w:sz w:val="22"/>
          <w:szCs w:val="22"/>
          <w:lang w:eastAsia="en-US"/>
        </w:rPr>
        <w:t xml:space="preserve"> zá</w:t>
      </w:r>
      <w:r w:rsidRPr="00422D66" w:rsidR="00422D66">
        <w:rPr>
          <w:rFonts w:ascii="Times New Roman" w:eastAsia="Calibri" w:hAnsi="Times New Roman" w:hint="default"/>
          <w:color w:val="000000"/>
          <w:sz w:val="22"/>
          <w:szCs w:val="22"/>
          <w:lang w:eastAsia="en-US"/>
        </w:rPr>
        <w:t>visí</w:t>
      </w:r>
      <w:r w:rsidRPr="00422D66" w:rsidR="00422D66">
        <w:rPr>
          <w:rFonts w:ascii="Times New Roman" w:eastAsia="Calibri" w:hAnsi="Times New Roman" w:hint="default"/>
          <w:color w:val="000000"/>
          <w:sz w:val="22"/>
          <w:szCs w:val="22"/>
          <w:lang w:eastAsia="en-US"/>
        </w:rPr>
        <w:t xml:space="preserve"> od poč</w:t>
      </w:r>
      <w:r w:rsidRPr="00422D66" w:rsidR="00422D66">
        <w:rPr>
          <w:rFonts w:ascii="Times New Roman" w:eastAsia="Calibri" w:hAnsi="Times New Roman" w:hint="default"/>
          <w:color w:val="000000"/>
          <w:sz w:val="22"/>
          <w:szCs w:val="22"/>
          <w:lang w:eastAsia="en-US"/>
        </w:rPr>
        <w:t>tu jednotlivý</w:t>
      </w:r>
      <w:r w:rsidRPr="00422D66" w:rsidR="00422D66">
        <w:rPr>
          <w:rFonts w:ascii="Times New Roman" w:eastAsia="Calibri" w:hAnsi="Times New Roman" w:hint="default"/>
          <w:color w:val="000000"/>
          <w:sz w:val="22"/>
          <w:szCs w:val="22"/>
          <w:lang w:eastAsia="en-US"/>
        </w:rPr>
        <w:t>ch kona</w:t>
      </w:r>
      <w:r w:rsidRPr="00422D66" w:rsidR="00422D66">
        <w:rPr>
          <w:rFonts w:ascii="Times New Roman" w:eastAsia="Calibri" w:hAnsi="Times New Roman" w:hint="default"/>
          <w:color w:val="000000"/>
          <w:sz w:val="22"/>
          <w:szCs w:val="22"/>
          <w:lang w:eastAsia="en-US"/>
        </w:rPr>
        <w:t>ní</w:t>
      </w:r>
      <w:r w:rsidRPr="00422D66" w:rsidR="00422D66">
        <w:rPr>
          <w:rFonts w:ascii="Times New Roman" w:eastAsia="Calibri" w:hAnsi="Times New Roman" w:hint="default"/>
          <w:color w:val="000000"/>
          <w:sz w:val="22"/>
          <w:szCs w:val="22"/>
          <w:lang w:eastAsia="en-US"/>
        </w:rPr>
        <w:t xml:space="preserve"> v </w:t>
      </w:r>
      <w:r w:rsidRPr="00422D66" w:rsidR="00422D66">
        <w:rPr>
          <w:rFonts w:ascii="Times New Roman" w:eastAsia="Calibri" w:hAnsi="Times New Roman" w:hint="default"/>
          <w:color w:val="000000"/>
          <w:sz w:val="22"/>
          <w:szCs w:val="22"/>
          <w:lang w:eastAsia="en-US"/>
        </w:rPr>
        <w:t>priebehu roka. Schvá</w:t>
      </w:r>
      <w:r w:rsidRPr="00422D66" w:rsidR="00422D66">
        <w:rPr>
          <w:rFonts w:ascii="Times New Roman" w:eastAsia="Calibri" w:hAnsi="Times New Roman" w:hint="default"/>
          <w:color w:val="000000"/>
          <w:sz w:val="22"/>
          <w:szCs w:val="22"/>
          <w:lang w:eastAsia="en-US"/>
        </w:rPr>
        <w:t>lený</w:t>
      </w:r>
      <w:r w:rsidRPr="00422D66" w:rsidR="00422D66">
        <w:rPr>
          <w:rFonts w:ascii="Times New Roman" w:eastAsia="Calibri" w:hAnsi="Times New Roman" w:hint="default"/>
          <w:color w:val="000000"/>
          <w:sz w:val="22"/>
          <w:szCs w:val="22"/>
          <w:lang w:eastAsia="en-US"/>
        </w:rPr>
        <w:t xml:space="preserve"> rozpoč</w:t>
      </w:r>
      <w:r w:rsidRPr="00422D66" w:rsidR="00422D66">
        <w:rPr>
          <w:rFonts w:ascii="Times New Roman" w:eastAsia="Calibri" w:hAnsi="Times New Roman" w:hint="default"/>
          <w:color w:val="000000"/>
          <w:sz w:val="22"/>
          <w:szCs w:val="22"/>
          <w:lang w:eastAsia="en-US"/>
        </w:rPr>
        <w:t>et vo výš</w:t>
      </w:r>
      <w:r w:rsidRPr="00422D66" w:rsidR="00422D66">
        <w:rPr>
          <w:rFonts w:ascii="Times New Roman" w:eastAsia="Calibri" w:hAnsi="Times New Roman" w:hint="default"/>
          <w:color w:val="000000"/>
          <w:sz w:val="22"/>
          <w:szCs w:val="22"/>
          <w:lang w:eastAsia="en-US"/>
        </w:rPr>
        <w:t>ke 327 163 tis. eur dosiahol k 31. 12. 2015 plnenie v sume 323 534 tis. </w:t>
      </w:r>
      <w:r w:rsidRPr="00422D66" w:rsidR="00422D66">
        <w:rPr>
          <w:rFonts w:ascii="Times New Roman" w:eastAsia="Calibri" w:hAnsi="Times New Roman" w:hint="default"/>
          <w:color w:val="000000"/>
          <w:sz w:val="22"/>
          <w:szCs w:val="22"/>
          <w:lang w:eastAsia="en-US"/>
        </w:rPr>
        <w:t>eur, č</w:t>
      </w:r>
      <w:r w:rsidRPr="00422D66" w:rsidR="00422D66">
        <w:rPr>
          <w:rFonts w:ascii="Times New Roman" w:eastAsia="Calibri" w:hAnsi="Times New Roman" w:hint="default"/>
          <w:color w:val="000000"/>
          <w:sz w:val="22"/>
          <w:szCs w:val="22"/>
          <w:lang w:eastAsia="en-US"/>
        </w:rPr>
        <w:t xml:space="preserve">o je 25,3 % </w:t>
      </w:r>
      <w:r>
        <w:rPr>
          <w:rFonts w:ascii="Times New Roman" w:eastAsia="Calibri" w:hAnsi="Times New Roman"/>
          <w:color w:val="000000"/>
          <w:sz w:val="22"/>
          <w:szCs w:val="22"/>
          <w:lang w:eastAsia="en-US"/>
        </w:rPr>
        <w:t>z </w:t>
      </w:r>
      <w:r>
        <w:rPr>
          <w:rFonts w:ascii="Times New Roman" w:eastAsia="Calibri" w:hAnsi="Times New Roman" w:hint="default"/>
          <w:color w:val="000000"/>
          <w:sz w:val="22"/>
          <w:szCs w:val="22"/>
          <w:lang w:eastAsia="en-US"/>
        </w:rPr>
        <w:t>celkový</w:t>
      </w:r>
      <w:r>
        <w:rPr>
          <w:rFonts w:ascii="Times New Roman" w:eastAsia="Calibri" w:hAnsi="Times New Roman" w:hint="default"/>
          <w:color w:val="000000"/>
          <w:sz w:val="22"/>
          <w:szCs w:val="22"/>
          <w:lang w:eastAsia="en-US"/>
        </w:rPr>
        <w:t>ch nedaň</w:t>
      </w:r>
      <w:r>
        <w:rPr>
          <w:rFonts w:ascii="Times New Roman" w:eastAsia="Calibri" w:hAnsi="Times New Roman" w:hint="default"/>
          <w:color w:val="000000"/>
          <w:sz w:val="22"/>
          <w:szCs w:val="22"/>
          <w:lang w:eastAsia="en-US"/>
        </w:rPr>
        <w:t>ový</w:t>
      </w:r>
      <w:r>
        <w:rPr>
          <w:rFonts w:ascii="Times New Roman" w:eastAsia="Calibri" w:hAnsi="Times New Roman" w:hint="default"/>
          <w:color w:val="000000"/>
          <w:sz w:val="22"/>
          <w:szCs w:val="22"/>
          <w:lang w:eastAsia="en-US"/>
        </w:rPr>
        <w:t>ch prí</w:t>
      </w:r>
      <w:r>
        <w:rPr>
          <w:rFonts w:ascii="Times New Roman" w:eastAsia="Calibri" w:hAnsi="Times New Roman" w:hint="default"/>
          <w:color w:val="000000"/>
          <w:sz w:val="22"/>
          <w:szCs w:val="22"/>
          <w:lang w:eastAsia="en-US"/>
        </w:rPr>
        <w:t>jmov.</w:t>
      </w:r>
    </w:p>
    <w:p w:rsidR="004E1120" w:rsidP="00872D04">
      <w:pPr>
        <w:tabs>
          <w:tab w:val="left" w:pos="284"/>
        </w:tabs>
        <w:suppressAutoHyphens/>
        <w:bidi w:val="0"/>
        <w:spacing w:after="120" w:line="336" w:lineRule="auto"/>
        <w:jc w:val="both"/>
        <w:rPr>
          <w:rFonts w:ascii="Times New Roman" w:eastAsia="Calibri" w:hAnsi="Times New Roman" w:hint="default"/>
          <w:color w:val="000000"/>
          <w:sz w:val="22"/>
          <w:szCs w:val="22"/>
          <w:lang w:eastAsia="en-US"/>
        </w:rPr>
      </w:pPr>
      <w:r w:rsidRPr="00422D66" w:rsidR="00422D66">
        <w:rPr>
          <w:rFonts w:ascii="Times New Roman" w:eastAsia="Calibri" w:hAnsi="Times New Roman"/>
          <w:color w:val="000000"/>
          <w:sz w:val="22"/>
          <w:szCs w:val="22"/>
          <w:lang w:eastAsia="en-US"/>
        </w:rPr>
        <w:t>V </w:t>
      </w:r>
      <w:r w:rsidRPr="00422D66" w:rsidR="00422D66">
        <w:rPr>
          <w:rFonts w:ascii="Times New Roman" w:eastAsia="Calibri" w:hAnsi="Times New Roman" w:hint="default"/>
          <w:color w:val="000000"/>
          <w:sz w:val="22"/>
          <w:szCs w:val="22"/>
          <w:lang w:eastAsia="en-US"/>
        </w:rPr>
        <w:t>rá</w:t>
      </w:r>
      <w:r w:rsidRPr="00422D66" w:rsidR="00422D66">
        <w:rPr>
          <w:rFonts w:ascii="Times New Roman" w:eastAsia="Calibri" w:hAnsi="Times New Roman" w:hint="default"/>
          <w:color w:val="000000"/>
          <w:sz w:val="22"/>
          <w:szCs w:val="22"/>
          <w:lang w:eastAsia="en-US"/>
        </w:rPr>
        <w:t>mci tejto kategó</w:t>
      </w:r>
      <w:r w:rsidRPr="00422D66" w:rsidR="00422D66">
        <w:rPr>
          <w:rFonts w:ascii="Times New Roman" w:eastAsia="Calibri" w:hAnsi="Times New Roman" w:hint="default"/>
          <w:color w:val="000000"/>
          <w:sz w:val="22"/>
          <w:szCs w:val="22"/>
          <w:lang w:eastAsia="en-US"/>
        </w:rPr>
        <w:t>rie prí</w:t>
      </w:r>
      <w:r w:rsidRPr="00422D66" w:rsidR="00422D66">
        <w:rPr>
          <w:rFonts w:ascii="Times New Roman" w:eastAsia="Calibri" w:hAnsi="Times New Roman" w:hint="default"/>
          <w:color w:val="000000"/>
          <w:sz w:val="22"/>
          <w:szCs w:val="22"/>
          <w:lang w:eastAsia="en-US"/>
        </w:rPr>
        <w:t xml:space="preserve">jmov dosiahli </w:t>
      </w:r>
      <w:r w:rsidRPr="00872D04" w:rsidR="00872D04">
        <w:rPr>
          <w:rFonts w:ascii="Times New Roman" w:eastAsia="Calibri" w:hAnsi="Times New Roman" w:hint="default"/>
          <w:b/>
          <w:i/>
          <w:color w:val="000000"/>
          <w:sz w:val="22"/>
          <w:szCs w:val="22"/>
          <w:lang w:eastAsia="en-US"/>
        </w:rPr>
        <w:t>administratí</w:t>
      </w:r>
      <w:r w:rsidRPr="00872D04" w:rsidR="00872D04">
        <w:rPr>
          <w:rFonts w:ascii="Times New Roman" w:eastAsia="Calibri" w:hAnsi="Times New Roman" w:hint="default"/>
          <w:b/>
          <w:i/>
          <w:color w:val="000000"/>
          <w:sz w:val="22"/>
          <w:szCs w:val="22"/>
          <w:lang w:eastAsia="en-US"/>
        </w:rPr>
        <w:t>vne poplatky</w:t>
      </w:r>
      <w:r w:rsidR="00872D04">
        <w:rPr>
          <w:rFonts w:ascii="Times New Roman" w:eastAsia="Calibri" w:hAnsi="Times New Roman"/>
          <w:color w:val="000000"/>
          <w:sz w:val="22"/>
          <w:szCs w:val="22"/>
          <w:lang w:eastAsia="en-US"/>
        </w:rPr>
        <w:t xml:space="preserve"> </w:t>
      </w:r>
      <w:r>
        <w:rPr>
          <w:rFonts w:ascii="Times New Roman" w:eastAsia="Calibri" w:hAnsi="Times New Roman" w:hint="default"/>
          <w:color w:val="000000"/>
          <w:sz w:val="22"/>
          <w:szCs w:val="22"/>
          <w:lang w:eastAsia="en-US"/>
        </w:rPr>
        <w:t>č</w:t>
      </w:r>
      <w:r>
        <w:rPr>
          <w:rFonts w:ascii="Times New Roman" w:eastAsia="Calibri" w:hAnsi="Times New Roman" w:hint="default"/>
          <w:color w:val="000000"/>
          <w:sz w:val="22"/>
          <w:szCs w:val="22"/>
          <w:lang w:eastAsia="en-US"/>
        </w:rPr>
        <w:t xml:space="preserve">iastku </w:t>
      </w:r>
      <w:r w:rsidR="00872D04">
        <w:rPr>
          <w:rFonts w:ascii="Times New Roman" w:eastAsia="Calibri" w:hAnsi="Times New Roman"/>
          <w:color w:val="000000"/>
          <w:sz w:val="22"/>
          <w:szCs w:val="22"/>
          <w:lang w:eastAsia="en-US"/>
        </w:rPr>
        <w:t>203 095 tis. eu</w:t>
      </w:r>
      <w:r w:rsidR="00872D04">
        <w:rPr>
          <w:rFonts w:ascii="Times New Roman" w:eastAsia="Calibri" w:hAnsi="Times New Roman"/>
          <w:color w:val="000000"/>
          <w:sz w:val="22"/>
          <w:szCs w:val="22"/>
          <w:lang w:eastAsia="en-US"/>
        </w:rPr>
        <w:t>r, z ktorej suma 189 </w:t>
      </w:r>
      <w:r w:rsidR="00872D04">
        <w:rPr>
          <w:rFonts w:ascii="Times New Roman" w:eastAsia="Calibri" w:hAnsi="Times New Roman" w:hint="default"/>
          <w:color w:val="000000"/>
          <w:sz w:val="22"/>
          <w:szCs w:val="22"/>
          <w:lang w:eastAsia="en-US"/>
        </w:rPr>
        <w:t>916 tis. eur bola prí</w:t>
      </w:r>
      <w:r w:rsidR="00872D04">
        <w:rPr>
          <w:rFonts w:ascii="Times New Roman" w:eastAsia="Calibri" w:hAnsi="Times New Roman" w:hint="default"/>
          <w:color w:val="000000"/>
          <w:sz w:val="22"/>
          <w:szCs w:val="22"/>
          <w:lang w:eastAsia="en-US"/>
        </w:rPr>
        <w:t>jmom kapitoly Vš</w:t>
      </w:r>
      <w:r w:rsidR="00872D04">
        <w:rPr>
          <w:rFonts w:ascii="Times New Roman" w:eastAsia="Calibri" w:hAnsi="Times New Roman" w:hint="default"/>
          <w:color w:val="000000"/>
          <w:sz w:val="22"/>
          <w:szCs w:val="22"/>
          <w:lang w:eastAsia="en-US"/>
        </w:rPr>
        <w:t>eobecná</w:t>
      </w:r>
      <w:r w:rsidR="00872D04">
        <w:rPr>
          <w:rFonts w:ascii="Times New Roman" w:eastAsia="Calibri" w:hAnsi="Times New Roman" w:hint="default"/>
          <w:color w:val="000000"/>
          <w:sz w:val="22"/>
          <w:szCs w:val="22"/>
          <w:lang w:eastAsia="en-US"/>
        </w:rPr>
        <w:t xml:space="preserve"> pokladnič</w:t>
      </w:r>
      <w:r w:rsidR="00872D04">
        <w:rPr>
          <w:rFonts w:ascii="Times New Roman" w:eastAsia="Calibri" w:hAnsi="Times New Roman" w:hint="default"/>
          <w:color w:val="000000"/>
          <w:sz w:val="22"/>
          <w:szCs w:val="22"/>
          <w:lang w:eastAsia="en-US"/>
        </w:rPr>
        <w:t>ná</w:t>
      </w:r>
      <w:r w:rsidR="00872D04">
        <w:rPr>
          <w:rFonts w:ascii="Times New Roman" w:eastAsia="Calibri" w:hAnsi="Times New Roman" w:hint="default"/>
          <w:color w:val="000000"/>
          <w:sz w:val="22"/>
          <w:szCs w:val="22"/>
          <w:lang w:eastAsia="en-US"/>
        </w:rPr>
        <w:t xml:space="preserve"> sprá</w:t>
      </w:r>
      <w:r w:rsidR="00872D04">
        <w:rPr>
          <w:rFonts w:ascii="Times New Roman" w:eastAsia="Calibri" w:hAnsi="Times New Roman" w:hint="default"/>
          <w:color w:val="000000"/>
          <w:sz w:val="22"/>
          <w:szCs w:val="22"/>
          <w:lang w:eastAsia="en-US"/>
        </w:rPr>
        <w:t xml:space="preserve">va </w:t>
      </w:r>
      <w:r>
        <w:rPr>
          <w:rFonts w:ascii="Times New Roman" w:eastAsia="Calibri" w:hAnsi="Times New Roman" w:hint="default"/>
          <w:color w:val="000000"/>
          <w:sz w:val="22"/>
          <w:szCs w:val="22"/>
          <w:lang w:eastAsia="en-US"/>
        </w:rPr>
        <w:t>a tá</w:t>
      </w:r>
      <w:r>
        <w:rPr>
          <w:rFonts w:ascii="Times New Roman" w:eastAsia="Calibri" w:hAnsi="Times New Roman" w:hint="default"/>
          <w:color w:val="000000"/>
          <w:sz w:val="22"/>
          <w:szCs w:val="22"/>
          <w:lang w:eastAsia="en-US"/>
        </w:rPr>
        <w:t>to polož</w:t>
      </w:r>
      <w:r>
        <w:rPr>
          <w:rFonts w:ascii="Times New Roman" w:eastAsia="Calibri" w:hAnsi="Times New Roman" w:hint="default"/>
          <w:color w:val="000000"/>
          <w:sz w:val="22"/>
          <w:szCs w:val="22"/>
          <w:lang w:eastAsia="en-US"/>
        </w:rPr>
        <w:t>ka prí</w:t>
      </w:r>
      <w:r>
        <w:rPr>
          <w:rFonts w:ascii="Times New Roman" w:eastAsia="Calibri" w:hAnsi="Times New Roman" w:hint="default"/>
          <w:color w:val="000000"/>
          <w:sz w:val="22"/>
          <w:szCs w:val="22"/>
          <w:lang w:eastAsia="en-US"/>
        </w:rPr>
        <w:t>jmov bola ovplyvnená</w:t>
      </w:r>
      <w:r>
        <w:rPr>
          <w:rFonts w:ascii="Times New Roman" w:eastAsia="Calibri" w:hAnsi="Times New Roman" w:hint="default"/>
          <w:color w:val="000000"/>
          <w:sz w:val="22"/>
          <w:szCs w:val="22"/>
          <w:lang w:eastAsia="en-US"/>
        </w:rPr>
        <w:t xml:space="preserve"> zavedení</w:t>
      </w:r>
      <w:r>
        <w:rPr>
          <w:rFonts w:ascii="Times New Roman" w:eastAsia="Calibri" w:hAnsi="Times New Roman" w:hint="default"/>
          <w:color w:val="000000"/>
          <w:sz w:val="22"/>
          <w:szCs w:val="22"/>
          <w:lang w:eastAsia="en-US"/>
        </w:rPr>
        <w:t>m systé</w:t>
      </w:r>
      <w:r>
        <w:rPr>
          <w:rFonts w:ascii="Times New Roman" w:eastAsia="Calibri" w:hAnsi="Times New Roman" w:hint="default"/>
          <w:color w:val="000000"/>
          <w:sz w:val="22"/>
          <w:szCs w:val="22"/>
          <w:lang w:eastAsia="en-US"/>
        </w:rPr>
        <w:t xml:space="preserve">mu </w:t>
      </w:r>
      <w:r w:rsidR="00E77207">
        <w:rPr>
          <w:rFonts w:ascii="Times New Roman" w:eastAsia="Calibri" w:hAnsi="Times New Roman"/>
          <w:color w:val="000000"/>
          <w:sz w:val="22"/>
          <w:szCs w:val="22"/>
          <w:lang w:eastAsia="en-US"/>
        </w:rPr>
        <w:t>e</w:t>
      </w:r>
      <w:r>
        <w:rPr>
          <w:rFonts w:ascii="Times New Roman" w:eastAsia="Calibri" w:hAnsi="Times New Roman"/>
          <w:color w:val="000000"/>
          <w:sz w:val="22"/>
          <w:szCs w:val="22"/>
          <w:lang w:eastAsia="en-US"/>
        </w:rPr>
        <w:t>-</w:t>
      </w:r>
      <w:r w:rsidR="00E77207">
        <w:rPr>
          <w:rFonts w:ascii="Times New Roman" w:eastAsia="Calibri" w:hAnsi="Times New Roman"/>
          <w:color w:val="000000"/>
          <w:sz w:val="22"/>
          <w:szCs w:val="22"/>
          <w:lang w:eastAsia="en-US"/>
        </w:rPr>
        <w:t>kolok</w:t>
      </w:r>
      <w:r>
        <w:rPr>
          <w:rFonts w:ascii="Times New Roman" w:eastAsia="Calibri" w:hAnsi="Times New Roman"/>
          <w:color w:val="000000"/>
          <w:sz w:val="22"/>
          <w:szCs w:val="22"/>
          <w:lang w:eastAsia="en-US"/>
        </w:rPr>
        <w:t>. Ide o </w:t>
      </w:r>
      <w:r>
        <w:rPr>
          <w:rFonts w:ascii="Times New Roman" w:eastAsia="Calibri" w:hAnsi="Times New Roman" w:hint="default"/>
          <w:color w:val="000000"/>
          <w:sz w:val="22"/>
          <w:szCs w:val="22"/>
          <w:lang w:eastAsia="en-US"/>
        </w:rPr>
        <w:t>nový</w:t>
      </w:r>
      <w:r>
        <w:rPr>
          <w:rFonts w:ascii="Times New Roman" w:eastAsia="Calibri" w:hAnsi="Times New Roman" w:hint="default"/>
          <w:color w:val="000000"/>
          <w:sz w:val="22"/>
          <w:szCs w:val="22"/>
          <w:lang w:eastAsia="en-US"/>
        </w:rPr>
        <w:t xml:space="preserve"> elektronický</w:t>
      </w:r>
      <w:r>
        <w:rPr>
          <w:rFonts w:ascii="Times New Roman" w:eastAsia="Calibri" w:hAnsi="Times New Roman" w:hint="default"/>
          <w:color w:val="000000"/>
          <w:sz w:val="22"/>
          <w:szCs w:val="22"/>
          <w:lang w:eastAsia="en-US"/>
        </w:rPr>
        <w:t xml:space="preserve"> platobný</w:t>
      </w:r>
      <w:r>
        <w:rPr>
          <w:rFonts w:ascii="Times New Roman" w:eastAsia="Calibri" w:hAnsi="Times New Roman" w:hint="default"/>
          <w:color w:val="000000"/>
          <w:sz w:val="22"/>
          <w:szCs w:val="22"/>
          <w:lang w:eastAsia="en-US"/>
        </w:rPr>
        <w:t xml:space="preserve"> systé</w:t>
      </w:r>
      <w:r>
        <w:rPr>
          <w:rFonts w:ascii="Times New Roman" w:eastAsia="Calibri" w:hAnsi="Times New Roman" w:hint="default"/>
          <w:color w:val="000000"/>
          <w:sz w:val="22"/>
          <w:szCs w:val="22"/>
          <w:lang w:eastAsia="en-US"/>
        </w:rPr>
        <w:t>m</w:t>
      </w:r>
      <w:r w:rsidR="000155FA">
        <w:rPr>
          <w:rFonts w:ascii="Times New Roman" w:eastAsia="Calibri" w:hAnsi="Times New Roman"/>
          <w:color w:val="000000"/>
          <w:sz w:val="22"/>
          <w:szCs w:val="22"/>
          <w:lang w:eastAsia="en-US"/>
        </w:rPr>
        <w:t xml:space="preserve"> v </w:t>
      </w:r>
      <w:r w:rsidR="000155FA">
        <w:rPr>
          <w:rFonts w:ascii="Times New Roman" w:eastAsia="Calibri" w:hAnsi="Times New Roman" w:hint="default"/>
          <w:color w:val="000000"/>
          <w:sz w:val="22"/>
          <w:szCs w:val="22"/>
          <w:lang w:eastAsia="en-US"/>
        </w:rPr>
        <w:t>rá</w:t>
      </w:r>
      <w:r w:rsidR="000155FA">
        <w:rPr>
          <w:rFonts w:ascii="Times New Roman" w:eastAsia="Calibri" w:hAnsi="Times New Roman" w:hint="default"/>
          <w:color w:val="000000"/>
          <w:sz w:val="22"/>
          <w:szCs w:val="22"/>
          <w:lang w:eastAsia="en-US"/>
        </w:rPr>
        <w:t>mci projektu elektronizá</w:t>
      </w:r>
      <w:r w:rsidR="000155FA">
        <w:rPr>
          <w:rFonts w:ascii="Times New Roman" w:eastAsia="Calibri" w:hAnsi="Times New Roman" w:hint="default"/>
          <w:color w:val="000000"/>
          <w:sz w:val="22"/>
          <w:szCs w:val="22"/>
          <w:lang w:eastAsia="en-US"/>
        </w:rPr>
        <w:t>cie verejnej sprá</w:t>
      </w:r>
      <w:r w:rsidR="000155FA">
        <w:rPr>
          <w:rFonts w:ascii="Times New Roman" w:eastAsia="Calibri" w:hAnsi="Times New Roman" w:hint="default"/>
          <w:color w:val="000000"/>
          <w:sz w:val="22"/>
          <w:szCs w:val="22"/>
          <w:lang w:eastAsia="en-US"/>
        </w:rPr>
        <w:t>vy</w:t>
      </w:r>
      <w:r>
        <w:rPr>
          <w:rFonts w:ascii="Times New Roman" w:eastAsia="Calibri" w:hAnsi="Times New Roman" w:hint="default"/>
          <w:color w:val="000000"/>
          <w:sz w:val="22"/>
          <w:szCs w:val="22"/>
          <w:lang w:eastAsia="en-US"/>
        </w:rPr>
        <w:t>, ktorý</w:t>
      </w:r>
      <w:r>
        <w:rPr>
          <w:rFonts w:ascii="Times New Roman" w:eastAsia="Calibri" w:hAnsi="Times New Roman" w:hint="default"/>
          <w:color w:val="000000"/>
          <w:sz w:val="22"/>
          <w:szCs w:val="22"/>
          <w:lang w:eastAsia="en-US"/>
        </w:rPr>
        <w:t>m sa od apr</w:t>
      </w:r>
      <w:r>
        <w:rPr>
          <w:rFonts w:ascii="Times New Roman" w:eastAsia="Calibri" w:hAnsi="Times New Roman" w:hint="default"/>
          <w:color w:val="000000"/>
          <w:sz w:val="22"/>
          <w:szCs w:val="22"/>
          <w:lang w:eastAsia="en-US"/>
        </w:rPr>
        <w:t>í</w:t>
      </w:r>
      <w:r>
        <w:rPr>
          <w:rFonts w:ascii="Times New Roman" w:eastAsia="Calibri" w:hAnsi="Times New Roman" w:hint="default"/>
          <w:color w:val="000000"/>
          <w:sz w:val="22"/>
          <w:szCs w:val="22"/>
          <w:lang w:eastAsia="en-US"/>
        </w:rPr>
        <w:t>la 2014 postupne nahrá</w:t>
      </w:r>
      <w:r>
        <w:rPr>
          <w:rFonts w:ascii="Times New Roman" w:eastAsia="Calibri" w:hAnsi="Times New Roman" w:hint="default"/>
          <w:color w:val="000000"/>
          <w:sz w:val="22"/>
          <w:szCs w:val="22"/>
          <w:lang w:eastAsia="en-US"/>
        </w:rPr>
        <w:t>dza platenie papierový</w:t>
      </w:r>
      <w:r>
        <w:rPr>
          <w:rFonts w:ascii="Times New Roman" w:eastAsia="Calibri" w:hAnsi="Times New Roman" w:hint="default"/>
          <w:color w:val="000000"/>
          <w:sz w:val="22"/>
          <w:szCs w:val="22"/>
          <w:lang w:eastAsia="en-US"/>
        </w:rPr>
        <w:t>mi kolkami a </w:t>
      </w:r>
      <w:r>
        <w:rPr>
          <w:rFonts w:ascii="Times New Roman" w:eastAsia="Calibri" w:hAnsi="Times New Roman" w:hint="default"/>
          <w:color w:val="000000"/>
          <w:sz w:val="22"/>
          <w:szCs w:val="22"/>
          <w:lang w:eastAsia="en-US"/>
        </w:rPr>
        <w:t>orgá</w:t>
      </w:r>
      <w:r>
        <w:rPr>
          <w:rFonts w:ascii="Times New Roman" w:eastAsia="Calibri" w:hAnsi="Times New Roman" w:hint="default"/>
          <w:color w:val="000000"/>
          <w:sz w:val="22"/>
          <w:szCs w:val="22"/>
          <w:lang w:eastAsia="en-US"/>
        </w:rPr>
        <w:t>ny š</w:t>
      </w:r>
      <w:r>
        <w:rPr>
          <w:rFonts w:ascii="Times New Roman" w:eastAsia="Calibri" w:hAnsi="Times New Roman" w:hint="default"/>
          <w:color w:val="000000"/>
          <w:sz w:val="22"/>
          <w:szCs w:val="22"/>
          <w:lang w:eastAsia="en-US"/>
        </w:rPr>
        <w:t>tá</w:t>
      </w:r>
      <w:r>
        <w:rPr>
          <w:rFonts w:ascii="Times New Roman" w:eastAsia="Calibri" w:hAnsi="Times New Roman" w:hint="default"/>
          <w:color w:val="000000"/>
          <w:sz w:val="22"/>
          <w:szCs w:val="22"/>
          <w:lang w:eastAsia="en-US"/>
        </w:rPr>
        <w:t>tnej sprá</w:t>
      </w:r>
      <w:r>
        <w:rPr>
          <w:rFonts w:ascii="Times New Roman" w:eastAsia="Calibri" w:hAnsi="Times New Roman" w:hint="default"/>
          <w:color w:val="000000"/>
          <w:sz w:val="22"/>
          <w:szCs w:val="22"/>
          <w:lang w:eastAsia="en-US"/>
        </w:rPr>
        <w:t>vy sa tak povinne zapá</w:t>
      </w:r>
      <w:r>
        <w:rPr>
          <w:rFonts w:ascii="Times New Roman" w:eastAsia="Calibri" w:hAnsi="Times New Roman" w:hint="default"/>
          <w:color w:val="000000"/>
          <w:sz w:val="22"/>
          <w:szCs w:val="22"/>
          <w:lang w:eastAsia="en-US"/>
        </w:rPr>
        <w:t>jajú</w:t>
      </w:r>
      <w:r>
        <w:rPr>
          <w:rFonts w:ascii="Times New Roman" w:eastAsia="Calibri" w:hAnsi="Times New Roman" w:hint="default"/>
          <w:color w:val="000000"/>
          <w:sz w:val="22"/>
          <w:szCs w:val="22"/>
          <w:lang w:eastAsia="en-US"/>
        </w:rPr>
        <w:t xml:space="preserve"> do centrá</w:t>
      </w:r>
      <w:r>
        <w:rPr>
          <w:rFonts w:ascii="Times New Roman" w:eastAsia="Calibri" w:hAnsi="Times New Roman" w:hint="default"/>
          <w:color w:val="000000"/>
          <w:sz w:val="22"/>
          <w:szCs w:val="22"/>
          <w:lang w:eastAsia="en-US"/>
        </w:rPr>
        <w:t>lneho systé</w:t>
      </w:r>
      <w:r>
        <w:rPr>
          <w:rFonts w:ascii="Times New Roman" w:eastAsia="Calibri" w:hAnsi="Times New Roman" w:hint="default"/>
          <w:color w:val="000000"/>
          <w:sz w:val="22"/>
          <w:szCs w:val="22"/>
          <w:lang w:eastAsia="en-US"/>
        </w:rPr>
        <w:t>mu vý</w:t>
      </w:r>
      <w:r>
        <w:rPr>
          <w:rFonts w:ascii="Times New Roman" w:eastAsia="Calibri" w:hAnsi="Times New Roman" w:hint="default"/>
          <w:color w:val="000000"/>
          <w:sz w:val="22"/>
          <w:szCs w:val="22"/>
          <w:lang w:eastAsia="en-US"/>
        </w:rPr>
        <w:t>beru, evidenci</w:t>
      </w:r>
      <w:r w:rsidR="00B551CB">
        <w:rPr>
          <w:rFonts w:ascii="Times New Roman" w:eastAsia="Calibri" w:hAnsi="Times New Roman"/>
          <w:color w:val="000000"/>
          <w:sz w:val="22"/>
          <w:szCs w:val="22"/>
          <w:lang w:eastAsia="en-US"/>
        </w:rPr>
        <w:t>e</w:t>
      </w:r>
      <w:r w:rsidR="000155FA">
        <w:rPr>
          <w:rFonts w:ascii="Times New Roman" w:eastAsia="Calibri" w:hAnsi="Times New Roman"/>
          <w:color w:val="000000"/>
          <w:sz w:val="22"/>
          <w:szCs w:val="22"/>
          <w:lang w:eastAsia="en-US"/>
        </w:rPr>
        <w:t>,</w:t>
      </w:r>
      <w:r>
        <w:rPr>
          <w:rFonts w:ascii="Times New Roman" w:eastAsia="Calibri" w:hAnsi="Times New Roman"/>
          <w:color w:val="000000"/>
          <w:sz w:val="22"/>
          <w:szCs w:val="22"/>
          <w:lang w:eastAsia="en-US"/>
        </w:rPr>
        <w:t> </w:t>
      </w:r>
      <w:r>
        <w:rPr>
          <w:rFonts w:ascii="Times New Roman" w:eastAsia="Calibri" w:hAnsi="Times New Roman" w:hint="default"/>
          <w:color w:val="000000"/>
          <w:sz w:val="22"/>
          <w:szCs w:val="22"/>
          <w:lang w:eastAsia="en-US"/>
        </w:rPr>
        <w:t>zúč</w:t>
      </w:r>
      <w:r>
        <w:rPr>
          <w:rFonts w:ascii="Times New Roman" w:eastAsia="Calibri" w:hAnsi="Times New Roman" w:hint="default"/>
          <w:color w:val="000000"/>
          <w:sz w:val="22"/>
          <w:szCs w:val="22"/>
          <w:lang w:eastAsia="en-US"/>
        </w:rPr>
        <w:t xml:space="preserve">tovania </w:t>
      </w:r>
      <w:r w:rsidR="000155FA">
        <w:rPr>
          <w:rFonts w:ascii="Times New Roman" w:eastAsia="Calibri" w:hAnsi="Times New Roman"/>
          <w:color w:val="000000"/>
          <w:sz w:val="22"/>
          <w:szCs w:val="22"/>
          <w:lang w:eastAsia="en-US"/>
        </w:rPr>
        <w:t>a </w:t>
      </w:r>
      <w:r w:rsidR="000155FA">
        <w:rPr>
          <w:rFonts w:ascii="Times New Roman" w:eastAsia="Calibri" w:hAnsi="Times New Roman" w:hint="default"/>
          <w:color w:val="000000"/>
          <w:sz w:val="22"/>
          <w:szCs w:val="22"/>
          <w:lang w:eastAsia="en-US"/>
        </w:rPr>
        <w:t>vrá</w:t>
      </w:r>
      <w:r w:rsidR="000155FA">
        <w:rPr>
          <w:rFonts w:ascii="Times New Roman" w:eastAsia="Calibri" w:hAnsi="Times New Roman" w:hint="default"/>
          <w:color w:val="000000"/>
          <w:sz w:val="22"/>
          <w:szCs w:val="22"/>
          <w:lang w:eastAsia="en-US"/>
        </w:rPr>
        <w:t xml:space="preserve">tenia </w:t>
      </w:r>
      <w:r>
        <w:rPr>
          <w:rFonts w:ascii="Times New Roman" w:eastAsia="Calibri" w:hAnsi="Times New Roman" w:hint="default"/>
          <w:color w:val="000000"/>
          <w:sz w:val="22"/>
          <w:szCs w:val="22"/>
          <w:lang w:eastAsia="en-US"/>
        </w:rPr>
        <w:t>sprá</w:t>
      </w:r>
      <w:r>
        <w:rPr>
          <w:rFonts w:ascii="Times New Roman" w:eastAsia="Calibri" w:hAnsi="Times New Roman" w:hint="default"/>
          <w:color w:val="000000"/>
          <w:sz w:val="22"/>
          <w:szCs w:val="22"/>
          <w:lang w:eastAsia="en-US"/>
        </w:rPr>
        <w:t>vnych a </w:t>
      </w:r>
      <w:r>
        <w:rPr>
          <w:rFonts w:ascii="Times New Roman" w:eastAsia="Calibri" w:hAnsi="Times New Roman" w:hint="default"/>
          <w:color w:val="000000"/>
          <w:sz w:val="22"/>
          <w:szCs w:val="22"/>
          <w:lang w:eastAsia="en-US"/>
        </w:rPr>
        <w:t>sú</w:t>
      </w:r>
      <w:r>
        <w:rPr>
          <w:rFonts w:ascii="Times New Roman" w:eastAsia="Calibri" w:hAnsi="Times New Roman" w:hint="default"/>
          <w:color w:val="000000"/>
          <w:sz w:val="22"/>
          <w:szCs w:val="22"/>
          <w:lang w:eastAsia="en-US"/>
        </w:rPr>
        <w:t>dnych poplatkov. T</w:t>
      </w:r>
      <w:r w:rsidRPr="00422D66" w:rsidR="00422D66">
        <w:rPr>
          <w:rFonts w:ascii="Times New Roman" w:eastAsia="Calibri" w:hAnsi="Times New Roman" w:hint="default"/>
          <w:color w:val="000000"/>
          <w:sz w:val="22"/>
          <w:szCs w:val="22"/>
          <w:lang w:eastAsia="en-US"/>
        </w:rPr>
        <w:t>rž</w:t>
      </w:r>
      <w:r w:rsidRPr="00422D66" w:rsidR="00422D66">
        <w:rPr>
          <w:rFonts w:ascii="Times New Roman" w:eastAsia="Calibri" w:hAnsi="Times New Roman" w:hint="default"/>
          <w:color w:val="000000"/>
          <w:sz w:val="22"/>
          <w:szCs w:val="22"/>
          <w:lang w:eastAsia="en-US"/>
        </w:rPr>
        <w:t>by z </w:t>
      </w:r>
      <w:r w:rsidRPr="00422D66" w:rsidR="00422D66">
        <w:rPr>
          <w:rFonts w:ascii="Times New Roman" w:eastAsia="Calibri" w:hAnsi="Times New Roman" w:hint="default"/>
          <w:color w:val="000000"/>
          <w:sz w:val="22"/>
          <w:szCs w:val="22"/>
          <w:lang w:eastAsia="en-US"/>
        </w:rPr>
        <w:t>predaja kolkový</w:t>
      </w:r>
      <w:r w:rsidRPr="00422D66" w:rsidR="00422D66">
        <w:rPr>
          <w:rFonts w:ascii="Times New Roman" w:eastAsia="Calibri" w:hAnsi="Times New Roman" w:hint="default"/>
          <w:color w:val="000000"/>
          <w:sz w:val="22"/>
          <w:szCs w:val="22"/>
          <w:lang w:eastAsia="en-US"/>
        </w:rPr>
        <w:t>ch zná</w:t>
      </w:r>
      <w:r w:rsidRPr="00422D66" w:rsidR="00422D66">
        <w:rPr>
          <w:rFonts w:ascii="Times New Roman" w:eastAsia="Calibri" w:hAnsi="Times New Roman" w:hint="default"/>
          <w:color w:val="000000"/>
          <w:sz w:val="22"/>
          <w:szCs w:val="22"/>
          <w:lang w:eastAsia="en-US"/>
        </w:rPr>
        <w:t xml:space="preserve">mok </w:t>
      </w:r>
      <w:r>
        <w:rPr>
          <w:rFonts w:ascii="Times New Roman" w:eastAsia="Calibri" w:hAnsi="Times New Roman" w:hint="default"/>
          <w:color w:val="000000"/>
          <w:sz w:val="22"/>
          <w:szCs w:val="22"/>
          <w:lang w:eastAsia="en-US"/>
        </w:rPr>
        <w:t>prostrední</w:t>
      </w:r>
      <w:r>
        <w:rPr>
          <w:rFonts w:ascii="Times New Roman" w:eastAsia="Calibri" w:hAnsi="Times New Roman" w:hint="default"/>
          <w:color w:val="000000"/>
          <w:sz w:val="22"/>
          <w:szCs w:val="22"/>
          <w:lang w:eastAsia="en-US"/>
        </w:rPr>
        <w:t>ctvom systé</w:t>
      </w:r>
      <w:r>
        <w:rPr>
          <w:rFonts w:ascii="Times New Roman" w:eastAsia="Calibri" w:hAnsi="Times New Roman" w:hint="default"/>
          <w:color w:val="000000"/>
          <w:sz w:val="22"/>
          <w:szCs w:val="22"/>
          <w:lang w:eastAsia="en-US"/>
        </w:rPr>
        <w:t xml:space="preserve">mu </w:t>
      </w:r>
      <w:r w:rsidR="00E77207">
        <w:rPr>
          <w:rFonts w:ascii="Times New Roman" w:eastAsia="Calibri" w:hAnsi="Times New Roman"/>
          <w:color w:val="000000"/>
          <w:sz w:val="22"/>
          <w:szCs w:val="22"/>
          <w:lang w:eastAsia="en-US"/>
        </w:rPr>
        <w:t>e</w:t>
      </w:r>
      <w:r>
        <w:rPr>
          <w:rFonts w:ascii="Times New Roman" w:eastAsia="Calibri" w:hAnsi="Times New Roman"/>
          <w:color w:val="000000"/>
          <w:sz w:val="22"/>
          <w:szCs w:val="22"/>
          <w:lang w:eastAsia="en-US"/>
        </w:rPr>
        <w:t>-</w:t>
      </w:r>
      <w:r w:rsidR="00E77207">
        <w:rPr>
          <w:rFonts w:ascii="Times New Roman" w:eastAsia="Calibri" w:hAnsi="Times New Roman"/>
          <w:color w:val="000000"/>
          <w:sz w:val="22"/>
          <w:szCs w:val="22"/>
          <w:lang w:eastAsia="en-US"/>
        </w:rPr>
        <w:t>kolok</w:t>
      </w:r>
      <w:r w:rsidRPr="00422D66">
        <w:rPr>
          <w:rFonts w:ascii="Times New Roman" w:eastAsia="Calibri" w:hAnsi="Times New Roman"/>
          <w:color w:val="000000"/>
          <w:sz w:val="22"/>
          <w:szCs w:val="22"/>
          <w:lang w:eastAsia="en-US"/>
        </w:rPr>
        <w:t xml:space="preserve"> </w:t>
      </w:r>
      <w:r>
        <w:rPr>
          <w:rFonts w:ascii="Times New Roman" w:eastAsia="Calibri" w:hAnsi="Times New Roman"/>
          <w:color w:val="000000"/>
          <w:sz w:val="22"/>
          <w:szCs w:val="22"/>
          <w:lang w:eastAsia="en-US"/>
        </w:rPr>
        <w:t xml:space="preserve">dosiahli </w:t>
      </w:r>
      <w:r w:rsidRPr="00422D66">
        <w:rPr>
          <w:rFonts w:ascii="Times New Roman" w:eastAsia="Calibri" w:hAnsi="Times New Roman"/>
          <w:color w:val="000000"/>
          <w:sz w:val="22"/>
          <w:szCs w:val="22"/>
          <w:lang w:eastAsia="en-US"/>
        </w:rPr>
        <w:t>v </w:t>
      </w:r>
      <w:r w:rsidRPr="00422D66">
        <w:rPr>
          <w:rFonts w:ascii="Times New Roman" w:eastAsia="Calibri" w:hAnsi="Times New Roman" w:hint="default"/>
          <w:color w:val="000000"/>
          <w:sz w:val="22"/>
          <w:szCs w:val="22"/>
          <w:lang w:eastAsia="en-US"/>
        </w:rPr>
        <w:t>kapitole Vš</w:t>
      </w:r>
      <w:r w:rsidRPr="00422D66">
        <w:rPr>
          <w:rFonts w:ascii="Times New Roman" w:eastAsia="Calibri" w:hAnsi="Times New Roman" w:hint="default"/>
          <w:color w:val="000000"/>
          <w:sz w:val="22"/>
          <w:szCs w:val="22"/>
          <w:lang w:eastAsia="en-US"/>
        </w:rPr>
        <w:t>eobecná</w:t>
      </w:r>
      <w:r w:rsidRPr="00422D66">
        <w:rPr>
          <w:rFonts w:ascii="Times New Roman" w:eastAsia="Calibri" w:hAnsi="Times New Roman" w:hint="default"/>
          <w:color w:val="000000"/>
          <w:sz w:val="22"/>
          <w:szCs w:val="22"/>
          <w:lang w:eastAsia="en-US"/>
        </w:rPr>
        <w:t xml:space="preserve"> pokladnič</w:t>
      </w:r>
      <w:r w:rsidRPr="00422D66">
        <w:rPr>
          <w:rFonts w:ascii="Times New Roman" w:eastAsia="Calibri" w:hAnsi="Times New Roman" w:hint="default"/>
          <w:color w:val="000000"/>
          <w:sz w:val="22"/>
          <w:szCs w:val="22"/>
          <w:lang w:eastAsia="en-US"/>
        </w:rPr>
        <w:t>ná</w:t>
      </w:r>
      <w:r w:rsidRPr="00422D66">
        <w:rPr>
          <w:rFonts w:ascii="Times New Roman" w:eastAsia="Calibri" w:hAnsi="Times New Roman" w:hint="default"/>
          <w:color w:val="000000"/>
          <w:sz w:val="22"/>
          <w:szCs w:val="22"/>
          <w:lang w:eastAsia="en-US"/>
        </w:rPr>
        <w:t xml:space="preserve"> sprá</w:t>
      </w:r>
      <w:r w:rsidRPr="00422D66">
        <w:rPr>
          <w:rFonts w:ascii="Times New Roman" w:eastAsia="Calibri" w:hAnsi="Times New Roman" w:hint="default"/>
          <w:color w:val="000000"/>
          <w:sz w:val="22"/>
          <w:szCs w:val="22"/>
          <w:lang w:eastAsia="en-US"/>
        </w:rPr>
        <w:t xml:space="preserve">va </w:t>
      </w:r>
      <w:r>
        <w:rPr>
          <w:rFonts w:ascii="Times New Roman" w:eastAsia="Calibri" w:hAnsi="Times New Roman"/>
          <w:color w:val="000000"/>
          <w:sz w:val="22"/>
          <w:szCs w:val="22"/>
          <w:lang w:eastAsia="en-US"/>
        </w:rPr>
        <w:t xml:space="preserve">sumu </w:t>
      </w:r>
      <w:r w:rsidRPr="00422D66" w:rsidR="00422D66">
        <w:rPr>
          <w:rFonts w:ascii="Times New Roman" w:eastAsia="Calibri" w:hAnsi="Times New Roman"/>
          <w:color w:val="000000"/>
          <w:sz w:val="22"/>
          <w:szCs w:val="22"/>
          <w:lang w:eastAsia="en-US"/>
        </w:rPr>
        <w:t>161 007 tis. eur</w:t>
      </w:r>
      <w:r w:rsidR="000155FA">
        <w:rPr>
          <w:rFonts w:ascii="Times New Roman" w:eastAsia="Calibri" w:hAnsi="Times New Roman" w:hint="default"/>
          <w:color w:val="000000"/>
          <w:sz w:val="22"/>
          <w:szCs w:val="22"/>
          <w:lang w:eastAsia="en-US"/>
        </w:rPr>
        <w:t>, prič</w:t>
      </w:r>
      <w:r w:rsidR="000155FA">
        <w:rPr>
          <w:rFonts w:ascii="Times New Roman" w:eastAsia="Calibri" w:hAnsi="Times New Roman" w:hint="default"/>
          <w:color w:val="000000"/>
          <w:sz w:val="22"/>
          <w:szCs w:val="22"/>
          <w:lang w:eastAsia="en-US"/>
        </w:rPr>
        <w:t>om v </w:t>
      </w:r>
      <w:r w:rsidR="000155FA">
        <w:rPr>
          <w:rFonts w:ascii="Times New Roman" w:eastAsia="Calibri" w:hAnsi="Times New Roman" w:hint="default"/>
          <w:color w:val="000000"/>
          <w:sz w:val="22"/>
          <w:szCs w:val="22"/>
          <w:lang w:eastAsia="en-US"/>
        </w:rPr>
        <w:t>schvá</w:t>
      </w:r>
      <w:r w:rsidR="000155FA">
        <w:rPr>
          <w:rFonts w:ascii="Times New Roman" w:eastAsia="Calibri" w:hAnsi="Times New Roman" w:hint="default"/>
          <w:color w:val="000000"/>
          <w:sz w:val="22"/>
          <w:szCs w:val="22"/>
          <w:lang w:eastAsia="en-US"/>
        </w:rPr>
        <w:t>lenom rozpoč</w:t>
      </w:r>
      <w:r w:rsidR="000155FA">
        <w:rPr>
          <w:rFonts w:ascii="Times New Roman" w:eastAsia="Calibri" w:hAnsi="Times New Roman" w:hint="default"/>
          <w:color w:val="000000"/>
          <w:sz w:val="22"/>
          <w:szCs w:val="22"/>
          <w:lang w:eastAsia="en-US"/>
        </w:rPr>
        <w:t>te boli</w:t>
      </w:r>
      <w:r>
        <w:rPr>
          <w:rFonts w:ascii="Times New Roman" w:eastAsia="Calibri" w:hAnsi="Times New Roman"/>
          <w:color w:val="000000"/>
          <w:sz w:val="22"/>
          <w:szCs w:val="22"/>
          <w:lang w:eastAsia="en-US"/>
        </w:rPr>
        <w:t xml:space="preserve"> </w:t>
      </w:r>
      <w:r w:rsidRPr="00422D66">
        <w:rPr>
          <w:rFonts w:ascii="Times New Roman" w:eastAsia="Calibri" w:hAnsi="Times New Roman" w:hint="default"/>
          <w:color w:val="000000"/>
          <w:sz w:val="22"/>
          <w:szCs w:val="22"/>
          <w:lang w:eastAsia="en-US"/>
        </w:rPr>
        <w:t>rozpoč</w:t>
      </w:r>
      <w:r w:rsidRPr="00422D66">
        <w:rPr>
          <w:rFonts w:ascii="Times New Roman" w:eastAsia="Calibri" w:hAnsi="Times New Roman" w:hint="default"/>
          <w:color w:val="000000"/>
          <w:sz w:val="22"/>
          <w:szCs w:val="22"/>
          <w:lang w:eastAsia="en-US"/>
        </w:rPr>
        <w:t>t</w:t>
      </w:r>
      <w:r>
        <w:rPr>
          <w:rFonts w:ascii="Times New Roman" w:eastAsia="Calibri" w:hAnsi="Times New Roman" w:hint="default"/>
          <w:color w:val="000000"/>
          <w:sz w:val="22"/>
          <w:szCs w:val="22"/>
          <w:lang w:eastAsia="en-US"/>
        </w:rPr>
        <w:t>ované</w:t>
      </w:r>
      <w:r>
        <w:rPr>
          <w:rFonts w:ascii="Times New Roman" w:eastAsia="Calibri" w:hAnsi="Times New Roman" w:hint="default"/>
          <w:color w:val="000000"/>
          <w:sz w:val="22"/>
          <w:szCs w:val="22"/>
          <w:lang w:eastAsia="en-US"/>
        </w:rPr>
        <w:t xml:space="preserve"> </w:t>
      </w:r>
      <w:r w:rsidR="000155FA">
        <w:rPr>
          <w:rFonts w:ascii="Times New Roman" w:eastAsia="Calibri" w:hAnsi="Times New Roman"/>
          <w:color w:val="000000"/>
          <w:sz w:val="22"/>
          <w:szCs w:val="22"/>
          <w:lang w:eastAsia="en-US"/>
        </w:rPr>
        <w:t>v </w:t>
      </w:r>
      <w:r w:rsidR="000155FA">
        <w:rPr>
          <w:rFonts w:ascii="Times New Roman" w:eastAsia="Calibri" w:hAnsi="Times New Roman" w:hint="default"/>
          <w:color w:val="000000"/>
          <w:sz w:val="22"/>
          <w:szCs w:val="22"/>
          <w:lang w:eastAsia="en-US"/>
        </w:rPr>
        <w:t>polož</w:t>
      </w:r>
      <w:r w:rsidR="000155FA">
        <w:rPr>
          <w:rFonts w:ascii="Times New Roman" w:eastAsia="Calibri" w:hAnsi="Times New Roman" w:hint="default"/>
          <w:color w:val="000000"/>
          <w:sz w:val="22"/>
          <w:szCs w:val="22"/>
          <w:lang w:eastAsia="en-US"/>
        </w:rPr>
        <w:t xml:space="preserve">ke </w:t>
      </w:r>
      <w:r>
        <w:rPr>
          <w:rFonts w:ascii="Times New Roman" w:eastAsia="Calibri" w:hAnsi="Times New Roman" w:hint="default"/>
          <w:color w:val="000000"/>
          <w:sz w:val="22"/>
          <w:szCs w:val="22"/>
          <w:lang w:eastAsia="en-US"/>
        </w:rPr>
        <w:t>ostatný</w:t>
      </w:r>
      <w:r>
        <w:rPr>
          <w:rFonts w:ascii="Times New Roman" w:eastAsia="Calibri" w:hAnsi="Times New Roman" w:hint="default"/>
          <w:color w:val="000000"/>
          <w:sz w:val="22"/>
          <w:szCs w:val="22"/>
          <w:lang w:eastAsia="en-US"/>
        </w:rPr>
        <w:t>ch poplatkoch v </w:t>
      </w:r>
      <w:r>
        <w:rPr>
          <w:rFonts w:ascii="Times New Roman" w:eastAsia="Calibri" w:hAnsi="Times New Roman" w:hint="default"/>
          <w:color w:val="000000"/>
          <w:sz w:val="22"/>
          <w:szCs w:val="22"/>
          <w:lang w:eastAsia="en-US"/>
        </w:rPr>
        <w:t>č</w:t>
      </w:r>
      <w:r>
        <w:rPr>
          <w:rFonts w:ascii="Times New Roman" w:eastAsia="Calibri" w:hAnsi="Times New Roman" w:hint="default"/>
          <w:color w:val="000000"/>
          <w:sz w:val="22"/>
          <w:szCs w:val="22"/>
          <w:lang w:eastAsia="en-US"/>
        </w:rPr>
        <w:t>iastke 162 000 tis. eur.</w:t>
      </w:r>
      <w:r w:rsidRPr="00422D66" w:rsidR="00422D66">
        <w:rPr>
          <w:rFonts w:ascii="Times New Roman" w:eastAsia="Calibri" w:hAnsi="Times New Roman"/>
          <w:color w:val="000000"/>
          <w:sz w:val="22"/>
          <w:szCs w:val="22"/>
          <w:lang w:eastAsia="en-US"/>
        </w:rPr>
        <w:t xml:space="preserve"> </w:t>
      </w:r>
      <w:r w:rsidR="000155FA">
        <w:rPr>
          <w:rFonts w:ascii="Times New Roman" w:eastAsia="Calibri" w:hAnsi="Times New Roman"/>
          <w:color w:val="000000"/>
          <w:sz w:val="22"/>
          <w:szCs w:val="22"/>
          <w:lang w:eastAsia="en-US"/>
        </w:rPr>
        <w:t>O</w:t>
      </w:r>
      <w:r>
        <w:rPr>
          <w:rFonts w:ascii="Times New Roman" w:eastAsia="Calibri" w:hAnsi="Times New Roman" w:hint="default"/>
          <w:color w:val="000000"/>
          <w:sz w:val="22"/>
          <w:szCs w:val="22"/>
          <w:lang w:eastAsia="en-US"/>
        </w:rPr>
        <w:t>statné</w:t>
      </w:r>
      <w:r>
        <w:rPr>
          <w:rFonts w:ascii="Times New Roman" w:eastAsia="Calibri" w:hAnsi="Times New Roman" w:hint="default"/>
          <w:color w:val="000000"/>
          <w:sz w:val="22"/>
          <w:szCs w:val="22"/>
          <w:lang w:eastAsia="en-US"/>
        </w:rPr>
        <w:t xml:space="preserve"> poplatky tak dosiahli v kapitole VPS sumu 21 509 tis. eur a pr</w:t>
      </w:r>
      <w:r>
        <w:rPr>
          <w:rFonts w:ascii="Times New Roman" w:eastAsia="Calibri" w:hAnsi="Times New Roman" w:hint="default"/>
          <w:color w:val="000000"/>
          <w:sz w:val="22"/>
          <w:szCs w:val="22"/>
          <w:lang w:eastAsia="en-US"/>
        </w:rPr>
        <w:t>edstavujú</w:t>
      </w:r>
      <w:r>
        <w:rPr>
          <w:rFonts w:ascii="Times New Roman" w:eastAsia="Calibri" w:hAnsi="Times New Roman" w:hint="default"/>
          <w:color w:val="000000"/>
          <w:sz w:val="22"/>
          <w:szCs w:val="22"/>
          <w:lang w:eastAsia="en-US"/>
        </w:rPr>
        <w:t xml:space="preserve"> objem sú</w:t>
      </w:r>
      <w:r>
        <w:rPr>
          <w:rFonts w:ascii="Times New Roman" w:eastAsia="Calibri" w:hAnsi="Times New Roman" w:hint="default"/>
          <w:color w:val="000000"/>
          <w:sz w:val="22"/>
          <w:szCs w:val="22"/>
          <w:lang w:eastAsia="en-US"/>
        </w:rPr>
        <w:t>dnych a </w:t>
      </w:r>
      <w:r>
        <w:rPr>
          <w:rFonts w:ascii="Times New Roman" w:eastAsia="Calibri" w:hAnsi="Times New Roman" w:hint="default"/>
          <w:color w:val="000000"/>
          <w:sz w:val="22"/>
          <w:szCs w:val="22"/>
          <w:lang w:eastAsia="en-US"/>
        </w:rPr>
        <w:t>sprá</w:t>
      </w:r>
      <w:r>
        <w:rPr>
          <w:rFonts w:ascii="Times New Roman" w:eastAsia="Calibri" w:hAnsi="Times New Roman" w:hint="default"/>
          <w:color w:val="000000"/>
          <w:sz w:val="22"/>
          <w:szCs w:val="22"/>
          <w:lang w:eastAsia="en-US"/>
        </w:rPr>
        <w:t>vnych poplatkov od orgá</w:t>
      </w:r>
      <w:r>
        <w:rPr>
          <w:rFonts w:ascii="Times New Roman" w:eastAsia="Calibri" w:hAnsi="Times New Roman" w:hint="default"/>
          <w:color w:val="000000"/>
          <w:sz w:val="22"/>
          <w:szCs w:val="22"/>
          <w:lang w:eastAsia="en-US"/>
        </w:rPr>
        <w:t xml:space="preserve">nov </w:t>
      </w:r>
      <w:r w:rsidR="000155FA">
        <w:rPr>
          <w:rFonts w:ascii="Times New Roman" w:eastAsia="Calibri" w:hAnsi="Times New Roman" w:hint="default"/>
          <w:color w:val="000000"/>
          <w:sz w:val="22"/>
          <w:szCs w:val="22"/>
          <w:lang w:eastAsia="en-US"/>
        </w:rPr>
        <w:t>zatiaľ</w:t>
      </w:r>
      <w:r w:rsidR="000155FA">
        <w:rPr>
          <w:rFonts w:ascii="Times New Roman" w:eastAsia="Calibri" w:hAnsi="Times New Roman" w:hint="default"/>
          <w:color w:val="000000"/>
          <w:sz w:val="22"/>
          <w:szCs w:val="22"/>
          <w:lang w:eastAsia="en-US"/>
        </w:rPr>
        <w:t xml:space="preserve"> </w:t>
      </w:r>
      <w:r>
        <w:rPr>
          <w:rFonts w:ascii="Times New Roman" w:eastAsia="Calibri" w:hAnsi="Times New Roman" w:hint="default"/>
          <w:color w:val="000000"/>
          <w:sz w:val="22"/>
          <w:szCs w:val="22"/>
          <w:lang w:eastAsia="en-US"/>
        </w:rPr>
        <w:t>nezapojený</w:t>
      </w:r>
      <w:r>
        <w:rPr>
          <w:rFonts w:ascii="Times New Roman" w:eastAsia="Calibri" w:hAnsi="Times New Roman" w:hint="default"/>
          <w:color w:val="000000"/>
          <w:sz w:val="22"/>
          <w:szCs w:val="22"/>
          <w:lang w:eastAsia="en-US"/>
        </w:rPr>
        <w:t>ch do centrá</w:t>
      </w:r>
      <w:r>
        <w:rPr>
          <w:rFonts w:ascii="Times New Roman" w:eastAsia="Calibri" w:hAnsi="Times New Roman" w:hint="default"/>
          <w:color w:val="000000"/>
          <w:sz w:val="22"/>
          <w:szCs w:val="22"/>
          <w:lang w:eastAsia="en-US"/>
        </w:rPr>
        <w:t>lneho platobné</w:t>
      </w:r>
      <w:r>
        <w:rPr>
          <w:rFonts w:ascii="Times New Roman" w:eastAsia="Calibri" w:hAnsi="Times New Roman" w:hint="default"/>
          <w:color w:val="000000"/>
          <w:sz w:val="22"/>
          <w:szCs w:val="22"/>
          <w:lang w:eastAsia="en-US"/>
        </w:rPr>
        <w:t>ho systé</w:t>
      </w:r>
      <w:r>
        <w:rPr>
          <w:rFonts w:ascii="Times New Roman" w:eastAsia="Calibri" w:hAnsi="Times New Roman" w:hint="default"/>
          <w:color w:val="000000"/>
          <w:sz w:val="22"/>
          <w:szCs w:val="22"/>
          <w:lang w:eastAsia="en-US"/>
        </w:rPr>
        <w:t>mu.</w:t>
      </w:r>
    </w:p>
    <w:p w:rsidR="004E1120" w:rsidP="00872D04">
      <w:pPr>
        <w:tabs>
          <w:tab w:val="left" w:pos="284"/>
        </w:tabs>
        <w:suppressAutoHyphens/>
        <w:bidi w:val="0"/>
        <w:spacing w:after="120" w:line="336" w:lineRule="auto"/>
        <w:jc w:val="both"/>
        <w:rPr>
          <w:rFonts w:ascii="Times New Roman" w:eastAsia="Calibri" w:hAnsi="Times New Roman"/>
          <w:color w:val="000000"/>
          <w:sz w:val="22"/>
          <w:szCs w:val="22"/>
          <w:lang w:eastAsia="en-US"/>
        </w:rPr>
      </w:pPr>
      <w:r w:rsidR="000155FA">
        <w:rPr>
          <w:rFonts w:ascii="Times New Roman" w:eastAsia="Calibri" w:hAnsi="Times New Roman" w:hint="default"/>
          <w:color w:val="000000"/>
          <w:sz w:val="22"/>
          <w:szCs w:val="22"/>
          <w:lang w:eastAsia="en-US"/>
        </w:rPr>
        <w:t>Ď</w:t>
      </w:r>
      <w:r w:rsidR="000155FA">
        <w:rPr>
          <w:rFonts w:ascii="Times New Roman" w:eastAsia="Calibri" w:hAnsi="Times New Roman" w:hint="default"/>
          <w:color w:val="000000"/>
          <w:sz w:val="22"/>
          <w:szCs w:val="22"/>
          <w:lang w:eastAsia="en-US"/>
        </w:rPr>
        <w:t>alš</w:t>
      </w:r>
      <w:r w:rsidR="000155FA">
        <w:rPr>
          <w:rFonts w:ascii="Times New Roman" w:eastAsia="Calibri" w:hAnsi="Times New Roman" w:hint="default"/>
          <w:color w:val="000000"/>
          <w:sz w:val="22"/>
          <w:szCs w:val="22"/>
          <w:lang w:eastAsia="en-US"/>
        </w:rPr>
        <w:t>ie prí</w:t>
      </w:r>
      <w:r w:rsidR="000155FA">
        <w:rPr>
          <w:rFonts w:ascii="Times New Roman" w:eastAsia="Calibri" w:hAnsi="Times New Roman" w:hint="default"/>
          <w:color w:val="000000"/>
          <w:sz w:val="22"/>
          <w:szCs w:val="22"/>
          <w:lang w:eastAsia="en-US"/>
        </w:rPr>
        <w:t>jmy v </w:t>
      </w:r>
      <w:r w:rsidR="000155FA">
        <w:rPr>
          <w:rFonts w:ascii="Times New Roman" w:eastAsia="Calibri" w:hAnsi="Times New Roman" w:hint="default"/>
          <w:color w:val="000000"/>
          <w:sz w:val="22"/>
          <w:szCs w:val="22"/>
          <w:lang w:eastAsia="en-US"/>
        </w:rPr>
        <w:t>rá</w:t>
      </w:r>
      <w:r w:rsidR="000155FA">
        <w:rPr>
          <w:rFonts w:ascii="Times New Roman" w:eastAsia="Calibri" w:hAnsi="Times New Roman" w:hint="default"/>
          <w:color w:val="000000"/>
          <w:sz w:val="22"/>
          <w:szCs w:val="22"/>
          <w:lang w:eastAsia="en-US"/>
        </w:rPr>
        <w:t>mci administratí</w:t>
      </w:r>
      <w:r w:rsidR="000155FA">
        <w:rPr>
          <w:rFonts w:ascii="Times New Roman" w:eastAsia="Calibri" w:hAnsi="Times New Roman" w:hint="default"/>
          <w:color w:val="000000"/>
          <w:sz w:val="22"/>
          <w:szCs w:val="22"/>
          <w:lang w:eastAsia="en-US"/>
        </w:rPr>
        <w:t>vnych poplatkov a </w:t>
      </w:r>
      <w:r w:rsidR="000155FA">
        <w:rPr>
          <w:rFonts w:ascii="Times New Roman" w:eastAsia="Calibri" w:hAnsi="Times New Roman" w:hint="default"/>
          <w:color w:val="000000"/>
          <w:sz w:val="22"/>
          <w:szCs w:val="22"/>
          <w:lang w:eastAsia="en-US"/>
        </w:rPr>
        <w:t>platieb tvoria licencie v zmysle zá</w:t>
      </w:r>
      <w:r w:rsidR="000155FA">
        <w:rPr>
          <w:rFonts w:ascii="Times New Roman" w:eastAsia="Calibri" w:hAnsi="Times New Roman" w:hint="default"/>
          <w:color w:val="000000"/>
          <w:sz w:val="22"/>
          <w:szCs w:val="22"/>
          <w:lang w:eastAsia="en-US"/>
        </w:rPr>
        <w:t>kona č. </w:t>
      </w:r>
      <w:r>
        <w:rPr>
          <w:rFonts w:ascii="Times New Roman" w:eastAsia="Calibri" w:hAnsi="Times New Roman"/>
          <w:color w:val="000000"/>
          <w:sz w:val="22"/>
          <w:szCs w:val="22"/>
          <w:lang w:eastAsia="en-US"/>
        </w:rPr>
        <w:t>171/2005 Z. z. o </w:t>
      </w:r>
      <w:r>
        <w:rPr>
          <w:rFonts w:ascii="Times New Roman" w:eastAsia="Calibri" w:hAnsi="Times New Roman" w:hint="default"/>
          <w:color w:val="000000"/>
          <w:sz w:val="22"/>
          <w:szCs w:val="22"/>
          <w:lang w:eastAsia="en-US"/>
        </w:rPr>
        <w:t>hazardný</w:t>
      </w:r>
      <w:r>
        <w:rPr>
          <w:rFonts w:ascii="Times New Roman" w:eastAsia="Calibri" w:hAnsi="Times New Roman" w:hint="default"/>
          <w:color w:val="000000"/>
          <w:sz w:val="22"/>
          <w:szCs w:val="22"/>
          <w:lang w:eastAsia="en-US"/>
        </w:rPr>
        <w:t>ch hrá</w:t>
      </w:r>
      <w:r>
        <w:rPr>
          <w:rFonts w:ascii="Times New Roman" w:eastAsia="Calibri" w:hAnsi="Times New Roman" w:hint="default"/>
          <w:color w:val="000000"/>
          <w:sz w:val="22"/>
          <w:szCs w:val="22"/>
          <w:lang w:eastAsia="en-US"/>
        </w:rPr>
        <w:t>ch a o zmene a dop</w:t>
      </w:r>
      <w:r>
        <w:rPr>
          <w:rFonts w:ascii="Times New Roman" w:eastAsia="Calibri" w:hAnsi="Times New Roman" w:hint="default"/>
          <w:color w:val="000000"/>
          <w:sz w:val="22"/>
          <w:szCs w:val="22"/>
          <w:lang w:eastAsia="en-US"/>
        </w:rPr>
        <w:t>lnení</w:t>
      </w:r>
      <w:r>
        <w:rPr>
          <w:rFonts w:ascii="Times New Roman" w:eastAsia="Calibri" w:hAnsi="Times New Roman" w:hint="default"/>
          <w:color w:val="000000"/>
          <w:sz w:val="22"/>
          <w:szCs w:val="22"/>
          <w:lang w:eastAsia="en-US"/>
        </w:rPr>
        <w:t xml:space="preserve"> niektorý</w:t>
      </w:r>
      <w:r>
        <w:rPr>
          <w:rFonts w:ascii="Times New Roman" w:eastAsia="Calibri" w:hAnsi="Times New Roman" w:hint="default"/>
          <w:color w:val="000000"/>
          <w:sz w:val="22"/>
          <w:szCs w:val="22"/>
          <w:lang w:eastAsia="en-US"/>
        </w:rPr>
        <w:t>ch zá</w:t>
      </w:r>
      <w:r>
        <w:rPr>
          <w:rFonts w:ascii="Times New Roman" w:eastAsia="Calibri" w:hAnsi="Times New Roman" w:hint="default"/>
          <w:color w:val="000000"/>
          <w:sz w:val="22"/>
          <w:szCs w:val="22"/>
          <w:lang w:eastAsia="en-US"/>
        </w:rPr>
        <w:t>konov</w:t>
      </w:r>
      <w:r w:rsidR="000155FA">
        <w:rPr>
          <w:rFonts w:ascii="Times New Roman" w:eastAsia="Calibri" w:hAnsi="Times New Roman" w:hint="default"/>
          <w:color w:val="000000"/>
          <w:sz w:val="22"/>
          <w:szCs w:val="22"/>
          <w:lang w:eastAsia="en-US"/>
        </w:rPr>
        <w:t>. Ich skutoč</w:t>
      </w:r>
      <w:r w:rsidR="000155FA">
        <w:rPr>
          <w:rFonts w:ascii="Times New Roman" w:eastAsia="Calibri" w:hAnsi="Times New Roman" w:hint="default"/>
          <w:color w:val="000000"/>
          <w:sz w:val="22"/>
          <w:szCs w:val="22"/>
          <w:lang w:eastAsia="en-US"/>
        </w:rPr>
        <w:t>né</w:t>
      </w:r>
      <w:r w:rsidR="000155FA">
        <w:rPr>
          <w:rFonts w:ascii="Times New Roman" w:eastAsia="Calibri" w:hAnsi="Times New Roman" w:hint="default"/>
          <w:color w:val="000000"/>
          <w:sz w:val="22"/>
          <w:szCs w:val="22"/>
          <w:lang w:eastAsia="en-US"/>
        </w:rPr>
        <w:t xml:space="preserve"> plnenie v roku 2015</w:t>
      </w:r>
      <w:r>
        <w:rPr>
          <w:rFonts w:ascii="Times New Roman" w:eastAsia="Calibri" w:hAnsi="Times New Roman"/>
          <w:color w:val="000000"/>
          <w:sz w:val="22"/>
          <w:szCs w:val="22"/>
          <w:lang w:eastAsia="en-US"/>
        </w:rPr>
        <w:t xml:space="preserve"> </w:t>
      </w:r>
      <w:r w:rsidR="000155FA">
        <w:rPr>
          <w:rFonts w:ascii="Times New Roman" w:eastAsia="Calibri" w:hAnsi="Times New Roman"/>
          <w:color w:val="000000"/>
          <w:sz w:val="22"/>
          <w:szCs w:val="22"/>
          <w:lang w:eastAsia="en-US"/>
        </w:rPr>
        <w:t>dosiahlo 197 tis. eur.</w:t>
      </w:r>
    </w:p>
    <w:p w:rsidR="004E1120" w:rsidRPr="004E1120" w:rsidP="00872D04">
      <w:pPr>
        <w:tabs>
          <w:tab w:val="left" w:pos="284"/>
        </w:tabs>
        <w:suppressAutoHyphens/>
        <w:bidi w:val="0"/>
        <w:spacing w:after="120" w:line="336" w:lineRule="auto"/>
        <w:jc w:val="both"/>
        <w:rPr>
          <w:rFonts w:ascii="Times New Roman" w:eastAsia="Calibri" w:hAnsi="Times New Roman"/>
          <w:color w:val="000000"/>
          <w:sz w:val="22"/>
          <w:szCs w:val="22"/>
          <w:lang w:eastAsia="en-US"/>
        </w:rPr>
      </w:pPr>
      <w:r>
        <w:rPr>
          <w:rFonts w:ascii="Times New Roman" w:eastAsia="Calibri" w:hAnsi="Times New Roman" w:hint="default"/>
          <w:color w:val="000000"/>
          <w:sz w:val="22"/>
          <w:szCs w:val="22"/>
          <w:lang w:eastAsia="en-US"/>
        </w:rPr>
        <w:t>Okrem administratí</w:t>
      </w:r>
      <w:r>
        <w:rPr>
          <w:rFonts w:ascii="Times New Roman" w:eastAsia="Calibri" w:hAnsi="Times New Roman" w:hint="default"/>
          <w:color w:val="000000"/>
          <w:sz w:val="22"/>
          <w:szCs w:val="22"/>
          <w:lang w:eastAsia="en-US"/>
        </w:rPr>
        <w:t>vnych poplatkov patria do tejto kategó</w:t>
      </w:r>
      <w:r>
        <w:rPr>
          <w:rFonts w:ascii="Times New Roman" w:eastAsia="Calibri" w:hAnsi="Times New Roman" w:hint="default"/>
          <w:color w:val="000000"/>
          <w:sz w:val="22"/>
          <w:szCs w:val="22"/>
          <w:lang w:eastAsia="en-US"/>
        </w:rPr>
        <w:t>rie prí</w:t>
      </w:r>
      <w:r>
        <w:rPr>
          <w:rFonts w:ascii="Times New Roman" w:eastAsia="Calibri" w:hAnsi="Times New Roman" w:hint="default"/>
          <w:color w:val="000000"/>
          <w:sz w:val="22"/>
          <w:szCs w:val="22"/>
          <w:lang w:eastAsia="en-US"/>
        </w:rPr>
        <w:t xml:space="preserve">jmov aj </w:t>
      </w:r>
      <w:r w:rsidRPr="004E1120">
        <w:rPr>
          <w:rFonts w:ascii="Times New Roman" w:eastAsia="Calibri" w:hAnsi="Times New Roman" w:hint="default"/>
          <w:b/>
          <w:i/>
          <w:color w:val="000000"/>
          <w:sz w:val="22"/>
          <w:szCs w:val="22"/>
          <w:lang w:eastAsia="en-US"/>
        </w:rPr>
        <w:t>pokuty, pená</w:t>
      </w:r>
      <w:r w:rsidRPr="004E1120">
        <w:rPr>
          <w:rFonts w:ascii="Times New Roman" w:eastAsia="Calibri" w:hAnsi="Times New Roman" w:hint="default"/>
          <w:b/>
          <w:i/>
          <w:color w:val="000000"/>
          <w:sz w:val="22"/>
          <w:szCs w:val="22"/>
          <w:lang w:eastAsia="en-US"/>
        </w:rPr>
        <w:t>le a </w:t>
      </w:r>
      <w:r w:rsidRPr="004E1120">
        <w:rPr>
          <w:rFonts w:ascii="Times New Roman" w:eastAsia="Calibri" w:hAnsi="Times New Roman" w:hint="default"/>
          <w:b/>
          <w:i/>
          <w:color w:val="000000"/>
          <w:sz w:val="22"/>
          <w:szCs w:val="22"/>
          <w:lang w:eastAsia="en-US"/>
        </w:rPr>
        <w:t>iné</w:t>
      </w:r>
      <w:r w:rsidRPr="004E1120">
        <w:rPr>
          <w:rFonts w:ascii="Times New Roman" w:eastAsia="Calibri" w:hAnsi="Times New Roman" w:hint="default"/>
          <w:b/>
          <w:i/>
          <w:color w:val="000000"/>
          <w:sz w:val="22"/>
          <w:szCs w:val="22"/>
          <w:lang w:eastAsia="en-US"/>
        </w:rPr>
        <w:t xml:space="preserve"> sankcie</w:t>
      </w:r>
      <w:r>
        <w:rPr>
          <w:rFonts w:ascii="Times New Roman" w:eastAsia="Calibri" w:hAnsi="Times New Roman"/>
          <w:b/>
          <w:i/>
          <w:color w:val="000000"/>
          <w:sz w:val="22"/>
          <w:szCs w:val="22"/>
          <w:lang w:eastAsia="en-US"/>
        </w:rPr>
        <w:t xml:space="preserve">. </w:t>
      </w:r>
      <w:r>
        <w:rPr>
          <w:rFonts w:ascii="Times New Roman" w:eastAsia="Calibri" w:hAnsi="Times New Roman"/>
          <w:color w:val="000000"/>
          <w:sz w:val="22"/>
          <w:szCs w:val="22"/>
          <w:lang w:eastAsia="en-US"/>
        </w:rPr>
        <w:t>Tieto dosiahli k 31. 12. 2015 sumu 53 944 tis eur a </w:t>
      </w:r>
      <w:r>
        <w:rPr>
          <w:rFonts w:ascii="Times New Roman" w:eastAsia="Calibri" w:hAnsi="Times New Roman" w:hint="default"/>
          <w:color w:val="000000"/>
          <w:sz w:val="22"/>
          <w:szCs w:val="22"/>
          <w:lang w:eastAsia="en-US"/>
        </w:rPr>
        <w:t>boli vyinkasované</w:t>
      </w:r>
      <w:r>
        <w:rPr>
          <w:rFonts w:ascii="Times New Roman" w:eastAsia="Calibri" w:hAnsi="Times New Roman" w:hint="default"/>
          <w:color w:val="000000"/>
          <w:sz w:val="22"/>
          <w:szCs w:val="22"/>
          <w:lang w:eastAsia="en-US"/>
        </w:rPr>
        <w:t xml:space="preserve"> za </w:t>
      </w:r>
      <w:r>
        <w:rPr>
          <w:rFonts w:ascii="Times New Roman" w:eastAsia="Calibri" w:hAnsi="Times New Roman" w:hint="default"/>
          <w:color w:val="000000"/>
          <w:sz w:val="22"/>
          <w:szCs w:val="22"/>
          <w:lang w:eastAsia="en-US"/>
        </w:rPr>
        <w:t>poruš</w:t>
      </w:r>
      <w:r>
        <w:rPr>
          <w:rFonts w:ascii="Times New Roman" w:eastAsia="Calibri" w:hAnsi="Times New Roman" w:hint="default"/>
          <w:color w:val="000000"/>
          <w:sz w:val="22"/>
          <w:szCs w:val="22"/>
          <w:lang w:eastAsia="en-US"/>
        </w:rPr>
        <w:t>enie predpisov. Najväčší</w:t>
      </w:r>
      <w:r>
        <w:rPr>
          <w:rFonts w:ascii="Times New Roman" w:eastAsia="Calibri" w:hAnsi="Times New Roman" w:hint="default"/>
          <w:color w:val="000000"/>
          <w:sz w:val="22"/>
          <w:szCs w:val="22"/>
          <w:lang w:eastAsia="en-US"/>
        </w:rPr>
        <w:t xml:space="preserve"> </w:t>
      </w:r>
      <w:r w:rsidR="00A57858">
        <w:rPr>
          <w:rFonts w:ascii="Times New Roman" w:eastAsia="Calibri" w:hAnsi="Times New Roman" w:hint="default"/>
          <w:color w:val="000000"/>
          <w:sz w:val="22"/>
          <w:szCs w:val="22"/>
          <w:lang w:eastAsia="en-US"/>
        </w:rPr>
        <w:t>podiel pripadol na kapitolu Ministerstva vnú</w:t>
      </w:r>
      <w:r w:rsidR="00A57858">
        <w:rPr>
          <w:rFonts w:ascii="Times New Roman" w:eastAsia="Calibri" w:hAnsi="Times New Roman" w:hint="default"/>
          <w:color w:val="000000"/>
          <w:sz w:val="22"/>
          <w:szCs w:val="22"/>
          <w:lang w:eastAsia="en-US"/>
        </w:rPr>
        <w:t>tra SR (34 549</w:t>
      </w:r>
      <w:r w:rsidR="00023624">
        <w:rPr>
          <w:rFonts w:ascii="Times New Roman" w:eastAsia="Calibri" w:hAnsi="Times New Roman"/>
          <w:color w:val="000000"/>
          <w:sz w:val="22"/>
          <w:szCs w:val="22"/>
          <w:lang w:eastAsia="en-US"/>
        </w:rPr>
        <w:t xml:space="preserve"> </w:t>
      </w:r>
      <w:r w:rsidR="00A57858">
        <w:rPr>
          <w:rFonts w:ascii="Times New Roman" w:eastAsia="Calibri" w:hAnsi="Times New Roman"/>
          <w:color w:val="000000"/>
          <w:sz w:val="22"/>
          <w:szCs w:val="22"/>
          <w:lang w:eastAsia="en-US"/>
        </w:rPr>
        <w:t>tis. </w:t>
      </w:r>
      <w:r w:rsidR="00A57858">
        <w:rPr>
          <w:rFonts w:ascii="Times New Roman" w:eastAsia="Calibri" w:hAnsi="Times New Roman" w:hint="default"/>
          <w:color w:val="000000"/>
          <w:sz w:val="22"/>
          <w:szCs w:val="22"/>
          <w:lang w:eastAsia="en-US"/>
        </w:rPr>
        <w:t>eur), kde iš</w:t>
      </w:r>
      <w:r w:rsidR="00A57858">
        <w:rPr>
          <w:rFonts w:ascii="Times New Roman" w:eastAsia="Calibri" w:hAnsi="Times New Roman" w:hint="default"/>
          <w:color w:val="000000"/>
          <w:sz w:val="22"/>
          <w:szCs w:val="22"/>
          <w:lang w:eastAsia="en-US"/>
        </w:rPr>
        <w:t>lo o </w:t>
      </w:r>
      <w:r w:rsidR="00A57858">
        <w:rPr>
          <w:rFonts w:ascii="Times New Roman" w:eastAsia="Calibri" w:hAnsi="Times New Roman" w:hint="default"/>
          <w:color w:val="000000"/>
          <w:sz w:val="22"/>
          <w:szCs w:val="22"/>
          <w:lang w:eastAsia="en-US"/>
        </w:rPr>
        <w:t>prí</w:t>
      </w:r>
      <w:r w:rsidR="00A57858">
        <w:rPr>
          <w:rFonts w:ascii="Times New Roman" w:eastAsia="Calibri" w:hAnsi="Times New Roman" w:hint="default"/>
          <w:color w:val="000000"/>
          <w:sz w:val="22"/>
          <w:szCs w:val="22"/>
          <w:lang w:eastAsia="en-US"/>
        </w:rPr>
        <w:t>jmy za pokuty ulož</w:t>
      </w:r>
      <w:r w:rsidR="00A57858">
        <w:rPr>
          <w:rFonts w:ascii="Times New Roman" w:eastAsia="Calibri" w:hAnsi="Times New Roman" w:hint="default"/>
          <w:color w:val="000000"/>
          <w:sz w:val="22"/>
          <w:szCs w:val="22"/>
          <w:lang w:eastAsia="en-US"/>
        </w:rPr>
        <w:t>ené</w:t>
      </w:r>
      <w:r w:rsidR="00A57858">
        <w:rPr>
          <w:rFonts w:ascii="Times New Roman" w:eastAsia="Calibri" w:hAnsi="Times New Roman" w:hint="default"/>
          <w:color w:val="000000"/>
          <w:sz w:val="22"/>
          <w:szCs w:val="22"/>
          <w:lang w:eastAsia="en-US"/>
        </w:rPr>
        <w:t xml:space="preserve"> v konaniach. </w:t>
      </w:r>
    </w:p>
    <w:p w:rsidR="00A57858" w:rsidRPr="00361A0E" w:rsidP="00872D04">
      <w:pPr>
        <w:tabs>
          <w:tab w:val="left" w:pos="284"/>
        </w:tabs>
        <w:suppressAutoHyphens/>
        <w:bidi w:val="0"/>
        <w:spacing w:after="120" w:line="336" w:lineRule="auto"/>
        <w:jc w:val="both"/>
        <w:rPr>
          <w:rFonts w:ascii="Times New Roman" w:eastAsia="Calibri" w:hAnsi="Times New Roman"/>
          <w:sz w:val="22"/>
          <w:szCs w:val="22"/>
        </w:rPr>
      </w:pPr>
      <w:r w:rsidRPr="00361A0E">
        <w:rPr>
          <w:rFonts w:ascii="Times New Roman" w:eastAsia="Calibri" w:hAnsi="Times New Roman"/>
          <w:b/>
          <w:i/>
          <w:color w:val="000000"/>
          <w:sz w:val="22"/>
          <w:szCs w:val="22"/>
          <w:lang w:eastAsia="en-US"/>
        </w:rPr>
        <w:t>Poplatky a platby z </w:t>
      </w:r>
      <w:r w:rsidRPr="00361A0E">
        <w:rPr>
          <w:rFonts w:ascii="Times New Roman" w:eastAsia="Calibri" w:hAnsi="Times New Roman" w:hint="default"/>
          <w:b/>
          <w:i/>
          <w:color w:val="000000"/>
          <w:sz w:val="22"/>
          <w:szCs w:val="22"/>
          <w:lang w:eastAsia="en-US"/>
        </w:rPr>
        <w:t>nepriemyselné</w:t>
      </w:r>
      <w:r w:rsidRPr="00361A0E">
        <w:rPr>
          <w:rFonts w:ascii="Times New Roman" w:eastAsia="Calibri" w:hAnsi="Times New Roman" w:hint="default"/>
          <w:b/>
          <w:i/>
          <w:color w:val="000000"/>
          <w:sz w:val="22"/>
          <w:szCs w:val="22"/>
          <w:lang w:eastAsia="en-US"/>
        </w:rPr>
        <w:t>ho a </w:t>
      </w:r>
      <w:r w:rsidRPr="00361A0E">
        <w:rPr>
          <w:rFonts w:ascii="Times New Roman" w:eastAsia="Calibri" w:hAnsi="Times New Roman" w:hint="default"/>
          <w:b/>
          <w:i/>
          <w:color w:val="000000"/>
          <w:sz w:val="22"/>
          <w:szCs w:val="22"/>
          <w:lang w:eastAsia="en-US"/>
        </w:rPr>
        <w:t>ná</w:t>
      </w:r>
      <w:r w:rsidRPr="00361A0E">
        <w:rPr>
          <w:rFonts w:ascii="Times New Roman" w:eastAsia="Calibri" w:hAnsi="Times New Roman" w:hint="default"/>
          <w:b/>
          <w:i/>
          <w:color w:val="000000"/>
          <w:sz w:val="22"/>
          <w:szCs w:val="22"/>
          <w:lang w:eastAsia="en-US"/>
        </w:rPr>
        <w:t>hodné</w:t>
      </w:r>
      <w:r w:rsidRPr="00361A0E">
        <w:rPr>
          <w:rFonts w:ascii="Times New Roman" w:eastAsia="Calibri" w:hAnsi="Times New Roman" w:hint="default"/>
          <w:b/>
          <w:i/>
          <w:color w:val="000000"/>
          <w:sz w:val="22"/>
          <w:szCs w:val="22"/>
          <w:lang w:eastAsia="en-US"/>
        </w:rPr>
        <w:t xml:space="preserve">ho predaja </w:t>
      </w:r>
      <w:r w:rsidRPr="00361A0E" w:rsidR="00361A0E">
        <w:rPr>
          <w:rFonts w:ascii="Times New Roman" w:eastAsia="Calibri" w:hAnsi="Times New Roman" w:hint="default"/>
          <w:color w:val="000000"/>
          <w:sz w:val="22"/>
          <w:szCs w:val="22"/>
          <w:lang w:eastAsia="en-US"/>
        </w:rPr>
        <w:t>predstavujú</w:t>
      </w:r>
      <w:r w:rsidRPr="00361A0E" w:rsidR="00361A0E">
        <w:rPr>
          <w:rFonts w:ascii="Times New Roman" w:eastAsia="Calibri" w:hAnsi="Times New Roman" w:hint="default"/>
          <w:color w:val="000000"/>
          <w:sz w:val="22"/>
          <w:szCs w:val="22"/>
          <w:lang w:eastAsia="en-US"/>
        </w:rPr>
        <w:t xml:space="preserve"> napr. predaj tovarov, služ</w:t>
      </w:r>
      <w:r w:rsidRPr="00361A0E" w:rsidR="00361A0E">
        <w:rPr>
          <w:rFonts w:ascii="Times New Roman" w:eastAsia="Calibri" w:hAnsi="Times New Roman" w:hint="default"/>
          <w:color w:val="000000"/>
          <w:sz w:val="22"/>
          <w:szCs w:val="22"/>
          <w:lang w:eastAsia="en-US"/>
        </w:rPr>
        <w:t>ieb, stravné</w:t>
      </w:r>
      <w:r w:rsidRPr="00361A0E" w:rsidR="00361A0E">
        <w:rPr>
          <w:rFonts w:ascii="Times New Roman" w:eastAsia="Calibri" w:hAnsi="Times New Roman" w:hint="default"/>
          <w:color w:val="000000"/>
          <w:sz w:val="22"/>
          <w:szCs w:val="22"/>
          <w:lang w:eastAsia="en-US"/>
        </w:rPr>
        <w:t xml:space="preserve"> a predaj prebytoč</w:t>
      </w:r>
      <w:r w:rsidRPr="00361A0E" w:rsidR="00361A0E">
        <w:rPr>
          <w:rFonts w:ascii="Times New Roman" w:eastAsia="Calibri" w:hAnsi="Times New Roman" w:hint="default"/>
          <w:color w:val="000000"/>
          <w:sz w:val="22"/>
          <w:szCs w:val="22"/>
          <w:lang w:eastAsia="en-US"/>
        </w:rPr>
        <w:t>né</w:t>
      </w:r>
      <w:r w:rsidRPr="00361A0E" w:rsidR="00361A0E">
        <w:rPr>
          <w:rFonts w:ascii="Times New Roman" w:eastAsia="Calibri" w:hAnsi="Times New Roman" w:hint="default"/>
          <w:color w:val="000000"/>
          <w:sz w:val="22"/>
          <w:szCs w:val="22"/>
          <w:lang w:eastAsia="en-US"/>
        </w:rPr>
        <w:t xml:space="preserve">ho </w:t>
      </w:r>
      <w:r w:rsidR="00361A0E">
        <w:rPr>
          <w:rFonts w:ascii="Times New Roman" w:eastAsia="Calibri" w:hAnsi="Times New Roman" w:hint="default"/>
          <w:color w:val="000000"/>
          <w:sz w:val="22"/>
          <w:szCs w:val="22"/>
          <w:lang w:eastAsia="en-US"/>
        </w:rPr>
        <w:t>materiá</w:t>
      </w:r>
      <w:r w:rsidR="00361A0E">
        <w:rPr>
          <w:rFonts w:ascii="Times New Roman" w:eastAsia="Calibri" w:hAnsi="Times New Roman" w:hint="default"/>
          <w:color w:val="000000"/>
          <w:sz w:val="22"/>
          <w:szCs w:val="22"/>
          <w:lang w:eastAsia="en-US"/>
        </w:rPr>
        <w:t>lu</w:t>
      </w:r>
      <w:r w:rsidRPr="00361A0E" w:rsidR="00361A0E">
        <w:rPr>
          <w:rFonts w:ascii="Times New Roman" w:eastAsia="Calibri" w:hAnsi="Times New Roman"/>
          <w:color w:val="000000"/>
          <w:sz w:val="22"/>
          <w:szCs w:val="22"/>
          <w:lang w:eastAsia="en-US"/>
        </w:rPr>
        <w:t>. Z</w:t>
      </w:r>
      <w:r w:rsidRPr="00361A0E">
        <w:rPr>
          <w:rFonts w:ascii="Times New Roman" w:eastAsia="Calibri" w:hAnsi="Times New Roman"/>
          <w:color w:val="000000"/>
          <w:sz w:val="22"/>
          <w:szCs w:val="22"/>
          <w:lang w:eastAsia="en-US"/>
        </w:rPr>
        <w:t> </w:t>
      </w:r>
      <w:r w:rsidRPr="00361A0E">
        <w:rPr>
          <w:rFonts w:ascii="Times New Roman" w:eastAsia="Calibri" w:hAnsi="Times New Roman" w:hint="default"/>
          <w:color w:val="000000"/>
          <w:sz w:val="22"/>
          <w:szCs w:val="22"/>
          <w:lang w:eastAsia="en-US"/>
        </w:rPr>
        <w:t>celkovej č</w:t>
      </w:r>
      <w:r w:rsidRPr="00361A0E">
        <w:rPr>
          <w:rFonts w:ascii="Times New Roman" w:eastAsia="Calibri" w:hAnsi="Times New Roman" w:hint="default"/>
          <w:color w:val="000000"/>
          <w:sz w:val="22"/>
          <w:szCs w:val="22"/>
          <w:lang w:eastAsia="en-US"/>
        </w:rPr>
        <w:t>iastk</w:t>
      </w:r>
      <w:r w:rsidRPr="00361A0E" w:rsidR="00361A0E">
        <w:rPr>
          <w:rFonts w:ascii="Times New Roman" w:eastAsia="Calibri" w:hAnsi="Times New Roman"/>
          <w:color w:val="000000"/>
          <w:sz w:val="22"/>
          <w:szCs w:val="22"/>
          <w:lang w:eastAsia="en-US"/>
        </w:rPr>
        <w:t xml:space="preserve">y 66 495 tis. eur </w:t>
      </w:r>
      <w:r w:rsidRPr="00361A0E">
        <w:rPr>
          <w:rFonts w:ascii="Times New Roman" w:eastAsia="Calibri" w:hAnsi="Times New Roman" w:hint="default"/>
          <w:color w:val="000000"/>
          <w:sz w:val="22"/>
          <w:szCs w:val="22"/>
          <w:lang w:eastAsia="en-US"/>
        </w:rPr>
        <w:t>Ministerstvo dopravy, vý</w:t>
      </w:r>
      <w:r w:rsidRPr="00361A0E">
        <w:rPr>
          <w:rFonts w:ascii="Times New Roman" w:eastAsia="Calibri" w:hAnsi="Times New Roman" w:hint="default"/>
          <w:color w:val="000000"/>
          <w:sz w:val="22"/>
          <w:szCs w:val="22"/>
          <w:lang w:eastAsia="en-US"/>
        </w:rPr>
        <w:t>stavby a </w:t>
      </w:r>
      <w:r w:rsidRPr="00361A0E">
        <w:rPr>
          <w:rFonts w:ascii="Times New Roman" w:eastAsia="Calibri" w:hAnsi="Times New Roman" w:hint="default"/>
          <w:color w:val="000000"/>
          <w:sz w:val="22"/>
          <w:szCs w:val="22"/>
          <w:lang w:eastAsia="en-US"/>
        </w:rPr>
        <w:t>regioná</w:t>
      </w:r>
      <w:r w:rsidRPr="00361A0E">
        <w:rPr>
          <w:rFonts w:ascii="Times New Roman" w:eastAsia="Calibri" w:hAnsi="Times New Roman" w:hint="default"/>
          <w:color w:val="000000"/>
          <w:sz w:val="22"/>
          <w:szCs w:val="22"/>
          <w:lang w:eastAsia="en-US"/>
        </w:rPr>
        <w:t>lneho rozvoja SR zí</w:t>
      </w:r>
      <w:r w:rsidRPr="00361A0E">
        <w:rPr>
          <w:rFonts w:ascii="Times New Roman" w:eastAsia="Calibri" w:hAnsi="Times New Roman" w:hint="default"/>
          <w:color w:val="000000"/>
          <w:sz w:val="22"/>
          <w:szCs w:val="22"/>
          <w:lang w:eastAsia="en-US"/>
        </w:rPr>
        <w:t>skalo sumu 16</w:t>
      </w:r>
      <w:r w:rsidRPr="00361A0E">
        <w:rPr>
          <w:rFonts w:ascii="Times New Roman" w:eastAsia="Calibri" w:hAnsi="Times New Roman"/>
          <w:sz w:val="22"/>
          <w:szCs w:val="22"/>
        </w:rPr>
        <w:t> </w:t>
      </w:r>
      <w:r w:rsidRPr="00361A0E">
        <w:rPr>
          <w:rFonts w:ascii="Times New Roman" w:eastAsia="Calibri" w:hAnsi="Times New Roman"/>
          <w:sz w:val="22"/>
          <w:szCs w:val="22"/>
        </w:rPr>
        <w:t>588 tis. eur z</w:t>
      </w:r>
      <w:r w:rsidR="00B551CB">
        <w:rPr>
          <w:rFonts w:ascii="Times New Roman" w:eastAsia="Calibri" w:hAnsi="Times New Roman"/>
          <w:sz w:val="22"/>
          <w:szCs w:val="22"/>
        </w:rPr>
        <w:t>o</w:t>
      </w:r>
      <w:r w:rsidRPr="00361A0E">
        <w:rPr>
          <w:rFonts w:ascii="Times New Roman" w:eastAsia="Calibri" w:hAnsi="Times New Roman" w:hint="default"/>
          <w:sz w:val="22"/>
          <w:szCs w:val="22"/>
        </w:rPr>
        <w:t xml:space="preserve"> sprá</w:t>
      </w:r>
      <w:r w:rsidRPr="00361A0E">
        <w:rPr>
          <w:rFonts w:ascii="Times New Roman" w:eastAsia="Calibri" w:hAnsi="Times New Roman" w:hint="default"/>
          <w:sz w:val="22"/>
          <w:szCs w:val="22"/>
        </w:rPr>
        <w:t>v</w:t>
      </w:r>
      <w:r w:rsidR="00B551CB">
        <w:rPr>
          <w:rFonts w:ascii="Times New Roman" w:eastAsia="Calibri" w:hAnsi="Times New Roman"/>
          <w:sz w:val="22"/>
          <w:szCs w:val="22"/>
        </w:rPr>
        <w:t>y</w:t>
      </w:r>
      <w:r w:rsidRPr="00361A0E">
        <w:rPr>
          <w:rFonts w:ascii="Times New Roman" w:eastAsia="Calibri" w:hAnsi="Times New Roman" w:hint="default"/>
          <w:sz w:val="22"/>
          <w:szCs w:val="22"/>
        </w:rPr>
        <w:t xml:space="preserve"> frekvencií</w:t>
      </w:r>
      <w:r w:rsidRPr="00361A0E">
        <w:rPr>
          <w:rFonts w:ascii="Times New Roman" w:eastAsia="Calibri" w:hAnsi="Times New Roman" w:hint="default"/>
          <w:sz w:val="22"/>
          <w:szCs w:val="22"/>
        </w:rPr>
        <w:t>, technick</w:t>
      </w:r>
      <w:r w:rsidR="00B551CB">
        <w:rPr>
          <w:rFonts w:ascii="Times New Roman" w:eastAsia="Calibri" w:hAnsi="Times New Roman"/>
          <w:sz w:val="22"/>
          <w:szCs w:val="22"/>
        </w:rPr>
        <w:t>ej</w:t>
      </w:r>
      <w:r w:rsidRPr="00361A0E">
        <w:rPr>
          <w:rFonts w:ascii="Times New Roman" w:eastAsia="Calibri" w:hAnsi="Times New Roman" w:hint="default"/>
          <w:sz w:val="22"/>
          <w:szCs w:val="22"/>
        </w:rPr>
        <w:t xml:space="preserve"> regulá</w:t>
      </w:r>
      <w:r w:rsidRPr="00361A0E">
        <w:rPr>
          <w:rFonts w:ascii="Times New Roman" w:eastAsia="Calibri" w:hAnsi="Times New Roman" w:hint="default"/>
          <w:sz w:val="22"/>
          <w:szCs w:val="22"/>
        </w:rPr>
        <w:t>ci</w:t>
      </w:r>
      <w:r w:rsidR="00B551CB">
        <w:rPr>
          <w:rFonts w:ascii="Times New Roman" w:eastAsia="Calibri" w:hAnsi="Times New Roman"/>
          <w:sz w:val="22"/>
          <w:szCs w:val="22"/>
        </w:rPr>
        <w:t>e</w:t>
      </w:r>
      <w:r w:rsidRPr="00361A0E">
        <w:rPr>
          <w:rFonts w:ascii="Times New Roman" w:eastAsia="Calibri" w:hAnsi="Times New Roman"/>
          <w:sz w:val="22"/>
          <w:szCs w:val="22"/>
        </w:rPr>
        <w:t>, z</w:t>
      </w:r>
      <w:r w:rsidR="006F1552">
        <w:rPr>
          <w:rFonts w:ascii="Times New Roman" w:eastAsia="Calibri" w:hAnsi="Times New Roman"/>
          <w:sz w:val="22"/>
          <w:szCs w:val="22"/>
        </w:rPr>
        <w:t> </w:t>
      </w:r>
      <w:r w:rsidR="006F1552">
        <w:rPr>
          <w:rFonts w:ascii="Times New Roman" w:eastAsia="Calibri" w:hAnsi="Times New Roman" w:hint="default"/>
          <w:sz w:val="22"/>
          <w:szCs w:val="22"/>
        </w:rPr>
        <w:t>vý</w:t>
      </w:r>
      <w:r w:rsidR="006F1552">
        <w:rPr>
          <w:rFonts w:ascii="Times New Roman" w:eastAsia="Calibri" w:hAnsi="Times New Roman" w:hint="default"/>
          <w:sz w:val="22"/>
          <w:szCs w:val="22"/>
        </w:rPr>
        <w:t xml:space="preserve">nosov z </w:t>
      </w:r>
      <w:r w:rsidRPr="00361A0E">
        <w:rPr>
          <w:rFonts w:ascii="Times New Roman" w:eastAsia="Calibri" w:hAnsi="Times New Roman" w:hint="default"/>
          <w:sz w:val="22"/>
          <w:szCs w:val="22"/>
        </w:rPr>
        <w:t>mý</w:t>
      </w:r>
      <w:r w:rsidRPr="00361A0E">
        <w:rPr>
          <w:rFonts w:ascii="Times New Roman" w:eastAsia="Calibri" w:hAnsi="Times New Roman" w:hint="default"/>
          <w:sz w:val="22"/>
          <w:szCs w:val="22"/>
        </w:rPr>
        <w:t>t</w:t>
      </w:r>
      <w:r w:rsidR="00361A0E">
        <w:rPr>
          <w:rFonts w:ascii="Times New Roman" w:eastAsia="Calibri" w:hAnsi="Times New Roman"/>
          <w:sz w:val="22"/>
          <w:szCs w:val="22"/>
        </w:rPr>
        <w:t>a</w:t>
      </w:r>
      <w:r w:rsidRPr="00361A0E">
        <w:rPr>
          <w:rFonts w:ascii="Times New Roman" w:eastAsia="Calibri" w:hAnsi="Times New Roman"/>
          <w:sz w:val="22"/>
          <w:szCs w:val="22"/>
        </w:rPr>
        <w:t xml:space="preserve"> </w:t>
      </w:r>
      <w:r w:rsidR="006F1552">
        <w:rPr>
          <w:rFonts w:ascii="Times New Roman" w:eastAsia="Calibri" w:hAnsi="Times New Roman" w:hint="default"/>
          <w:sz w:val="22"/>
          <w:szCs w:val="22"/>
        </w:rPr>
        <w:t>na koncesný</w:t>
      </w:r>
      <w:r w:rsidR="006F1552">
        <w:rPr>
          <w:rFonts w:ascii="Times New Roman" w:eastAsia="Calibri" w:hAnsi="Times New Roman" w:hint="default"/>
          <w:sz w:val="22"/>
          <w:szCs w:val="22"/>
        </w:rPr>
        <w:t>ch cestá</w:t>
      </w:r>
      <w:r w:rsidR="006F1552">
        <w:rPr>
          <w:rFonts w:ascii="Times New Roman" w:eastAsia="Calibri" w:hAnsi="Times New Roman" w:hint="default"/>
          <w:sz w:val="22"/>
          <w:szCs w:val="22"/>
        </w:rPr>
        <w:t xml:space="preserve">ch </w:t>
      </w:r>
      <w:r w:rsidRPr="00361A0E">
        <w:rPr>
          <w:rFonts w:ascii="Times New Roman" w:eastAsia="Calibri" w:hAnsi="Times New Roman"/>
          <w:sz w:val="22"/>
          <w:szCs w:val="22"/>
        </w:rPr>
        <w:t>NDS, a. s., z</w:t>
      </w:r>
      <w:r w:rsidR="00B551CB">
        <w:rPr>
          <w:rFonts w:ascii="Times New Roman" w:eastAsia="Calibri" w:hAnsi="Times New Roman" w:hint="default"/>
          <w:sz w:val="22"/>
          <w:szCs w:val="22"/>
        </w:rPr>
        <w:t xml:space="preserve"> ú</w:t>
      </w:r>
      <w:r w:rsidR="00B551CB">
        <w:rPr>
          <w:rFonts w:ascii="Times New Roman" w:eastAsia="Calibri" w:hAnsi="Times New Roman" w:hint="default"/>
          <w:sz w:val="22"/>
          <w:szCs w:val="22"/>
        </w:rPr>
        <w:t>drž</w:t>
      </w:r>
      <w:r w:rsidR="00B551CB">
        <w:rPr>
          <w:rFonts w:ascii="Times New Roman" w:eastAsia="Calibri" w:hAnsi="Times New Roman" w:hint="default"/>
          <w:sz w:val="22"/>
          <w:szCs w:val="22"/>
        </w:rPr>
        <w:t>by a opravy</w:t>
      </w:r>
      <w:r w:rsidRPr="00361A0E">
        <w:rPr>
          <w:rFonts w:ascii="Times New Roman" w:eastAsia="Calibri" w:hAnsi="Times New Roman"/>
          <w:sz w:val="22"/>
          <w:szCs w:val="22"/>
        </w:rPr>
        <w:t xml:space="preserve"> vozoviek a </w:t>
      </w:r>
      <w:r w:rsidRPr="00361A0E">
        <w:rPr>
          <w:rFonts w:ascii="Times New Roman" w:eastAsia="Calibri" w:hAnsi="Times New Roman" w:hint="default"/>
          <w:sz w:val="22"/>
          <w:szCs w:val="22"/>
        </w:rPr>
        <w:t>iné.</w:t>
      </w:r>
      <w:r w:rsidRPr="00361A0E">
        <w:rPr>
          <w:rFonts w:ascii="Times New Roman" w:eastAsia="Calibri" w:hAnsi="Times New Roman"/>
          <w:color w:val="000000"/>
          <w:sz w:val="22"/>
          <w:szCs w:val="22"/>
          <w:lang w:eastAsia="en-US"/>
        </w:rPr>
        <w:t xml:space="preserve"> Ministerstvo spravodlivosti SR prijalo sumu 13 355 tis. eur a </w:t>
      </w:r>
      <w:r w:rsidRPr="00361A0E">
        <w:rPr>
          <w:rFonts w:ascii="Times New Roman" w:eastAsia="Calibri" w:hAnsi="Times New Roman" w:hint="default"/>
          <w:color w:val="000000"/>
          <w:sz w:val="22"/>
          <w:szCs w:val="22"/>
          <w:lang w:eastAsia="en-US"/>
        </w:rPr>
        <w:t>iš</w:t>
      </w:r>
      <w:r w:rsidRPr="00361A0E">
        <w:rPr>
          <w:rFonts w:ascii="Times New Roman" w:eastAsia="Calibri" w:hAnsi="Times New Roman" w:hint="default"/>
          <w:color w:val="000000"/>
          <w:sz w:val="22"/>
          <w:szCs w:val="22"/>
          <w:lang w:eastAsia="en-US"/>
        </w:rPr>
        <w:t>lo najmä</w:t>
      </w:r>
      <w:r w:rsidRPr="00361A0E">
        <w:rPr>
          <w:rFonts w:ascii="Times New Roman" w:eastAsia="Calibri" w:hAnsi="Times New Roman" w:hint="default"/>
          <w:color w:val="000000"/>
          <w:sz w:val="22"/>
          <w:szCs w:val="22"/>
          <w:lang w:eastAsia="en-US"/>
        </w:rPr>
        <w:t xml:space="preserve"> o </w:t>
      </w:r>
      <w:r w:rsidRPr="00361A0E">
        <w:rPr>
          <w:rFonts w:ascii="Times New Roman" w:eastAsia="Calibri" w:hAnsi="Times New Roman" w:hint="default"/>
          <w:color w:val="000000"/>
          <w:sz w:val="22"/>
          <w:szCs w:val="22"/>
          <w:lang w:eastAsia="en-US"/>
        </w:rPr>
        <w:t>prí</w:t>
      </w:r>
      <w:r w:rsidRPr="00361A0E">
        <w:rPr>
          <w:rFonts w:ascii="Times New Roman" w:eastAsia="Calibri" w:hAnsi="Times New Roman" w:hint="default"/>
          <w:color w:val="000000"/>
          <w:sz w:val="22"/>
          <w:szCs w:val="22"/>
          <w:lang w:eastAsia="en-US"/>
        </w:rPr>
        <w:t>jmy za leká</w:t>
      </w:r>
      <w:r w:rsidRPr="00361A0E">
        <w:rPr>
          <w:rFonts w:ascii="Times New Roman" w:eastAsia="Calibri" w:hAnsi="Times New Roman" w:hint="default"/>
          <w:color w:val="000000"/>
          <w:sz w:val="22"/>
          <w:szCs w:val="22"/>
          <w:lang w:eastAsia="en-US"/>
        </w:rPr>
        <w:t>rske vý</w:t>
      </w:r>
      <w:r w:rsidRPr="00361A0E">
        <w:rPr>
          <w:rFonts w:ascii="Times New Roman" w:eastAsia="Calibri" w:hAnsi="Times New Roman" w:hint="default"/>
          <w:color w:val="000000"/>
          <w:sz w:val="22"/>
          <w:szCs w:val="22"/>
          <w:lang w:eastAsia="en-US"/>
        </w:rPr>
        <w:t>kony Zboru justič</w:t>
      </w:r>
      <w:r w:rsidRPr="00361A0E">
        <w:rPr>
          <w:rFonts w:ascii="Times New Roman" w:eastAsia="Calibri" w:hAnsi="Times New Roman" w:hint="default"/>
          <w:color w:val="000000"/>
          <w:sz w:val="22"/>
          <w:szCs w:val="22"/>
          <w:lang w:eastAsia="en-US"/>
        </w:rPr>
        <w:t>nej a </w:t>
      </w:r>
      <w:r w:rsidRPr="00361A0E">
        <w:rPr>
          <w:rFonts w:ascii="Times New Roman" w:eastAsia="Calibri" w:hAnsi="Times New Roman" w:hint="default"/>
          <w:color w:val="000000"/>
          <w:sz w:val="22"/>
          <w:szCs w:val="22"/>
          <w:lang w:eastAsia="en-US"/>
        </w:rPr>
        <w:t>vä</w:t>
      </w:r>
      <w:r w:rsidRPr="00361A0E">
        <w:rPr>
          <w:rFonts w:ascii="Times New Roman" w:eastAsia="Calibri" w:hAnsi="Times New Roman" w:hint="default"/>
          <w:color w:val="000000"/>
          <w:sz w:val="22"/>
          <w:szCs w:val="22"/>
          <w:lang w:eastAsia="en-US"/>
        </w:rPr>
        <w:t>zenskej stráž</w:t>
      </w:r>
      <w:r w:rsidRPr="00361A0E">
        <w:rPr>
          <w:rFonts w:ascii="Times New Roman" w:eastAsia="Calibri" w:hAnsi="Times New Roman" w:hint="default"/>
          <w:color w:val="000000"/>
          <w:sz w:val="22"/>
          <w:szCs w:val="22"/>
          <w:lang w:eastAsia="en-US"/>
        </w:rPr>
        <w:t>e, prí</w:t>
      </w:r>
      <w:r w:rsidRPr="00361A0E">
        <w:rPr>
          <w:rFonts w:ascii="Times New Roman" w:eastAsia="Calibri" w:hAnsi="Times New Roman" w:hint="default"/>
          <w:color w:val="000000"/>
          <w:sz w:val="22"/>
          <w:szCs w:val="22"/>
          <w:lang w:eastAsia="en-US"/>
        </w:rPr>
        <w:t>jmy sú</w:t>
      </w:r>
      <w:r w:rsidRPr="00361A0E">
        <w:rPr>
          <w:rFonts w:ascii="Times New Roman" w:eastAsia="Calibri" w:hAnsi="Times New Roman" w:hint="default"/>
          <w:color w:val="000000"/>
          <w:sz w:val="22"/>
          <w:szCs w:val="22"/>
          <w:lang w:eastAsia="en-US"/>
        </w:rPr>
        <w:t>visiace s </w:t>
      </w:r>
      <w:r w:rsidRPr="00361A0E">
        <w:rPr>
          <w:rFonts w:ascii="Times New Roman" w:eastAsia="Calibri" w:hAnsi="Times New Roman" w:hint="default"/>
          <w:color w:val="000000"/>
          <w:sz w:val="22"/>
          <w:szCs w:val="22"/>
          <w:lang w:eastAsia="en-US"/>
        </w:rPr>
        <w:t>vý</w:t>
      </w:r>
      <w:r w:rsidRPr="00361A0E">
        <w:rPr>
          <w:rFonts w:ascii="Times New Roman" w:eastAsia="Calibri" w:hAnsi="Times New Roman" w:hint="default"/>
          <w:color w:val="000000"/>
          <w:sz w:val="22"/>
          <w:szCs w:val="22"/>
          <w:lang w:eastAsia="en-US"/>
        </w:rPr>
        <w:t>konom sú</w:t>
      </w:r>
      <w:r w:rsidRPr="00361A0E">
        <w:rPr>
          <w:rFonts w:ascii="Times New Roman" w:eastAsia="Calibri" w:hAnsi="Times New Roman" w:hint="default"/>
          <w:color w:val="000000"/>
          <w:sz w:val="22"/>
          <w:szCs w:val="22"/>
          <w:lang w:eastAsia="en-US"/>
        </w:rPr>
        <w:t xml:space="preserve">dnictva </w:t>
      </w:r>
      <w:r w:rsidRPr="00361A0E">
        <w:rPr>
          <w:rFonts w:ascii="Times New Roman" w:eastAsia="Calibri" w:hAnsi="Times New Roman" w:hint="default"/>
          <w:color w:val="000000"/>
          <w:sz w:val="22"/>
          <w:szCs w:val="22"/>
          <w:lang w:eastAsia="en-US"/>
        </w:rPr>
        <w:t>–</w:t>
      </w:r>
      <w:r w:rsidRPr="00361A0E">
        <w:rPr>
          <w:rFonts w:ascii="Times New Roman" w:eastAsia="Calibri" w:hAnsi="Times New Roman" w:hint="default"/>
          <w:color w:val="000000"/>
          <w:sz w:val="22"/>
          <w:szCs w:val="22"/>
          <w:lang w:eastAsia="en-US"/>
        </w:rPr>
        <w:t xml:space="preserve"> ná</w:t>
      </w:r>
      <w:r w:rsidRPr="00361A0E">
        <w:rPr>
          <w:rFonts w:ascii="Times New Roman" w:eastAsia="Calibri" w:hAnsi="Times New Roman" w:hint="default"/>
          <w:color w:val="000000"/>
          <w:sz w:val="22"/>
          <w:szCs w:val="22"/>
          <w:lang w:eastAsia="en-US"/>
        </w:rPr>
        <w:t>hrady prá</w:t>
      </w:r>
      <w:r w:rsidRPr="00361A0E">
        <w:rPr>
          <w:rFonts w:ascii="Times New Roman" w:eastAsia="Calibri" w:hAnsi="Times New Roman" w:hint="default"/>
          <w:color w:val="000000"/>
          <w:sz w:val="22"/>
          <w:szCs w:val="22"/>
          <w:lang w:eastAsia="en-US"/>
        </w:rPr>
        <w:t>vnych služ</w:t>
      </w:r>
      <w:r w:rsidRPr="00361A0E">
        <w:rPr>
          <w:rFonts w:ascii="Times New Roman" w:eastAsia="Calibri" w:hAnsi="Times New Roman" w:hint="default"/>
          <w:color w:val="000000"/>
          <w:sz w:val="22"/>
          <w:szCs w:val="22"/>
          <w:lang w:eastAsia="en-US"/>
        </w:rPr>
        <w:t>ieb a </w:t>
      </w:r>
      <w:r w:rsidRPr="00361A0E">
        <w:rPr>
          <w:rFonts w:ascii="Times New Roman" w:eastAsia="Calibri" w:hAnsi="Times New Roman" w:hint="default"/>
          <w:color w:val="000000"/>
          <w:sz w:val="22"/>
          <w:szCs w:val="22"/>
          <w:lang w:eastAsia="en-US"/>
        </w:rPr>
        <w:t>trov preddavkovaný</w:t>
      </w:r>
      <w:r w:rsidRPr="00361A0E">
        <w:rPr>
          <w:rFonts w:ascii="Times New Roman" w:eastAsia="Calibri" w:hAnsi="Times New Roman" w:hint="default"/>
          <w:color w:val="000000"/>
          <w:sz w:val="22"/>
          <w:szCs w:val="22"/>
          <w:lang w:eastAsia="en-US"/>
        </w:rPr>
        <w:t>ch zo š</w:t>
      </w:r>
      <w:r w:rsidRPr="00361A0E">
        <w:rPr>
          <w:rFonts w:ascii="Times New Roman" w:eastAsia="Calibri" w:hAnsi="Times New Roman" w:hint="default"/>
          <w:color w:val="000000"/>
          <w:sz w:val="22"/>
          <w:szCs w:val="22"/>
          <w:lang w:eastAsia="en-US"/>
        </w:rPr>
        <w:t>tá</w:t>
      </w:r>
      <w:r w:rsidRPr="00361A0E">
        <w:rPr>
          <w:rFonts w:ascii="Times New Roman" w:eastAsia="Calibri" w:hAnsi="Times New Roman" w:hint="default"/>
          <w:color w:val="000000"/>
          <w:sz w:val="22"/>
          <w:szCs w:val="22"/>
          <w:lang w:eastAsia="en-US"/>
        </w:rPr>
        <w:t>tneho rozpoč</w:t>
      </w:r>
      <w:r w:rsidRPr="00361A0E">
        <w:rPr>
          <w:rFonts w:ascii="Times New Roman" w:eastAsia="Calibri" w:hAnsi="Times New Roman" w:hint="default"/>
          <w:color w:val="000000"/>
          <w:sz w:val="22"/>
          <w:szCs w:val="22"/>
          <w:lang w:eastAsia="en-US"/>
        </w:rPr>
        <w:t>tu a </w:t>
      </w:r>
      <w:r w:rsidRPr="00361A0E">
        <w:rPr>
          <w:rFonts w:ascii="Times New Roman" w:eastAsia="Calibri" w:hAnsi="Times New Roman" w:hint="default"/>
          <w:color w:val="000000"/>
          <w:sz w:val="22"/>
          <w:szCs w:val="22"/>
          <w:lang w:eastAsia="en-US"/>
        </w:rPr>
        <w:t>prí</w:t>
      </w:r>
      <w:r w:rsidRPr="00361A0E">
        <w:rPr>
          <w:rFonts w:ascii="Times New Roman" w:eastAsia="Calibri" w:hAnsi="Times New Roman" w:hint="default"/>
          <w:color w:val="000000"/>
          <w:sz w:val="22"/>
          <w:szCs w:val="22"/>
          <w:lang w:eastAsia="en-US"/>
        </w:rPr>
        <w:t>jmy sú</w:t>
      </w:r>
      <w:r w:rsidRPr="00361A0E">
        <w:rPr>
          <w:rFonts w:ascii="Times New Roman" w:eastAsia="Calibri" w:hAnsi="Times New Roman" w:hint="default"/>
          <w:color w:val="000000"/>
          <w:sz w:val="22"/>
          <w:szCs w:val="22"/>
          <w:lang w:eastAsia="en-US"/>
        </w:rPr>
        <w:t>visiace s </w:t>
      </w:r>
      <w:r w:rsidRPr="00361A0E">
        <w:rPr>
          <w:rFonts w:ascii="Times New Roman" w:eastAsia="Calibri" w:hAnsi="Times New Roman" w:hint="default"/>
          <w:color w:val="000000"/>
          <w:sz w:val="22"/>
          <w:szCs w:val="22"/>
          <w:lang w:eastAsia="en-US"/>
        </w:rPr>
        <w:t>poskytovaný</w:t>
      </w:r>
      <w:r w:rsidRPr="00361A0E">
        <w:rPr>
          <w:rFonts w:ascii="Times New Roman" w:eastAsia="Calibri" w:hAnsi="Times New Roman" w:hint="default"/>
          <w:color w:val="000000"/>
          <w:sz w:val="22"/>
          <w:szCs w:val="22"/>
          <w:lang w:eastAsia="en-US"/>
        </w:rPr>
        <w:t>mi služ</w:t>
      </w:r>
      <w:r w:rsidRPr="00361A0E">
        <w:rPr>
          <w:rFonts w:ascii="Times New Roman" w:eastAsia="Calibri" w:hAnsi="Times New Roman" w:hint="default"/>
          <w:color w:val="000000"/>
          <w:sz w:val="22"/>
          <w:szCs w:val="22"/>
          <w:lang w:eastAsia="en-US"/>
        </w:rPr>
        <w:t xml:space="preserve">bami na ministerstve </w:t>
      </w:r>
      <w:r w:rsidRPr="00361A0E">
        <w:rPr>
          <w:rFonts w:ascii="Times New Roman" w:eastAsia="Calibri" w:hAnsi="Times New Roman" w:hint="default"/>
          <w:color w:val="000000"/>
          <w:sz w:val="22"/>
          <w:szCs w:val="22"/>
          <w:lang w:eastAsia="en-US"/>
        </w:rPr>
        <w:t>–</w:t>
      </w:r>
      <w:r w:rsidRPr="00361A0E">
        <w:rPr>
          <w:rFonts w:ascii="Times New Roman" w:eastAsia="Calibri" w:hAnsi="Times New Roman" w:hint="default"/>
          <w:color w:val="000000"/>
          <w:sz w:val="22"/>
          <w:szCs w:val="22"/>
          <w:lang w:eastAsia="en-US"/>
        </w:rPr>
        <w:t xml:space="preserve"> ú</w:t>
      </w:r>
      <w:r w:rsidRPr="00361A0E">
        <w:rPr>
          <w:rFonts w:ascii="Times New Roman" w:eastAsia="Calibri" w:hAnsi="Times New Roman" w:hint="default"/>
          <w:color w:val="000000"/>
          <w:sz w:val="22"/>
          <w:szCs w:val="22"/>
          <w:lang w:eastAsia="en-US"/>
        </w:rPr>
        <w:t>strednom orgá</w:t>
      </w:r>
      <w:r w:rsidRPr="00361A0E">
        <w:rPr>
          <w:rFonts w:ascii="Times New Roman" w:eastAsia="Calibri" w:hAnsi="Times New Roman" w:hint="default"/>
          <w:color w:val="000000"/>
          <w:sz w:val="22"/>
          <w:szCs w:val="22"/>
          <w:lang w:eastAsia="en-US"/>
        </w:rPr>
        <w:t>ne. Ministerstvo vnú</w:t>
      </w:r>
      <w:r w:rsidRPr="00361A0E">
        <w:rPr>
          <w:rFonts w:ascii="Times New Roman" w:eastAsia="Calibri" w:hAnsi="Times New Roman" w:hint="default"/>
          <w:color w:val="000000"/>
          <w:sz w:val="22"/>
          <w:szCs w:val="22"/>
          <w:lang w:eastAsia="en-US"/>
        </w:rPr>
        <w:t>tra SR prijalo č</w:t>
      </w:r>
      <w:r w:rsidRPr="00361A0E">
        <w:rPr>
          <w:rFonts w:ascii="Times New Roman" w:eastAsia="Calibri" w:hAnsi="Times New Roman" w:hint="default"/>
          <w:color w:val="000000"/>
          <w:sz w:val="22"/>
          <w:szCs w:val="22"/>
          <w:lang w:eastAsia="en-US"/>
        </w:rPr>
        <w:t>iastku 10 685 </w:t>
      </w:r>
      <w:r w:rsidRPr="00361A0E">
        <w:rPr>
          <w:rFonts w:ascii="Times New Roman" w:eastAsia="Calibri" w:hAnsi="Times New Roman" w:hint="default"/>
          <w:color w:val="000000"/>
          <w:sz w:val="22"/>
          <w:szCs w:val="22"/>
          <w:lang w:eastAsia="en-US"/>
        </w:rPr>
        <w:t>tis. eur za stravné</w:t>
      </w:r>
      <w:r w:rsidRPr="00361A0E">
        <w:rPr>
          <w:rFonts w:ascii="Times New Roman" w:eastAsia="Calibri" w:hAnsi="Times New Roman" w:hint="default"/>
          <w:color w:val="000000"/>
          <w:sz w:val="22"/>
          <w:szCs w:val="22"/>
          <w:lang w:eastAsia="en-US"/>
        </w:rPr>
        <w:t>. Iš</w:t>
      </w:r>
      <w:r w:rsidRPr="00361A0E">
        <w:rPr>
          <w:rFonts w:ascii="Times New Roman" w:eastAsia="Calibri" w:hAnsi="Times New Roman" w:hint="default"/>
          <w:color w:val="000000"/>
          <w:sz w:val="22"/>
          <w:szCs w:val="22"/>
          <w:lang w:eastAsia="en-US"/>
        </w:rPr>
        <w:t>lo o prostriedky za stravu poskytov</w:t>
      </w:r>
      <w:r w:rsidR="002250E3">
        <w:rPr>
          <w:rFonts w:ascii="Times New Roman" w:eastAsia="Calibri" w:hAnsi="Times New Roman" w:hint="default"/>
          <w:color w:val="000000"/>
          <w:sz w:val="22"/>
          <w:szCs w:val="22"/>
          <w:lang w:eastAsia="en-US"/>
        </w:rPr>
        <w:t>anú</w:t>
      </w:r>
      <w:r w:rsidR="002250E3">
        <w:rPr>
          <w:rFonts w:ascii="Times New Roman" w:eastAsia="Calibri" w:hAnsi="Times New Roman" w:hint="default"/>
          <w:color w:val="000000"/>
          <w:sz w:val="22"/>
          <w:szCs w:val="22"/>
          <w:lang w:eastAsia="en-US"/>
        </w:rPr>
        <w:t xml:space="preserve"> zamestná</w:t>
      </w:r>
      <w:r w:rsidR="002250E3">
        <w:rPr>
          <w:rFonts w:ascii="Times New Roman" w:eastAsia="Calibri" w:hAnsi="Times New Roman" w:hint="default"/>
          <w:color w:val="000000"/>
          <w:sz w:val="22"/>
          <w:szCs w:val="22"/>
          <w:lang w:eastAsia="en-US"/>
        </w:rPr>
        <w:t>vateľ</w:t>
      </w:r>
      <w:r w:rsidR="002250E3">
        <w:rPr>
          <w:rFonts w:ascii="Times New Roman" w:eastAsia="Calibri" w:hAnsi="Times New Roman" w:hint="default"/>
          <w:color w:val="000000"/>
          <w:sz w:val="22"/>
          <w:szCs w:val="22"/>
          <w:lang w:eastAsia="en-US"/>
        </w:rPr>
        <w:t>om a </w:t>
      </w:r>
      <w:r w:rsidR="002250E3">
        <w:rPr>
          <w:rFonts w:ascii="Times New Roman" w:eastAsia="Calibri" w:hAnsi="Times New Roman" w:hint="default"/>
          <w:color w:val="000000"/>
          <w:sz w:val="22"/>
          <w:szCs w:val="22"/>
          <w:lang w:eastAsia="en-US"/>
        </w:rPr>
        <w:t>hradenú</w:t>
      </w:r>
      <w:r w:rsidR="002250E3">
        <w:rPr>
          <w:rFonts w:ascii="Times New Roman" w:eastAsia="Calibri" w:hAnsi="Times New Roman" w:hint="default"/>
          <w:color w:val="000000"/>
          <w:sz w:val="22"/>
          <w:szCs w:val="22"/>
          <w:lang w:eastAsia="en-US"/>
        </w:rPr>
        <w:t xml:space="preserve"> zamestn</w:t>
      </w:r>
      <w:r w:rsidRPr="00361A0E" w:rsidR="002250E3">
        <w:rPr>
          <w:rFonts w:ascii="Times New Roman" w:eastAsia="Calibri" w:hAnsi="Times New Roman"/>
          <w:color w:val="000000"/>
          <w:sz w:val="22"/>
          <w:szCs w:val="22"/>
          <w:lang w:eastAsia="en-US"/>
        </w:rPr>
        <w:t>ancami</w:t>
      </w:r>
      <w:r w:rsidRPr="00361A0E">
        <w:rPr>
          <w:rFonts w:ascii="Times New Roman" w:eastAsia="Calibri" w:hAnsi="Times New Roman" w:hint="default"/>
          <w:color w:val="000000"/>
          <w:sz w:val="22"/>
          <w:szCs w:val="22"/>
          <w:lang w:eastAsia="en-US"/>
        </w:rPr>
        <w:t xml:space="preserve"> alebo bý</w:t>
      </w:r>
      <w:r w:rsidRPr="00361A0E">
        <w:rPr>
          <w:rFonts w:ascii="Times New Roman" w:eastAsia="Calibri" w:hAnsi="Times New Roman" w:hint="default"/>
          <w:color w:val="000000"/>
          <w:sz w:val="22"/>
          <w:szCs w:val="22"/>
          <w:lang w:eastAsia="en-US"/>
        </w:rPr>
        <w:t>val</w:t>
      </w:r>
      <w:r w:rsidRPr="00361A0E">
        <w:rPr>
          <w:rFonts w:ascii="Times New Roman" w:eastAsia="Calibri" w:hAnsi="Times New Roman" w:hint="default"/>
          <w:color w:val="000000"/>
          <w:sz w:val="22"/>
          <w:szCs w:val="22"/>
          <w:lang w:eastAsia="en-US"/>
        </w:rPr>
        <w:t>ý</w:t>
      </w:r>
      <w:r w:rsidRPr="00361A0E">
        <w:rPr>
          <w:rFonts w:ascii="Times New Roman" w:eastAsia="Calibri" w:hAnsi="Times New Roman" w:hint="default"/>
          <w:color w:val="000000"/>
          <w:sz w:val="22"/>
          <w:szCs w:val="22"/>
          <w:lang w:eastAsia="en-US"/>
        </w:rPr>
        <w:t xml:space="preserve">mi zamestnancami </w:t>
      </w:r>
      <w:r w:rsidRPr="00361A0E">
        <w:rPr>
          <w:rFonts w:ascii="Times New Roman" w:hAnsi="Times New Roman"/>
          <w:color w:val="000000"/>
          <w:sz w:val="22"/>
          <w:szCs w:val="22"/>
        </w:rPr>
        <w:t>Ministerstva vnútra SR (v zmysle Zákonníka práce alebo kolektívnej zmluvy) a taktiež sú tu vedené príspevky na stravovanie zamestnancov zo sociálneho fondu.</w:t>
      </w:r>
    </w:p>
    <w:p w:rsidR="00422D66" w:rsidRPr="00422D66" w:rsidP="00422D66">
      <w:pPr>
        <w:numPr>
          <w:numId w:val="8"/>
        </w:numPr>
        <w:tabs>
          <w:tab w:val="left" w:pos="284"/>
        </w:tabs>
        <w:suppressAutoHyphens/>
        <w:bidi w:val="0"/>
        <w:spacing w:after="120" w:line="336" w:lineRule="auto"/>
        <w:ind w:left="0" w:firstLine="0"/>
        <w:jc w:val="both"/>
        <w:rPr>
          <w:rFonts w:ascii="Times New Roman" w:eastAsia="Calibri" w:hAnsi="Times New Roman"/>
          <w:color w:val="000000"/>
          <w:sz w:val="22"/>
          <w:szCs w:val="22"/>
          <w:lang w:eastAsia="en-US"/>
        </w:rPr>
      </w:pPr>
      <w:r w:rsidRPr="00422D66">
        <w:rPr>
          <w:rFonts w:ascii="Times New Roman" w:eastAsia="Calibri" w:hAnsi="Times New Roman" w:hint="default"/>
          <w:b/>
          <w:color w:val="000000"/>
          <w:sz w:val="22"/>
          <w:szCs w:val="22"/>
          <w:lang w:eastAsia="en-US"/>
        </w:rPr>
        <w:t>Kapitá</w:t>
      </w:r>
      <w:r w:rsidRPr="00422D66">
        <w:rPr>
          <w:rFonts w:ascii="Times New Roman" w:eastAsia="Calibri" w:hAnsi="Times New Roman" w:hint="default"/>
          <w:b/>
          <w:color w:val="000000"/>
          <w:sz w:val="22"/>
          <w:szCs w:val="22"/>
          <w:lang w:eastAsia="en-US"/>
        </w:rPr>
        <w:t>lové</w:t>
      </w:r>
      <w:r w:rsidRPr="00422D66">
        <w:rPr>
          <w:rFonts w:ascii="Times New Roman" w:eastAsia="Calibri" w:hAnsi="Times New Roman" w:hint="default"/>
          <w:b/>
          <w:color w:val="000000"/>
          <w:sz w:val="22"/>
          <w:szCs w:val="22"/>
          <w:lang w:eastAsia="en-US"/>
        </w:rPr>
        <w:t xml:space="preserve"> prí</w:t>
      </w:r>
      <w:r w:rsidRPr="00422D66">
        <w:rPr>
          <w:rFonts w:ascii="Times New Roman" w:eastAsia="Calibri" w:hAnsi="Times New Roman" w:hint="default"/>
          <w:b/>
          <w:color w:val="000000"/>
          <w:sz w:val="22"/>
          <w:szCs w:val="22"/>
          <w:lang w:eastAsia="en-US"/>
        </w:rPr>
        <w:t xml:space="preserve">jmy </w:t>
      </w:r>
      <w:r w:rsidRPr="00361A0E" w:rsidR="00361A0E">
        <w:rPr>
          <w:rFonts w:ascii="Times New Roman" w:eastAsia="Calibri" w:hAnsi="Times New Roman" w:hint="default"/>
          <w:color w:val="000000"/>
          <w:sz w:val="22"/>
          <w:szCs w:val="22"/>
          <w:lang w:eastAsia="en-US"/>
        </w:rPr>
        <w:t>predstavujú</w:t>
      </w:r>
      <w:r w:rsidRPr="00361A0E" w:rsidR="00361A0E">
        <w:rPr>
          <w:rFonts w:ascii="Times New Roman" w:eastAsia="Calibri" w:hAnsi="Times New Roman" w:hint="default"/>
          <w:color w:val="000000"/>
          <w:sz w:val="22"/>
          <w:szCs w:val="22"/>
          <w:lang w:eastAsia="en-US"/>
        </w:rPr>
        <w:t xml:space="preserve"> </w:t>
      </w:r>
      <w:r w:rsidRPr="00361A0E">
        <w:rPr>
          <w:rFonts w:ascii="Times New Roman" w:eastAsia="Calibri" w:hAnsi="Times New Roman"/>
          <w:color w:val="000000"/>
          <w:sz w:val="22"/>
          <w:szCs w:val="22"/>
          <w:lang w:eastAsia="en-US"/>
        </w:rPr>
        <w:t>p</w:t>
      </w:r>
      <w:r w:rsidRPr="00422D66">
        <w:rPr>
          <w:rFonts w:ascii="Times New Roman" w:eastAsia="Calibri" w:hAnsi="Times New Roman" w:hint="default"/>
          <w:color w:val="000000"/>
          <w:sz w:val="22"/>
          <w:szCs w:val="22"/>
          <w:lang w:eastAsia="en-US"/>
        </w:rPr>
        <w:t>rí</w:t>
      </w:r>
      <w:r w:rsidRPr="00422D66">
        <w:rPr>
          <w:rFonts w:ascii="Times New Roman" w:eastAsia="Calibri" w:hAnsi="Times New Roman" w:hint="default"/>
          <w:color w:val="000000"/>
          <w:sz w:val="22"/>
          <w:szCs w:val="22"/>
          <w:lang w:eastAsia="en-US"/>
        </w:rPr>
        <w:t>jmy z </w:t>
      </w:r>
      <w:r w:rsidRPr="00422D66">
        <w:rPr>
          <w:rFonts w:ascii="Times New Roman" w:eastAsia="Calibri" w:hAnsi="Times New Roman" w:hint="default"/>
          <w:color w:val="000000"/>
          <w:sz w:val="22"/>
          <w:szCs w:val="22"/>
          <w:lang w:eastAsia="en-US"/>
        </w:rPr>
        <w:t>predaja hnuteľ</w:t>
      </w:r>
      <w:r w:rsidRPr="00422D66">
        <w:rPr>
          <w:rFonts w:ascii="Times New Roman" w:eastAsia="Calibri" w:hAnsi="Times New Roman" w:hint="default"/>
          <w:color w:val="000000"/>
          <w:sz w:val="22"/>
          <w:szCs w:val="22"/>
          <w:lang w:eastAsia="en-US"/>
        </w:rPr>
        <w:t>né</w:t>
      </w:r>
      <w:r w:rsidRPr="00422D66">
        <w:rPr>
          <w:rFonts w:ascii="Times New Roman" w:eastAsia="Calibri" w:hAnsi="Times New Roman" w:hint="default"/>
          <w:color w:val="000000"/>
          <w:sz w:val="22"/>
          <w:szCs w:val="22"/>
          <w:lang w:eastAsia="en-US"/>
        </w:rPr>
        <w:t>ho aj nehnuteľ</w:t>
      </w:r>
      <w:r w:rsidRPr="00422D66">
        <w:rPr>
          <w:rFonts w:ascii="Times New Roman" w:eastAsia="Calibri" w:hAnsi="Times New Roman" w:hint="default"/>
          <w:color w:val="000000"/>
          <w:sz w:val="22"/>
          <w:szCs w:val="22"/>
          <w:lang w:eastAsia="en-US"/>
        </w:rPr>
        <w:t>né</w:t>
      </w:r>
      <w:r w:rsidRPr="00422D66">
        <w:rPr>
          <w:rFonts w:ascii="Times New Roman" w:eastAsia="Calibri" w:hAnsi="Times New Roman" w:hint="default"/>
          <w:color w:val="000000"/>
          <w:sz w:val="22"/>
          <w:szCs w:val="22"/>
          <w:lang w:eastAsia="en-US"/>
        </w:rPr>
        <w:t>ho majetku</w:t>
      </w:r>
      <w:r w:rsidRPr="00422D66">
        <w:rPr>
          <w:rFonts w:ascii="Times New Roman" w:eastAsia="Calibri" w:hAnsi="Times New Roman" w:hint="default"/>
          <w:color w:val="000000"/>
          <w:sz w:val="22"/>
          <w:szCs w:val="22"/>
          <w:lang w:eastAsia="en-US"/>
        </w:rPr>
        <w:t xml:space="preserve"> v </w:t>
      </w:r>
      <w:r w:rsidRPr="00422D66">
        <w:rPr>
          <w:rFonts w:ascii="Times New Roman" w:eastAsia="Calibri" w:hAnsi="Times New Roman" w:hint="default"/>
          <w:color w:val="000000"/>
          <w:sz w:val="22"/>
          <w:szCs w:val="22"/>
          <w:lang w:eastAsia="en-US"/>
        </w:rPr>
        <w:t>sprá</w:t>
      </w:r>
      <w:r w:rsidRPr="00422D66">
        <w:rPr>
          <w:rFonts w:ascii="Times New Roman" w:eastAsia="Calibri" w:hAnsi="Times New Roman" w:hint="default"/>
          <w:color w:val="000000"/>
          <w:sz w:val="22"/>
          <w:szCs w:val="22"/>
          <w:lang w:eastAsia="en-US"/>
        </w:rPr>
        <w:t>ve jednotlivý</w:t>
      </w:r>
      <w:r w:rsidRPr="00422D66">
        <w:rPr>
          <w:rFonts w:ascii="Times New Roman" w:eastAsia="Calibri" w:hAnsi="Times New Roman" w:hint="default"/>
          <w:color w:val="000000"/>
          <w:sz w:val="22"/>
          <w:szCs w:val="22"/>
          <w:lang w:eastAsia="en-US"/>
        </w:rPr>
        <w:t>ch kapitol š</w:t>
      </w:r>
      <w:r w:rsidRPr="00422D66">
        <w:rPr>
          <w:rFonts w:ascii="Times New Roman" w:eastAsia="Calibri" w:hAnsi="Times New Roman" w:hint="default"/>
          <w:color w:val="000000"/>
          <w:sz w:val="22"/>
          <w:szCs w:val="22"/>
          <w:lang w:eastAsia="en-US"/>
        </w:rPr>
        <w:t>tá</w:t>
      </w:r>
      <w:r w:rsidRPr="00422D66">
        <w:rPr>
          <w:rFonts w:ascii="Times New Roman" w:eastAsia="Calibri" w:hAnsi="Times New Roman" w:hint="default"/>
          <w:color w:val="000000"/>
          <w:sz w:val="22"/>
          <w:szCs w:val="22"/>
          <w:lang w:eastAsia="en-US"/>
        </w:rPr>
        <w:t>tneho rozpoč</w:t>
      </w:r>
      <w:r w:rsidRPr="00422D66">
        <w:rPr>
          <w:rFonts w:ascii="Times New Roman" w:eastAsia="Calibri" w:hAnsi="Times New Roman" w:hint="default"/>
          <w:color w:val="000000"/>
          <w:sz w:val="22"/>
          <w:szCs w:val="22"/>
          <w:lang w:eastAsia="en-US"/>
        </w:rPr>
        <w:t>tu</w:t>
      </w:r>
      <w:r w:rsidR="00361A0E">
        <w:rPr>
          <w:rFonts w:ascii="Times New Roman" w:eastAsia="Calibri" w:hAnsi="Times New Roman" w:hint="default"/>
          <w:color w:val="000000"/>
          <w:sz w:val="22"/>
          <w:szCs w:val="22"/>
          <w:lang w:eastAsia="en-US"/>
        </w:rPr>
        <w:t>, napr. predaj pozemkov, budov, hmotný</w:t>
      </w:r>
      <w:r w:rsidR="00361A0E">
        <w:rPr>
          <w:rFonts w:ascii="Times New Roman" w:eastAsia="Calibri" w:hAnsi="Times New Roman" w:hint="default"/>
          <w:color w:val="000000"/>
          <w:sz w:val="22"/>
          <w:szCs w:val="22"/>
          <w:lang w:eastAsia="en-US"/>
        </w:rPr>
        <w:t>ch rezerv a pod.</w:t>
      </w:r>
      <w:r w:rsidRPr="00422D66">
        <w:rPr>
          <w:rFonts w:ascii="Times New Roman" w:eastAsia="Calibri" w:hAnsi="Times New Roman" w:hint="default"/>
          <w:color w:val="000000"/>
          <w:sz w:val="22"/>
          <w:szCs w:val="22"/>
          <w:lang w:eastAsia="en-US"/>
        </w:rPr>
        <w:t xml:space="preserve"> Tieto prí</w:t>
      </w:r>
      <w:r w:rsidRPr="00422D66">
        <w:rPr>
          <w:rFonts w:ascii="Times New Roman" w:eastAsia="Calibri" w:hAnsi="Times New Roman" w:hint="default"/>
          <w:color w:val="000000"/>
          <w:sz w:val="22"/>
          <w:szCs w:val="22"/>
          <w:lang w:eastAsia="en-US"/>
        </w:rPr>
        <w:t>jmy dosiahli za rok 2015 sku</w:t>
      </w:r>
      <w:r w:rsidR="00361A0E">
        <w:rPr>
          <w:rFonts w:ascii="Times New Roman" w:eastAsia="Calibri" w:hAnsi="Times New Roman" w:hint="default"/>
          <w:color w:val="000000"/>
          <w:sz w:val="22"/>
          <w:szCs w:val="22"/>
          <w:lang w:eastAsia="en-US"/>
        </w:rPr>
        <w:t>toč</w:t>
      </w:r>
      <w:r w:rsidR="00361A0E">
        <w:rPr>
          <w:rFonts w:ascii="Times New Roman" w:eastAsia="Calibri" w:hAnsi="Times New Roman" w:hint="default"/>
          <w:color w:val="000000"/>
          <w:sz w:val="22"/>
          <w:szCs w:val="22"/>
          <w:lang w:eastAsia="en-US"/>
        </w:rPr>
        <w:t>né</w:t>
      </w:r>
      <w:r w:rsidR="00361A0E">
        <w:rPr>
          <w:rFonts w:ascii="Times New Roman" w:eastAsia="Calibri" w:hAnsi="Times New Roman" w:hint="default"/>
          <w:color w:val="000000"/>
          <w:sz w:val="22"/>
          <w:szCs w:val="22"/>
          <w:lang w:eastAsia="en-US"/>
        </w:rPr>
        <w:t xml:space="preserve"> plnenie 12 580 tis. eur a </w:t>
      </w:r>
      <w:r w:rsidRPr="00422D66">
        <w:rPr>
          <w:rFonts w:ascii="Times New Roman" w:eastAsia="Calibri" w:hAnsi="Times New Roman" w:hint="default"/>
          <w:color w:val="000000"/>
          <w:sz w:val="22"/>
          <w:szCs w:val="22"/>
          <w:lang w:eastAsia="en-US"/>
        </w:rPr>
        <w:t>stali sa tak objemovo najmenš</w:t>
      </w:r>
      <w:r w:rsidRPr="00422D66">
        <w:rPr>
          <w:rFonts w:ascii="Times New Roman" w:eastAsia="Calibri" w:hAnsi="Times New Roman" w:hint="default"/>
          <w:color w:val="000000"/>
          <w:sz w:val="22"/>
          <w:szCs w:val="22"/>
          <w:lang w:eastAsia="en-US"/>
        </w:rPr>
        <w:t>ou č</w:t>
      </w:r>
      <w:r w:rsidRPr="00422D66">
        <w:rPr>
          <w:rFonts w:ascii="Times New Roman" w:eastAsia="Calibri" w:hAnsi="Times New Roman" w:hint="default"/>
          <w:color w:val="000000"/>
          <w:sz w:val="22"/>
          <w:szCs w:val="22"/>
          <w:lang w:eastAsia="en-US"/>
        </w:rPr>
        <w:t>asť</w:t>
      </w:r>
      <w:r w:rsidRPr="00422D66">
        <w:rPr>
          <w:rFonts w:ascii="Times New Roman" w:eastAsia="Calibri" w:hAnsi="Times New Roman" w:hint="default"/>
          <w:color w:val="000000"/>
          <w:sz w:val="22"/>
          <w:szCs w:val="22"/>
          <w:lang w:eastAsia="en-US"/>
        </w:rPr>
        <w:t>ou celkový</w:t>
      </w:r>
      <w:r w:rsidRPr="00422D66">
        <w:rPr>
          <w:rFonts w:ascii="Times New Roman" w:eastAsia="Calibri" w:hAnsi="Times New Roman" w:hint="default"/>
          <w:color w:val="000000"/>
          <w:sz w:val="22"/>
          <w:szCs w:val="22"/>
          <w:lang w:eastAsia="en-US"/>
        </w:rPr>
        <w:t>ch nedaň</w:t>
      </w:r>
      <w:r w:rsidRPr="00422D66">
        <w:rPr>
          <w:rFonts w:ascii="Times New Roman" w:eastAsia="Calibri" w:hAnsi="Times New Roman" w:hint="default"/>
          <w:color w:val="000000"/>
          <w:sz w:val="22"/>
          <w:szCs w:val="22"/>
          <w:lang w:eastAsia="en-US"/>
        </w:rPr>
        <w:t>ový</w:t>
      </w:r>
      <w:r w:rsidRPr="00422D66">
        <w:rPr>
          <w:rFonts w:ascii="Times New Roman" w:eastAsia="Calibri" w:hAnsi="Times New Roman" w:hint="default"/>
          <w:color w:val="000000"/>
          <w:sz w:val="22"/>
          <w:szCs w:val="22"/>
          <w:lang w:eastAsia="en-US"/>
        </w:rPr>
        <w:t>ch prí</w:t>
      </w:r>
      <w:r w:rsidRPr="00422D66">
        <w:rPr>
          <w:rFonts w:ascii="Times New Roman" w:eastAsia="Calibri" w:hAnsi="Times New Roman" w:hint="default"/>
          <w:color w:val="000000"/>
          <w:sz w:val="22"/>
          <w:szCs w:val="22"/>
          <w:lang w:eastAsia="en-US"/>
        </w:rPr>
        <w:t>jmov a </w:t>
      </w:r>
      <w:r w:rsidRPr="00422D66">
        <w:rPr>
          <w:rFonts w:ascii="Times New Roman" w:eastAsia="Calibri" w:hAnsi="Times New Roman" w:hint="default"/>
          <w:color w:val="000000"/>
          <w:sz w:val="22"/>
          <w:szCs w:val="22"/>
          <w:lang w:eastAsia="en-US"/>
        </w:rPr>
        <w:t>zá</w:t>
      </w:r>
      <w:r w:rsidRPr="00422D66">
        <w:rPr>
          <w:rFonts w:ascii="Times New Roman" w:eastAsia="Calibri" w:hAnsi="Times New Roman" w:hint="default"/>
          <w:color w:val="000000"/>
          <w:sz w:val="22"/>
          <w:szCs w:val="22"/>
          <w:lang w:eastAsia="en-US"/>
        </w:rPr>
        <w:t>roveň</w:t>
      </w:r>
      <w:r w:rsidRPr="00422D66">
        <w:rPr>
          <w:rFonts w:ascii="Times New Roman" w:eastAsia="Calibri" w:hAnsi="Times New Roman" w:hint="default"/>
          <w:color w:val="000000"/>
          <w:sz w:val="22"/>
          <w:szCs w:val="22"/>
          <w:lang w:eastAsia="en-US"/>
        </w:rPr>
        <w:t xml:space="preserve"> zaznam</w:t>
      </w:r>
      <w:r w:rsidRPr="00422D66">
        <w:rPr>
          <w:rFonts w:ascii="Times New Roman" w:eastAsia="Calibri" w:hAnsi="Times New Roman" w:hint="default"/>
          <w:color w:val="000000"/>
          <w:sz w:val="22"/>
          <w:szCs w:val="22"/>
          <w:lang w:eastAsia="en-US"/>
        </w:rPr>
        <w:t>enali vý</w:t>
      </w:r>
      <w:r w:rsidRPr="00422D66">
        <w:rPr>
          <w:rFonts w:ascii="Times New Roman" w:eastAsia="Calibri" w:hAnsi="Times New Roman" w:hint="default"/>
          <w:color w:val="000000"/>
          <w:sz w:val="22"/>
          <w:szCs w:val="22"/>
          <w:lang w:eastAsia="en-US"/>
        </w:rPr>
        <w:t>padok oproti rozpoč</w:t>
      </w:r>
      <w:r w:rsidRPr="00422D66">
        <w:rPr>
          <w:rFonts w:ascii="Times New Roman" w:eastAsia="Calibri" w:hAnsi="Times New Roman" w:hint="default"/>
          <w:color w:val="000000"/>
          <w:sz w:val="22"/>
          <w:szCs w:val="22"/>
          <w:lang w:eastAsia="en-US"/>
        </w:rPr>
        <w:t>tu až</w:t>
      </w:r>
      <w:r w:rsidRPr="00422D66">
        <w:rPr>
          <w:rFonts w:ascii="Times New Roman" w:eastAsia="Calibri" w:hAnsi="Times New Roman" w:hint="default"/>
          <w:color w:val="000000"/>
          <w:sz w:val="22"/>
          <w:szCs w:val="22"/>
          <w:lang w:eastAsia="en-US"/>
        </w:rPr>
        <w:t xml:space="preserve"> 83,4 </w:t>
      </w:r>
      <w:r w:rsidRPr="00422D66">
        <w:rPr>
          <w:rFonts w:ascii="Times New Roman" w:eastAsia="Calibri" w:hAnsi="Times New Roman" w:hint="default"/>
          <w:color w:val="000000"/>
          <w:sz w:val="22"/>
          <w:szCs w:val="22"/>
          <w:lang w:eastAsia="en-US"/>
        </w:rPr>
        <w:t>%. Už</w:t>
      </w:r>
      <w:r w:rsidRPr="00422D66">
        <w:rPr>
          <w:rFonts w:ascii="Times New Roman" w:eastAsia="Calibri" w:hAnsi="Times New Roman" w:hint="default"/>
          <w:color w:val="000000"/>
          <w:sz w:val="22"/>
          <w:szCs w:val="22"/>
          <w:lang w:eastAsia="en-US"/>
        </w:rPr>
        <w:t xml:space="preserve"> schvá</w:t>
      </w:r>
      <w:r w:rsidRPr="00422D66">
        <w:rPr>
          <w:rFonts w:ascii="Times New Roman" w:eastAsia="Calibri" w:hAnsi="Times New Roman" w:hint="default"/>
          <w:color w:val="000000"/>
          <w:sz w:val="22"/>
          <w:szCs w:val="22"/>
          <w:lang w:eastAsia="en-US"/>
        </w:rPr>
        <w:t>lený</w:t>
      </w:r>
      <w:r w:rsidRPr="00422D66">
        <w:rPr>
          <w:rFonts w:ascii="Times New Roman" w:eastAsia="Calibri" w:hAnsi="Times New Roman" w:hint="default"/>
          <w:color w:val="000000"/>
          <w:sz w:val="22"/>
          <w:szCs w:val="22"/>
          <w:lang w:eastAsia="en-US"/>
        </w:rPr>
        <w:t xml:space="preserve"> rozpoč</w:t>
      </w:r>
      <w:r w:rsidRPr="00422D66">
        <w:rPr>
          <w:rFonts w:ascii="Times New Roman" w:eastAsia="Calibri" w:hAnsi="Times New Roman" w:hint="default"/>
          <w:color w:val="000000"/>
          <w:sz w:val="22"/>
          <w:szCs w:val="22"/>
          <w:lang w:eastAsia="en-US"/>
        </w:rPr>
        <w:t>et kapitá</w:t>
      </w:r>
      <w:r w:rsidRPr="00422D66">
        <w:rPr>
          <w:rFonts w:ascii="Times New Roman" w:eastAsia="Calibri" w:hAnsi="Times New Roman" w:hint="default"/>
          <w:color w:val="000000"/>
          <w:sz w:val="22"/>
          <w:szCs w:val="22"/>
          <w:lang w:eastAsia="en-US"/>
        </w:rPr>
        <w:t>lový</w:t>
      </w:r>
      <w:r w:rsidRPr="00422D66">
        <w:rPr>
          <w:rFonts w:ascii="Times New Roman" w:eastAsia="Calibri" w:hAnsi="Times New Roman" w:hint="default"/>
          <w:color w:val="000000"/>
          <w:sz w:val="22"/>
          <w:szCs w:val="22"/>
          <w:lang w:eastAsia="en-US"/>
        </w:rPr>
        <w:t>ch prí</w:t>
      </w:r>
      <w:r w:rsidRPr="00422D66">
        <w:rPr>
          <w:rFonts w:ascii="Times New Roman" w:eastAsia="Calibri" w:hAnsi="Times New Roman" w:hint="default"/>
          <w:color w:val="000000"/>
          <w:sz w:val="22"/>
          <w:szCs w:val="22"/>
          <w:lang w:eastAsia="en-US"/>
        </w:rPr>
        <w:t>jmov na rok 2015 vo výš</w:t>
      </w:r>
      <w:r w:rsidRPr="00422D66">
        <w:rPr>
          <w:rFonts w:ascii="Times New Roman" w:eastAsia="Calibri" w:hAnsi="Times New Roman" w:hint="default"/>
          <w:color w:val="000000"/>
          <w:sz w:val="22"/>
          <w:szCs w:val="22"/>
          <w:lang w:eastAsia="en-US"/>
        </w:rPr>
        <w:t xml:space="preserve">ke 75 816 tis. eur bol </w:t>
      </w:r>
      <w:r w:rsidR="00A92F2B">
        <w:rPr>
          <w:rFonts w:ascii="Times New Roman" w:eastAsia="Calibri" w:hAnsi="Times New Roman" w:hint="default"/>
          <w:color w:val="000000"/>
          <w:sz w:val="22"/>
          <w:szCs w:val="22"/>
          <w:lang w:eastAsia="en-US"/>
        </w:rPr>
        <w:t>vý</w:t>
      </w:r>
      <w:r w:rsidR="00A92F2B">
        <w:rPr>
          <w:rFonts w:ascii="Times New Roman" w:eastAsia="Calibri" w:hAnsi="Times New Roman" w:hint="default"/>
          <w:color w:val="000000"/>
          <w:sz w:val="22"/>
          <w:szCs w:val="22"/>
          <w:lang w:eastAsia="en-US"/>
        </w:rPr>
        <w:t xml:space="preserve">razne </w:t>
      </w:r>
      <w:r w:rsidRPr="00422D66">
        <w:rPr>
          <w:rFonts w:ascii="Times New Roman" w:eastAsia="Calibri" w:hAnsi="Times New Roman" w:hint="default"/>
          <w:color w:val="000000"/>
          <w:sz w:val="22"/>
          <w:szCs w:val="22"/>
          <w:lang w:eastAsia="en-US"/>
        </w:rPr>
        <w:t>zníž</w:t>
      </w:r>
      <w:r w:rsidRPr="00422D66">
        <w:rPr>
          <w:rFonts w:ascii="Times New Roman" w:eastAsia="Calibri" w:hAnsi="Times New Roman" w:hint="default"/>
          <w:color w:val="000000"/>
          <w:sz w:val="22"/>
          <w:szCs w:val="22"/>
          <w:lang w:eastAsia="en-US"/>
        </w:rPr>
        <w:t>ený</w:t>
      </w:r>
      <w:r w:rsidRPr="00422D66">
        <w:rPr>
          <w:rFonts w:ascii="Times New Roman" w:eastAsia="Calibri" w:hAnsi="Times New Roman" w:hint="default"/>
          <w:color w:val="000000"/>
          <w:sz w:val="22"/>
          <w:szCs w:val="22"/>
          <w:lang w:eastAsia="en-US"/>
        </w:rPr>
        <w:t xml:space="preserve"> oproti predchá</w:t>
      </w:r>
      <w:r w:rsidRPr="00422D66">
        <w:rPr>
          <w:rFonts w:ascii="Times New Roman" w:eastAsia="Calibri" w:hAnsi="Times New Roman" w:hint="default"/>
          <w:color w:val="000000"/>
          <w:sz w:val="22"/>
          <w:szCs w:val="22"/>
          <w:lang w:eastAsia="en-US"/>
        </w:rPr>
        <w:t>dza</w:t>
      </w:r>
      <w:r w:rsidR="00A92F2B">
        <w:rPr>
          <w:rFonts w:ascii="Times New Roman" w:eastAsia="Calibri" w:hAnsi="Times New Roman" w:hint="default"/>
          <w:color w:val="000000"/>
          <w:sz w:val="22"/>
          <w:szCs w:val="22"/>
          <w:lang w:eastAsia="en-US"/>
        </w:rPr>
        <w:t>jú</w:t>
      </w:r>
      <w:r w:rsidR="00A92F2B">
        <w:rPr>
          <w:rFonts w:ascii="Times New Roman" w:eastAsia="Calibri" w:hAnsi="Times New Roman" w:hint="default"/>
          <w:color w:val="000000"/>
          <w:sz w:val="22"/>
          <w:szCs w:val="22"/>
          <w:lang w:eastAsia="en-US"/>
        </w:rPr>
        <w:t>cim rokom. Sú</w:t>
      </w:r>
      <w:r w:rsidR="00A92F2B">
        <w:rPr>
          <w:rFonts w:ascii="Times New Roman" w:eastAsia="Calibri" w:hAnsi="Times New Roman" w:hint="default"/>
          <w:color w:val="000000"/>
          <w:sz w:val="22"/>
          <w:szCs w:val="22"/>
          <w:lang w:eastAsia="en-US"/>
        </w:rPr>
        <w:t>viselo to najmä</w:t>
      </w:r>
      <w:r w:rsidR="00A92F2B">
        <w:rPr>
          <w:rFonts w:ascii="Times New Roman" w:eastAsia="Calibri" w:hAnsi="Times New Roman" w:hint="default"/>
          <w:color w:val="000000"/>
          <w:sz w:val="22"/>
          <w:szCs w:val="22"/>
          <w:lang w:eastAsia="en-US"/>
        </w:rPr>
        <w:t xml:space="preserve"> s</w:t>
      </w:r>
      <w:r w:rsidRPr="00422D66">
        <w:rPr>
          <w:rFonts w:ascii="Times New Roman" w:eastAsia="Calibri" w:hAnsi="Times New Roman" w:hint="default"/>
          <w:color w:val="000000"/>
          <w:sz w:val="22"/>
          <w:szCs w:val="22"/>
          <w:lang w:eastAsia="en-US"/>
        </w:rPr>
        <w:t>o zníž</w:t>
      </w:r>
      <w:r w:rsidRPr="00422D66">
        <w:rPr>
          <w:rFonts w:ascii="Times New Roman" w:eastAsia="Calibri" w:hAnsi="Times New Roman" w:hint="default"/>
          <w:color w:val="000000"/>
          <w:sz w:val="22"/>
          <w:szCs w:val="22"/>
          <w:lang w:eastAsia="en-US"/>
        </w:rPr>
        <w:t>ení</w:t>
      </w:r>
      <w:r w:rsidRPr="00422D66">
        <w:rPr>
          <w:rFonts w:ascii="Times New Roman" w:eastAsia="Calibri" w:hAnsi="Times New Roman" w:hint="default"/>
          <w:color w:val="000000"/>
          <w:sz w:val="22"/>
          <w:szCs w:val="22"/>
          <w:lang w:eastAsia="en-US"/>
        </w:rPr>
        <w:t>m prí</w:t>
      </w:r>
      <w:r w:rsidRPr="00422D66">
        <w:rPr>
          <w:rFonts w:ascii="Times New Roman" w:eastAsia="Calibri" w:hAnsi="Times New Roman" w:hint="default"/>
          <w:color w:val="000000"/>
          <w:sz w:val="22"/>
          <w:szCs w:val="22"/>
          <w:lang w:eastAsia="en-US"/>
        </w:rPr>
        <w:t>jmov v </w:t>
      </w:r>
      <w:r w:rsidRPr="00422D66">
        <w:rPr>
          <w:rFonts w:ascii="Times New Roman" w:eastAsia="Calibri" w:hAnsi="Times New Roman" w:hint="default"/>
          <w:color w:val="000000"/>
          <w:sz w:val="22"/>
          <w:szCs w:val="22"/>
          <w:lang w:eastAsia="en-US"/>
        </w:rPr>
        <w:t>kapitole Sprá</w:t>
      </w:r>
      <w:r w:rsidRPr="00422D66">
        <w:rPr>
          <w:rFonts w:ascii="Times New Roman" w:eastAsia="Calibri" w:hAnsi="Times New Roman" w:hint="default"/>
          <w:color w:val="000000"/>
          <w:sz w:val="22"/>
          <w:szCs w:val="22"/>
          <w:lang w:eastAsia="en-US"/>
        </w:rPr>
        <w:t>va š</w:t>
      </w:r>
      <w:r w:rsidRPr="00422D66">
        <w:rPr>
          <w:rFonts w:ascii="Times New Roman" w:eastAsia="Calibri" w:hAnsi="Times New Roman" w:hint="default"/>
          <w:color w:val="000000"/>
          <w:sz w:val="22"/>
          <w:szCs w:val="22"/>
          <w:lang w:eastAsia="en-US"/>
        </w:rPr>
        <w:t>tá</w:t>
      </w:r>
      <w:r w:rsidRPr="00422D66">
        <w:rPr>
          <w:rFonts w:ascii="Times New Roman" w:eastAsia="Calibri" w:hAnsi="Times New Roman" w:hint="default"/>
          <w:color w:val="000000"/>
          <w:sz w:val="22"/>
          <w:szCs w:val="22"/>
          <w:lang w:eastAsia="en-US"/>
        </w:rPr>
        <w:t>tnych hmotný</w:t>
      </w:r>
      <w:r w:rsidRPr="00422D66">
        <w:rPr>
          <w:rFonts w:ascii="Times New Roman" w:eastAsia="Calibri" w:hAnsi="Times New Roman" w:hint="default"/>
          <w:color w:val="000000"/>
          <w:sz w:val="22"/>
          <w:szCs w:val="22"/>
          <w:lang w:eastAsia="en-US"/>
        </w:rPr>
        <w:t xml:space="preserve">ch rezerv SR </w:t>
      </w:r>
      <w:r w:rsidR="00A92F2B">
        <w:rPr>
          <w:rFonts w:ascii="Times New Roman" w:eastAsia="Calibri" w:hAnsi="Times New Roman"/>
          <w:color w:val="000000"/>
          <w:sz w:val="22"/>
          <w:szCs w:val="22"/>
          <w:lang w:eastAsia="en-US"/>
        </w:rPr>
        <w:t>z </w:t>
      </w:r>
      <w:r w:rsidR="00A92F2B">
        <w:rPr>
          <w:rFonts w:ascii="Times New Roman" w:eastAsia="Calibri" w:hAnsi="Times New Roman" w:hint="default"/>
          <w:color w:val="000000"/>
          <w:sz w:val="22"/>
          <w:szCs w:val="22"/>
          <w:lang w:eastAsia="en-US"/>
        </w:rPr>
        <w:t>dô</w:t>
      </w:r>
      <w:r w:rsidR="00A92F2B">
        <w:rPr>
          <w:rFonts w:ascii="Times New Roman" w:eastAsia="Calibri" w:hAnsi="Times New Roman" w:hint="default"/>
          <w:color w:val="000000"/>
          <w:sz w:val="22"/>
          <w:szCs w:val="22"/>
          <w:lang w:eastAsia="en-US"/>
        </w:rPr>
        <w:t>vodu zmeny</w:t>
      </w:r>
      <w:r w:rsidRPr="00422D66">
        <w:rPr>
          <w:rFonts w:ascii="Times New Roman" w:eastAsia="Calibri" w:hAnsi="Times New Roman" w:hint="default"/>
          <w:color w:val="000000"/>
          <w:sz w:val="22"/>
          <w:szCs w:val="22"/>
          <w:lang w:eastAsia="en-US"/>
        </w:rPr>
        <w:t xml:space="preserve"> financovania nú</w:t>
      </w:r>
      <w:r w:rsidRPr="00422D66">
        <w:rPr>
          <w:rFonts w:ascii="Times New Roman" w:eastAsia="Calibri" w:hAnsi="Times New Roman" w:hint="default"/>
          <w:color w:val="000000"/>
          <w:sz w:val="22"/>
          <w:szCs w:val="22"/>
          <w:lang w:eastAsia="en-US"/>
        </w:rPr>
        <w:t>dzový</w:t>
      </w:r>
      <w:r w:rsidRPr="00422D66">
        <w:rPr>
          <w:rFonts w:ascii="Times New Roman" w:eastAsia="Calibri" w:hAnsi="Times New Roman" w:hint="default"/>
          <w:color w:val="000000"/>
          <w:sz w:val="22"/>
          <w:szCs w:val="22"/>
          <w:lang w:eastAsia="en-US"/>
        </w:rPr>
        <w:t>ch zá</w:t>
      </w:r>
      <w:r w:rsidRPr="00422D66">
        <w:rPr>
          <w:rFonts w:ascii="Times New Roman" w:eastAsia="Calibri" w:hAnsi="Times New Roman" w:hint="default"/>
          <w:color w:val="000000"/>
          <w:sz w:val="22"/>
          <w:szCs w:val="22"/>
          <w:lang w:eastAsia="en-US"/>
        </w:rPr>
        <w:t>so</w:t>
      </w:r>
      <w:r>
        <w:rPr>
          <w:rFonts w:ascii="Times New Roman" w:eastAsia="Calibri" w:hAnsi="Times New Roman"/>
          <w:color w:val="000000"/>
          <w:sz w:val="22"/>
          <w:szCs w:val="22"/>
          <w:lang w:eastAsia="en-US"/>
        </w:rPr>
        <w:t>b ropy a </w:t>
      </w:r>
      <w:r>
        <w:rPr>
          <w:rFonts w:ascii="Times New Roman" w:eastAsia="Calibri" w:hAnsi="Times New Roman" w:hint="default"/>
          <w:color w:val="000000"/>
          <w:sz w:val="22"/>
          <w:szCs w:val="22"/>
          <w:lang w:eastAsia="en-US"/>
        </w:rPr>
        <w:t>ropný</w:t>
      </w:r>
      <w:r>
        <w:rPr>
          <w:rFonts w:ascii="Times New Roman" w:eastAsia="Calibri" w:hAnsi="Times New Roman" w:hint="default"/>
          <w:color w:val="000000"/>
          <w:sz w:val="22"/>
          <w:szCs w:val="22"/>
          <w:lang w:eastAsia="en-US"/>
        </w:rPr>
        <w:t>ch produktov</w:t>
      </w:r>
      <w:r w:rsidR="004D22C7">
        <w:rPr>
          <w:rFonts w:ascii="Times New Roman" w:eastAsia="Calibri" w:hAnsi="Times New Roman" w:hint="default"/>
          <w:color w:val="000000"/>
          <w:sz w:val="22"/>
          <w:szCs w:val="22"/>
          <w:lang w:eastAsia="en-US"/>
        </w:rPr>
        <w:t>, a preto prí</w:t>
      </w:r>
      <w:r w:rsidR="004D22C7">
        <w:rPr>
          <w:rFonts w:ascii="Times New Roman" w:eastAsia="Calibri" w:hAnsi="Times New Roman" w:hint="default"/>
          <w:color w:val="000000"/>
          <w:sz w:val="22"/>
          <w:szCs w:val="22"/>
          <w:lang w:eastAsia="en-US"/>
        </w:rPr>
        <w:t>jmy z ich predaja už</w:t>
      </w:r>
      <w:r w:rsidR="004D22C7">
        <w:rPr>
          <w:rFonts w:ascii="Times New Roman" w:eastAsia="Calibri" w:hAnsi="Times New Roman" w:hint="default"/>
          <w:color w:val="000000"/>
          <w:sz w:val="22"/>
          <w:szCs w:val="22"/>
          <w:lang w:eastAsia="en-US"/>
        </w:rPr>
        <w:t xml:space="preserve"> nie sú</w:t>
      </w:r>
      <w:r w:rsidR="004D22C7">
        <w:rPr>
          <w:rFonts w:ascii="Times New Roman" w:eastAsia="Calibri" w:hAnsi="Times New Roman" w:hint="default"/>
          <w:color w:val="000000"/>
          <w:sz w:val="22"/>
          <w:szCs w:val="22"/>
          <w:lang w:eastAsia="en-US"/>
        </w:rPr>
        <w:t xml:space="preserve"> súč</w:t>
      </w:r>
      <w:r w:rsidR="004D22C7">
        <w:rPr>
          <w:rFonts w:ascii="Times New Roman" w:eastAsia="Calibri" w:hAnsi="Times New Roman" w:hint="default"/>
          <w:color w:val="000000"/>
          <w:sz w:val="22"/>
          <w:szCs w:val="22"/>
          <w:lang w:eastAsia="en-US"/>
        </w:rPr>
        <w:t>asť</w:t>
      </w:r>
      <w:r w:rsidR="004D22C7">
        <w:rPr>
          <w:rFonts w:ascii="Times New Roman" w:eastAsia="Calibri" w:hAnsi="Times New Roman" w:hint="default"/>
          <w:color w:val="000000"/>
          <w:sz w:val="22"/>
          <w:szCs w:val="22"/>
          <w:lang w:eastAsia="en-US"/>
        </w:rPr>
        <w:t>ou prí</w:t>
      </w:r>
      <w:r w:rsidR="004D22C7">
        <w:rPr>
          <w:rFonts w:ascii="Times New Roman" w:eastAsia="Calibri" w:hAnsi="Times New Roman" w:hint="default"/>
          <w:color w:val="000000"/>
          <w:sz w:val="22"/>
          <w:szCs w:val="22"/>
          <w:lang w:eastAsia="en-US"/>
        </w:rPr>
        <w:t>jmov š</w:t>
      </w:r>
      <w:r w:rsidR="004D22C7">
        <w:rPr>
          <w:rFonts w:ascii="Times New Roman" w:eastAsia="Calibri" w:hAnsi="Times New Roman" w:hint="default"/>
          <w:color w:val="000000"/>
          <w:sz w:val="22"/>
          <w:szCs w:val="22"/>
          <w:lang w:eastAsia="en-US"/>
        </w:rPr>
        <w:t>tá</w:t>
      </w:r>
      <w:r w:rsidR="004D22C7">
        <w:rPr>
          <w:rFonts w:ascii="Times New Roman" w:eastAsia="Calibri" w:hAnsi="Times New Roman" w:hint="default"/>
          <w:color w:val="000000"/>
          <w:sz w:val="22"/>
          <w:szCs w:val="22"/>
          <w:lang w:eastAsia="en-US"/>
        </w:rPr>
        <w:t>tneho rozpoč</w:t>
      </w:r>
      <w:r w:rsidR="004D22C7">
        <w:rPr>
          <w:rFonts w:ascii="Times New Roman" w:eastAsia="Calibri" w:hAnsi="Times New Roman" w:hint="default"/>
          <w:color w:val="000000"/>
          <w:sz w:val="22"/>
          <w:szCs w:val="22"/>
          <w:lang w:eastAsia="en-US"/>
        </w:rPr>
        <w:t>tu.</w:t>
      </w:r>
      <w:r>
        <w:rPr>
          <w:rFonts w:ascii="Times New Roman" w:eastAsia="Calibri" w:hAnsi="Times New Roman"/>
          <w:color w:val="000000"/>
          <w:sz w:val="22"/>
          <w:szCs w:val="22"/>
          <w:lang w:eastAsia="en-US"/>
        </w:rPr>
        <w:t xml:space="preserve"> </w:t>
      </w:r>
      <w:r w:rsidR="004D22C7">
        <w:rPr>
          <w:rFonts w:ascii="Times New Roman" w:eastAsia="Calibri" w:hAnsi="Times New Roman"/>
          <w:color w:val="000000"/>
          <w:sz w:val="22"/>
          <w:szCs w:val="22"/>
          <w:lang w:eastAsia="en-US"/>
        </w:rPr>
        <w:t>V</w:t>
      </w:r>
      <w:r w:rsidRPr="00422D66">
        <w:rPr>
          <w:rFonts w:ascii="Times New Roman" w:eastAsia="Calibri" w:hAnsi="Times New Roman"/>
          <w:color w:val="000000"/>
          <w:sz w:val="22"/>
          <w:szCs w:val="22"/>
          <w:lang w:eastAsia="en-US"/>
        </w:rPr>
        <w:t> </w:t>
      </w:r>
      <w:r w:rsidRPr="00422D66">
        <w:rPr>
          <w:rFonts w:ascii="Times New Roman" w:eastAsia="Calibri" w:hAnsi="Times New Roman" w:hint="default"/>
          <w:color w:val="000000"/>
          <w:sz w:val="22"/>
          <w:szCs w:val="22"/>
          <w:lang w:eastAsia="en-US"/>
        </w:rPr>
        <w:t>kapitole Ministerstva ž</w:t>
      </w:r>
      <w:r w:rsidRPr="00422D66">
        <w:rPr>
          <w:rFonts w:ascii="Times New Roman" w:eastAsia="Calibri" w:hAnsi="Times New Roman" w:hint="default"/>
          <w:color w:val="000000"/>
          <w:sz w:val="22"/>
          <w:szCs w:val="22"/>
          <w:lang w:eastAsia="en-US"/>
        </w:rPr>
        <w:t>ivotné</w:t>
      </w:r>
      <w:r w:rsidRPr="00422D66">
        <w:rPr>
          <w:rFonts w:ascii="Times New Roman" w:eastAsia="Calibri" w:hAnsi="Times New Roman" w:hint="default"/>
          <w:color w:val="000000"/>
          <w:sz w:val="22"/>
          <w:szCs w:val="22"/>
          <w:lang w:eastAsia="en-US"/>
        </w:rPr>
        <w:t>ho prostredia SR sa nerozpoč</w:t>
      </w:r>
      <w:r w:rsidRPr="00422D66">
        <w:rPr>
          <w:rFonts w:ascii="Times New Roman" w:eastAsia="Calibri" w:hAnsi="Times New Roman" w:hint="default"/>
          <w:color w:val="000000"/>
          <w:sz w:val="22"/>
          <w:szCs w:val="22"/>
          <w:lang w:eastAsia="en-US"/>
        </w:rPr>
        <w:t>tovali prí</w:t>
      </w:r>
      <w:r w:rsidRPr="00422D66">
        <w:rPr>
          <w:rFonts w:ascii="Times New Roman" w:eastAsia="Calibri" w:hAnsi="Times New Roman" w:hint="default"/>
          <w:color w:val="000000"/>
          <w:sz w:val="22"/>
          <w:szCs w:val="22"/>
          <w:lang w:eastAsia="en-US"/>
        </w:rPr>
        <w:t>jmy z obchodovania s </w:t>
      </w:r>
      <w:r w:rsidRPr="00422D66">
        <w:rPr>
          <w:rFonts w:ascii="Times New Roman" w:eastAsia="Calibri" w:hAnsi="Times New Roman" w:hint="default"/>
          <w:color w:val="000000"/>
          <w:sz w:val="22"/>
          <w:szCs w:val="22"/>
          <w:lang w:eastAsia="en-US"/>
        </w:rPr>
        <w:t>emisný</w:t>
      </w:r>
      <w:r w:rsidRPr="00422D66">
        <w:rPr>
          <w:rFonts w:ascii="Times New Roman" w:eastAsia="Calibri" w:hAnsi="Times New Roman" w:hint="default"/>
          <w:color w:val="000000"/>
          <w:sz w:val="22"/>
          <w:szCs w:val="22"/>
          <w:lang w:eastAsia="en-US"/>
        </w:rPr>
        <w:t>mi kvó</w:t>
      </w:r>
      <w:r w:rsidRPr="00422D66">
        <w:rPr>
          <w:rFonts w:ascii="Times New Roman" w:eastAsia="Calibri" w:hAnsi="Times New Roman" w:hint="default"/>
          <w:color w:val="000000"/>
          <w:sz w:val="22"/>
          <w:szCs w:val="22"/>
          <w:lang w:eastAsia="en-US"/>
        </w:rPr>
        <w:t>tami, ktor</w:t>
      </w:r>
      <w:r w:rsidRPr="00422D66">
        <w:rPr>
          <w:rFonts w:ascii="Times New Roman" w:eastAsia="Calibri" w:hAnsi="Times New Roman" w:hint="default"/>
          <w:color w:val="000000"/>
          <w:sz w:val="22"/>
          <w:szCs w:val="22"/>
          <w:lang w:eastAsia="en-US"/>
        </w:rPr>
        <w:t>é</w:t>
      </w:r>
      <w:r w:rsidRPr="00422D66">
        <w:rPr>
          <w:rFonts w:ascii="Times New Roman" w:eastAsia="Calibri" w:hAnsi="Times New Roman" w:hint="default"/>
          <w:color w:val="000000"/>
          <w:sz w:val="22"/>
          <w:szCs w:val="22"/>
          <w:lang w:eastAsia="en-US"/>
        </w:rPr>
        <w:t xml:space="preserve"> sú</w:t>
      </w:r>
      <w:r w:rsidRPr="00422D66">
        <w:rPr>
          <w:rFonts w:ascii="Times New Roman" w:eastAsia="Calibri" w:hAnsi="Times New Roman" w:hint="default"/>
          <w:color w:val="000000"/>
          <w:sz w:val="22"/>
          <w:szCs w:val="22"/>
          <w:lang w:eastAsia="en-US"/>
        </w:rPr>
        <w:t xml:space="preserve"> </w:t>
      </w:r>
      <w:r w:rsidR="000C5CE9">
        <w:rPr>
          <w:rFonts w:ascii="Times New Roman" w:eastAsia="Calibri" w:hAnsi="Times New Roman"/>
          <w:color w:val="000000"/>
          <w:sz w:val="22"/>
          <w:szCs w:val="22"/>
          <w:lang w:eastAsia="en-US"/>
        </w:rPr>
        <w:t>z </w:t>
      </w:r>
      <w:r w:rsidR="000C5CE9">
        <w:rPr>
          <w:rFonts w:ascii="Times New Roman" w:eastAsia="Calibri" w:hAnsi="Times New Roman" w:hint="default"/>
          <w:color w:val="000000"/>
          <w:sz w:val="22"/>
          <w:szCs w:val="22"/>
          <w:lang w:eastAsia="en-US"/>
        </w:rPr>
        <w:t>dô</w:t>
      </w:r>
      <w:r w:rsidR="000C5CE9">
        <w:rPr>
          <w:rFonts w:ascii="Times New Roman" w:eastAsia="Calibri" w:hAnsi="Times New Roman" w:hint="default"/>
          <w:color w:val="000000"/>
          <w:sz w:val="22"/>
          <w:szCs w:val="22"/>
          <w:lang w:eastAsia="en-US"/>
        </w:rPr>
        <w:t>vodu novely zá</w:t>
      </w:r>
      <w:r w:rsidR="000C5CE9">
        <w:rPr>
          <w:rFonts w:ascii="Times New Roman" w:eastAsia="Calibri" w:hAnsi="Times New Roman" w:hint="default"/>
          <w:color w:val="000000"/>
          <w:sz w:val="22"/>
          <w:szCs w:val="22"/>
          <w:lang w:eastAsia="en-US"/>
        </w:rPr>
        <w:t>kona č</w:t>
      </w:r>
      <w:r w:rsidR="000C5CE9">
        <w:rPr>
          <w:rFonts w:ascii="Times New Roman" w:eastAsia="Calibri" w:hAnsi="Times New Roman" w:hint="default"/>
          <w:color w:val="000000"/>
          <w:sz w:val="22"/>
          <w:szCs w:val="22"/>
          <w:lang w:eastAsia="en-US"/>
        </w:rPr>
        <w:t>. 414/2012 Z. z. o </w:t>
      </w:r>
      <w:r w:rsidR="000C5CE9">
        <w:rPr>
          <w:rFonts w:ascii="Times New Roman" w:eastAsia="Calibri" w:hAnsi="Times New Roman" w:hint="default"/>
          <w:color w:val="000000"/>
          <w:sz w:val="22"/>
          <w:szCs w:val="22"/>
          <w:lang w:eastAsia="en-US"/>
        </w:rPr>
        <w:t>obchodovaní</w:t>
      </w:r>
      <w:r w:rsidR="000C5CE9">
        <w:rPr>
          <w:rFonts w:ascii="Times New Roman" w:eastAsia="Calibri" w:hAnsi="Times New Roman" w:hint="default"/>
          <w:color w:val="000000"/>
          <w:sz w:val="22"/>
          <w:szCs w:val="22"/>
          <w:lang w:eastAsia="en-US"/>
        </w:rPr>
        <w:t xml:space="preserve"> s </w:t>
      </w:r>
      <w:r w:rsidR="000C5CE9">
        <w:rPr>
          <w:rFonts w:ascii="Times New Roman" w:eastAsia="Calibri" w:hAnsi="Times New Roman" w:hint="default"/>
          <w:color w:val="000000"/>
          <w:sz w:val="22"/>
          <w:szCs w:val="22"/>
          <w:lang w:eastAsia="en-US"/>
        </w:rPr>
        <w:t>emisný</w:t>
      </w:r>
      <w:r w:rsidR="000C5CE9">
        <w:rPr>
          <w:rFonts w:ascii="Times New Roman" w:eastAsia="Calibri" w:hAnsi="Times New Roman" w:hint="default"/>
          <w:color w:val="000000"/>
          <w:sz w:val="22"/>
          <w:szCs w:val="22"/>
          <w:lang w:eastAsia="en-US"/>
        </w:rPr>
        <w:t>mi kvó</w:t>
      </w:r>
      <w:r w:rsidR="000C5CE9">
        <w:rPr>
          <w:rFonts w:ascii="Times New Roman" w:eastAsia="Calibri" w:hAnsi="Times New Roman" w:hint="default"/>
          <w:color w:val="000000"/>
          <w:sz w:val="22"/>
          <w:szCs w:val="22"/>
          <w:lang w:eastAsia="en-US"/>
        </w:rPr>
        <w:t>tami už</w:t>
      </w:r>
      <w:r w:rsidR="000C5CE9">
        <w:rPr>
          <w:rFonts w:ascii="Times New Roman" w:eastAsia="Calibri" w:hAnsi="Times New Roman" w:hint="default"/>
          <w:color w:val="000000"/>
          <w:sz w:val="22"/>
          <w:szCs w:val="22"/>
          <w:lang w:eastAsia="en-US"/>
        </w:rPr>
        <w:t xml:space="preserve"> v </w:t>
      </w:r>
      <w:r w:rsidR="000C5CE9">
        <w:rPr>
          <w:rFonts w:ascii="Times New Roman" w:eastAsia="Calibri" w:hAnsi="Times New Roman" w:hint="default"/>
          <w:color w:val="000000"/>
          <w:sz w:val="22"/>
          <w:szCs w:val="22"/>
          <w:lang w:eastAsia="en-US"/>
        </w:rPr>
        <w:t>plnej miere súč</w:t>
      </w:r>
      <w:r w:rsidR="000C5CE9">
        <w:rPr>
          <w:rFonts w:ascii="Times New Roman" w:eastAsia="Calibri" w:hAnsi="Times New Roman" w:hint="default"/>
          <w:color w:val="000000"/>
          <w:sz w:val="22"/>
          <w:szCs w:val="22"/>
          <w:lang w:eastAsia="en-US"/>
        </w:rPr>
        <w:t>asť</w:t>
      </w:r>
      <w:r w:rsidR="000C5CE9">
        <w:rPr>
          <w:rFonts w:ascii="Times New Roman" w:eastAsia="Calibri" w:hAnsi="Times New Roman" w:hint="default"/>
          <w:color w:val="000000"/>
          <w:sz w:val="22"/>
          <w:szCs w:val="22"/>
          <w:lang w:eastAsia="en-US"/>
        </w:rPr>
        <w:t>ou prí</w:t>
      </w:r>
      <w:r w:rsidR="000C5CE9">
        <w:rPr>
          <w:rFonts w:ascii="Times New Roman" w:eastAsia="Calibri" w:hAnsi="Times New Roman" w:hint="default"/>
          <w:color w:val="000000"/>
          <w:sz w:val="22"/>
          <w:szCs w:val="22"/>
          <w:lang w:eastAsia="en-US"/>
        </w:rPr>
        <w:t xml:space="preserve">jmov </w:t>
      </w:r>
      <w:r w:rsidRPr="00422D66">
        <w:rPr>
          <w:rFonts w:ascii="Times New Roman" w:eastAsia="Calibri" w:hAnsi="Times New Roman" w:hint="default"/>
          <w:color w:val="000000"/>
          <w:sz w:val="22"/>
          <w:szCs w:val="22"/>
          <w:lang w:eastAsia="en-US"/>
        </w:rPr>
        <w:t>Environmentá</w:t>
      </w:r>
      <w:r w:rsidRPr="00422D66">
        <w:rPr>
          <w:rFonts w:ascii="Times New Roman" w:eastAsia="Calibri" w:hAnsi="Times New Roman" w:hint="default"/>
          <w:color w:val="000000"/>
          <w:sz w:val="22"/>
          <w:szCs w:val="22"/>
          <w:lang w:eastAsia="en-US"/>
        </w:rPr>
        <w:t>lneho fondu. Neplnenie roč</w:t>
      </w:r>
      <w:r w:rsidRPr="00422D66">
        <w:rPr>
          <w:rFonts w:ascii="Times New Roman" w:eastAsia="Calibri" w:hAnsi="Times New Roman" w:hint="default"/>
          <w:color w:val="000000"/>
          <w:sz w:val="22"/>
          <w:szCs w:val="22"/>
          <w:lang w:eastAsia="en-US"/>
        </w:rPr>
        <w:t>né</w:t>
      </w:r>
      <w:r w:rsidRPr="00422D66">
        <w:rPr>
          <w:rFonts w:ascii="Times New Roman" w:eastAsia="Calibri" w:hAnsi="Times New Roman" w:hint="default"/>
          <w:color w:val="000000"/>
          <w:sz w:val="22"/>
          <w:szCs w:val="22"/>
          <w:lang w:eastAsia="en-US"/>
        </w:rPr>
        <w:t>ho rozpoč</w:t>
      </w:r>
      <w:r w:rsidRPr="00422D66">
        <w:rPr>
          <w:rFonts w:ascii="Times New Roman" w:eastAsia="Calibri" w:hAnsi="Times New Roman" w:hint="default"/>
          <w:color w:val="000000"/>
          <w:sz w:val="22"/>
          <w:szCs w:val="22"/>
          <w:lang w:eastAsia="en-US"/>
        </w:rPr>
        <w:t>tu bolo vo vš</w:t>
      </w:r>
      <w:r w:rsidRPr="00422D66">
        <w:rPr>
          <w:rFonts w:ascii="Times New Roman" w:eastAsia="Calibri" w:hAnsi="Times New Roman" w:hint="default"/>
          <w:color w:val="000000"/>
          <w:sz w:val="22"/>
          <w:szCs w:val="22"/>
          <w:lang w:eastAsia="en-US"/>
        </w:rPr>
        <w:t>etký</w:t>
      </w:r>
      <w:r w:rsidRPr="00422D66">
        <w:rPr>
          <w:rFonts w:ascii="Times New Roman" w:eastAsia="Calibri" w:hAnsi="Times New Roman" w:hint="default"/>
          <w:color w:val="000000"/>
          <w:sz w:val="22"/>
          <w:szCs w:val="22"/>
          <w:lang w:eastAsia="en-US"/>
        </w:rPr>
        <w:t>ch polož</w:t>
      </w:r>
      <w:r w:rsidRPr="00422D66">
        <w:rPr>
          <w:rFonts w:ascii="Times New Roman" w:eastAsia="Calibri" w:hAnsi="Times New Roman" w:hint="default"/>
          <w:color w:val="000000"/>
          <w:sz w:val="22"/>
          <w:szCs w:val="22"/>
          <w:lang w:eastAsia="en-US"/>
        </w:rPr>
        <w:t>ká</w:t>
      </w:r>
      <w:r w:rsidRPr="00422D66">
        <w:rPr>
          <w:rFonts w:ascii="Times New Roman" w:eastAsia="Calibri" w:hAnsi="Times New Roman" w:hint="default"/>
          <w:color w:val="000000"/>
          <w:sz w:val="22"/>
          <w:szCs w:val="22"/>
          <w:lang w:eastAsia="en-US"/>
        </w:rPr>
        <w:t>ch kapitá</w:t>
      </w:r>
      <w:r w:rsidRPr="00422D66">
        <w:rPr>
          <w:rFonts w:ascii="Times New Roman" w:eastAsia="Calibri" w:hAnsi="Times New Roman" w:hint="default"/>
          <w:color w:val="000000"/>
          <w:sz w:val="22"/>
          <w:szCs w:val="22"/>
          <w:lang w:eastAsia="en-US"/>
        </w:rPr>
        <w:t>lový</w:t>
      </w:r>
      <w:r w:rsidRPr="00422D66">
        <w:rPr>
          <w:rFonts w:ascii="Times New Roman" w:eastAsia="Calibri" w:hAnsi="Times New Roman" w:hint="default"/>
          <w:color w:val="000000"/>
          <w:sz w:val="22"/>
          <w:szCs w:val="22"/>
          <w:lang w:eastAsia="en-US"/>
        </w:rPr>
        <w:t>ch prí</w:t>
      </w:r>
      <w:r w:rsidRPr="00422D66">
        <w:rPr>
          <w:rFonts w:ascii="Times New Roman" w:eastAsia="Calibri" w:hAnsi="Times New Roman" w:hint="default"/>
          <w:color w:val="000000"/>
          <w:sz w:val="22"/>
          <w:szCs w:val="22"/>
          <w:lang w:eastAsia="en-US"/>
        </w:rPr>
        <w:t>jmov, najviac v </w:t>
      </w:r>
      <w:r w:rsidRPr="00422D66">
        <w:rPr>
          <w:rFonts w:ascii="Times New Roman" w:eastAsia="Calibri" w:hAnsi="Times New Roman" w:hint="default"/>
          <w:color w:val="000000"/>
          <w:sz w:val="22"/>
          <w:szCs w:val="22"/>
          <w:lang w:eastAsia="en-US"/>
        </w:rPr>
        <w:t>prí</w:t>
      </w:r>
      <w:r w:rsidRPr="00422D66">
        <w:rPr>
          <w:rFonts w:ascii="Times New Roman" w:eastAsia="Calibri" w:hAnsi="Times New Roman" w:hint="default"/>
          <w:color w:val="000000"/>
          <w:sz w:val="22"/>
          <w:szCs w:val="22"/>
          <w:lang w:eastAsia="en-US"/>
        </w:rPr>
        <w:t>jmoch z </w:t>
      </w:r>
      <w:r w:rsidRPr="00422D66">
        <w:rPr>
          <w:rFonts w:ascii="Times New Roman" w:eastAsia="Calibri" w:hAnsi="Times New Roman" w:hint="default"/>
          <w:color w:val="000000"/>
          <w:sz w:val="22"/>
          <w:szCs w:val="22"/>
          <w:lang w:eastAsia="en-US"/>
        </w:rPr>
        <w:t>predaja kapitá</w:t>
      </w:r>
      <w:r w:rsidRPr="00422D66">
        <w:rPr>
          <w:rFonts w:ascii="Times New Roman" w:eastAsia="Calibri" w:hAnsi="Times New Roman" w:hint="default"/>
          <w:color w:val="000000"/>
          <w:sz w:val="22"/>
          <w:szCs w:val="22"/>
          <w:lang w:eastAsia="en-US"/>
        </w:rPr>
        <w:t>lový</w:t>
      </w:r>
      <w:r w:rsidRPr="00422D66">
        <w:rPr>
          <w:rFonts w:ascii="Times New Roman" w:eastAsia="Calibri" w:hAnsi="Times New Roman" w:hint="default"/>
          <w:color w:val="000000"/>
          <w:sz w:val="22"/>
          <w:szCs w:val="22"/>
          <w:lang w:eastAsia="en-US"/>
        </w:rPr>
        <w:t xml:space="preserve">ch </w:t>
      </w:r>
      <w:r w:rsidRPr="00422D66">
        <w:rPr>
          <w:rFonts w:ascii="Times New Roman" w:eastAsia="Calibri" w:hAnsi="Times New Roman" w:hint="default"/>
          <w:color w:val="000000"/>
          <w:sz w:val="22"/>
          <w:szCs w:val="22"/>
          <w:lang w:eastAsia="en-US"/>
        </w:rPr>
        <w:t>aktí</w:t>
      </w:r>
      <w:r w:rsidRPr="00422D66">
        <w:rPr>
          <w:rFonts w:ascii="Times New Roman" w:eastAsia="Calibri" w:hAnsi="Times New Roman" w:hint="default"/>
          <w:color w:val="000000"/>
          <w:sz w:val="22"/>
          <w:szCs w:val="22"/>
          <w:lang w:eastAsia="en-US"/>
        </w:rPr>
        <w:t>v</w:t>
      </w:r>
      <w:r w:rsidR="00A92F2B">
        <w:rPr>
          <w:rFonts w:ascii="Times New Roman" w:eastAsia="Calibri" w:hAnsi="Times New Roman"/>
          <w:color w:val="000000"/>
          <w:sz w:val="22"/>
          <w:szCs w:val="22"/>
          <w:lang w:eastAsia="en-US"/>
        </w:rPr>
        <w:t xml:space="preserve"> a z predaja pozemkov</w:t>
      </w:r>
      <w:r w:rsidRPr="00422D66">
        <w:rPr>
          <w:rFonts w:ascii="Times New Roman" w:eastAsia="Calibri" w:hAnsi="Times New Roman"/>
          <w:color w:val="000000"/>
          <w:sz w:val="22"/>
          <w:szCs w:val="22"/>
          <w:lang w:eastAsia="en-US"/>
        </w:rPr>
        <w:t>. Z celkovej vyinkasovanej sumy 12 580 tis. </w:t>
      </w:r>
      <w:r w:rsidRPr="00422D66">
        <w:rPr>
          <w:rFonts w:ascii="Times New Roman" w:eastAsia="Calibri" w:hAnsi="Times New Roman" w:hint="default"/>
          <w:color w:val="000000"/>
          <w:sz w:val="22"/>
          <w:szCs w:val="22"/>
          <w:lang w:eastAsia="en-US"/>
        </w:rPr>
        <w:t>eur vyká</w:t>
      </w:r>
      <w:r w:rsidRPr="00422D66">
        <w:rPr>
          <w:rFonts w:ascii="Times New Roman" w:eastAsia="Calibri" w:hAnsi="Times New Roman" w:hint="default"/>
          <w:color w:val="000000"/>
          <w:sz w:val="22"/>
          <w:szCs w:val="22"/>
          <w:lang w:eastAsia="en-US"/>
        </w:rPr>
        <w:t>zali najviac Ministerstvo vnú</w:t>
      </w:r>
      <w:r w:rsidRPr="00422D66">
        <w:rPr>
          <w:rFonts w:ascii="Times New Roman" w:eastAsia="Calibri" w:hAnsi="Times New Roman" w:hint="default"/>
          <w:color w:val="000000"/>
          <w:sz w:val="22"/>
          <w:szCs w:val="22"/>
          <w:lang w:eastAsia="en-US"/>
        </w:rPr>
        <w:t>tra SR č</w:t>
      </w:r>
      <w:r w:rsidRPr="00422D66">
        <w:rPr>
          <w:rFonts w:ascii="Times New Roman" w:eastAsia="Calibri" w:hAnsi="Times New Roman" w:hint="default"/>
          <w:color w:val="000000"/>
          <w:sz w:val="22"/>
          <w:szCs w:val="22"/>
          <w:lang w:eastAsia="en-US"/>
        </w:rPr>
        <w:t>iastku 3 028 </w:t>
      </w:r>
      <w:r w:rsidRPr="00422D66">
        <w:rPr>
          <w:rFonts w:ascii="Times New Roman" w:eastAsia="Calibri" w:hAnsi="Times New Roman" w:hint="default"/>
          <w:color w:val="000000"/>
          <w:sz w:val="22"/>
          <w:szCs w:val="22"/>
          <w:lang w:eastAsia="en-US"/>
        </w:rPr>
        <w:t>tis. eur, Ministerstvo zahranič</w:t>
      </w:r>
      <w:r w:rsidRPr="00422D66">
        <w:rPr>
          <w:rFonts w:ascii="Times New Roman" w:eastAsia="Calibri" w:hAnsi="Times New Roman" w:hint="default"/>
          <w:color w:val="000000"/>
          <w:sz w:val="22"/>
          <w:szCs w:val="22"/>
          <w:lang w:eastAsia="en-US"/>
        </w:rPr>
        <w:t>ný</w:t>
      </w:r>
      <w:r w:rsidRPr="00422D66">
        <w:rPr>
          <w:rFonts w:ascii="Times New Roman" w:eastAsia="Calibri" w:hAnsi="Times New Roman" w:hint="default"/>
          <w:color w:val="000000"/>
          <w:sz w:val="22"/>
          <w:szCs w:val="22"/>
          <w:lang w:eastAsia="en-US"/>
        </w:rPr>
        <w:t>ch vecí</w:t>
      </w:r>
      <w:r w:rsidRPr="00422D66">
        <w:rPr>
          <w:rFonts w:ascii="Times New Roman" w:eastAsia="Calibri" w:hAnsi="Times New Roman" w:hint="default"/>
          <w:color w:val="000000"/>
          <w:sz w:val="22"/>
          <w:szCs w:val="22"/>
          <w:lang w:eastAsia="en-US"/>
        </w:rPr>
        <w:t xml:space="preserve"> a </w:t>
      </w:r>
      <w:r w:rsidRPr="00422D66">
        <w:rPr>
          <w:rFonts w:ascii="Times New Roman" w:eastAsia="Calibri" w:hAnsi="Times New Roman" w:hint="default"/>
          <w:color w:val="000000"/>
          <w:sz w:val="22"/>
          <w:szCs w:val="22"/>
          <w:lang w:eastAsia="en-US"/>
        </w:rPr>
        <w:t>euró</w:t>
      </w:r>
      <w:r w:rsidRPr="00422D66">
        <w:rPr>
          <w:rFonts w:ascii="Times New Roman" w:eastAsia="Calibri" w:hAnsi="Times New Roman" w:hint="default"/>
          <w:color w:val="000000"/>
          <w:sz w:val="22"/>
          <w:szCs w:val="22"/>
          <w:lang w:eastAsia="en-US"/>
        </w:rPr>
        <w:t>pskych zá</w:t>
      </w:r>
      <w:r w:rsidRPr="00422D66">
        <w:rPr>
          <w:rFonts w:ascii="Times New Roman" w:eastAsia="Calibri" w:hAnsi="Times New Roman" w:hint="default"/>
          <w:color w:val="000000"/>
          <w:sz w:val="22"/>
          <w:szCs w:val="22"/>
          <w:lang w:eastAsia="en-US"/>
        </w:rPr>
        <w:t>lež</w:t>
      </w:r>
      <w:r w:rsidRPr="00422D66">
        <w:rPr>
          <w:rFonts w:ascii="Times New Roman" w:eastAsia="Calibri" w:hAnsi="Times New Roman" w:hint="default"/>
          <w:color w:val="000000"/>
          <w:sz w:val="22"/>
          <w:szCs w:val="22"/>
          <w:lang w:eastAsia="en-US"/>
        </w:rPr>
        <w:t>itostí</w:t>
      </w:r>
      <w:r w:rsidRPr="00422D66">
        <w:rPr>
          <w:rFonts w:ascii="Times New Roman" w:eastAsia="Calibri" w:hAnsi="Times New Roman" w:hint="default"/>
          <w:color w:val="000000"/>
          <w:sz w:val="22"/>
          <w:szCs w:val="22"/>
          <w:lang w:eastAsia="en-US"/>
        </w:rPr>
        <w:t xml:space="preserve"> SR sumu 2 907 tis. </w:t>
      </w:r>
      <w:r w:rsidRPr="00422D66">
        <w:rPr>
          <w:rFonts w:ascii="Times New Roman" w:eastAsia="Calibri" w:hAnsi="Times New Roman" w:hint="default"/>
          <w:color w:val="000000"/>
          <w:sz w:val="22"/>
          <w:szCs w:val="22"/>
          <w:lang w:eastAsia="en-US"/>
        </w:rPr>
        <w:t>eur, Ministerstvo financií</w:t>
      </w:r>
      <w:r w:rsidRPr="00422D66">
        <w:rPr>
          <w:rFonts w:ascii="Times New Roman" w:eastAsia="Calibri" w:hAnsi="Times New Roman" w:hint="default"/>
          <w:color w:val="000000"/>
          <w:sz w:val="22"/>
          <w:szCs w:val="22"/>
          <w:lang w:eastAsia="en-US"/>
        </w:rPr>
        <w:t xml:space="preserve"> SR 1 984 tis. eu</w:t>
      </w:r>
      <w:r w:rsidRPr="00422D66">
        <w:rPr>
          <w:rFonts w:ascii="Times New Roman" w:eastAsia="Calibri" w:hAnsi="Times New Roman" w:hint="default"/>
          <w:color w:val="000000"/>
          <w:sz w:val="22"/>
          <w:szCs w:val="22"/>
          <w:lang w:eastAsia="en-US"/>
        </w:rPr>
        <w:t>r a </w:t>
      </w:r>
      <w:r w:rsidRPr="00422D66">
        <w:rPr>
          <w:rFonts w:ascii="Times New Roman" w:eastAsia="Calibri" w:hAnsi="Times New Roman" w:hint="default"/>
          <w:color w:val="000000"/>
          <w:sz w:val="22"/>
          <w:szCs w:val="22"/>
          <w:lang w:eastAsia="en-US"/>
        </w:rPr>
        <w:t>Ministerstvo hospodá</w:t>
      </w:r>
      <w:r w:rsidRPr="00422D66">
        <w:rPr>
          <w:rFonts w:ascii="Times New Roman" w:eastAsia="Calibri" w:hAnsi="Times New Roman" w:hint="default"/>
          <w:color w:val="000000"/>
          <w:sz w:val="22"/>
          <w:szCs w:val="22"/>
          <w:lang w:eastAsia="en-US"/>
        </w:rPr>
        <w:t>rstva SR 1 082 tis. eur.</w:t>
      </w:r>
      <w:r w:rsidR="002D57A3">
        <w:rPr>
          <w:rFonts w:ascii="Times New Roman" w:eastAsia="Calibri" w:hAnsi="Times New Roman"/>
          <w:color w:val="000000"/>
          <w:sz w:val="22"/>
          <w:szCs w:val="22"/>
          <w:lang w:eastAsia="en-US"/>
        </w:rPr>
        <w:t xml:space="preserve"> </w:t>
      </w:r>
      <w:r w:rsidR="002D57A3">
        <w:rPr>
          <w:rFonts w:ascii="Times New Roman" w:hAnsi="Times New Roman"/>
          <w:color w:val="000000"/>
          <w:sz w:val="22"/>
          <w:szCs w:val="22"/>
          <w:lang w:eastAsia="en-US"/>
        </w:rPr>
        <w:t xml:space="preserve">Najväčší rozdiel skutočnosti oproti rozpočtovanej čiastke bol zaznamenaný v kapitole Ministerstva vnútra SR, a to až o 32 820 tis. eur, kde bol </w:t>
      </w:r>
      <w:r w:rsidR="00CB6127">
        <w:rPr>
          <w:rFonts w:ascii="Times New Roman" w:hAnsi="Times New Roman"/>
          <w:color w:val="000000"/>
          <w:sz w:val="22"/>
          <w:szCs w:val="22"/>
          <w:lang w:eastAsia="en-US"/>
        </w:rPr>
        <w:t>u</w:t>
      </w:r>
      <w:r w:rsidR="002D57A3">
        <w:rPr>
          <w:rFonts w:ascii="Times New Roman" w:hAnsi="Times New Roman"/>
          <w:color w:val="000000"/>
          <w:sz w:val="22"/>
          <w:szCs w:val="22"/>
          <w:lang w:eastAsia="en-US"/>
        </w:rPr>
        <w:t>prav</w:t>
      </w:r>
      <w:r w:rsidR="00CB6127">
        <w:rPr>
          <w:rFonts w:ascii="Times New Roman" w:hAnsi="Times New Roman"/>
          <w:color w:val="000000"/>
          <w:sz w:val="22"/>
          <w:szCs w:val="22"/>
          <w:lang w:eastAsia="en-US"/>
        </w:rPr>
        <w:t>ený</w:t>
      </w:r>
      <w:r w:rsidR="002D57A3">
        <w:rPr>
          <w:rFonts w:ascii="Times New Roman" w:hAnsi="Times New Roman"/>
          <w:color w:val="000000"/>
          <w:sz w:val="22"/>
          <w:szCs w:val="22"/>
          <w:lang w:eastAsia="en-US"/>
        </w:rPr>
        <w:t xml:space="preserve"> rozpoč</w:t>
      </w:r>
      <w:r w:rsidR="00CB6127">
        <w:rPr>
          <w:rFonts w:ascii="Times New Roman" w:hAnsi="Times New Roman"/>
          <w:color w:val="000000"/>
          <w:sz w:val="22"/>
          <w:szCs w:val="22"/>
          <w:lang w:eastAsia="en-US"/>
        </w:rPr>
        <w:t>e</w:t>
      </w:r>
      <w:r w:rsidR="002D57A3">
        <w:rPr>
          <w:rFonts w:ascii="Times New Roman" w:hAnsi="Times New Roman"/>
          <w:color w:val="000000"/>
          <w:sz w:val="22"/>
          <w:szCs w:val="22"/>
          <w:lang w:eastAsia="en-US"/>
        </w:rPr>
        <w:t xml:space="preserve">t z dôvodu </w:t>
      </w:r>
      <w:r w:rsidR="00CB6127">
        <w:rPr>
          <w:rFonts w:ascii="Times New Roman" w:hAnsi="Times New Roman"/>
          <w:color w:val="000000"/>
          <w:sz w:val="22"/>
          <w:szCs w:val="22"/>
          <w:lang w:eastAsia="en-US"/>
        </w:rPr>
        <w:t>neuskutočneného odpredaja prebytočných nehnuteľností a majetku</w:t>
      </w:r>
      <w:r w:rsidR="002D57A3">
        <w:rPr>
          <w:rFonts w:ascii="Times New Roman" w:hAnsi="Times New Roman"/>
          <w:color w:val="000000"/>
          <w:sz w:val="22"/>
          <w:szCs w:val="22"/>
          <w:lang w:eastAsia="en-US"/>
        </w:rPr>
        <w:t>. V kapitole Ministerstva školstva, vedy, výskumu a športu SR bol schválený rozpočet vo výške 10 000 tis. eur a tieto príjmy mali plynúť z predaja budov v správe rezortu školstva, ktoré nebudú potrebné vzhľadom na pripravované racionalizačné opatrenia. Nakoľko sa budovy odpredať nepodarilo, bola urobená úprava rozpočtu a skutočné plnenie k 31. 12. 2015 bolo vo výške 1 tis. eur.</w:t>
      </w:r>
      <w:r w:rsidR="00CB6127">
        <w:rPr>
          <w:rFonts w:ascii="Times New Roman" w:hAnsi="Times New Roman"/>
          <w:color w:val="000000"/>
          <w:sz w:val="22"/>
          <w:szCs w:val="22"/>
          <w:lang w:eastAsia="en-US"/>
        </w:rPr>
        <w:t xml:space="preserve"> </w:t>
      </w:r>
    </w:p>
    <w:p w:rsidR="00422D66" w:rsidRPr="00A92F2B" w:rsidP="00A92F2B">
      <w:pPr>
        <w:numPr>
          <w:numId w:val="8"/>
        </w:numPr>
        <w:tabs>
          <w:tab w:val="left" w:pos="284"/>
        </w:tabs>
        <w:suppressAutoHyphens/>
        <w:bidi w:val="0"/>
        <w:spacing w:after="120" w:line="336" w:lineRule="auto"/>
        <w:ind w:left="0" w:firstLine="0"/>
        <w:jc w:val="both"/>
        <w:rPr>
          <w:rFonts w:ascii="Times New Roman" w:eastAsia="Calibri" w:hAnsi="Times New Roman"/>
          <w:sz w:val="22"/>
          <w:szCs w:val="22"/>
          <w:lang w:eastAsia="en-US"/>
        </w:rPr>
      </w:pPr>
      <w:r w:rsidRPr="00F318E9">
        <w:rPr>
          <w:rFonts w:ascii="Times New Roman" w:eastAsia="Calibri" w:hAnsi="Times New Roman" w:hint="default"/>
          <w:b/>
          <w:sz w:val="22"/>
          <w:szCs w:val="22"/>
          <w:lang w:eastAsia="en-US"/>
        </w:rPr>
        <w:t>Ú</w:t>
      </w:r>
      <w:r w:rsidRPr="00F318E9">
        <w:rPr>
          <w:rFonts w:ascii="Times New Roman" w:eastAsia="Calibri" w:hAnsi="Times New Roman" w:hint="default"/>
          <w:b/>
          <w:sz w:val="22"/>
          <w:szCs w:val="22"/>
          <w:lang w:eastAsia="en-US"/>
        </w:rPr>
        <w:t>roky z </w:t>
      </w:r>
      <w:r w:rsidRPr="00F318E9">
        <w:rPr>
          <w:rFonts w:ascii="Times New Roman" w:eastAsia="Calibri" w:hAnsi="Times New Roman" w:hint="default"/>
          <w:b/>
          <w:sz w:val="22"/>
          <w:szCs w:val="22"/>
          <w:lang w:eastAsia="en-US"/>
        </w:rPr>
        <w:t>tuzemský</w:t>
      </w:r>
      <w:r w:rsidRPr="00F318E9">
        <w:rPr>
          <w:rFonts w:ascii="Times New Roman" w:eastAsia="Calibri" w:hAnsi="Times New Roman" w:hint="default"/>
          <w:b/>
          <w:sz w:val="22"/>
          <w:szCs w:val="22"/>
          <w:lang w:eastAsia="en-US"/>
        </w:rPr>
        <w:t>ch a </w:t>
      </w:r>
      <w:r w:rsidRPr="00F318E9">
        <w:rPr>
          <w:rFonts w:ascii="Times New Roman" w:eastAsia="Calibri" w:hAnsi="Times New Roman" w:hint="default"/>
          <w:b/>
          <w:sz w:val="22"/>
          <w:szCs w:val="22"/>
          <w:lang w:eastAsia="en-US"/>
        </w:rPr>
        <w:t>zahranič</w:t>
      </w:r>
      <w:r w:rsidRPr="00F318E9">
        <w:rPr>
          <w:rFonts w:ascii="Times New Roman" w:eastAsia="Calibri" w:hAnsi="Times New Roman" w:hint="default"/>
          <w:b/>
          <w:sz w:val="22"/>
          <w:szCs w:val="22"/>
          <w:lang w:eastAsia="en-US"/>
        </w:rPr>
        <w:t>ný</w:t>
      </w:r>
      <w:r w:rsidRPr="00F318E9">
        <w:rPr>
          <w:rFonts w:ascii="Times New Roman" w:eastAsia="Calibri" w:hAnsi="Times New Roman" w:hint="default"/>
          <w:b/>
          <w:sz w:val="22"/>
          <w:szCs w:val="22"/>
          <w:lang w:eastAsia="en-US"/>
        </w:rPr>
        <w:t>ch ú</w:t>
      </w:r>
      <w:r w:rsidRPr="00F318E9">
        <w:rPr>
          <w:rFonts w:ascii="Times New Roman" w:eastAsia="Calibri" w:hAnsi="Times New Roman" w:hint="default"/>
          <w:b/>
          <w:sz w:val="22"/>
          <w:szCs w:val="22"/>
          <w:lang w:eastAsia="en-US"/>
        </w:rPr>
        <w:t>verov, pôž</w:t>
      </w:r>
      <w:r w:rsidRPr="00F318E9">
        <w:rPr>
          <w:rFonts w:ascii="Times New Roman" w:eastAsia="Calibri" w:hAnsi="Times New Roman" w:hint="default"/>
          <w:b/>
          <w:sz w:val="22"/>
          <w:szCs w:val="22"/>
          <w:lang w:eastAsia="en-US"/>
        </w:rPr>
        <w:t>ič</w:t>
      </w:r>
      <w:r w:rsidRPr="00F318E9">
        <w:rPr>
          <w:rFonts w:ascii="Times New Roman" w:eastAsia="Calibri" w:hAnsi="Times New Roman" w:hint="default"/>
          <w:b/>
          <w:sz w:val="22"/>
          <w:szCs w:val="22"/>
          <w:lang w:eastAsia="en-US"/>
        </w:rPr>
        <w:t>iek a </w:t>
      </w:r>
      <w:r w:rsidRPr="00F318E9">
        <w:rPr>
          <w:rFonts w:ascii="Times New Roman" w:eastAsia="Calibri" w:hAnsi="Times New Roman" w:hint="default"/>
          <w:b/>
          <w:sz w:val="22"/>
          <w:szCs w:val="22"/>
          <w:lang w:eastAsia="en-US"/>
        </w:rPr>
        <w:t>ná</w:t>
      </w:r>
      <w:r w:rsidRPr="00F318E9">
        <w:rPr>
          <w:rFonts w:ascii="Times New Roman" w:eastAsia="Calibri" w:hAnsi="Times New Roman" w:hint="default"/>
          <w:b/>
          <w:sz w:val="22"/>
          <w:szCs w:val="22"/>
          <w:lang w:eastAsia="en-US"/>
        </w:rPr>
        <w:t>vratný</w:t>
      </w:r>
      <w:r w:rsidRPr="00F318E9">
        <w:rPr>
          <w:rFonts w:ascii="Times New Roman" w:eastAsia="Calibri" w:hAnsi="Times New Roman" w:hint="default"/>
          <w:b/>
          <w:sz w:val="22"/>
          <w:szCs w:val="22"/>
          <w:lang w:eastAsia="en-US"/>
        </w:rPr>
        <w:t>ch finanč</w:t>
      </w:r>
      <w:r w:rsidRPr="00F318E9">
        <w:rPr>
          <w:rFonts w:ascii="Times New Roman" w:eastAsia="Calibri" w:hAnsi="Times New Roman" w:hint="default"/>
          <w:b/>
          <w:sz w:val="22"/>
          <w:szCs w:val="22"/>
          <w:lang w:eastAsia="en-US"/>
        </w:rPr>
        <w:t>ný</w:t>
      </w:r>
      <w:r w:rsidRPr="00F318E9">
        <w:rPr>
          <w:rFonts w:ascii="Times New Roman" w:eastAsia="Calibri" w:hAnsi="Times New Roman" w:hint="default"/>
          <w:b/>
          <w:sz w:val="22"/>
          <w:szCs w:val="22"/>
          <w:lang w:eastAsia="en-US"/>
        </w:rPr>
        <w:t>ch vý</w:t>
      </w:r>
      <w:r w:rsidRPr="00F318E9">
        <w:rPr>
          <w:rFonts w:ascii="Times New Roman" w:eastAsia="Calibri" w:hAnsi="Times New Roman" w:hint="default"/>
          <w:b/>
          <w:sz w:val="22"/>
          <w:szCs w:val="22"/>
          <w:lang w:eastAsia="en-US"/>
        </w:rPr>
        <w:t>pomocí</w:t>
      </w:r>
      <w:r w:rsidRPr="00F318E9">
        <w:rPr>
          <w:rFonts w:ascii="Times New Roman" w:eastAsia="Calibri" w:hAnsi="Times New Roman" w:hint="default"/>
          <w:b/>
          <w:sz w:val="22"/>
          <w:szCs w:val="22"/>
          <w:lang w:eastAsia="en-US"/>
        </w:rPr>
        <w:t xml:space="preserve"> </w:t>
      </w:r>
      <w:r w:rsidRPr="00F318E9">
        <w:rPr>
          <w:rFonts w:ascii="Times New Roman" w:eastAsia="Calibri" w:hAnsi="Times New Roman"/>
          <w:sz w:val="22"/>
          <w:szCs w:val="22"/>
          <w:lang w:eastAsia="en-US"/>
        </w:rPr>
        <w:t>dosiahli v roku 2015</w:t>
      </w:r>
      <w:r w:rsidRPr="00F318E9">
        <w:rPr>
          <w:rFonts w:ascii="Times New Roman" w:eastAsia="Calibri" w:hAnsi="Times New Roman"/>
          <w:sz w:val="22"/>
          <w:szCs w:val="22"/>
          <w:lang w:eastAsia="en-US"/>
        </w:rPr>
        <w:t xml:space="preserve"> sumu 14 927 </w:t>
      </w:r>
      <w:r w:rsidRPr="00F318E9">
        <w:rPr>
          <w:rFonts w:ascii="Times New Roman" w:eastAsia="Calibri" w:hAnsi="Times New Roman" w:hint="default"/>
          <w:sz w:val="22"/>
          <w:szCs w:val="22"/>
          <w:lang w:eastAsia="en-US"/>
        </w:rPr>
        <w:t>tis. eur, č</w:t>
      </w:r>
      <w:r w:rsidRPr="00F318E9">
        <w:rPr>
          <w:rFonts w:ascii="Times New Roman" w:eastAsia="Calibri" w:hAnsi="Times New Roman" w:hint="default"/>
          <w:sz w:val="22"/>
          <w:szCs w:val="22"/>
          <w:lang w:eastAsia="en-US"/>
        </w:rPr>
        <w:t>o predstavuje prekroč</w:t>
      </w:r>
      <w:r w:rsidRPr="00F318E9">
        <w:rPr>
          <w:rFonts w:ascii="Times New Roman" w:eastAsia="Calibri" w:hAnsi="Times New Roman" w:hint="default"/>
          <w:sz w:val="22"/>
          <w:szCs w:val="22"/>
          <w:lang w:eastAsia="en-US"/>
        </w:rPr>
        <w:t>enie roč</w:t>
      </w:r>
      <w:r w:rsidRPr="00F318E9">
        <w:rPr>
          <w:rFonts w:ascii="Times New Roman" w:eastAsia="Calibri" w:hAnsi="Times New Roman" w:hint="default"/>
          <w:sz w:val="22"/>
          <w:szCs w:val="22"/>
          <w:lang w:eastAsia="en-US"/>
        </w:rPr>
        <w:t>né</w:t>
      </w:r>
      <w:r w:rsidRPr="00F318E9">
        <w:rPr>
          <w:rFonts w:ascii="Times New Roman" w:eastAsia="Calibri" w:hAnsi="Times New Roman" w:hint="default"/>
          <w:sz w:val="22"/>
          <w:szCs w:val="22"/>
          <w:lang w:eastAsia="en-US"/>
        </w:rPr>
        <w:t>ho rozpoč</w:t>
      </w:r>
      <w:r w:rsidRPr="00F318E9">
        <w:rPr>
          <w:rFonts w:ascii="Times New Roman" w:eastAsia="Calibri" w:hAnsi="Times New Roman" w:hint="default"/>
          <w:sz w:val="22"/>
          <w:szCs w:val="22"/>
          <w:lang w:eastAsia="en-US"/>
        </w:rPr>
        <w:t>tu o</w:t>
      </w:r>
      <w:r w:rsidR="00A92F2B">
        <w:rPr>
          <w:rFonts w:ascii="Times New Roman" w:eastAsia="Calibri" w:hAnsi="Times New Roman"/>
          <w:sz w:val="22"/>
          <w:szCs w:val="22"/>
          <w:lang w:eastAsia="en-US"/>
        </w:rPr>
        <w:t> </w:t>
      </w:r>
      <w:r w:rsidR="00A92F2B">
        <w:rPr>
          <w:rFonts w:ascii="Times New Roman" w:eastAsia="Calibri" w:hAnsi="Times New Roman"/>
          <w:sz w:val="22"/>
          <w:szCs w:val="22"/>
          <w:lang w:eastAsia="en-US"/>
        </w:rPr>
        <w:t xml:space="preserve">12 280 tis. eur. </w:t>
      </w:r>
      <w:r w:rsidRPr="00A92F2B">
        <w:rPr>
          <w:rFonts w:ascii="Times New Roman" w:eastAsia="Calibri" w:hAnsi="Times New Roman" w:hint="default"/>
          <w:sz w:val="22"/>
          <w:szCs w:val="22"/>
          <w:lang w:eastAsia="en-US"/>
        </w:rPr>
        <w:t>Takmer celá</w:t>
      </w:r>
      <w:r w:rsidRPr="00A92F2B">
        <w:rPr>
          <w:rFonts w:ascii="Times New Roman" w:eastAsia="Calibri" w:hAnsi="Times New Roman" w:hint="default"/>
          <w:sz w:val="22"/>
          <w:szCs w:val="22"/>
          <w:lang w:eastAsia="en-US"/>
        </w:rPr>
        <w:t xml:space="preserve"> suma (14 922 tis. </w:t>
      </w:r>
      <w:r w:rsidRPr="00A92F2B">
        <w:rPr>
          <w:rFonts w:ascii="Times New Roman" w:eastAsia="Calibri" w:hAnsi="Times New Roman" w:hint="default"/>
          <w:sz w:val="22"/>
          <w:szCs w:val="22"/>
          <w:lang w:eastAsia="en-US"/>
        </w:rPr>
        <w:t>eur) bola prí</w:t>
      </w:r>
      <w:r w:rsidRPr="00A92F2B">
        <w:rPr>
          <w:rFonts w:ascii="Times New Roman" w:eastAsia="Calibri" w:hAnsi="Times New Roman" w:hint="default"/>
          <w:sz w:val="22"/>
          <w:szCs w:val="22"/>
          <w:lang w:eastAsia="en-US"/>
        </w:rPr>
        <w:t>jmom kapitoly Vš</w:t>
      </w:r>
      <w:r w:rsidRPr="00A92F2B">
        <w:rPr>
          <w:rFonts w:ascii="Times New Roman" w:eastAsia="Calibri" w:hAnsi="Times New Roman" w:hint="default"/>
          <w:sz w:val="22"/>
          <w:szCs w:val="22"/>
          <w:lang w:eastAsia="en-US"/>
        </w:rPr>
        <w:t>eobecná</w:t>
      </w:r>
      <w:r w:rsidRPr="00A92F2B">
        <w:rPr>
          <w:rFonts w:ascii="Times New Roman" w:eastAsia="Calibri" w:hAnsi="Times New Roman" w:hint="default"/>
          <w:sz w:val="22"/>
          <w:szCs w:val="22"/>
          <w:lang w:eastAsia="en-US"/>
        </w:rPr>
        <w:t xml:space="preserve"> pokladnič</w:t>
      </w:r>
      <w:r w:rsidRPr="00A92F2B">
        <w:rPr>
          <w:rFonts w:ascii="Times New Roman" w:eastAsia="Calibri" w:hAnsi="Times New Roman" w:hint="default"/>
          <w:sz w:val="22"/>
          <w:szCs w:val="22"/>
          <w:lang w:eastAsia="en-US"/>
        </w:rPr>
        <w:t>ná</w:t>
      </w:r>
      <w:r w:rsidRPr="00A92F2B">
        <w:rPr>
          <w:rFonts w:ascii="Times New Roman" w:eastAsia="Calibri" w:hAnsi="Times New Roman" w:hint="default"/>
          <w:sz w:val="22"/>
          <w:szCs w:val="22"/>
          <w:lang w:eastAsia="en-US"/>
        </w:rPr>
        <w:t xml:space="preserve"> sprá</w:t>
      </w:r>
      <w:r w:rsidRPr="00A92F2B">
        <w:rPr>
          <w:rFonts w:ascii="Times New Roman" w:eastAsia="Calibri" w:hAnsi="Times New Roman" w:hint="default"/>
          <w:sz w:val="22"/>
          <w:szCs w:val="22"/>
          <w:lang w:eastAsia="en-US"/>
        </w:rPr>
        <w:t>va, z </w:t>
      </w:r>
      <w:r w:rsidRPr="00A92F2B">
        <w:rPr>
          <w:rFonts w:ascii="Times New Roman" w:eastAsia="Calibri" w:hAnsi="Times New Roman" w:hint="default"/>
          <w:sz w:val="22"/>
          <w:szCs w:val="22"/>
          <w:lang w:eastAsia="en-US"/>
        </w:rPr>
        <w:t>toho č</w:t>
      </w:r>
      <w:r w:rsidRPr="00A92F2B">
        <w:rPr>
          <w:rFonts w:ascii="Times New Roman" w:eastAsia="Calibri" w:hAnsi="Times New Roman" w:hint="default"/>
          <w:sz w:val="22"/>
          <w:szCs w:val="22"/>
          <w:lang w:eastAsia="en-US"/>
        </w:rPr>
        <w:t>iastka 12 091 tis. </w:t>
      </w:r>
      <w:r w:rsidRPr="00A92F2B">
        <w:rPr>
          <w:rFonts w:ascii="Times New Roman" w:eastAsia="Calibri" w:hAnsi="Times New Roman" w:hint="default"/>
          <w:sz w:val="22"/>
          <w:szCs w:val="22"/>
          <w:lang w:eastAsia="en-US"/>
        </w:rPr>
        <w:t>eur predstavovala ú</w:t>
      </w:r>
      <w:r w:rsidRPr="00A92F2B">
        <w:rPr>
          <w:rFonts w:ascii="Times New Roman" w:eastAsia="Calibri" w:hAnsi="Times New Roman" w:hint="default"/>
          <w:sz w:val="22"/>
          <w:szCs w:val="22"/>
          <w:lang w:eastAsia="en-US"/>
        </w:rPr>
        <w:t>roky z </w:t>
      </w:r>
      <w:r w:rsidRPr="00A92F2B">
        <w:rPr>
          <w:rFonts w:ascii="Times New Roman" w:eastAsia="Calibri" w:hAnsi="Times New Roman" w:hint="default"/>
          <w:sz w:val="22"/>
          <w:szCs w:val="22"/>
          <w:lang w:eastAsia="en-US"/>
        </w:rPr>
        <w:t>ná</w:t>
      </w:r>
      <w:r w:rsidRPr="00A92F2B">
        <w:rPr>
          <w:rFonts w:ascii="Times New Roman" w:eastAsia="Calibri" w:hAnsi="Times New Roman" w:hint="default"/>
          <w:sz w:val="22"/>
          <w:szCs w:val="22"/>
          <w:lang w:eastAsia="en-US"/>
        </w:rPr>
        <w:t>vratný</w:t>
      </w:r>
      <w:r w:rsidRPr="00A92F2B">
        <w:rPr>
          <w:rFonts w:ascii="Times New Roman" w:eastAsia="Calibri" w:hAnsi="Times New Roman" w:hint="default"/>
          <w:sz w:val="22"/>
          <w:szCs w:val="22"/>
          <w:lang w:eastAsia="en-US"/>
        </w:rPr>
        <w:t>ch finanč</w:t>
      </w:r>
      <w:r w:rsidRPr="00A92F2B">
        <w:rPr>
          <w:rFonts w:ascii="Times New Roman" w:eastAsia="Calibri" w:hAnsi="Times New Roman" w:hint="default"/>
          <w:sz w:val="22"/>
          <w:szCs w:val="22"/>
          <w:lang w:eastAsia="en-US"/>
        </w:rPr>
        <w:t>ný</w:t>
      </w:r>
      <w:r w:rsidRPr="00A92F2B">
        <w:rPr>
          <w:rFonts w:ascii="Times New Roman" w:eastAsia="Calibri" w:hAnsi="Times New Roman" w:hint="default"/>
          <w:sz w:val="22"/>
          <w:szCs w:val="22"/>
          <w:lang w:eastAsia="en-US"/>
        </w:rPr>
        <w:t>ch vý</w:t>
      </w:r>
      <w:r w:rsidRPr="00A92F2B">
        <w:rPr>
          <w:rFonts w:ascii="Times New Roman" w:eastAsia="Calibri" w:hAnsi="Times New Roman" w:hint="default"/>
          <w:sz w:val="22"/>
          <w:szCs w:val="22"/>
          <w:lang w:eastAsia="en-US"/>
        </w:rPr>
        <w:t>pomocí</w:t>
      </w:r>
      <w:r w:rsidRPr="00A92F2B">
        <w:rPr>
          <w:rFonts w:ascii="Times New Roman" w:eastAsia="Calibri" w:hAnsi="Times New Roman" w:hint="default"/>
          <w:sz w:val="22"/>
          <w:szCs w:val="22"/>
          <w:lang w:eastAsia="en-US"/>
        </w:rPr>
        <w:t xml:space="preserve"> a </w:t>
      </w:r>
      <w:r w:rsidRPr="00A92F2B">
        <w:rPr>
          <w:rFonts w:ascii="Times New Roman" w:eastAsia="Calibri" w:hAnsi="Times New Roman" w:hint="default"/>
          <w:sz w:val="22"/>
          <w:szCs w:val="22"/>
          <w:lang w:eastAsia="en-US"/>
        </w:rPr>
        <w:t>š</w:t>
      </w:r>
      <w:r w:rsidRPr="00A92F2B">
        <w:rPr>
          <w:rFonts w:ascii="Times New Roman" w:eastAsia="Calibri" w:hAnsi="Times New Roman" w:hint="default"/>
          <w:sz w:val="22"/>
          <w:szCs w:val="22"/>
          <w:lang w:eastAsia="en-US"/>
        </w:rPr>
        <w:t>tá</w:t>
      </w:r>
      <w:r w:rsidRPr="00A92F2B">
        <w:rPr>
          <w:rFonts w:ascii="Times New Roman" w:eastAsia="Calibri" w:hAnsi="Times New Roman" w:hint="default"/>
          <w:sz w:val="22"/>
          <w:szCs w:val="22"/>
          <w:lang w:eastAsia="en-US"/>
        </w:rPr>
        <w:t>tnych zá</w:t>
      </w:r>
      <w:r w:rsidRPr="00A92F2B">
        <w:rPr>
          <w:rFonts w:ascii="Times New Roman" w:eastAsia="Calibri" w:hAnsi="Times New Roman" w:hint="default"/>
          <w:sz w:val="22"/>
          <w:szCs w:val="22"/>
          <w:lang w:eastAsia="en-US"/>
        </w:rPr>
        <w:t>ruk od Ž</w:t>
      </w:r>
      <w:r w:rsidRPr="00A92F2B">
        <w:rPr>
          <w:rFonts w:ascii="Times New Roman" w:eastAsia="Calibri" w:hAnsi="Times New Roman" w:hint="default"/>
          <w:sz w:val="22"/>
          <w:szCs w:val="22"/>
          <w:lang w:eastAsia="en-US"/>
        </w:rPr>
        <w:t>eleznič</w:t>
      </w:r>
      <w:r w:rsidRPr="00A92F2B">
        <w:rPr>
          <w:rFonts w:ascii="Times New Roman" w:eastAsia="Calibri" w:hAnsi="Times New Roman" w:hint="default"/>
          <w:sz w:val="22"/>
          <w:szCs w:val="22"/>
          <w:lang w:eastAsia="en-US"/>
        </w:rPr>
        <w:t>nej spoloč</w:t>
      </w:r>
      <w:r w:rsidRPr="00A92F2B">
        <w:rPr>
          <w:rFonts w:ascii="Times New Roman" w:eastAsia="Calibri" w:hAnsi="Times New Roman" w:hint="default"/>
          <w:sz w:val="22"/>
          <w:szCs w:val="22"/>
          <w:lang w:eastAsia="en-US"/>
        </w:rPr>
        <w:t>nosti Cargo Slovakia, a.</w:t>
      </w:r>
      <w:r w:rsidR="00A92F2B">
        <w:rPr>
          <w:rFonts w:ascii="Times New Roman" w:eastAsia="Calibri" w:hAnsi="Times New Roman"/>
          <w:sz w:val="22"/>
          <w:szCs w:val="22"/>
          <w:lang w:eastAsia="en-US"/>
        </w:rPr>
        <w:t xml:space="preserve"> </w:t>
      </w:r>
      <w:r w:rsidRPr="00A92F2B">
        <w:rPr>
          <w:rFonts w:ascii="Times New Roman" w:eastAsia="Calibri" w:hAnsi="Times New Roman" w:hint="default"/>
          <w:sz w:val="22"/>
          <w:szCs w:val="22"/>
          <w:lang w:eastAsia="en-US"/>
        </w:rPr>
        <w:t>s., Agentú</w:t>
      </w:r>
      <w:r w:rsidRPr="00A92F2B">
        <w:rPr>
          <w:rFonts w:ascii="Times New Roman" w:eastAsia="Calibri" w:hAnsi="Times New Roman" w:hint="default"/>
          <w:sz w:val="22"/>
          <w:szCs w:val="22"/>
          <w:lang w:eastAsia="en-US"/>
        </w:rPr>
        <w:t>ry pre nú</w:t>
      </w:r>
      <w:r w:rsidRPr="00A92F2B">
        <w:rPr>
          <w:rFonts w:ascii="Times New Roman" w:eastAsia="Calibri" w:hAnsi="Times New Roman" w:hint="default"/>
          <w:sz w:val="22"/>
          <w:szCs w:val="22"/>
          <w:lang w:eastAsia="en-US"/>
        </w:rPr>
        <w:t>dzové</w:t>
      </w:r>
      <w:r w:rsidRPr="00A92F2B">
        <w:rPr>
          <w:rFonts w:ascii="Times New Roman" w:eastAsia="Calibri" w:hAnsi="Times New Roman" w:hint="default"/>
          <w:sz w:val="22"/>
          <w:szCs w:val="22"/>
          <w:lang w:eastAsia="en-US"/>
        </w:rPr>
        <w:t xml:space="preserve"> zá</w:t>
      </w:r>
      <w:r w:rsidRPr="00A92F2B">
        <w:rPr>
          <w:rFonts w:ascii="Times New Roman" w:eastAsia="Calibri" w:hAnsi="Times New Roman" w:hint="default"/>
          <w:sz w:val="22"/>
          <w:szCs w:val="22"/>
          <w:lang w:eastAsia="en-US"/>
        </w:rPr>
        <w:t>soby ropy a </w:t>
      </w:r>
      <w:r w:rsidRPr="00A92F2B">
        <w:rPr>
          <w:rFonts w:ascii="Times New Roman" w:eastAsia="Calibri" w:hAnsi="Times New Roman" w:hint="default"/>
          <w:sz w:val="22"/>
          <w:szCs w:val="22"/>
          <w:lang w:eastAsia="en-US"/>
        </w:rPr>
        <w:t>ropný</w:t>
      </w:r>
      <w:r w:rsidRPr="00A92F2B">
        <w:rPr>
          <w:rFonts w:ascii="Times New Roman" w:eastAsia="Calibri" w:hAnsi="Times New Roman" w:hint="default"/>
          <w:sz w:val="22"/>
          <w:szCs w:val="22"/>
          <w:lang w:eastAsia="en-US"/>
        </w:rPr>
        <w:t>ch vý</w:t>
      </w:r>
      <w:r w:rsidRPr="00A92F2B">
        <w:rPr>
          <w:rFonts w:ascii="Times New Roman" w:eastAsia="Calibri" w:hAnsi="Times New Roman" w:hint="default"/>
          <w:sz w:val="22"/>
          <w:szCs w:val="22"/>
          <w:lang w:eastAsia="en-US"/>
        </w:rPr>
        <w:t>robkov</w:t>
      </w:r>
      <w:r w:rsidR="00A92F2B">
        <w:rPr>
          <w:rFonts w:ascii="Times New Roman" w:eastAsia="Calibri" w:hAnsi="Times New Roman"/>
          <w:sz w:val="22"/>
          <w:szCs w:val="22"/>
          <w:lang w:eastAsia="en-US"/>
        </w:rPr>
        <w:t>, </w:t>
      </w:r>
      <w:r w:rsidR="00A92F2B">
        <w:rPr>
          <w:rFonts w:ascii="Times New Roman" w:eastAsia="Calibri" w:hAnsi="Times New Roman" w:hint="default"/>
          <w:sz w:val="22"/>
          <w:szCs w:val="22"/>
          <w:lang w:eastAsia="en-US"/>
        </w:rPr>
        <w:t>Ministerstva zdravotní</w:t>
      </w:r>
      <w:r w:rsidR="00A92F2B">
        <w:rPr>
          <w:rFonts w:ascii="Times New Roman" w:eastAsia="Calibri" w:hAnsi="Times New Roman" w:hint="default"/>
          <w:sz w:val="22"/>
          <w:szCs w:val="22"/>
          <w:lang w:eastAsia="en-US"/>
        </w:rPr>
        <w:t>ctva SR a </w:t>
      </w:r>
      <w:r w:rsidR="00A92F2B">
        <w:rPr>
          <w:rFonts w:ascii="Times New Roman" w:eastAsia="Calibri" w:hAnsi="Times New Roman" w:hint="default"/>
          <w:sz w:val="22"/>
          <w:szCs w:val="22"/>
          <w:lang w:eastAsia="en-US"/>
        </w:rPr>
        <w:t>od obce Ľ</w:t>
      </w:r>
      <w:r w:rsidR="00A92F2B">
        <w:rPr>
          <w:rFonts w:ascii="Times New Roman" w:eastAsia="Calibri" w:hAnsi="Times New Roman" w:hint="default"/>
          <w:sz w:val="22"/>
          <w:szCs w:val="22"/>
          <w:lang w:eastAsia="en-US"/>
        </w:rPr>
        <w:t>ubotice. Rozpoč</w:t>
      </w:r>
      <w:r w:rsidR="00A92F2B">
        <w:rPr>
          <w:rFonts w:ascii="Times New Roman" w:eastAsia="Calibri" w:hAnsi="Times New Roman" w:hint="default"/>
          <w:sz w:val="22"/>
          <w:szCs w:val="22"/>
          <w:lang w:eastAsia="en-US"/>
        </w:rPr>
        <w:t>tované</w:t>
      </w:r>
      <w:r w:rsidR="00A92F2B">
        <w:rPr>
          <w:rFonts w:ascii="Times New Roman" w:eastAsia="Calibri" w:hAnsi="Times New Roman" w:hint="default"/>
          <w:sz w:val="22"/>
          <w:szCs w:val="22"/>
          <w:lang w:eastAsia="en-US"/>
        </w:rPr>
        <w:t xml:space="preserve"> boli pô</w:t>
      </w:r>
      <w:r w:rsidR="00A92F2B">
        <w:rPr>
          <w:rFonts w:ascii="Times New Roman" w:eastAsia="Calibri" w:hAnsi="Times New Roman" w:hint="default"/>
          <w:sz w:val="22"/>
          <w:szCs w:val="22"/>
          <w:lang w:eastAsia="en-US"/>
        </w:rPr>
        <w:t>vodne len ú</w:t>
      </w:r>
      <w:r w:rsidR="00A92F2B">
        <w:rPr>
          <w:rFonts w:ascii="Times New Roman" w:eastAsia="Calibri" w:hAnsi="Times New Roman" w:hint="default"/>
          <w:sz w:val="22"/>
          <w:szCs w:val="22"/>
          <w:lang w:eastAsia="en-US"/>
        </w:rPr>
        <w:t xml:space="preserve">roky v sume 683 tis. eur za </w:t>
      </w:r>
      <w:r w:rsidRPr="00A92F2B" w:rsidR="00A92F2B">
        <w:rPr>
          <w:rFonts w:ascii="Times New Roman" w:eastAsia="Calibri" w:hAnsi="Times New Roman" w:hint="default"/>
          <w:sz w:val="22"/>
          <w:szCs w:val="22"/>
          <w:lang w:eastAsia="en-US"/>
        </w:rPr>
        <w:t>Ž</w:t>
      </w:r>
      <w:r w:rsidRPr="00A92F2B" w:rsidR="00A92F2B">
        <w:rPr>
          <w:rFonts w:ascii="Times New Roman" w:eastAsia="Calibri" w:hAnsi="Times New Roman" w:hint="default"/>
          <w:sz w:val="22"/>
          <w:szCs w:val="22"/>
          <w:lang w:eastAsia="en-US"/>
        </w:rPr>
        <w:t>eleznič</w:t>
      </w:r>
      <w:r w:rsidRPr="00A92F2B" w:rsidR="00A92F2B">
        <w:rPr>
          <w:rFonts w:ascii="Times New Roman" w:eastAsia="Calibri" w:hAnsi="Times New Roman" w:hint="default"/>
          <w:sz w:val="22"/>
          <w:szCs w:val="22"/>
          <w:lang w:eastAsia="en-US"/>
        </w:rPr>
        <w:t>n</w:t>
      </w:r>
      <w:r w:rsidR="00A92F2B">
        <w:rPr>
          <w:rFonts w:ascii="Times New Roman" w:eastAsia="Calibri" w:hAnsi="Times New Roman" w:hint="default"/>
          <w:sz w:val="22"/>
          <w:szCs w:val="22"/>
          <w:lang w:eastAsia="en-US"/>
        </w:rPr>
        <w:t>ú</w:t>
      </w:r>
      <w:r w:rsidR="00A92F2B">
        <w:rPr>
          <w:rFonts w:ascii="Times New Roman" w:eastAsia="Calibri" w:hAnsi="Times New Roman" w:hint="default"/>
          <w:sz w:val="22"/>
          <w:szCs w:val="22"/>
          <w:lang w:eastAsia="en-US"/>
        </w:rPr>
        <w:t xml:space="preserve"> spoloč</w:t>
      </w:r>
      <w:r w:rsidR="00A92F2B">
        <w:rPr>
          <w:rFonts w:ascii="Times New Roman" w:eastAsia="Calibri" w:hAnsi="Times New Roman" w:hint="default"/>
          <w:sz w:val="22"/>
          <w:szCs w:val="22"/>
          <w:lang w:eastAsia="en-US"/>
        </w:rPr>
        <w:t>nosť</w:t>
      </w:r>
      <w:r w:rsidRPr="00A92F2B" w:rsidR="00A92F2B">
        <w:rPr>
          <w:rFonts w:ascii="Times New Roman" w:eastAsia="Calibri" w:hAnsi="Times New Roman"/>
          <w:sz w:val="22"/>
          <w:szCs w:val="22"/>
          <w:lang w:eastAsia="en-US"/>
        </w:rPr>
        <w:t xml:space="preserve"> Carg</w:t>
      </w:r>
      <w:r w:rsidRPr="00A92F2B" w:rsidR="00A92F2B">
        <w:rPr>
          <w:rFonts w:ascii="Times New Roman" w:eastAsia="Calibri" w:hAnsi="Times New Roman"/>
          <w:sz w:val="22"/>
          <w:szCs w:val="22"/>
          <w:lang w:eastAsia="en-US"/>
        </w:rPr>
        <w:t>o Slovakia, a.</w:t>
      </w:r>
      <w:r w:rsidR="00A92F2B">
        <w:rPr>
          <w:rFonts w:ascii="Times New Roman" w:eastAsia="Calibri" w:hAnsi="Times New Roman"/>
          <w:sz w:val="22"/>
          <w:szCs w:val="22"/>
          <w:lang w:eastAsia="en-US"/>
        </w:rPr>
        <w:t xml:space="preserve"> </w:t>
      </w:r>
      <w:r w:rsidRPr="00A92F2B" w:rsidR="00A92F2B">
        <w:rPr>
          <w:rFonts w:ascii="Times New Roman" w:eastAsia="Calibri" w:hAnsi="Times New Roman"/>
          <w:sz w:val="22"/>
          <w:szCs w:val="22"/>
          <w:lang w:eastAsia="en-US"/>
        </w:rPr>
        <w:t>s.</w:t>
      </w:r>
      <w:r w:rsidR="00A92F2B">
        <w:rPr>
          <w:rFonts w:ascii="Times New Roman" w:eastAsia="Calibri" w:hAnsi="Times New Roman"/>
          <w:sz w:val="22"/>
          <w:szCs w:val="22"/>
          <w:lang w:eastAsia="en-US"/>
        </w:rPr>
        <w:t xml:space="preserve"> v </w:t>
      </w:r>
      <w:r w:rsidR="00A92F2B">
        <w:rPr>
          <w:rFonts w:ascii="Times New Roman" w:eastAsia="Calibri" w:hAnsi="Times New Roman" w:hint="default"/>
          <w:sz w:val="22"/>
          <w:szCs w:val="22"/>
          <w:lang w:eastAsia="en-US"/>
        </w:rPr>
        <w:t>zmysle splá</w:t>
      </w:r>
      <w:r w:rsidR="00A92F2B">
        <w:rPr>
          <w:rFonts w:ascii="Times New Roman" w:eastAsia="Calibri" w:hAnsi="Times New Roman" w:hint="default"/>
          <w:sz w:val="22"/>
          <w:szCs w:val="22"/>
          <w:lang w:eastAsia="en-US"/>
        </w:rPr>
        <w:t>tkový</w:t>
      </w:r>
      <w:r w:rsidR="00A92F2B">
        <w:rPr>
          <w:rFonts w:ascii="Times New Roman" w:eastAsia="Calibri" w:hAnsi="Times New Roman" w:hint="default"/>
          <w:sz w:val="22"/>
          <w:szCs w:val="22"/>
          <w:lang w:eastAsia="en-US"/>
        </w:rPr>
        <w:t>ch kalendá</w:t>
      </w:r>
      <w:r w:rsidR="00A92F2B">
        <w:rPr>
          <w:rFonts w:ascii="Times New Roman" w:eastAsia="Calibri" w:hAnsi="Times New Roman" w:hint="default"/>
          <w:sz w:val="22"/>
          <w:szCs w:val="22"/>
          <w:lang w:eastAsia="en-US"/>
        </w:rPr>
        <w:t>rov, no v </w:t>
      </w:r>
      <w:r w:rsidR="00A92F2B">
        <w:rPr>
          <w:rFonts w:ascii="Times New Roman" w:eastAsia="Calibri" w:hAnsi="Times New Roman" w:hint="default"/>
          <w:sz w:val="22"/>
          <w:szCs w:val="22"/>
          <w:lang w:eastAsia="en-US"/>
        </w:rPr>
        <w:t>skutoč</w:t>
      </w:r>
      <w:r w:rsidR="00A92F2B">
        <w:rPr>
          <w:rFonts w:ascii="Times New Roman" w:eastAsia="Calibri" w:hAnsi="Times New Roman" w:hint="default"/>
          <w:sz w:val="22"/>
          <w:szCs w:val="22"/>
          <w:lang w:eastAsia="en-US"/>
        </w:rPr>
        <w:t>nosti tieto prí</w:t>
      </w:r>
      <w:r w:rsidR="00A92F2B">
        <w:rPr>
          <w:rFonts w:ascii="Times New Roman" w:eastAsia="Calibri" w:hAnsi="Times New Roman" w:hint="default"/>
          <w:sz w:val="22"/>
          <w:szCs w:val="22"/>
          <w:lang w:eastAsia="en-US"/>
        </w:rPr>
        <w:t>jmy boli prijaté</w:t>
      </w:r>
      <w:r w:rsidR="00A92F2B">
        <w:rPr>
          <w:rFonts w:ascii="Times New Roman" w:eastAsia="Calibri" w:hAnsi="Times New Roman" w:hint="default"/>
          <w:sz w:val="22"/>
          <w:szCs w:val="22"/>
          <w:lang w:eastAsia="en-US"/>
        </w:rPr>
        <w:t xml:space="preserve"> od vš</w:t>
      </w:r>
      <w:r w:rsidR="00A92F2B">
        <w:rPr>
          <w:rFonts w:ascii="Times New Roman" w:eastAsia="Calibri" w:hAnsi="Times New Roman" w:hint="default"/>
          <w:sz w:val="22"/>
          <w:szCs w:val="22"/>
          <w:lang w:eastAsia="en-US"/>
        </w:rPr>
        <w:t>etký</w:t>
      </w:r>
      <w:r w:rsidR="00A92F2B">
        <w:rPr>
          <w:rFonts w:ascii="Times New Roman" w:eastAsia="Calibri" w:hAnsi="Times New Roman" w:hint="default"/>
          <w:sz w:val="22"/>
          <w:szCs w:val="22"/>
          <w:lang w:eastAsia="en-US"/>
        </w:rPr>
        <w:t>ch vyšš</w:t>
      </w:r>
      <w:r w:rsidR="00A92F2B">
        <w:rPr>
          <w:rFonts w:ascii="Times New Roman" w:eastAsia="Calibri" w:hAnsi="Times New Roman" w:hint="default"/>
          <w:sz w:val="22"/>
          <w:szCs w:val="22"/>
          <w:lang w:eastAsia="en-US"/>
        </w:rPr>
        <w:t>ie spomí</w:t>
      </w:r>
      <w:r w:rsidR="00A92F2B">
        <w:rPr>
          <w:rFonts w:ascii="Times New Roman" w:eastAsia="Calibri" w:hAnsi="Times New Roman" w:hint="default"/>
          <w:sz w:val="22"/>
          <w:szCs w:val="22"/>
          <w:lang w:eastAsia="en-US"/>
        </w:rPr>
        <w:t>naný</w:t>
      </w:r>
      <w:r w:rsidR="00A92F2B">
        <w:rPr>
          <w:rFonts w:ascii="Times New Roman" w:eastAsia="Calibri" w:hAnsi="Times New Roman" w:hint="default"/>
          <w:sz w:val="22"/>
          <w:szCs w:val="22"/>
          <w:lang w:eastAsia="en-US"/>
        </w:rPr>
        <w:t>ch spoloč</w:t>
      </w:r>
      <w:r w:rsidR="00A92F2B">
        <w:rPr>
          <w:rFonts w:ascii="Times New Roman" w:eastAsia="Calibri" w:hAnsi="Times New Roman" w:hint="default"/>
          <w:sz w:val="22"/>
          <w:szCs w:val="22"/>
          <w:lang w:eastAsia="en-US"/>
        </w:rPr>
        <w:t>ností</w:t>
      </w:r>
      <w:r w:rsidR="00A92F2B">
        <w:rPr>
          <w:rFonts w:ascii="Times New Roman" w:eastAsia="Calibri" w:hAnsi="Times New Roman" w:hint="default"/>
          <w:sz w:val="22"/>
          <w:szCs w:val="22"/>
          <w:lang w:eastAsia="en-US"/>
        </w:rPr>
        <w:t>, prič</w:t>
      </w:r>
      <w:r w:rsidR="00A92F2B">
        <w:rPr>
          <w:rFonts w:ascii="Times New Roman" w:eastAsia="Calibri" w:hAnsi="Times New Roman" w:hint="default"/>
          <w:sz w:val="22"/>
          <w:szCs w:val="22"/>
          <w:lang w:eastAsia="en-US"/>
        </w:rPr>
        <w:t>om v </w:t>
      </w:r>
      <w:r w:rsidR="00A92F2B">
        <w:rPr>
          <w:rFonts w:ascii="Times New Roman" w:eastAsia="Calibri" w:hAnsi="Times New Roman" w:hint="default"/>
          <w:sz w:val="22"/>
          <w:szCs w:val="22"/>
          <w:lang w:eastAsia="en-US"/>
        </w:rPr>
        <w:t>prí</w:t>
      </w:r>
      <w:r w:rsidR="00A92F2B">
        <w:rPr>
          <w:rFonts w:ascii="Times New Roman" w:eastAsia="Calibri" w:hAnsi="Times New Roman" w:hint="default"/>
          <w:sz w:val="22"/>
          <w:szCs w:val="22"/>
          <w:lang w:eastAsia="en-US"/>
        </w:rPr>
        <w:t>pade spoloč</w:t>
      </w:r>
      <w:r w:rsidR="00A92F2B">
        <w:rPr>
          <w:rFonts w:ascii="Times New Roman" w:eastAsia="Calibri" w:hAnsi="Times New Roman" w:hint="default"/>
          <w:sz w:val="22"/>
          <w:szCs w:val="22"/>
          <w:lang w:eastAsia="en-US"/>
        </w:rPr>
        <w:t xml:space="preserve">nosti </w:t>
      </w:r>
      <w:r w:rsidRPr="00A92F2B" w:rsidR="00E54FBF">
        <w:rPr>
          <w:rFonts w:ascii="Times New Roman" w:eastAsia="Calibri" w:hAnsi="Times New Roman" w:hint="default"/>
          <w:sz w:val="22"/>
          <w:szCs w:val="22"/>
          <w:lang w:eastAsia="en-US"/>
        </w:rPr>
        <w:t>Ž</w:t>
      </w:r>
      <w:r w:rsidRPr="00A92F2B" w:rsidR="00E54FBF">
        <w:rPr>
          <w:rFonts w:ascii="Times New Roman" w:eastAsia="Calibri" w:hAnsi="Times New Roman" w:hint="default"/>
          <w:sz w:val="22"/>
          <w:szCs w:val="22"/>
          <w:lang w:eastAsia="en-US"/>
        </w:rPr>
        <w:t>eleznič</w:t>
      </w:r>
      <w:r w:rsidRPr="00A92F2B" w:rsidR="00E54FBF">
        <w:rPr>
          <w:rFonts w:ascii="Times New Roman" w:eastAsia="Calibri" w:hAnsi="Times New Roman" w:hint="default"/>
          <w:sz w:val="22"/>
          <w:szCs w:val="22"/>
          <w:lang w:eastAsia="en-US"/>
        </w:rPr>
        <w:t>n</w:t>
      </w:r>
      <w:r w:rsidR="00E54FBF">
        <w:rPr>
          <w:rFonts w:ascii="Times New Roman" w:eastAsia="Calibri" w:hAnsi="Times New Roman" w:hint="default"/>
          <w:sz w:val="22"/>
          <w:szCs w:val="22"/>
          <w:lang w:eastAsia="en-US"/>
        </w:rPr>
        <w:t>ej spoloč</w:t>
      </w:r>
      <w:r w:rsidR="00E54FBF">
        <w:rPr>
          <w:rFonts w:ascii="Times New Roman" w:eastAsia="Calibri" w:hAnsi="Times New Roman" w:hint="default"/>
          <w:sz w:val="22"/>
          <w:szCs w:val="22"/>
          <w:lang w:eastAsia="en-US"/>
        </w:rPr>
        <w:t>nosti</w:t>
      </w:r>
      <w:r w:rsidRPr="00A92F2B" w:rsidR="00E54FBF">
        <w:rPr>
          <w:rFonts w:ascii="Times New Roman" w:eastAsia="Calibri" w:hAnsi="Times New Roman"/>
          <w:sz w:val="22"/>
          <w:szCs w:val="22"/>
          <w:lang w:eastAsia="en-US"/>
        </w:rPr>
        <w:t xml:space="preserve"> Cargo Slovakia, a.</w:t>
      </w:r>
      <w:r w:rsidR="00E54FBF">
        <w:rPr>
          <w:rFonts w:ascii="Times New Roman" w:eastAsia="Calibri" w:hAnsi="Times New Roman"/>
          <w:sz w:val="22"/>
          <w:szCs w:val="22"/>
          <w:lang w:eastAsia="en-US"/>
        </w:rPr>
        <w:t xml:space="preserve"> </w:t>
      </w:r>
      <w:r w:rsidRPr="00A92F2B" w:rsidR="00E54FBF">
        <w:rPr>
          <w:rFonts w:ascii="Times New Roman" w:eastAsia="Calibri" w:hAnsi="Times New Roman"/>
          <w:sz w:val="22"/>
          <w:szCs w:val="22"/>
          <w:lang w:eastAsia="en-US"/>
        </w:rPr>
        <w:t>s.</w:t>
      </w:r>
      <w:r w:rsidR="00E54FBF">
        <w:rPr>
          <w:rFonts w:ascii="Times New Roman" w:eastAsia="Calibri" w:hAnsi="Times New Roman" w:hint="default"/>
          <w:sz w:val="22"/>
          <w:szCs w:val="22"/>
          <w:lang w:eastAsia="en-US"/>
        </w:rPr>
        <w:t xml:space="preserve"> iš</w:t>
      </w:r>
      <w:r w:rsidR="00E54FBF">
        <w:rPr>
          <w:rFonts w:ascii="Times New Roman" w:eastAsia="Calibri" w:hAnsi="Times New Roman" w:hint="default"/>
          <w:sz w:val="22"/>
          <w:szCs w:val="22"/>
          <w:lang w:eastAsia="en-US"/>
        </w:rPr>
        <w:t>lo o </w:t>
      </w:r>
      <w:r w:rsidR="00E54FBF">
        <w:rPr>
          <w:rFonts w:ascii="Times New Roman" w:eastAsia="Calibri" w:hAnsi="Times New Roman" w:hint="default"/>
          <w:sz w:val="22"/>
          <w:szCs w:val="22"/>
          <w:lang w:eastAsia="en-US"/>
        </w:rPr>
        <w:t>predč</w:t>
      </w:r>
      <w:r w:rsidR="00E54FBF">
        <w:rPr>
          <w:rFonts w:ascii="Times New Roman" w:eastAsia="Calibri" w:hAnsi="Times New Roman" w:hint="default"/>
          <w:sz w:val="22"/>
          <w:szCs w:val="22"/>
          <w:lang w:eastAsia="en-US"/>
        </w:rPr>
        <w:t>asné</w:t>
      </w:r>
      <w:r w:rsidR="00E54FBF">
        <w:rPr>
          <w:rFonts w:ascii="Times New Roman" w:eastAsia="Calibri" w:hAnsi="Times New Roman" w:hint="default"/>
          <w:sz w:val="22"/>
          <w:szCs w:val="22"/>
          <w:lang w:eastAsia="en-US"/>
        </w:rPr>
        <w:t xml:space="preserve"> splatenie vš</w:t>
      </w:r>
      <w:r w:rsidR="00E54FBF">
        <w:rPr>
          <w:rFonts w:ascii="Times New Roman" w:eastAsia="Calibri" w:hAnsi="Times New Roman" w:hint="default"/>
          <w:sz w:val="22"/>
          <w:szCs w:val="22"/>
          <w:lang w:eastAsia="en-US"/>
        </w:rPr>
        <w:t>etký</w:t>
      </w:r>
      <w:r w:rsidR="00E54FBF">
        <w:rPr>
          <w:rFonts w:ascii="Times New Roman" w:eastAsia="Calibri" w:hAnsi="Times New Roman" w:hint="default"/>
          <w:sz w:val="22"/>
          <w:szCs w:val="22"/>
          <w:lang w:eastAsia="en-US"/>
        </w:rPr>
        <w:t>ch ú</w:t>
      </w:r>
      <w:r w:rsidR="00E54FBF">
        <w:rPr>
          <w:rFonts w:ascii="Times New Roman" w:eastAsia="Calibri" w:hAnsi="Times New Roman" w:hint="default"/>
          <w:sz w:val="22"/>
          <w:szCs w:val="22"/>
          <w:lang w:eastAsia="en-US"/>
        </w:rPr>
        <w:t>rokov.</w:t>
      </w:r>
    </w:p>
    <w:p w:rsidR="004D22C7" w:rsidRPr="004D22C7" w:rsidP="00422D66">
      <w:pPr>
        <w:numPr>
          <w:numId w:val="8"/>
        </w:numPr>
        <w:tabs>
          <w:tab w:val="left" w:pos="284"/>
        </w:tabs>
        <w:suppressAutoHyphens/>
        <w:bidi w:val="0"/>
        <w:spacing w:after="120" w:line="336" w:lineRule="auto"/>
        <w:ind w:left="0" w:firstLine="0"/>
        <w:jc w:val="both"/>
        <w:rPr>
          <w:rFonts w:ascii="Times New Roman" w:hAnsi="Times New Roman"/>
        </w:rPr>
      </w:pPr>
      <w:r w:rsidRPr="00833785" w:rsidR="00422D66">
        <w:rPr>
          <w:rFonts w:ascii="Times New Roman" w:eastAsia="Calibri" w:hAnsi="Times New Roman" w:hint="default"/>
          <w:b/>
          <w:sz w:val="22"/>
          <w:szCs w:val="22"/>
          <w:lang w:eastAsia="en-US"/>
        </w:rPr>
        <w:t>Iné</w:t>
      </w:r>
      <w:r w:rsidRPr="00833785" w:rsidR="00422D66">
        <w:rPr>
          <w:rFonts w:ascii="Times New Roman" w:eastAsia="Calibri" w:hAnsi="Times New Roman" w:hint="default"/>
          <w:b/>
          <w:sz w:val="22"/>
          <w:szCs w:val="22"/>
          <w:lang w:eastAsia="en-US"/>
        </w:rPr>
        <w:t xml:space="preserve"> nedaň</w:t>
      </w:r>
      <w:r w:rsidRPr="00833785" w:rsidR="00422D66">
        <w:rPr>
          <w:rFonts w:ascii="Times New Roman" w:eastAsia="Calibri" w:hAnsi="Times New Roman" w:hint="default"/>
          <w:b/>
          <w:sz w:val="22"/>
          <w:szCs w:val="22"/>
          <w:lang w:eastAsia="en-US"/>
        </w:rPr>
        <w:t>ové</w:t>
      </w:r>
      <w:r w:rsidRPr="00833785" w:rsidR="00422D66">
        <w:rPr>
          <w:rFonts w:ascii="Times New Roman" w:eastAsia="Calibri" w:hAnsi="Times New Roman" w:hint="default"/>
          <w:b/>
          <w:sz w:val="22"/>
          <w:szCs w:val="22"/>
          <w:lang w:eastAsia="en-US"/>
        </w:rPr>
        <w:t xml:space="preserve"> prí</w:t>
      </w:r>
      <w:r w:rsidRPr="00833785" w:rsidR="00422D66">
        <w:rPr>
          <w:rFonts w:ascii="Times New Roman" w:eastAsia="Calibri" w:hAnsi="Times New Roman" w:hint="default"/>
          <w:b/>
          <w:sz w:val="22"/>
          <w:szCs w:val="22"/>
          <w:lang w:eastAsia="en-US"/>
        </w:rPr>
        <w:t>jmy</w:t>
      </w:r>
      <w:r w:rsidRPr="00833785" w:rsidR="00422D66">
        <w:rPr>
          <w:rFonts w:ascii="Times New Roman" w:eastAsia="Calibri" w:hAnsi="Times New Roman"/>
          <w:sz w:val="22"/>
          <w:szCs w:val="22"/>
          <w:lang w:eastAsia="en-US"/>
        </w:rPr>
        <w:t xml:space="preserve"> tvoria </w:t>
      </w:r>
      <w:r>
        <w:rPr>
          <w:rFonts w:ascii="Times New Roman" w:eastAsia="Calibri" w:hAnsi="Times New Roman" w:hint="default"/>
          <w:sz w:val="22"/>
          <w:szCs w:val="22"/>
          <w:lang w:eastAsia="en-US"/>
        </w:rPr>
        <w:t>najmä</w:t>
      </w:r>
      <w:r>
        <w:rPr>
          <w:rFonts w:ascii="Times New Roman" w:eastAsia="Calibri" w:hAnsi="Times New Roman" w:hint="default"/>
          <w:sz w:val="22"/>
          <w:szCs w:val="22"/>
          <w:lang w:eastAsia="en-US"/>
        </w:rPr>
        <w:t xml:space="preserve"> </w:t>
      </w:r>
      <w:r w:rsidRPr="00833785" w:rsidR="00422D66">
        <w:rPr>
          <w:rFonts w:ascii="Times New Roman" w:eastAsia="Calibri" w:hAnsi="Times New Roman" w:hint="default"/>
          <w:sz w:val="22"/>
          <w:szCs w:val="22"/>
          <w:lang w:eastAsia="en-US"/>
        </w:rPr>
        <w:t>prí</w:t>
      </w:r>
      <w:r w:rsidRPr="00833785" w:rsidR="00422D66">
        <w:rPr>
          <w:rFonts w:ascii="Times New Roman" w:eastAsia="Calibri" w:hAnsi="Times New Roman" w:hint="default"/>
          <w:sz w:val="22"/>
          <w:szCs w:val="22"/>
          <w:lang w:eastAsia="en-US"/>
        </w:rPr>
        <w:t xml:space="preserve">jmy </w:t>
      </w:r>
      <w:r w:rsidRPr="00833785">
        <w:rPr>
          <w:rFonts w:ascii="Times New Roman" w:eastAsia="Calibri" w:hAnsi="Times New Roman"/>
          <w:sz w:val="22"/>
          <w:szCs w:val="22"/>
          <w:lang w:eastAsia="en-US"/>
        </w:rPr>
        <w:t>z </w:t>
      </w:r>
      <w:r w:rsidRPr="00833785">
        <w:rPr>
          <w:rFonts w:ascii="Times New Roman" w:eastAsia="Calibri" w:hAnsi="Times New Roman" w:hint="default"/>
          <w:sz w:val="22"/>
          <w:szCs w:val="22"/>
          <w:lang w:eastAsia="en-US"/>
        </w:rPr>
        <w:t>výť</w:t>
      </w:r>
      <w:r w:rsidRPr="00833785">
        <w:rPr>
          <w:rFonts w:ascii="Times New Roman" w:eastAsia="Calibri" w:hAnsi="Times New Roman" w:hint="default"/>
          <w:sz w:val="22"/>
          <w:szCs w:val="22"/>
          <w:lang w:eastAsia="en-US"/>
        </w:rPr>
        <w:t>až</w:t>
      </w:r>
      <w:r w:rsidRPr="00833785">
        <w:rPr>
          <w:rFonts w:ascii="Times New Roman" w:eastAsia="Calibri" w:hAnsi="Times New Roman" w:hint="default"/>
          <w:sz w:val="22"/>
          <w:szCs w:val="22"/>
          <w:lang w:eastAsia="en-US"/>
        </w:rPr>
        <w:t>kov loté</w:t>
      </w:r>
      <w:r w:rsidRPr="00833785">
        <w:rPr>
          <w:rFonts w:ascii="Times New Roman" w:eastAsia="Calibri" w:hAnsi="Times New Roman" w:hint="default"/>
          <w:sz w:val="22"/>
          <w:szCs w:val="22"/>
          <w:lang w:eastAsia="en-US"/>
        </w:rPr>
        <w:t>rií</w:t>
      </w:r>
      <w:r w:rsidRPr="00833785">
        <w:rPr>
          <w:rFonts w:ascii="Times New Roman" w:eastAsia="Calibri" w:hAnsi="Times New Roman" w:hint="default"/>
          <w:sz w:val="22"/>
          <w:szCs w:val="22"/>
          <w:lang w:eastAsia="en-US"/>
        </w:rPr>
        <w:t xml:space="preserve"> a </w:t>
      </w:r>
      <w:r w:rsidRPr="00833785">
        <w:rPr>
          <w:rFonts w:ascii="Times New Roman" w:eastAsia="Calibri" w:hAnsi="Times New Roman" w:hint="default"/>
          <w:sz w:val="22"/>
          <w:szCs w:val="22"/>
          <w:lang w:eastAsia="en-US"/>
        </w:rPr>
        <w:t>iný</w:t>
      </w:r>
      <w:r w:rsidRPr="00833785">
        <w:rPr>
          <w:rFonts w:ascii="Times New Roman" w:eastAsia="Calibri" w:hAnsi="Times New Roman" w:hint="default"/>
          <w:sz w:val="22"/>
          <w:szCs w:val="22"/>
          <w:lang w:eastAsia="en-US"/>
        </w:rPr>
        <w:t>ch podobný</w:t>
      </w:r>
      <w:r w:rsidRPr="00833785">
        <w:rPr>
          <w:rFonts w:ascii="Times New Roman" w:eastAsia="Calibri" w:hAnsi="Times New Roman" w:hint="default"/>
          <w:sz w:val="22"/>
          <w:szCs w:val="22"/>
          <w:lang w:eastAsia="en-US"/>
        </w:rPr>
        <w:t>ch hier</w:t>
      </w:r>
      <w:r>
        <w:rPr>
          <w:rFonts w:ascii="Times New Roman" w:eastAsia="Calibri" w:hAnsi="Times New Roman"/>
          <w:sz w:val="22"/>
          <w:szCs w:val="22"/>
          <w:lang w:eastAsia="en-US"/>
        </w:rPr>
        <w:t>, z </w:t>
      </w:r>
      <w:r>
        <w:rPr>
          <w:rFonts w:ascii="Times New Roman" w:eastAsia="Calibri" w:hAnsi="Times New Roman" w:hint="default"/>
          <w:sz w:val="22"/>
          <w:szCs w:val="22"/>
          <w:lang w:eastAsia="en-US"/>
        </w:rPr>
        <w:t>odvodu č</w:t>
      </w:r>
      <w:r>
        <w:rPr>
          <w:rFonts w:ascii="Times New Roman" w:eastAsia="Calibri" w:hAnsi="Times New Roman" w:hint="default"/>
          <w:sz w:val="22"/>
          <w:szCs w:val="22"/>
          <w:lang w:eastAsia="en-US"/>
        </w:rPr>
        <w:t>asti poistné</w:t>
      </w:r>
      <w:r>
        <w:rPr>
          <w:rFonts w:ascii="Times New Roman" w:eastAsia="Calibri" w:hAnsi="Times New Roman" w:hint="default"/>
          <w:sz w:val="22"/>
          <w:szCs w:val="22"/>
          <w:lang w:eastAsia="en-US"/>
        </w:rPr>
        <w:t>ho z </w:t>
      </w:r>
      <w:r>
        <w:rPr>
          <w:rFonts w:ascii="Times New Roman" w:eastAsia="Calibri" w:hAnsi="Times New Roman" w:hint="default"/>
          <w:sz w:val="22"/>
          <w:szCs w:val="22"/>
          <w:lang w:eastAsia="en-US"/>
        </w:rPr>
        <w:t>povinné</w:t>
      </w:r>
      <w:r>
        <w:rPr>
          <w:rFonts w:ascii="Times New Roman" w:eastAsia="Calibri" w:hAnsi="Times New Roman" w:hint="default"/>
          <w:sz w:val="22"/>
          <w:szCs w:val="22"/>
          <w:lang w:eastAsia="en-US"/>
        </w:rPr>
        <w:t>ho zmluvné</w:t>
      </w:r>
      <w:r>
        <w:rPr>
          <w:rFonts w:ascii="Times New Roman" w:eastAsia="Calibri" w:hAnsi="Times New Roman" w:hint="default"/>
          <w:sz w:val="22"/>
          <w:szCs w:val="22"/>
          <w:lang w:eastAsia="en-US"/>
        </w:rPr>
        <w:t>ho poistenia a </w:t>
      </w:r>
      <w:r>
        <w:rPr>
          <w:rFonts w:ascii="Times New Roman" w:eastAsia="Calibri" w:hAnsi="Times New Roman" w:hint="default"/>
          <w:sz w:val="22"/>
          <w:szCs w:val="22"/>
          <w:lang w:eastAsia="en-US"/>
        </w:rPr>
        <w:t>prí</w:t>
      </w:r>
      <w:r>
        <w:rPr>
          <w:rFonts w:ascii="Times New Roman" w:eastAsia="Calibri" w:hAnsi="Times New Roman" w:hint="default"/>
          <w:sz w:val="22"/>
          <w:szCs w:val="22"/>
          <w:lang w:eastAsia="en-US"/>
        </w:rPr>
        <w:t>jmy z </w:t>
      </w:r>
      <w:r>
        <w:rPr>
          <w:rFonts w:ascii="Times New Roman" w:eastAsia="Calibri" w:hAnsi="Times New Roman" w:hint="default"/>
          <w:sz w:val="22"/>
          <w:szCs w:val="22"/>
          <w:lang w:eastAsia="en-US"/>
        </w:rPr>
        <w:t>vrá</w:t>
      </w:r>
      <w:r>
        <w:rPr>
          <w:rFonts w:ascii="Times New Roman" w:eastAsia="Calibri" w:hAnsi="Times New Roman" w:hint="default"/>
          <w:sz w:val="22"/>
          <w:szCs w:val="22"/>
          <w:lang w:eastAsia="en-US"/>
        </w:rPr>
        <w:t>tený</w:t>
      </w:r>
      <w:r>
        <w:rPr>
          <w:rFonts w:ascii="Times New Roman" w:eastAsia="Calibri" w:hAnsi="Times New Roman" w:hint="default"/>
          <w:sz w:val="22"/>
          <w:szCs w:val="22"/>
          <w:lang w:eastAsia="en-US"/>
        </w:rPr>
        <w:t>ch, neoprá</w:t>
      </w:r>
      <w:r>
        <w:rPr>
          <w:rFonts w:ascii="Times New Roman" w:eastAsia="Calibri" w:hAnsi="Times New Roman" w:hint="default"/>
          <w:sz w:val="22"/>
          <w:szCs w:val="22"/>
          <w:lang w:eastAsia="en-US"/>
        </w:rPr>
        <w:t>vnene použ</w:t>
      </w:r>
      <w:r>
        <w:rPr>
          <w:rFonts w:ascii="Times New Roman" w:eastAsia="Calibri" w:hAnsi="Times New Roman" w:hint="default"/>
          <w:sz w:val="22"/>
          <w:szCs w:val="22"/>
          <w:lang w:eastAsia="en-US"/>
        </w:rPr>
        <w:t>itý</w:t>
      </w:r>
      <w:r>
        <w:rPr>
          <w:rFonts w:ascii="Times New Roman" w:eastAsia="Calibri" w:hAnsi="Times New Roman" w:hint="default"/>
          <w:sz w:val="22"/>
          <w:szCs w:val="22"/>
          <w:lang w:eastAsia="en-US"/>
        </w:rPr>
        <w:t>ch alebo zo zadrž</w:t>
      </w:r>
      <w:r>
        <w:rPr>
          <w:rFonts w:ascii="Times New Roman" w:eastAsia="Calibri" w:hAnsi="Times New Roman" w:hint="default"/>
          <w:sz w:val="22"/>
          <w:szCs w:val="22"/>
          <w:lang w:eastAsia="en-US"/>
        </w:rPr>
        <w:t>aný</w:t>
      </w:r>
      <w:r>
        <w:rPr>
          <w:rFonts w:ascii="Times New Roman" w:eastAsia="Calibri" w:hAnsi="Times New Roman" w:hint="default"/>
          <w:sz w:val="22"/>
          <w:szCs w:val="22"/>
          <w:lang w:eastAsia="en-US"/>
        </w:rPr>
        <w:t>ch finanč</w:t>
      </w:r>
      <w:r>
        <w:rPr>
          <w:rFonts w:ascii="Times New Roman" w:eastAsia="Calibri" w:hAnsi="Times New Roman" w:hint="default"/>
          <w:sz w:val="22"/>
          <w:szCs w:val="22"/>
          <w:lang w:eastAsia="en-US"/>
        </w:rPr>
        <w:t>ný</w:t>
      </w:r>
      <w:r>
        <w:rPr>
          <w:rFonts w:ascii="Times New Roman" w:eastAsia="Calibri" w:hAnsi="Times New Roman" w:hint="default"/>
          <w:sz w:val="22"/>
          <w:szCs w:val="22"/>
          <w:lang w:eastAsia="en-US"/>
        </w:rPr>
        <w:t xml:space="preserve">ch prostriedkov. </w:t>
      </w:r>
      <w:r w:rsidRPr="00833785" w:rsidR="00422D66">
        <w:rPr>
          <w:rFonts w:ascii="Times New Roman" w:eastAsia="Calibri" w:hAnsi="Times New Roman" w:hint="default"/>
          <w:sz w:val="22"/>
          <w:szCs w:val="22"/>
          <w:lang w:eastAsia="en-US"/>
        </w:rPr>
        <w:t>Za rok 2015 dosiahla tá</w:t>
      </w:r>
      <w:r w:rsidRPr="00833785" w:rsidR="00422D66">
        <w:rPr>
          <w:rFonts w:ascii="Times New Roman" w:eastAsia="Calibri" w:hAnsi="Times New Roman" w:hint="default"/>
          <w:sz w:val="22"/>
          <w:szCs w:val="22"/>
          <w:lang w:eastAsia="en-US"/>
        </w:rPr>
        <w:t xml:space="preserve">to </w:t>
      </w:r>
      <w:r w:rsidRPr="00833785" w:rsidR="00422D66">
        <w:rPr>
          <w:rFonts w:ascii="Times New Roman" w:eastAsia="Calibri" w:hAnsi="Times New Roman" w:hint="default"/>
          <w:sz w:val="22"/>
          <w:szCs w:val="22"/>
          <w:lang w:eastAsia="en-US"/>
        </w:rPr>
        <w:t>kategó</w:t>
      </w:r>
      <w:r w:rsidRPr="00833785" w:rsidR="00422D66">
        <w:rPr>
          <w:rFonts w:ascii="Times New Roman" w:eastAsia="Calibri" w:hAnsi="Times New Roman" w:hint="default"/>
          <w:sz w:val="22"/>
          <w:szCs w:val="22"/>
          <w:lang w:eastAsia="en-US"/>
        </w:rPr>
        <w:t>ria nedaň</w:t>
      </w:r>
      <w:r w:rsidRPr="00833785" w:rsidR="00422D66">
        <w:rPr>
          <w:rFonts w:ascii="Times New Roman" w:eastAsia="Calibri" w:hAnsi="Times New Roman" w:hint="default"/>
          <w:sz w:val="22"/>
          <w:szCs w:val="22"/>
          <w:lang w:eastAsia="en-US"/>
        </w:rPr>
        <w:t>ový</w:t>
      </w:r>
      <w:r w:rsidRPr="00833785" w:rsidR="00422D66">
        <w:rPr>
          <w:rFonts w:ascii="Times New Roman" w:eastAsia="Calibri" w:hAnsi="Times New Roman" w:hint="default"/>
          <w:sz w:val="22"/>
          <w:szCs w:val="22"/>
          <w:lang w:eastAsia="en-US"/>
        </w:rPr>
        <w:t>ch prí</w:t>
      </w:r>
      <w:r w:rsidRPr="00833785" w:rsidR="00422D66">
        <w:rPr>
          <w:rFonts w:ascii="Times New Roman" w:eastAsia="Calibri" w:hAnsi="Times New Roman" w:hint="default"/>
          <w:sz w:val="22"/>
          <w:szCs w:val="22"/>
          <w:lang w:eastAsia="en-US"/>
        </w:rPr>
        <w:t>jmov sumu 434 596 tis. eur,</w:t>
      </w:r>
      <w:r w:rsidRPr="00833785" w:rsidR="00422D66">
        <w:rPr>
          <w:rFonts w:ascii="Times New Roman" w:eastAsia="Calibri" w:hAnsi="Times New Roman"/>
          <w:color w:val="FF0000"/>
          <w:sz w:val="22"/>
          <w:szCs w:val="22"/>
          <w:lang w:eastAsia="en-US"/>
        </w:rPr>
        <w:t xml:space="preserve"> </w:t>
      </w:r>
      <w:r w:rsidRPr="00833785" w:rsidR="00422D66">
        <w:rPr>
          <w:rFonts w:ascii="Times New Roman" w:eastAsia="Calibri" w:hAnsi="Times New Roman" w:hint="default"/>
          <w:sz w:val="22"/>
          <w:szCs w:val="22"/>
          <w:lang w:eastAsia="en-US"/>
        </w:rPr>
        <w:t>č</w:t>
      </w:r>
      <w:r w:rsidRPr="00833785" w:rsidR="00422D66">
        <w:rPr>
          <w:rFonts w:ascii="Times New Roman" w:eastAsia="Calibri" w:hAnsi="Times New Roman" w:hint="default"/>
          <w:sz w:val="22"/>
          <w:szCs w:val="22"/>
          <w:lang w:eastAsia="en-US"/>
        </w:rPr>
        <w:t>o predstavuje prekroč</w:t>
      </w:r>
      <w:r w:rsidRPr="00833785" w:rsidR="00422D66">
        <w:rPr>
          <w:rFonts w:ascii="Times New Roman" w:eastAsia="Calibri" w:hAnsi="Times New Roman" w:hint="default"/>
          <w:sz w:val="22"/>
          <w:szCs w:val="22"/>
          <w:lang w:eastAsia="en-US"/>
        </w:rPr>
        <w:t>enie rozpoč</w:t>
      </w:r>
      <w:r w:rsidRPr="00833785" w:rsidR="00422D66">
        <w:rPr>
          <w:rFonts w:ascii="Times New Roman" w:eastAsia="Calibri" w:hAnsi="Times New Roman" w:hint="default"/>
          <w:sz w:val="22"/>
          <w:szCs w:val="22"/>
          <w:lang w:eastAsia="en-US"/>
        </w:rPr>
        <w:t>tu až</w:t>
      </w:r>
      <w:r w:rsidRPr="00833785" w:rsidR="00422D66">
        <w:rPr>
          <w:rFonts w:ascii="Times New Roman" w:eastAsia="Calibri" w:hAnsi="Times New Roman" w:hint="default"/>
          <w:sz w:val="22"/>
          <w:szCs w:val="22"/>
          <w:lang w:eastAsia="en-US"/>
        </w:rPr>
        <w:t xml:space="preserve"> o 65,7 %. </w:t>
      </w:r>
    </w:p>
    <w:p w:rsidR="004D22C7" w:rsidP="004D22C7">
      <w:pPr>
        <w:tabs>
          <w:tab w:val="left" w:pos="284"/>
        </w:tabs>
        <w:suppressAutoHyphens/>
        <w:bidi w:val="0"/>
        <w:spacing w:after="120" w:line="336" w:lineRule="auto"/>
        <w:jc w:val="both"/>
        <w:rPr>
          <w:rFonts w:ascii="Times New Roman" w:eastAsia="Calibri" w:hAnsi="Times New Roman"/>
          <w:color w:val="000000"/>
          <w:sz w:val="22"/>
          <w:szCs w:val="22"/>
          <w:lang w:eastAsia="en-US"/>
        </w:rPr>
      </w:pPr>
      <w:r w:rsidRPr="00833785" w:rsidR="00422D66">
        <w:rPr>
          <w:rFonts w:ascii="Times New Roman" w:eastAsia="Calibri" w:hAnsi="Times New Roman" w:hint="default"/>
          <w:sz w:val="22"/>
          <w:szCs w:val="22"/>
          <w:lang w:eastAsia="en-US"/>
        </w:rPr>
        <w:t>Najväčší</w:t>
      </w:r>
      <w:r w:rsidRPr="00833785" w:rsidR="00422D66">
        <w:rPr>
          <w:rFonts w:ascii="Times New Roman" w:eastAsia="Calibri" w:hAnsi="Times New Roman" w:hint="default"/>
          <w:sz w:val="22"/>
          <w:szCs w:val="22"/>
          <w:lang w:eastAsia="en-US"/>
        </w:rPr>
        <w:t xml:space="preserve"> objem z </w:t>
      </w:r>
      <w:r w:rsidRPr="00833785" w:rsidR="00422D66">
        <w:rPr>
          <w:rFonts w:ascii="Times New Roman" w:eastAsia="Calibri" w:hAnsi="Times New Roman" w:hint="default"/>
          <w:sz w:val="22"/>
          <w:szCs w:val="22"/>
          <w:lang w:eastAsia="en-US"/>
        </w:rPr>
        <w:t>tý</w:t>
      </w:r>
      <w:r w:rsidRPr="00833785" w:rsidR="00422D66">
        <w:rPr>
          <w:rFonts w:ascii="Times New Roman" w:eastAsia="Calibri" w:hAnsi="Times New Roman" w:hint="default"/>
          <w:sz w:val="22"/>
          <w:szCs w:val="22"/>
          <w:lang w:eastAsia="en-US"/>
        </w:rPr>
        <w:t>chto prostriedkov tvorili prí</w:t>
      </w:r>
      <w:r w:rsidRPr="00833785" w:rsidR="00422D66">
        <w:rPr>
          <w:rFonts w:ascii="Times New Roman" w:eastAsia="Calibri" w:hAnsi="Times New Roman" w:hint="default"/>
          <w:sz w:val="22"/>
          <w:szCs w:val="22"/>
          <w:lang w:eastAsia="en-US"/>
        </w:rPr>
        <w:t>jmy v </w:t>
      </w:r>
      <w:r w:rsidRPr="00833785" w:rsidR="00422D66">
        <w:rPr>
          <w:rFonts w:ascii="Times New Roman" w:eastAsia="Calibri" w:hAnsi="Times New Roman" w:hint="default"/>
          <w:sz w:val="22"/>
          <w:szCs w:val="22"/>
          <w:lang w:eastAsia="en-US"/>
        </w:rPr>
        <w:t>kapitole Vš</w:t>
      </w:r>
      <w:r w:rsidRPr="00833785" w:rsidR="00422D66">
        <w:rPr>
          <w:rFonts w:ascii="Times New Roman" w:eastAsia="Calibri" w:hAnsi="Times New Roman" w:hint="default"/>
          <w:sz w:val="22"/>
          <w:szCs w:val="22"/>
          <w:lang w:eastAsia="en-US"/>
        </w:rPr>
        <w:t>eobecná</w:t>
      </w:r>
      <w:r w:rsidRPr="00833785" w:rsidR="00422D66">
        <w:rPr>
          <w:rFonts w:ascii="Times New Roman" w:eastAsia="Calibri" w:hAnsi="Times New Roman" w:hint="default"/>
          <w:sz w:val="22"/>
          <w:szCs w:val="22"/>
          <w:lang w:eastAsia="en-US"/>
        </w:rPr>
        <w:t xml:space="preserve"> pokladn</w:t>
      </w:r>
      <w:r>
        <w:rPr>
          <w:rFonts w:ascii="Times New Roman" w:eastAsia="Calibri" w:hAnsi="Times New Roman" w:hint="default"/>
          <w:sz w:val="22"/>
          <w:szCs w:val="22"/>
          <w:lang w:eastAsia="en-US"/>
        </w:rPr>
        <w:t>ič</w:t>
      </w:r>
      <w:r>
        <w:rPr>
          <w:rFonts w:ascii="Times New Roman" w:eastAsia="Calibri" w:hAnsi="Times New Roman" w:hint="default"/>
          <w:sz w:val="22"/>
          <w:szCs w:val="22"/>
          <w:lang w:eastAsia="en-US"/>
        </w:rPr>
        <w:t>ná</w:t>
      </w:r>
      <w:r>
        <w:rPr>
          <w:rFonts w:ascii="Times New Roman" w:eastAsia="Calibri" w:hAnsi="Times New Roman" w:hint="default"/>
          <w:sz w:val="22"/>
          <w:szCs w:val="22"/>
          <w:lang w:eastAsia="en-US"/>
        </w:rPr>
        <w:t xml:space="preserve"> sprá</w:t>
      </w:r>
      <w:r>
        <w:rPr>
          <w:rFonts w:ascii="Times New Roman" w:eastAsia="Calibri" w:hAnsi="Times New Roman" w:hint="default"/>
          <w:sz w:val="22"/>
          <w:szCs w:val="22"/>
          <w:lang w:eastAsia="en-US"/>
        </w:rPr>
        <w:t>va v </w:t>
      </w:r>
      <w:r w:rsidRPr="00833785" w:rsidR="00422D66">
        <w:rPr>
          <w:rFonts w:ascii="Times New Roman" w:eastAsia="Calibri" w:hAnsi="Times New Roman"/>
          <w:sz w:val="22"/>
          <w:szCs w:val="22"/>
          <w:lang w:eastAsia="en-US"/>
        </w:rPr>
        <w:t>celkovej </w:t>
      </w:r>
      <w:r w:rsidRPr="00833785" w:rsidR="00422D66">
        <w:rPr>
          <w:rFonts w:ascii="Times New Roman" w:eastAsia="Calibri" w:hAnsi="Times New Roman" w:hint="default"/>
          <w:sz w:val="22"/>
          <w:szCs w:val="22"/>
          <w:lang w:eastAsia="en-US"/>
        </w:rPr>
        <w:t>výš</w:t>
      </w:r>
      <w:r w:rsidRPr="00833785" w:rsidR="00422D66">
        <w:rPr>
          <w:rFonts w:ascii="Times New Roman" w:eastAsia="Calibri" w:hAnsi="Times New Roman" w:hint="default"/>
          <w:sz w:val="22"/>
          <w:szCs w:val="22"/>
          <w:lang w:eastAsia="en-US"/>
        </w:rPr>
        <w:t xml:space="preserve">ke 188 428 tis. eur, </w:t>
      </w:r>
      <w:r w:rsidRPr="00422D66" w:rsidR="00422D66">
        <w:rPr>
          <w:rFonts w:ascii="Times New Roman" w:eastAsia="Calibri" w:hAnsi="Times New Roman"/>
          <w:color w:val="000000"/>
          <w:sz w:val="22"/>
          <w:szCs w:val="22"/>
          <w:lang w:eastAsia="en-US"/>
        </w:rPr>
        <w:t>z ktorej 170 191 tis. eur b</w:t>
      </w:r>
      <w:r w:rsidRPr="00422D66" w:rsidR="00422D66">
        <w:rPr>
          <w:rFonts w:ascii="Times New Roman" w:eastAsia="Calibri" w:hAnsi="Times New Roman" w:hint="default"/>
          <w:color w:val="000000"/>
          <w:sz w:val="22"/>
          <w:szCs w:val="22"/>
          <w:lang w:eastAsia="en-US"/>
        </w:rPr>
        <w:t>oli prí</w:t>
      </w:r>
      <w:r w:rsidRPr="00422D66" w:rsidR="00422D66">
        <w:rPr>
          <w:rFonts w:ascii="Times New Roman" w:eastAsia="Calibri" w:hAnsi="Times New Roman" w:hint="default"/>
          <w:color w:val="000000"/>
          <w:sz w:val="22"/>
          <w:szCs w:val="22"/>
          <w:lang w:eastAsia="en-US"/>
        </w:rPr>
        <w:t>jmy z </w:t>
      </w:r>
      <w:r w:rsidRPr="00422D66" w:rsidR="00422D66">
        <w:rPr>
          <w:rFonts w:ascii="Times New Roman" w:eastAsia="Calibri" w:hAnsi="Times New Roman" w:hint="default"/>
          <w:color w:val="000000"/>
          <w:sz w:val="22"/>
          <w:szCs w:val="22"/>
          <w:lang w:eastAsia="en-US"/>
        </w:rPr>
        <w:t>hazardný</w:t>
      </w:r>
      <w:r w:rsidRPr="00422D66" w:rsidR="00422D66">
        <w:rPr>
          <w:rFonts w:ascii="Times New Roman" w:eastAsia="Calibri" w:hAnsi="Times New Roman" w:hint="default"/>
          <w:color w:val="000000"/>
          <w:sz w:val="22"/>
          <w:szCs w:val="22"/>
          <w:lang w:eastAsia="en-US"/>
        </w:rPr>
        <w:t xml:space="preserve">ch hier. </w:t>
      </w:r>
      <w:r w:rsidR="00E54FBF">
        <w:rPr>
          <w:rFonts w:ascii="Times New Roman" w:eastAsia="Calibri" w:hAnsi="Times New Roman"/>
          <w:color w:val="000000"/>
          <w:sz w:val="22"/>
          <w:szCs w:val="22"/>
          <w:lang w:eastAsia="en-US"/>
        </w:rPr>
        <w:t>Tieto v </w:t>
      </w:r>
      <w:r w:rsidR="00E54FBF">
        <w:rPr>
          <w:rFonts w:ascii="Times New Roman" w:eastAsia="Calibri" w:hAnsi="Times New Roman" w:hint="default"/>
          <w:color w:val="000000"/>
          <w:sz w:val="22"/>
          <w:szCs w:val="22"/>
          <w:lang w:eastAsia="en-US"/>
        </w:rPr>
        <w:t>medziroč</w:t>
      </w:r>
      <w:r w:rsidR="00E54FBF">
        <w:rPr>
          <w:rFonts w:ascii="Times New Roman" w:eastAsia="Calibri" w:hAnsi="Times New Roman" w:hint="default"/>
          <w:color w:val="000000"/>
          <w:sz w:val="22"/>
          <w:szCs w:val="22"/>
          <w:lang w:eastAsia="en-US"/>
        </w:rPr>
        <w:t>nom porovnaní</w:t>
      </w:r>
      <w:r w:rsidR="00E54FBF">
        <w:rPr>
          <w:rFonts w:ascii="Times New Roman" w:eastAsia="Calibri" w:hAnsi="Times New Roman" w:hint="default"/>
          <w:color w:val="000000"/>
          <w:sz w:val="22"/>
          <w:szCs w:val="22"/>
          <w:lang w:eastAsia="en-US"/>
        </w:rPr>
        <w:t xml:space="preserve"> vzrá</w:t>
      </w:r>
      <w:r w:rsidR="00E54FBF">
        <w:rPr>
          <w:rFonts w:ascii="Times New Roman" w:eastAsia="Calibri" w:hAnsi="Times New Roman" w:hint="default"/>
          <w:color w:val="000000"/>
          <w:sz w:val="22"/>
          <w:szCs w:val="22"/>
          <w:lang w:eastAsia="en-US"/>
        </w:rPr>
        <w:t>stli o </w:t>
      </w:r>
      <w:r w:rsidR="00E54FBF">
        <w:rPr>
          <w:rFonts w:ascii="Times New Roman" w:eastAsia="Calibri" w:hAnsi="Times New Roman" w:hint="default"/>
          <w:color w:val="000000"/>
          <w:sz w:val="22"/>
          <w:szCs w:val="22"/>
          <w:lang w:eastAsia="en-US"/>
        </w:rPr>
        <w:t>vyš</w:t>
      </w:r>
      <w:r w:rsidR="00E54FBF">
        <w:rPr>
          <w:rFonts w:ascii="Times New Roman" w:eastAsia="Calibri" w:hAnsi="Times New Roman" w:hint="default"/>
          <w:color w:val="000000"/>
          <w:sz w:val="22"/>
          <w:szCs w:val="22"/>
          <w:lang w:eastAsia="en-US"/>
        </w:rPr>
        <w:t>e 24 000 tis. eur z </w:t>
      </w:r>
      <w:r w:rsidR="00E54FBF">
        <w:rPr>
          <w:rFonts w:ascii="Times New Roman" w:eastAsia="Calibri" w:hAnsi="Times New Roman" w:hint="default"/>
          <w:color w:val="000000"/>
          <w:sz w:val="22"/>
          <w:szCs w:val="22"/>
          <w:lang w:eastAsia="en-US"/>
        </w:rPr>
        <w:t>dô</w:t>
      </w:r>
      <w:r w:rsidR="00E54FBF">
        <w:rPr>
          <w:rFonts w:ascii="Times New Roman" w:eastAsia="Calibri" w:hAnsi="Times New Roman" w:hint="default"/>
          <w:color w:val="000000"/>
          <w:sz w:val="22"/>
          <w:szCs w:val="22"/>
          <w:lang w:eastAsia="en-US"/>
        </w:rPr>
        <w:t>vodu zmeny podielu jednotlivý</w:t>
      </w:r>
      <w:r w:rsidR="00E54FBF">
        <w:rPr>
          <w:rFonts w:ascii="Times New Roman" w:eastAsia="Calibri" w:hAnsi="Times New Roman" w:hint="default"/>
          <w:color w:val="000000"/>
          <w:sz w:val="22"/>
          <w:szCs w:val="22"/>
          <w:lang w:eastAsia="en-US"/>
        </w:rPr>
        <w:t>ch druhov hazardný</w:t>
      </w:r>
      <w:r w:rsidR="00E54FBF">
        <w:rPr>
          <w:rFonts w:ascii="Times New Roman" w:eastAsia="Calibri" w:hAnsi="Times New Roman" w:hint="default"/>
          <w:color w:val="000000"/>
          <w:sz w:val="22"/>
          <w:szCs w:val="22"/>
          <w:lang w:eastAsia="en-US"/>
        </w:rPr>
        <w:t>ch hier (ná</w:t>
      </w:r>
      <w:r w:rsidR="00E54FBF">
        <w:rPr>
          <w:rFonts w:ascii="Times New Roman" w:eastAsia="Calibri" w:hAnsi="Times New Roman" w:hint="default"/>
          <w:color w:val="000000"/>
          <w:sz w:val="22"/>
          <w:szCs w:val="22"/>
          <w:lang w:eastAsia="en-US"/>
        </w:rPr>
        <w:t>rast poč</w:t>
      </w:r>
      <w:r w:rsidR="00E54FBF">
        <w:rPr>
          <w:rFonts w:ascii="Times New Roman" w:eastAsia="Calibri" w:hAnsi="Times New Roman" w:hint="default"/>
          <w:color w:val="000000"/>
          <w:sz w:val="22"/>
          <w:szCs w:val="22"/>
          <w:lang w:eastAsia="en-US"/>
        </w:rPr>
        <w:t>tu zariadení</w:t>
      </w:r>
      <w:r w:rsidR="00E54FBF">
        <w:rPr>
          <w:rFonts w:ascii="Times New Roman" w:eastAsia="Calibri" w:hAnsi="Times New Roman" w:hint="default"/>
          <w:color w:val="000000"/>
          <w:sz w:val="22"/>
          <w:szCs w:val="22"/>
          <w:lang w:eastAsia="en-US"/>
        </w:rPr>
        <w:t xml:space="preserve"> s </w:t>
      </w:r>
      <w:r w:rsidR="00E54FBF">
        <w:rPr>
          <w:rFonts w:ascii="Times New Roman" w:eastAsia="Calibri" w:hAnsi="Times New Roman" w:hint="default"/>
          <w:color w:val="000000"/>
          <w:sz w:val="22"/>
          <w:szCs w:val="22"/>
          <w:lang w:eastAsia="en-US"/>
        </w:rPr>
        <w:t>vyšš</w:t>
      </w:r>
      <w:r w:rsidR="00E54FBF">
        <w:rPr>
          <w:rFonts w:ascii="Times New Roman" w:eastAsia="Calibri" w:hAnsi="Times New Roman" w:hint="default"/>
          <w:color w:val="000000"/>
          <w:sz w:val="22"/>
          <w:szCs w:val="22"/>
          <w:lang w:eastAsia="en-US"/>
        </w:rPr>
        <w:t>ou odvodovou povinnosť</w:t>
      </w:r>
      <w:r w:rsidR="00E54FBF">
        <w:rPr>
          <w:rFonts w:ascii="Times New Roman" w:eastAsia="Calibri" w:hAnsi="Times New Roman" w:hint="default"/>
          <w:color w:val="000000"/>
          <w:sz w:val="22"/>
          <w:szCs w:val="22"/>
          <w:lang w:eastAsia="en-US"/>
        </w:rPr>
        <w:t xml:space="preserve">ou </w:t>
      </w:r>
      <w:r w:rsidR="00E54FBF">
        <w:rPr>
          <w:rFonts w:ascii="Times New Roman" w:eastAsia="Calibri" w:hAnsi="Times New Roman" w:hint="default"/>
          <w:color w:val="000000"/>
          <w:sz w:val="22"/>
          <w:szCs w:val="22"/>
          <w:lang w:eastAsia="en-US"/>
        </w:rPr>
        <w:t>–</w:t>
      </w:r>
      <w:r w:rsidR="00E54FBF">
        <w:rPr>
          <w:rFonts w:ascii="Times New Roman" w:eastAsia="Calibri" w:hAnsi="Times New Roman" w:hint="default"/>
          <w:color w:val="000000"/>
          <w:sz w:val="22"/>
          <w:szCs w:val="22"/>
          <w:lang w:eastAsia="en-US"/>
        </w:rPr>
        <w:t xml:space="preserve"> videohry a </w:t>
      </w:r>
      <w:r w:rsidR="00E54FBF">
        <w:rPr>
          <w:rFonts w:ascii="Times New Roman" w:eastAsia="Calibri" w:hAnsi="Times New Roman" w:hint="default"/>
          <w:color w:val="000000"/>
          <w:sz w:val="22"/>
          <w:szCs w:val="22"/>
          <w:lang w:eastAsia="en-US"/>
        </w:rPr>
        <w:t>ná</w:t>
      </w:r>
      <w:r w:rsidR="00E54FBF">
        <w:rPr>
          <w:rFonts w:ascii="Times New Roman" w:eastAsia="Calibri" w:hAnsi="Times New Roman" w:hint="default"/>
          <w:color w:val="000000"/>
          <w:sz w:val="22"/>
          <w:szCs w:val="22"/>
          <w:lang w:eastAsia="en-US"/>
        </w:rPr>
        <w:t>rast trž</w:t>
      </w:r>
      <w:r w:rsidR="00E54FBF">
        <w:rPr>
          <w:rFonts w:ascii="Times New Roman" w:eastAsia="Calibri" w:hAnsi="Times New Roman" w:hint="default"/>
          <w:color w:val="000000"/>
          <w:sz w:val="22"/>
          <w:szCs w:val="22"/>
          <w:lang w:eastAsia="en-US"/>
        </w:rPr>
        <w:t>ieb vybrané</w:t>
      </w:r>
      <w:r w:rsidR="00E54FBF">
        <w:rPr>
          <w:rFonts w:ascii="Times New Roman" w:eastAsia="Calibri" w:hAnsi="Times New Roman" w:hint="default"/>
          <w:color w:val="000000"/>
          <w:sz w:val="22"/>
          <w:szCs w:val="22"/>
          <w:lang w:eastAsia="en-US"/>
        </w:rPr>
        <w:t xml:space="preserve">ho segmentu </w:t>
      </w:r>
      <w:r w:rsidR="00E54FBF">
        <w:rPr>
          <w:rFonts w:ascii="Times New Roman" w:eastAsia="Calibri" w:hAnsi="Times New Roman" w:hint="default"/>
          <w:color w:val="000000"/>
          <w:sz w:val="22"/>
          <w:szCs w:val="22"/>
          <w:lang w:eastAsia="en-US"/>
        </w:rPr>
        <w:t>–</w:t>
      </w:r>
      <w:r w:rsidR="00E54FBF">
        <w:rPr>
          <w:rFonts w:ascii="Times New Roman" w:eastAsia="Calibri" w:hAnsi="Times New Roman" w:hint="default"/>
          <w:color w:val="000000"/>
          <w:sz w:val="22"/>
          <w:szCs w:val="22"/>
          <w:lang w:eastAsia="en-US"/>
        </w:rPr>
        <w:t xml:space="preserve"> ku</w:t>
      </w:r>
      <w:r w:rsidR="00E54FBF">
        <w:rPr>
          <w:rFonts w:ascii="Times New Roman" w:eastAsia="Calibri" w:hAnsi="Times New Roman" w:hint="default"/>
          <w:color w:val="000000"/>
          <w:sz w:val="22"/>
          <w:szCs w:val="22"/>
          <w:lang w:eastAsia="en-US"/>
        </w:rPr>
        <w:t>rzové</w:t>
      </w:r>
      <w:r w:rsidR="00E54FBF">
        <w:rPr>
          <w:rFonts w:ascii="Times New Roman" w:eastAsia="Calibri" w:hAnsi="Times New Roman" w:hint="default"/>
          <w:color w:val="000000"/>
          <w:sz w:val="22"/>
          <w:szCs w:val="22"/>
          <w:lang w:eastAsia="en-US"/>
        </w:rPr>
        <w:t xml:space="preserve"> stá</w:t>
      </w:r>
      <w:r w:rsidR="00E54FBF">
        <w:rPr>
          <w:rFonts w:ascii="Times New Roman" w:eastAsia="Calibri" w:hAnsi="Times New Roman" w:hint="default"/>
          <w:color w:val="000000"/>
          <w:sz w:val="22"/>
          <w:szCs w:val="22"/>
          <w:lang w:eastAsia="en-US"/>
        </w:rPr>
        <w:t xml:space="preserve">vky). </w:t>
      </w:r>
    </w:p>
    <w:p w:rsidR="004D22C7" w:rsidRPr="002250E3" w:rsidP="004D22C7">
      <w:pPr>
        <w:tabs>
          <w:tab w:val="left" w:pos="284"/>
        </w:tabs>
        <w:suppressAutoHyphens/>
        <w:bidi w:val="0"/>
        <w:spacing w:after="120" w:line="336" w:lineRule="auto"/>
        <w:jc w:val="both"/>
        <w:rPr>
          <w:rFonts w:ascii="Times New Roman" w:hAnsi="Times New Roman"/>
          <w:color w:val="000000"/>
          <w:sz w:val="22"/>
          <w:szCs w:val="22"/>
        </w:rPr>
      </w:pPr>
      <w:r w:rsidRPr="00833785" w:rsidR="00422D66">
        <w:rPr>
          <w:rFonts w:ascii="Times New Roman" w:eastAsia="Calibri" w:hAnsi="Times New Roman" w:hint="default"/>
          <w:sz w:val="22"/>
          <w:szCs w:val="22"/>
          <w:lang w:eastAsia="en-US"/>
        </w:rPr>
        <w:t>Ministerstvo vnú</w:t>
      </w:r>
      <w:r w:rsidRPr="00833785" w:rsidR="00422D66">
        <w:rPr>
          <w:rFonts w:ascii="Times New Roman" w:eastAsia="Calibri" w:hAnsi="Times New Roman" w:hint="default"/>
          <w:sz w:val="22"/>
          <w:szCs w:val="22"/>
          <w:lang w:eastAsia="en-US"/>
        </w:rPr>
        <w:t xml:space="preserve">tra SR </w:t>
      </w:r>
      <w:r w:rsidR="00422D66">
        <w:rPr>
          <w:rFonts w:ascii="Times New Roman" w:eastAsia="Calibri" w:hAnsi="Times New Roman" w:hint="default"/>
          <w:sz w:val="22"/>
          <w:szCs w:val="22"/>
          <w:lang w:eastAsia="en-US"/>
        </w:rPr>
        <w:t>zí</w:t>
      </w:r>
      <w:r w:rsidR="00422D66">
        <w:rPr>
          <w:rFonts w:ascii="Times New Roman" w:eastAsia="Calibri" w:hAnsi="Times New Roman" w:hint="default"/>
          <w:sz w:val="22"/>
          <w:szCs w:val="22"/>
          <w:lang w:eastAsia="en-US"/>
        </w:rPr>
        <w:t xml:space="preserve">skalo </w:t>
      </w:r>
      <w:r w:rsidRPr="00833785" w:rsidR="00422D66">
        <w:rPr>
          <w:rFonts w:ascii="Times New Roman" w:eastAsia="Calibri" w:hAnsi="Times New Roman" w:hint="default"/>
          <w:sz w:val="22"/>
          <w:szCs w:val="22"/>
          <w:lang w:eastAsia="en-US"/>
        </w:rPr>
        <w:t>iné</w:t>
      </w:r>
      <w:r w:rsidRPr="00833785" w:rsidR="00422D66">
        <w:rPr>
          <w:rFonts w:ascii="Times New Roman" w:eastAsia="Calibri" w:hAnsi="Times New Roman" w:hint="default"/>
          <w:sz w:val="22"/>
          <w:szCs w:val="22"/>
          <w:lang w:eastAsia="en-US"/>
        </w:rPr>
        <w:t xml:space="preserve"> nedaň</w:t>
      </w:r>
      <w:r w:rsidRPr="00833785" w:rsidR="00422D66">
        <w:rPr>
          <w:rFonts w:ascii="Times New Roman" w:eastAsia="Calibri" w:hAnsi="Times New Roman" w:hint="default"/>
          <w:sz w:val="22"/>
          <w:szCs w:val="22"/>
          <w:lang w:eastAsia="en-US"/>
        </w:rPr>
        <w:t>ové</w:t>
      </w:r>
      <w:r w:rsidRPr="00833785" w:rsidR="00422D66">
        <w:rPr>
          <w:rFonts w:ascii="Times New Roman" w:eastAsia="Calibri" w:hAnsi="Times New Roman" w:hint="default"/>
          <w:sz w:val="22"/>
          <w:szCs w:val="22"/>
          <w:lang w:eastAsia="en-US"/>
        </w:rPr>
        <w:t xml:space="preserve"> prí</w:t>
      </w:r>
      <w:r w:rsidRPr="00833785" w:rsidR="00422D66">
        <w:rPr>
          <w:rFonts w:ascii="Times New Roman" w:eastAsia="Calibri" w:hAnsi="Times New Roman" w:hint="default"/>
          <w:sz w:val="22"/>
          <w:szCs w:val="22"/>
          <w:lang w:eastAsia="en-US"/>
        </w:rPr>
        <w:t>jmy v </w:t>
      </w:r>
      <w:r w:rsidRPr="00833785" w:rsidR="00422D66">
        <w:rPr>
          <w:rFonts w:ascii="Times New Roman" w:eastAsia="Calibri" w:hAnsi="Times New Roman" w:hint="default"/>
          <w:sz w:val="22"/>
          <w:szCs w:val="22"/>
          <w:lang w:eastAsia="en-US"/>
        </w:rPr>
        <w:t>č</w:t>
      </w:r>
      <w:r w:rsidRPr="00833785" w:rsidR="00422D66">
        <w:rPr>
          <w:rFonts w:ascii="Times New Roman" w:eastAsia="Calibri" w:hAnsi="Times New Roman" w:hint="default"/>
          <w:sz w:val="22"/>
          <w:szCs w:val="22"/>
          <w:lang w:eastAsia="en-US"/>
        </w:rPr>
        <w:t xml:space="preserve">iastke </w:t>
      </w:r>
      <w:r w:rsidRPr="00422D66" w:rsidR="00422D66">
        <w:rPr>
          <w:rFonts w:ascii="Times New Roman" w:eastAsia="Calibri" w:hAnsi="Times New Roman"/>
          <w:color w:val="000000"/>
          <w:sz w:val="22"/>
          <w:szCs w:val="22"/>
          <w:lang w:eastAsia="en-US"/>
        </w:rPr>
        <w:t>82 622 tis. eur</w:t>
      </w:r>
      <w:r w:rsidRPr="00833785" w:rsidR="00422D66">
        <w:rPr>
          <w:rFonts w:ascii="Times New Roman" w:eastAsia="Calibri" w:hAnsi="Times New Roman"/>
          <w:sz w:val="22"/>
          <w:szCs w:val="22"/>
          <w:lang w:eastAsia="en-US"/>
        </w:rPr>
        <w:t>,</w:t>
      </w:r>
      <w:r w:rsidR="00422D66">
        <w:rPr>
          <w:rFonts w:ascii="Times New Roman" w:eastAsia="Calibri" w:hAnsi="Times New Roman"/>
          <w:sz w:val="22"/>
          <w:szCs w:val="22"/>
          <w:lang w:eastAsia="en-US"/>
        </w:rPr>
        <w:t xml:space="preserve"> z </w:t>
      </w:r>
      <w:r w:rsidR="00422D66">
        <w:rPr>
          <w:rFonts w:ascii="Times New Roman" w:eastAsia="Calibri" w:hAnsi="Times New Roman" w:hint="default"/>
          <w:sz w:val="22"/>
          <w:szCs w:val="22"/>
          <w:lang w:eastAsia="en-US"/>
        </w:rPr>
        <w:t>ktorý</w:t>
      </w:r>
      <w:r w:rsidR="00422D66">
        <w:rPr>
          <w:rFonts w:ascii="Times New Roman" w:eastAsia="Calibri" w:hAnsi="Times New Roman" w:hint="default"/>
          <w:sz w:val="22"/>
          <w:szCs w:val="22"/>
          <w:lang w:eastAsia="en-US"/>
        </w:rPr>
        <w:t xml:space="preserve">ch suma 75 121 tis. eur predstavuje </w:t>
      </w:r>
      <w:r w:rsidR="00422D66">
        <w:rPr>
          <w:rFonts w:ascii="Times New Roman" w:hAnsi="Times New Roman"/>
          <w:color w:val="000000"/>
          <w:sz w:val="22"/>
          <w:szCs w:val="22"/>
        </w:rPr>
        <w:t>p</w:t>
      </w:r>
      <w:r w:rsidRPr="00D24E73" w:rsidR="00422D66">
        <w:rPr>
          <w:rFonts w:ascii="Times New Roman" w:hAnsi="Times New Roman"/>
          <w:color w:val="000000"/>
          <w:sz w:val="22"/>
          <w:szCs w:val="22"/>
        </w:rPr>
        <w:t>ríjmy z odvodu časti poistného z povinného zmluvného poistenia</w:t>
      </w:r>
      <w:r w:rsidR="00422D66">
        <w:rPr>
          <w:rFonts w:ascii="Times New Roman" w:hAnsi="Times New Roman"/>
          <w:color w:val="000000"/>
          <w:sz w:val="22"/>
          <w:szCs w:val="22"/>
        </w:rPr>
        <w:t xml:space="preserve"> v </w:t>
      </w:r>
      <w:r>
        <w:rPr>
          <w:rFonts w:ascii="Times New Roman" w:hAnsi="Times New Roman"/>
          <w:color w:val="000000"/>
          <w:sz w:val="22"/>
          <w:szCs w:val="22"/>
        </w:rPr>
        <w:t>zmysle zákona č. 8/2008 Z. z. (</w:t>
      </w:r>
      <w:r w:rsidR="00422D66">
        <w:rPr>
          <w:rFonts w:ascii="Times New Roman" w:hAnsi="Times New Roman"/>
          <w:color w:val="000000"/>
          <w:sz w:val="22"/>
          <w:szCs w:val="22"/>
        </w:rPr>
        <w:t>v súčasnosti zákon č. 39/2015 Z. z.) o poisťovníctve a o zmene a doplnení niektorých zákonov</w:t>
      </w:r>
      <w:r>
        <w:rPr>
          <w:rFonts w:ascii="Times New Roman" w:hAnsi="Times New Roman"/>
          <w:color w:val="000000"/>
          <w:sz w:val="22"/>
          <w:szCs w:val="22"/>
        </w:rPr>
        <w:t xml:space="preserve">, pričom rozpočet predpokladal plnenie vo výške </w:t>
      </w:r>
      <w:r w:rsidRPr="002250E3">
        <w:rPr>
          <w:rFonts w:ascii="Times New Roman" w:hAnsi="Times New Roman"/>
          <w:sz w:val="22"/>
          <w:szCs w:val="22"/>
        </w:rPr>
        <w:t>2 171 tis. eur.</w:t>
      </w:r>
    </w:p>
    <w:p w:rsidR="00422D66" w:rsidRPr="00833785" w:rsidP="004D22C7">
      <w:pPr>
        <w:tabs>
          <w:tab w:val="left" w:pos="284"/>
        </w:tabs>
        <w:suppressAutoHyphens/>
        <w:bidi w:val="0"/>
        <w:spacing w:after="120" w:line="336" w:lineRule="auto"/>
        <w:jc w:val="both"/>
        <w:rPr>
          <w:rFonts w:ascii="Times New Roman" w:hAnsi="Times New Roman"/>
        </w:rPr>
      </w:pPr>
      <w:r w:rsidRPr="00833785">
        <w:rPr>
          <w:rFonts w:ascii="Times New Roman" w:eastAsia="Calibri" w:hAnsi="Times New Roman" w:hint="default"/>
          <w:sz w:val="22"/>
          <w:szCs w:val="22"/>
          <w:lang w:eastAsia="en-US"/>
        </w:rPr>
        <w:t>Ministerstvo hospodá</w:t>
      </w:r>
      <w:r w:rsidRPr="00833785">
        <w:rPr>
          <w:rFonts w:ascii="Times New Roman" w:eastAsia="Calibri" w:hAnsi="Times New Roman" w:hint="default"/>
          <w:sz w:val="22"/>
          <w:szCs w:val="22"/>
          <w:lang w:eastAsia="en-US"/>
        </w:rPr>
        <w:t>rstva SR dosiahlo iné</w:t>
      </w:r>
      <w:r w:rsidRPr="00833785">
        <w:rPr>
          <w:rFonts w:ascii="Times New Roman" w:eastAsia="Calibri" w:hAnsi="Times New Roman" w:hint="default"/>
          <w:sz w:val="22"/>
          <w:szCs w:val="22"/>
          <w:lang w:eastAsia="en-US"/>
        </w:rPr>
        <w:t xml:space="preserve"> nedaň</w:t>
      </w:r>
      <w:r w:rsidRPr="00833785">
        <w:rPr>
          <w:rFonts w:ascii="Times New Roman" w:eastAsia="Calibri" w:hAnsi="Times New Roman" w:hint="default"/>
          <w:sz w:val="22"/>
          <w:szCs w:val="22"/>
          <w:lang w:eastAsia="en-US"/>
        </w:rPr>
        <w:t>ové</w:t>
      </w:r>
      <w:r w:rsidRPr="00833785">
        <w:rPr>
          <w:rFonts w:ascii="Times New Roman" w:eastAsia="Calibri" w:hAnsi="Times New Roman" w:hint="default"/>
          <w:sz w:val="22"/>
          <w:szCs w:val="22"/>
          <w:lang w:eastAsia="en-US"/>
        </w:rPr>
        <w:t xml:space="preserve"> prí</w:t>
      </w:r>
      <w:r w:rsidRPr="00833785">
        <w:rPr>
          <w:rFonts w:ascii="Times New Roman" w:eastAsia="Calibri" w:hAnsi="Times New Roman" w:hint="default"/>
          <w:sz w:val="22"/>
          <w:szCs w:val="22"/>
          <w:lang w:eastAsia="en-US"/>
        </w:rPr>
        <w:t>jmy v sume 73 536 tis. eur</w:t>
      </w:r>
      <w:r w:rsidRPr="00422D66">
        <w:rPr>
          <w:rFonts w:ascii="Times New Roman" w:eastAsia="Calibri" w:hAnsi="Times New Roman"/>
          <w:color w:val="000000"/>
          <w:sz w:val="22"/>
          <w:szCs w:val="22"/>
          <w:lang w:eastAsia="en-US"/>
        </w:rPr>
        <w:t>, z </w:t>
      </w:r>
      <w:r w:rsidRPr="00422D66">
        <w:rPr>
          <w:rFonts w:ascii="Times New Roman" w:eastAsia="Calibri" w:hAnsi="Times New Roman" w:hint="default"/>
          <w:color w:val="000000"/>
          <w:sz w:val="22"/>
          <w:szCs w:val="22"/>
          <w:lang w:eastAsia="en-US"/>
        </w:rPr>
        <w:t>ktorý</w:t>
      </w:r>
      <w:r w:rsidRPr="00422D66">
        <w:rPr>
          <w:rFonts w:ascii="Times New Roman" w:eastAsia="Calibri" w:hAnsi="Times New Roman" w:hint="default"/>
          <w:color w:val="000000"/>
          <w:sz w:val="22"/>
          <w:szCs w:val="22"/>
          <w:lang w:eastAsia="en-US"/>
        </w:rPr>
        <w:t>ch 72 </w:t>
      </w:r>
      <w:r w:rsidR="0008386B">
        <w:rPr>
          <w:rFonts w:ascii="Times New Roman" w:eastAsia="Calibri" w:hAnsi="Times New Roman"/>
          <w:color w:val="000000"/>
          <w:sz w:val="22"/>
          <w:szCs w:val="22"/>
          <w:lang w:eastAsia="en-US"/>
        </w:rPr>
        <w:t>886</w:t>
      </w:r>
      <w:r w:rsidRPr="00422D66">
        <w:rPr>
          <w:rFonts w:ascii="Times New Roman" w:eastAsia="Calibri" w:hAnsi="Times New Roman"/>
          <w:color w:val="000000"/>
          <w:sz w:val="22"/>
          <w:szCs w:val="22"/>
          <w:lang w:eastAsia="en-US"/>
        </w:rPr>
        <w:t> </w:t>
      </w:r>
      <w:r w:rsidRPr="00422D66">
        <w:rPr>
          <w:rFonts w:ascii="Times New Roman" w:eastAsia="Calibri" w:hAnsi="Times New Roman"/>
          <w:color w:val="000000"/>
          <w:sz w:val="22"/>
          <w:szCs w:val="22"/>
          <w:lang w:eastAsia="en-US"/>
        </w:rPr>
        <w:t xml:space="preserve">tis. eur predstavovali </w:t>
      </w:r>
      <w:r w:rsidRPr="00422D66">
        <w:rPr>
          <w:rFonts w:ascii="Times New Roman" w:eastAsia="Calibri" w:hAnsi="Times New Roman" w:hint="default"/>
          <w:color w:val="000000"/>
          <w:sz w:val="22"/>
          <w:szCs w:val="22"/>
          <w:lang w:eastAsia="en-US"/>
        </w:rPr>
        <w:t>prostriedky od prevá</w:t>
      </w:r>
      <w:r w:rsidRPr="00422D66">
        <w:rPr>
          <w:rFonts w:ascii="Times New Roman" w:eastAsia="Calibri" w:hAnsi="Times New Roman" w:hint="default"/>
          <w:color w:val="000000"/>
          <w:sz w:val="22"/>
          <w:szCs w:val="22"/>
          <w:lang w:eastAsia="en-US"/>
        </w:rPr>
        <w:t>dzkovateľ</w:t>
      </w:r>
      <w:r w:rsidRPr="00422D66">
        <w:rPr>
          <w:rFonts w:ascii="Times New Roman" w:eastAsia="Calibri" w:hAnsi="Times New Roman" w:hint="default"/>
          <w:color w:val="000000"/>
          <w:sz w:val="22"/>
          <w:szCs w:val="22"/>
          <w:lang w:eastAsia="en-US"/>
        </w:rPr>
        <w:t>ov distribuč</w:t>
      </w:r>
      <w:r w:rsidRPr="00422D66">
        <w:rPr>
          <w:rFonts w:ascii="Times New Roman" w:eastAsia="Calibri" w:hAnsi="Times New Roman" w:hint="default"/>
          <w:color w:val="000000"/>
          <w:sz w:val="22"/>
          <w:szCs w:val="22"/>
          <w:lang w:eastAsia="en-US"/>
        </w:rPr>
        <w:t>ný</w:t>
      </w:r>
      <w:r w:rsidRPr="00422D66">
        <w:rPr>
          <w:rFonts w:ascii="Times New Roman" w:eastAsia="Calibri" w:hAnsi="Times New Roman" w:hint="default"/>
          <w:color w:val="000000"/>
          <w:sz w:val="22"/>
          <w:szCs w:val="22"/>
          <w:lang w:eastAsia="en-US"/>
        </w:rPr>
        <w:t>ch sú</w:t>
      </w:r>
      <w:r w:rsidRPr="00422D66">
        <w:rPr>
          <w:rFonts w:ascii="Times New Roman" w:eastAsia="Calibri" w:hAnsi="Times New Roman" w:hint="default"/>
          <w:color w:val="000000"/>
          <w:sz w:val="22"/>
          <w:szCs w:val="22"/>
          <w:lang w:eastAsia="en-US"/>
        </w:rPr>
        <w:t>stav a </w:t>
      </w:r>
      <w:r w:rsidRPr="00422D66">
        <w:rPr>
          <w:rFonts w:ascii="Times New Roman" w:eastAsia="Calibri" w:hAnsi="Times New Roman" w:hint="default"/>
          <w:color w:val="000000"/>
          <w:sz w:val="22"/>
          <w:szCs w:val="22"/>
          <w:lang w:eastAsia="en-US"/>
        </w:rPr>
        <w:t>prenosovej sú</w:t>
      </w:r>
      <w:r w:rsidRPr="00422D66">
        <w:rPr>
          <w:rFonts w:ascii="Times New Roman" w:eastAsia="Calibri" w:hAnsi="Times New Roman" w:hint="default"/>
          <w:color w:val="000000"/>
          <w:sz w:val="22"/>
          <w:szCs w:val="22"/>
          <w:lang w:eastAsia="en-US"/>
        </w:rPr>
        <w:t>stavy, ktorí</w:t>
      </w:r>
      <w:r w:rsidRPr="00422D66">
        <w:rPr>
          <w:rFonts w:ascii="Times New Roman" w:eastAsia="Calibri" w:hAnsi="Times New Roman" w:hint="default"/>
          <w:color w:val="000000"/>
          <w:sz w:val="22"/>
          <w:szCs w:val="22"/>
          <w:lang w:eastAsia="en-US"/>
        </w:rPr>
        <w:t xml:space="preserve"> sú</w:t>
      </w:r>
      <w:r w:rsidRPr="00422D66">
        <w:rPr>
          <w:rFonts w:ascii="Times New Roman" w:eastAsia="Calibri" w:hAnsi="Times New Roman" w:hint="default"/>
          <w:color w:val="000000"/>
          <w:sz w:val="22"/>
          <w:szCs w:val="22"/>
          <w:lang w:eastAsia="en-US"/>
        </w:rPr>
        <w:t xml:space="preserve"> povinní</w:t>
      </w:r>
      <w:r w:rsidRPr="00422D66">
        <w:rPr>
          <w:rFonts w:ascii="Times New Roman" w:eastAsia="Calibri" w:hAnsi="Times New Roman" w:hint="default"/>
          <w:color w:val="000000"/>
          <w:sz w:val="22"/>
          <w:szCs w:val="22"/>
          <w:lang w:eastAsia="en-US"/>
        </w:rPr>
        <w:t xml:space="preserve"> odvá</w:t>
      </w:r>
      <w:r w:rsidRPr="00422D66">
        <w:rPr>
          <w:rFonts w:ascii="Times New Roman" w:eastAsia="Calibri" w:hAnsi="Times New Roman" w:hint="default"/>
          <w:color w:val="000000"/>
          <w:sz w:val="22"/>
          <w:szCs w:val="22"/>
          <w:lang w:eastAsia="en-US"/>
        </w:rPr>
        <w:t>dzať</w:t>
      </w:r>
      <w:r w:rsidRPr="00422D66">
        <w:rPr>
          <w:rFonts w:ascii="Times New Roman" w:eastAsia="Calibri" w:hAnsi="Times New Roman" w:hint="default"/>
          <w:color w:val="000000"/>
          <w:sz w:val="22"/>
          <w:szCs w:val="22"/>
          <w:lang w:eastAsia="en-US"/>
        </w:rPr>
        <w:t xml:space="preserve"> do š</w:t>
      </w:r>
      <w:r w:rsidRPr="00422D66">
        <w:rPr>
          <w:rFonts w:ascii="Times New Roman" w:eastAsia="Calibri" w:hAnsi="Times New Roman" w:hint="default"/>
          <w:color w:val="000000"/>
          <w:sz w:val="22"/>
          <w:szCs w:val="22"/>
          <w:lang w:eastAsia="en-US"/>
        </w:rPr>
        <w:t>tá</w:t>
      </w:r>
      <w:r w:rsidRPr="00422D66">
        <w:rPr>
          <w:rFonts w:ascii="Times New Roman" w:eastAsia="Calibri" w:hAnsi="Times New Roman" w:hint="default"/>
          <w:color w:val="000000"/>
          <w:sz w:val="22"/>
          <w:szCs w:val="22"/>
          <w:lang w:eastAsia="en-US"/>
        </w:rPr>
        <w:t>tneho rozpoč</w:t>
      </w:r>
      <w:r w:rsidRPr="00422D66">
        <w:rPr>
          <w:rFonts w:ascii="Times New Roman" w:eastAsia="Calibri" w:hAnsi="Times New Roman" w:hint="default"/>
          <w:color w:val="000000"/>
          <w:sz w:val="22"/>
          <w:szCs w:val="22"/>
          <w:lang w:eastAsia="en-US"/>
        </w:rPr>
        <w:t>tu odvod z </w:t>
      </w:r>
      <w:r w:rsidRPr="00422D66">
        <w:rPr>
          <w:rFonts w:ascii="Times New Roman" w:eastAsia="Calibri" w:hAnsi="Times New Roman" w:hint="default"/>
          <w:color w:val="000000"/>
          <w:sz w:val="22"/>
          <w:szCs w:val="22"/>
          <w:lang w:eastAsia="en-US"/>
        </w:rPr>
        <w:t>množ</w:t>
      </w:r>
      <w:r w:rsidRPr="00422D66">
        <w:rPr>
          <w:rFonts w:ascii="Times New Roman" w:eastAsia="Calibri" w:hAnsi="Times New Roman" w:hint="default"/>
          <w:color w:val="000000"/>
          <w:sz w:val="22"/>
          <w:szCs w:val="22"/>
          <w:lang w:eastAsia="en-US"/>
        </w:rPr>
        <w:t>stva elektriny dodanej koncový</w:t>
      </w:r>
      <w:r w:rsidRPr="00422D66">
        <w:rPr>
          <w:rFonts w:ascii="Times New Roman" w:eastAsia="Calibri" w:hAnsi="Times New Roman" w:hint="default"/>
          <w:color w:val="000000"/>
          <w:sz w:val="22"/>
          <w:szCs w:val="22"/>
          <w:lang w:eastAsia="en-US"/>
        </w:rPr>
        <w:t>m odberateľ</w:t>
      </w:r>
      <w:r w:rsidRPr="00422D66">
        <w:rPr>
          <w:rFonts w:ascii="Times New Roman" w:eastAsia="Calibri" w:hAnsi="Times New Roman" w:hint="default"/>
          <w:color w:val="000000"/>
          <w:sz w:val="22"/>
          <w:szCs w:val="22"/>
          <w:lang w:eastAsia="en-US"/>
        </w:rPr>
        <w:t xml:space="preserve">om elektriny. </w:t>
      </w:r>
      <w:r w:rsidRPr="00833785">
        <w:rPr>
          <w:rFonts w:ascii="Times New Roman" w:eastAsia="Calibri" w:hAnsi="Times New Roman"/>
          <w:sz w:val="22"/>
          <w:szCs w:val="22"/>
          <w:lang w:eastAsia="en-US"/>
        </w:rPr>
        <w:t>V </w:t>
      </w:r>
      <w:r w:rsidRPr="00833785">
        <w:rPr>
          <w:rFonts w:ascii="Times New Roman" w:eastAsia="Calibri" w:hAnsi="Times New Roman" w:hint="default"/>
          <w:sz w:val="22"/>
          <w:szCs w:val="22"/>
          <w:lang w:eastAsia="en-US"/>
        </w:rPr>
        <w:t>kapitole Ministerstva dopravy, vý</w:t>
      </w:r>
      <w:r w:rsidRPr="00833785">
        <w:rPr>
          <w:rFonts w:ascii="Times New Roman" w:eastAsia="Calibri" w:hAnsi="Times New Roman" w:hint="default"/>
          <w:sz w:val="22"/>
          <w:szCs w:val="22"/>
          <w:lang w:eastAsia="en-US"/>
        </w:rPr>
        <w:t>stavby a </w:t>
      </w:r>
      <w:r w:rsidRPr="00833785">
        <w:rPr>
          <w:rFonts w:ascii="Times New Roman" w:eastAsia="Calibri" w:hAnsi="Times New Roman" w:hint="default"/>
          <w:sz w:val="22"/>
          <w:szCs w:val="22"/>
          <w:lang w:eastAsia="en-US"/>
        </w:rPr>
        <w:t>regioná</w:t>
      </w:r>
      <w:r w:rsidRPr="00833785">
        <w:rPr>
          <w:rFonts w:ascii="Times New Roman" w:eastAsia="Calibri" w:hAnsi="Times New Roman" w:hint="default"/>
          <w:sz w:val="22"/>
          <w:szCs w:val="22"/>
          <w:lang w:eastAsia="en-US"/>
        </w:rPr>
        <w:t>lneho rozvoja SR</w:t>
      </w:r>
      <w:r w:rsidRPr="00833785">
        <w:rPr>
          <w:rFonts w:ascii="Times New Roman" w:eastAsia="Calibri" w:hAnsi="Times New Roman" w:hint="default"/>
          <w:sz w:val="22"/>
          <w:szCs w:val="22"/>
          <w:lang w:eastAsia="en-US"/>
        </w:rPr>
        <w:t xml:space="preserve"> z celkovo dosiahnutej sumy 30 258 tis. eur</w:t>
      </w:r>
      <w:r w:rsidRPr="00422D66">
        <w:rPr>
          <w:rFonts w:ascii="Times New Roman" w:eastAsia="Calibri" w:hAnsi="Times New Roman"/>
          <w:color w:val="000000"/>
          <w:sz w:val="22"/>
          <w:szCs w:val="22"/>
          <w:lang w:eastAsia="en-US"/>
        </w:rPr>
        <w:t xml:space="preserve"> predstavovali prostriedky z </w:t>
      </w:r>
      <w:r w:rsidRPr="00422D66">
        <w:rPr>
          <w:rFonts w:ascii="Times New Roman" w:eastAsia="Calibri" w:hAnsi="Times New Roman" w:hint="default"/>
          <w:color w:val="000000"/>
          <w:sz w:val="22"/>
          <w:szCs w:val="22"/>
          <w:lang w:eastAsia="en-US"/>
        </w:rPr>
        <w:t>auditu a finanč</w:t>
      </w:r>
      <w:r w:rsidRPr="00422D66">
        <w:rPr>
          <w:rFonts w:ascii="Times New Roman" w:eastAsia="Calibri" w:hAnsi="Times New Roman" w:hint="default"/>
          <w:color w:val="000000"/>
          <w:sz w:val="22"/>
          <w:szCs w:val="22"/>
          <w:lang w:eastAsia="en-US"/>
        </w:rPr>
        <w:t>ný</w:t>
      </w:r>
      <w:r w:rsidRPr="00422D66">
        <w:rPr>
          <w:rFonts w:ascii="Times New Roman" w:eastAsia="Calibri" w:hAnsi="Times New Roman" w:hint="default"/>
          <w:color w:val="000000"/>
          <w:sz w:val="22"/>
          <w:szCs w:val="22"/>
          <w:lang w:eastAsia="en-US"/>
        </w:rPr>
        <w:t>ch kontrol z </w:t>
      </w:r>
      <w:r w:rsidRPr="00422D66">
        <w:rPr>
          <w:rFonts w:ascii="Times New Roman" w:eastAsia="Calibri" w:hAnsi="Times New Roman" w:hint="default"/>
          <w:color w:val="000000"/>
          <w:sz w:val="22"/>
          <w:szCs w:val="22"/>
          <w:lang w:eastAsia="en-US"/>
        </w:rPr>
        <w:t>projektov spolufinancovaný</w:t>
      </w:r>
      <w:r w:rsidRPr="00422D66">
        <w:rPr>
          <w:rFonts w:ascii="Times New Roman" w:eastAsia="Calibri" w:hAnsi="Times New Roman" w:hint="default"/>
          <w:color w:val="000000"/>
          <w:sz w:val="22"/>
          <w:szCs w:val="22"/>
          <w:lang w:eastAsia="en-US"/>
        </w:rPr>
        <w:t>ch z </w:t>
      </w:r>
      <w:r w:rsidRPr="00422D66">
        <w:rPr>
          <w:rFonts w:ascii="Times New Roman" w:eastAsia="Calibri" w:hAnsi="Times New Roman" w:hint="default"/>
          <w:color w:val="000000"/>
          <w:sz w:val="22"/>
          <w:szCs w:val="22"/>
          <w:lang w:eastAsia="en-US"/>
        </w:rPr>
        <w:t>EÚ</w:t>
      </w:r>
      <w:r w:rsidRPr="00422D66">
        <w:rPr>
          <w:rFonts w:ascii="Times New Roman" w:eastAsia="Calibri" w:hAnsi="Times New Roman" w:hint="default"/>
          <w:color w:val="000000"/>
          <w:sz w:val="22"/>
          <w:szCs w:val="22"/>
          <w:lang w:eastAsia="en-US"/>
        </w:rPr>
        <w:t xml:space="preserve"> č</w:t>
      </w:r>
      <w:r w:rsidRPr="00422D66">
        <w:rPr>
          <w:rFonts w:ascii="Times New Roman" w:eastAsia="Calibri" w:hAnsi="Times New Roman" w:hint="default"/>
          <w:color w:val="000000"/>
          <w:sz w:val="22"/>
          <w:szCs w:val="22"/>
          <w:lang w:eastAsia="en-US"/>
        </w:rPr>
        <w:t>iastku 24 368 </w:t>
      </w:r>
      <w:r w:rsidRPr="00422D66">
        <w:rPr>
          <w:rFonts w:ascii="Times New Roman" w:eastAsia="Calibri" w:hAnsi="Times New Roman" w:hint="default"/>
          <w:color w:val="000000"/>
          <w:sz w:val="22"/>
          <w:szCs w:val="22"/>
          <w:lang w:eastAsia="en-US"/>
        </w:rPr>
        <w:t>tis. eur. Tieto prostriedky neboli rozpoč</w:t>
      </w:r>
      <w:r w:rsidRPr="00422D66">
        <w:rPr>
          <w:rFonts w:ascii="Times New Roman" w:eastAsia="Calibri" w:hAnsi="Times New Roman" w:hint="default"/>
          <w:color w:val="000000"/>
          <w:sz w:val="22"/>
          <w:szCs w:val="22"/>
          <w:lang w:eastAsia="en-US"/>
        </w:rPr>
        <w:t>tované</w:t>
      </w:r>
      <w:r w:rsidRPr="00422D66">
        <w:rPr>
          <w:rFonts w:ascii="Times New Roman" w:eastAsia="Calibri" w:hAnsi="Times New Roman" w:hint="default"/>
          <w:color w:val="000000"/>
          <w:sz w:val="22"/>
          <w:szCs w:val="22"/>
          <w:lang w:eastAsia="en-US"/>
        </w:rPr>
        <w:t xml:space="preserve"> vzhľ</w:t>
      </w:r>
      <w:r w:rsidRPr="00422D66">
        <w:rPr>
          <w:rFonts w:ascii="Times New Roman" w:eastAsia="Calibri" w:hAnsi="Times New Roman" w:hint="default"/>
          <w:color w:val="000000"/>
          <w:sz w:val="22"/>
          <w:szCs w:val="22"/>
          <w:lang w:eastAsia="en-US"/>
        </w:rPr>
        <w:t>adom na to, ž</w:t>
      </w:r>
      <w:r w:rsidRPr="00422D66">
        <w:rPr>
          <w:rFonts w:ascii="Times New Roman" w:eastAsia="Calibri" w:hAnsi="Times New Roman" w:hint="default"/>
          <w:color w:val="000000"/>
          <w:sz w:val="22"/>
          <w:szCs w:val="22"/>
          <w:lang w:eastAsia="en-US"/>
        </w:rPr>
        <w:t>e pri tvorbe rozpoč</w:t>
      </w:r>
      <w:r w:rsidRPr="00422D66">
        <w:rPr>
          <w:rFonts w:ascii="Times New Roman" w:eastAsia="Calibri" w:hAnsi="Times New Roman" w:hint="default"/>
          <w:color w:val="000000"/>
          <w:sz w:val="22"/>
          <w:szCs w:val="22"/>
          <w:lang w:eastAsia="en-US"/>
        </w:rPr>
        <w:t>tu na rok 2015 neboli</w:t>
      </w:r>
      <w:r w:rsidRPr="00422D66">
        <w:rPr>
          <w:rFonts w:ascii="Times New Roman" w:eastAsia="Calibri" w:hAnsi="Times New Roman" w:hint="default"/>
          <w:color w:val="000000"/>
          <w:sz w:val="22"/>
          <w:szCs w:val="22"/>
          <w:lang w:eastAsia="en-US"/>
        </w:rPr>
        <w:t xml:space="preserve"> predpokladané.</w:t>
      </w:r>
      <w:r w:rsidRPr="00833785">
        <w:rPr>
          <w:rFonts w:ascii="Times New Roman" w:eastAsia="Calibri" w:hAnsi="Times New Roman"/>
          <w:sz w:val="22"/>
          <w:szCs w:val="22"/>
          <w:lang w:eastAsia="en-US"/>
        </w:rPr>
        <w:t xml:space="preserve"> </w:t>
      </w:r>
    </w:p>
    <w:p w:rsidR="00422D66" w:rsidP="00422D66">
      <w:pPr>
        <w:tabs>
          <w:tab w:val="left" w:pos="284"/>
        </w:tabs>
        <w:suppressAutoHyphens/>
        <w:bidi w:val="0"/>
        <w:spacing w:after="120" w:line="336" w:lineRule="auto"/>
        <w:jc w:val="both"/>
        <w:rPr>
          <w:rFonts w:ascii="Times New Roman" w:hAnsi="Times New Roman"/>
        </w:rPr>
      </w:pPr>
      <w:r w:rsidRPr="00833785">
        <w:rPr>
          <w:rFonts w:ascii="Times New Roman" w:hAnsi="Times New Roman"/>
          <w:i/>
          <w:color w:val="000000"/>
          <w:sz w:val="22"/>
          <w:szCs w:val="22"/>
        </w:rPr>
        <w:t>Podrobné údaje o plnení nedaňových príjmov štátneho rozpočtu v roku 2015 sú uvedené v tab. č. 3 tabuľkovej prílohy štátneho záverečného účtu.</w:t>
      </w:r>
    </w:p>
    <w:p w:rsidR="005E7B46" w:rsidP="008D72D9">
      <w:pPr>
        <w:pStyle w:val="Heading3"/>
        <w:numPr>
          <w:ilvl w:val="2"/>
          <w:numId w:val="20"/>
        </w:numPr>
        <w:bidi w:val="0"/>
        <w:spacing w:line="336" w:lineRule="auto"/>
        <w:rPr>
          <w:rFonts w:ascii="Times New Roman" w:hAnsi="Times New Roman"/>
          <w:lang w:val="sk-SK"/>
        </w:rPr>
      </w:pPr>
      <w:bookmarkStart w:id="27" w:name="_Toc449622836"/>
      <w:r w:rsidRPr="006E50E2" w:rsidR="00B07DEC">
        <w:rPr>
          <w:rFonts w:ascii="Times New Roman" w:hAnsi="Times New Roman"/>
          <w:lang w:val="sk-SK"/>
        </w:rPr>
        <w:t>Granty a</w:t>
      </w:r>
      <w:r w:rsidR="0052093A">
        <w:rPr>
          <w:rFonts w:ascii="Times New Roman" w:hAnsi="Times New Roman"/>
          <w:lang w:val="sk-SK"/>
        </w:rPr>
        <w:t> </w:t>
      </w:r>
      <w:r w:rsidRPr="006E50E2" w:rsidR="00B07DEC">
        <w:rPr>
          <w:rFonts w:ascii="Times New Roman" w:hAnsi="Times New Roman"/>
          <w:lang w:val="sk-SK"/>
        </w:rPr>
        <w:t>transfery</w:t>
      </w:r>
      <w:bookmarkEnd w:id="27"/>
    </w:p>
    <w:p w:rsidR="0052093A" w:rsidRPr="0052093A" w:rsidP="0052093A">
      <w:pPr>
        <w:bidi w:val="0"/>
        <w:spacing w:after="120" w:line="336" w:lineRule="auto"/>
        <w:jc w:val="both"/>
        <w:rPr>
          <w:rFonts w:ascii="Times New Roman" w:hAnsi="Times New Roman"/>
          <w:color w:val="000000"/>
          <w:sz w:val="22"/>
          <w:szCs w:val="22"/>
        </w:rPr>
      </w:pPr>
      <w:r w:rsidRPr="0052093A">
        <w:rPr>
          <w:rFonts w:ascii="Times New Roman" w:hAnsi="Times New Roman"/>
          <w:color w:val="000000"/>
          <w:sz w:val="22"/>
          <w:szCs w:val="22"/>
        </w:rPr>
        <w:t xml:space="preserve">Granty a transfery boli na rok 2015 rozpočtované v celkovej výške 3 313152 tis. eur, z toho zahraničné v čiastke 3 272 393 tis. eur a tuzemské 40 759 tis. eur. Rozpočtovali sa iba transfery, nakoľko výšku grantov, ktoré tvoria príspevky od dobrovoľných </w:t>
      </w:r>
      <w:r w:rsidR="00BF273A">
        <w:rPr>
          <w:rFonts w:ascii="Times New Roman" w:hAnsi="Times New Roman"/>
          <w:color w:val="000000"/>
          <w:sz w:val="22"/>
          <w:szCs w:val="22"/>
        </w:rPr>
        <w:t>poskytovateľov</w:t>
      </w:r>
      <w:r w:rsidRPr="0052093A">
        <w:rPr>
          <w:rFonts w:ascii="Times New Roman" w:hAnsi="Times New Roman"/>
          <w:color w:val="000000"/>
          <w:sz w:val="22"/>
          <w:szCs w:val="22"/>
        </w:rPr>
        <w:t xml:space="preserve"> nie je možné vopred odhadnúť.</w:t>
      </w:r>
      <w:r w:rsidRPr="00AC006E">
        <w:rPr>
          <w:rFonts w:ascii="Times New Roman" w:hAnsi="Times New Roman"/>
          <w:color w:val="FF0000"/>
          <w:sz w:val="22"/>
          <w:szCs w:val="22"/>
        </w:rPr>
        <w:t xml:space="preserve"> </w:t>
      </w:r>
      <w:r w:rsidRPr="0052093A">
        <w:rPr>
          <w:rFonts w:ascii="Times New Roman" w:hAnsi="Times New Roman"/>
          <w:color w:val="000000"/>
          <w:sz w:val="22"/>
          <w:szCs w:val="22"/>
        </w:rPr>
        <w:t>Skutočné príjmy štátneho rozpočtu z grantov a transferov dosiahli sumu 4 342 362 tis. eur, z toho transfery 4 326 597 tis. eur a granty 15 765 tis. eur,</w:t>
      </w:r>
      <w:r w:rsidRPr="00AC006E">
        <w:rPr>
          <w:rFonts w:ascii="Times New Roman" w:hAnsi="Times New Roman"/>
          <w:color w:val="FF0000"/>
          <w:sz w:val="22"/>
          <w:szCs w:val="22"/>
        </w:rPr>
        <w:t xml:space="preserve"> </w:t>
      </w:r>
      <w:r w:rsidRPr="0052093A">
        <w:rPr>
          <w:rFonts w:ascii="Times New Roman" w:hAnsi="Times New Roman"/>
          <w:color w:val="000000"/>
          <w:sz w:val="22"/>
          <w:szCs w:val="22"/>
        </w:rPr>
        <w:t xml:space="preserve">čo predstavuje prekročenie schváleného rozpočtu o 31,1 %. </w:t>
      </w:r>
    </w:p>
    <w:p w:rsidR="0052093A" w:rsidRPr="0052093A" w:rsidP="0052093A">
      <w:pPr>
        <w:bidi w:val="0"/>
        <w:spacing w:after="120" w:line="336" w:lineRule="auto"/>
        <w:rPr>
          <w:rFonts w:ascii="Times New Roman" w:hAnsi="Times New Roman"/>
          <w:color w:val="000000"/>
          <w:sz w:val="22"/>
          <w:szCs w:val="22"/>
        </w:rPr>
      </w:pPr>
      <w:r w:rsidRPr="0052093A">
        <w:rPr>
          <w:rFonts w:ascii="Times New Roman" w:hAnsi="Times New Roman"/>
          <w:color w:val="000000"/>
          <w:sz w:val="22"/>
          <w:szCs w:val="22"/>
        </w:rPr>
        <w:t>Súhrnný prehľad o plnení grantov a transferov poskytuje nasledovná tabuľka:</w:t>
      </w:r>
    </w:p>
    <w:tbl>
      <w:tblPr>
        <w:tblStyle w:val="TableNormal"/>
        <w:tblW w:w="8946" w:type="dxa"/>
        <w:tblInd w:w="55" w:type="dxa"/>
        <w:tblCellMar>
          <w:left w:w="70" w:type="dxa"/>
          <w:right w:w="70" w:type="dxa"/>
        </w:tblCellMar>
        <w:tblLook w:val="04A0"/>
      </w:tblPr>
      <w:tblGrid>
        <w:gridCol w:w="2992"/>
        <w:gridCol w:w="992"/>
        <w:gridCol w:w="1025"/>
        <w:gridCol w:w="960"/>
        <w:gridCol w:w="1134"/>
        <w:gridCol w:w="992"/>
        <w:gridCol w:w="851"/>
      </w:tblGrid>
      <w:tr>
        <w:tblPrEx>
          <w:tblW w:w="8946" w:type="dxa"/>
          <w:tblInd w:w="55" w:type="dxa"/>
          <w:tblCellMar>
            <w:left w:w="70" w:type="dxa"/>
            <w:right w:w="70" w:type="dxa"/>
          </w:tblCellMar>
          <w:tblLook w:val="04A0"/>
        </w:tblPrEx>
        <w:trPr>
          <w:trHeight w:val="330"/>
        </w:trPr>
        <w:tc>
          <w:tcPr>
            <w:tcW w:w="8946" w:type="dxa"/>
            <w:gridSpan w:val="7"/>
            <w:tcBorders>
              <w:top w:val="nil"/>
              <w:left w:val="single" w:sz="8" w:space="0" w:color="auto"/>
              <w:bottom w:val="nil"/>
              <w:right w:val="nil"/>
            </w:tcBorders>
            <w:shd w:val="clear" w:color="000000" w:fill="000000"/>
            <w:textDirection w:val="lrTb"/>
            <w:vAlign w:val="center"/>
            <w:hideMark/>
          </w:tcPr>
          <w:p w:rsidR="00E77207" w:rsidRPr="00E77207" w:rsidP="00E77207">
            <w:pPr>
              <w:bidi w:val="0"/>
              <w:rPr>
                <w:rFonts w:ascii="Times New Roman" w:hAnsi="Times New Roman"/>
                <w:b/>
                <w:bCs/>
                <w:color w:val="FFFFFF"/>
                <w:sz w:val="18"/>
                <w:szCs w:val="18"/>
              </w:rPr>
            </w:pPr>
            <w:r w:rsidRPr="00E77207">
              <w:rPr>
                <w:rFonts w:ascii="Times New Roman" w:hAnsi="Times New Roman"/>
                <w:b/>
                <w:bCs/>
                <w:color w:val="FFFFFF"/>
                <w:sz w:val="18"/>
                <w:szCs w:val="18"/>
              </w:rPr>
              <w:t>Granty a</w:t>
            </w:r>
            <w:r>
              <w:rPr>
                <w:rFonts w:ascii="Times New Roman" w:hAnsi="Times New Roman"/>
                <w:b/>
                <w:bCs/>
                <w:color w:val="FFFFFF"/>
                <w:sz w:val="18"/>
                <w:szCs w:val="18"/>
              </w:rPr>
              <w:t> </w:t>
            </w:r>
            <w:r w:rsidRPr="00E77207">
              <w:rPr>
                <w:rFonts w:ascii="Times New Roman" w:hAnsi="Times New Roman"/>
                <w:b/>
                <w:bCs/>
                <w:color w:val="FFFFFF"/>
                <w:sz w:val="18"/>
                <w:szCs w:val="18"/>
              </w:rPr>
              <w:t>transfery</w:t>
            </w:r>
            <w:r>
              <w:rPr>
                <w:rFonts w:ascii="Times New Roman" w:hAnsi="Times New Roman"/>
                <w:b/>
                <w:bCs/>
                <w:color w:val="FFFFFF"/>
                <w:sz w:val="18"/>
                <w:szCs w:val="18"/>
              </w:rPr>
              <w:t xml:space="preserve">                                                                                                                                                  </w:t>
            </w:r>
            <w:r w:rsidRPr="00E77207">
              <w:rPr>
                <w:rFonts w:ascii="Times New Roman" w:hAnsi="Times New Roman"/>
                <w:b/>
                <w:bCs/>
                <w:color w:val="FFFFFF"/>
                <w:sz w:val="18"/>
                <w:szCs w:val="18"/>
              </w:rPr>
              <w:t>v tis. eur</w:t>
            </w:r>
          </w:p>
        </w:tc>
      </w:tr>
      <w:tr>
        <w:tblPrEx>
          <w:tblW w:w="8946" w:type="dxa"/>
          <w:tblInd w:w="55" w:type="dxa"/>
          <w:tblCellMar>
            <w:left w:w="70" w:type="dxa"/>
            <w:right w:w="70" w:type="dxa"/>
          </w:tblCellMar>
          <w:tblLook w:val="04A0"/>
        </w:tblPrEx>
        <w:trPr>
          <w:trHeight w:val="330"/>
        </w:trPr>
        <w:tc>
          <w:tcPr>
            <w:tcW w:w="2992" w:type="dxa"/>
            <w:tcBorders>
              <w:top w:val="nil"/>
              <w:left w:val="nil"/>
              <w:bottom w:val="nil"/>
              <w:right w:val="nil"/>
            </w:tcBorders>
            <w:shd w:val="clear" w:color="000000" w:fill="BFBFBF"/>
            <w:textDirection w:val="lrTb"/>
            <w:vAlign w:val="center"/>
            <w:hideMark/>
          </w:tcPr>
          <w:p w:rsidR="0052093A" w:rsidRPr="00E77207" w:rsidP="0027279E">
            <w:pPr>
              <w:bidi w:val="0"/>
              <w:rPr>
                <w:rFonts w:ascii="Times New Roman" w:hAnsi="Times New Roman"/>
                <w:b/>
                <w:bCs/>
                <w:color w:val="FFFFFF"/>
                <w:sz w:val="18"/>
                <w:szCs w:val="18"/>
              </w:rPr>
            </w:pPr>
            <w:r w:rsidRPr="00E77207">
              <w:rPr>
                <w:rFonts w:ascii="Times New Roman" w:hAnsi="Times New Roman"/>
                <w:b/>
                <w:bCs/>
                <w:color w:val="FFFFFF"/>
                <w:sz w:val="18"/>
                <w:szCs w:val="18"/>
              </w:rPr>
              <w:t> </w:t>
            </w:r>
          </w:p>
        </w:tc>
        <w:tc>
          <w:tcPr>
            <w:tcW w:w="2017" w:type="dxa"/>
            <w:gridSpan w:val="2"/>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Skutočnosť</w:t>
            </w:r>
          </w:p>
        </w:tc>
        <w:tc>
          <w:tcPr>
            <w:tcW w:w="960"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Rozpočet</w:t>
            </w:r>
          </w:p>
        </w:tc>
        <w:tc>
          <w:tcPr>
            <w:tcW w:w="1134"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Skutočnosť</w:t>
            </w:r>
          </w:p>
        </w:tc>
        <w:tc>
          <w:tcPr>
            <w:tcW w:w="1843" w:type="dxa"/>
            <w:gridSpan w:val="2"/>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Rozdiel</w:t>
            </w:r>
          </w:p>
        </w:tc>
      </w:tr>
      <w:tr>
        <w:tblPrEx>
          <w:tblW w:w="8946" w:type="dxa"/>
          <w:tblInd w:w="55" w:type="dxa"/>
          <w:tblCellMar>
            <w:left w:w="70" w:type="dxa"/>
            <w:right w:w="70" w:type="dxa"/>
          </w:tblCellMar>
          <w:tblLook w:val="04A0"/>
        </w:tblPrEx>
        <w:trPr>
          <w:trHeight w:val="330"/>
        </w:trPr>
        <w:tc>
          <w:tcPr>
            <w:tcW w:w="2992"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sz w:val="18"/>
                <w:szCs w:val="18"/>
              </w:rPr>
            </w:pPr>
            <w:r w:rsidRPr="00E77207">
              <w:rPr>
                <w:rFonts w:ascii="Times New Roman" w:hAnsi="Times New Roman"/>
                <w:b/>
                <w:bCs/>
                <w:sz w:val="18"/>
                <w:szCs w:val="18"/>
              </w:rPr>
              <w:t> </w:t>
            </w:r>
          </w:p>
        </w:tc>
        <w:tc>
          <w:tcPr>
            <w:tcW w:w="992"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2013</w:t>
            </w:r>
          </w:p>
        </w:tc>
        <w:tc>
          <w:tcPr>
            <w:tcW w:w="1025"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2014</w:t>
            </w:r>
          </w:p>
        </w:tc>
        <w:tc>
          <w:tcPr>
            <w:tcW w:w="960"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2015</w:t>
            </w:r>
          </w:p>
        </w:tc>
        <w:tc>
          <w:tcPr>
            <w:tcW w:w="1134"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2015</w:t>
            </w:r>
          </w:p>
        </w:tc>
        <w:tc>
          <w:tcPr>
            <w:tcW w:w="992"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 xml:space="preserve"> v tis. eur</w:t>
            </w:r>
          </w:p>
        </w:tc>
        <w:tc>
          <w:tcPr>
            <w:tcW w:w="851" w:type="dxa"/>
            <w:tcBorders>
              <w:top w:val="nil"/>
              <w:left w:val="nil"/>
              <w:bottom w:val="nil"/>
              <w:right w:val="nil"/>
            </w:tcBorders>
            <w:shd w:val="clear" w:color="000000" w:fill="BFBFBF"/>
            <w:textDirection w:val="lrTb"/>
            <w:vAlign w:val="center"/>
            <w:hideMark/>
          </w:tcPr>
          <w:p w:rsidR="0052093A" w:rsidRPr="00E77207" w:rsidP="0027279E">
            <w:pPr>
              <w:bidi w:val="0"/>
              <w:jc w:val="center"/>
              <w:rPr>
                <w:rFonts w:ascii="Times New Roman" w:hAnsi="Times New Roman"/>
                <w:b/>
                <w:bCs/>
                <w:color w:val="000000"/>
                <w:sz w:val="18"/>
                <w:szCs w:val="18"/>
              </w:rPr>
            </w:pPr>
            <w:r w:rsidRPr="00E77207">
              <w:rPr>
                <w:rFonts w:ascii="Times New Roman" w:hAnsi="Times New Roman"/>
                <w:b/>
                <w:bCs/>
                <w:color w:val="000000"/>
                <w:sz w:val="18"/>
                <w:szCs w:val="18"/>
              </w:rPr>
              <w:t>v %</w:t>
            </w:r>
          </w:p>
        </w:tc>
      </w:tr>
      <w:tr>
        <w:tblPrEx>
          <w:tblW w:w="8946" w:type="dxa"/>
          <w:tblInd w:w="55" w:type="dxa"/>
          <w:tblCellMar>
            <w:left w:w="70" w:type="dxa"/>
            <w:right w:w="70" w:type="dxa"/>
          </w:tblCellMar>
          <w:tblLook w:val="04A0"/>
        </w:tblPrEx>
        <w:trPr>
          <w:trHeight w:val="345"/>
        </w:trPr>
        <w:tc>
          <w:tcPr>
            <w:tcW w:w="2992" w:type="dxa"/>
            <w:tcBorders>
              <w:top w:val="nil"/>
              <w:left w:val="nil"/>
              <w:bottom w:val="single" w:sz="8" w:space="0" w:color="auto"/>
              <w:right w:val="nil"/>
            </w:tcBorders>
            <w:shd w:val="clear" w:color="000000" w:fill="BFBFBF"/>
            <w:textDirection w:val="lrTb"/>
            <w:vAlign w:val="center"/>
            <w:hideMark/>
          </w:tcPr>
          <w:p w:rsidR="0052093A" w:rsidRPr="00E77207" w:rsidP="0027279E">
            <w:pPr>
              <w:bidi w:val="0"/>
              <w:rPr>
                <w:rFonts w:ascii="Times New Roman" w:hAnsi="Times New Roman"/>
                <w:b/>
                <w:bCs/>
                <w:color w:val="FFFFFF"/>
                <w:sz w:val="18"/>
                <w:szCs w:val="18"/>
              </w:rPr>
            </w:pPr>
            <w:r w:rsidRPr="00E77207">
              <w:rPr>
                <w:rFonts w:ascii="Times New Roman" w:hAnsi="Times New Roman"/>
                <w:b/>
                <w:bCs/>
                <w:color w:val="FFFFFF"/>
                <w:sz w:val="18"/>
                <w:szCs w:val="18"/>
              </w:rPr>
              <w:t> </w:t>
            </w:r>
          </w:p>
        </w:tc>
        <w:tc>
          <w:tcPr>
            <w:tcW w:w="992" w:type="dxa"/>
            <w:tcBorders>
              <w:top w:val="nil"/>
              <w:left w:val="nil"/>
              <w:bottom w:val="single" w:sz="8" w:space="0" w:color="auto"/>
              <w:right w:val="nil"/>
            </w:tcBorders>
            <w:shd w:val="clear" w:color="000000" w:fill="BFBFBF"/>
            <w:textDirection w:val="lrTb"/>
            <w:vAlign w:val="center"/>
            <w:hideMark/>
          </w:tcPr>
          <w:p w:rsidR="0052093A" w:rsidRPr="00E77207" w:rsidP="0027279E">
            <w:pPr>
              <w:bidi w:val="0"/>
              <w:jc w:val="center"/>
              <w:rPr>
                <w:rFonts w:ascii="Times New Roman" w:hAnsi="Times New Roman"/>
                <w:b/>
                <w:bCs/>
                <w:sz w:val="18"/>
                <w:szCs w:val="18"/>
              </w:rPr>
            </w:pPr>
            <w:r w:rsidRPr="00E77207">
              <w:rPr>
                <w:rFonts w:ascii="Times New Roman" w:hAnsi="Times New Roman"/>
                <w:b/>
                <w:bCs/>
                <w:sz w:val="18"/>
                <w:szCs w:val="18"/>
              </w:rPr>
              <w:t>1</w:t>
            </w:r>
          </w:p>
        </w:tc>
        <w:tc>
          <w:tcPr>
            <w:tcW w:w="1025" w:type="dxa"/>
            <w:tcBorders>
              <w:top w:val="nil"/>
              <w:left w:val="nil"/>
              <w:bottom w:val="single" w:sz="8" w:space="0" w:color="auto"/>
              <w:right w:val="nil"/>
            </w:tcBorders>
            <w:shd w:val="clear" w:color="000000" w:fill="BFBFBF"/>
            <w:textDirection w:val="lrTb"/>
            <w:vAlign w:val="center"/>
            <w:hideMark/>
          </w:tcPr>
          <w:p w:rsidR="0052093A" w:rsidRPr="00E77207" w:rsidP="0027279E">
            <w:pPr>
              <w:bidi w:val="0"/>
              <w:jc w:val="center"/>
              <w:rPr>
                <w:rFonts w:ascii="Times New Roman" w:hAnsi="Times New Roman"/>
                <w:b/>
                <w:bCs/>
                <w:sz w:val="18"/>
                <w:szCs w:val="18"/>
              </w:rPr>
            </w:pPr>
            <w:r w:rsidRPr="00E77207">
              <w:rPr>
                <w:rFonts w:ascii="Times New Roman" w:hAnsi="Times New Roman"/>
                <w:b/>
                <w:bCs/>
                <w:sz w:val="18"/>
                <w:szCs w:val="18"/>
              </w:rPr>
              <w:t>2</w:t>
            </w:r>
          </w:p>
        </w:tc>
        <w:tc>
          <w:tcPr>
            <w:tcW w:w="960" w:type="dxa"/>
            <w:tcBorders>
              <w:top w:val="nil"/>
              <w:left w:val="nil"/>
              <w:bottom w:val="single" w:sz="8" w:space="0" w:color="auto"/>
              <w:right w:val="nil"/>
            </w:tcBorders>
            <w:shd w:val="clear" w:color="000000" w:fill="BFBFBF"/>
            <w:textDirection w:val="lrTb"/>
            <w:vAlign w:val="center"/>
            <w:hideMark/>
          </w:tcPr>
          <w:p w:rsidR="0052093A" w:rsidRPr="00E77207" w:rsidP="0027279E">
            <w:pPr>
              <w:bidi w:val="0"/>
              <w:jc w:val="center"/>
              <w:rPr>
                <w:rFonts w:ascii="Times New Roman" w:hAnsi="Times New Roman"/>
                <w:b/>
                <w:bCs/>
                <w:sz w:val="18"/>
                <w:szCs w:val="18"/>
              </w:rPr>
            </w:pPr>
            <w:r w:rsidRPr="00E77207">
              <w:rPr>
                <w:rFonts w:ascii="Times New Roman" w:hAnsi="Times New Roman"/>
                <w:b/>
                <w:bCs/>
                <w:sz w:val="18"/>
                <w:szCs w:val="18"/>
              </w:rPr>
              <w:t>3</w:t>
            </w:r>
          </w:p>
        </w:tc>
        <w:tc>
          <w:tcPr>
            <w:tcW w:w="1134" w:type="dxa"/>
            <w:tcBorders>
              <w:top w:val="nil"/>
              <w:left w:val="nil"/>
              <w:bottom w:val="single" w:sz="8" w:space="0" w:color="auto"/>
              <w:right w:val="nil"/>
            </w:tcBorders>
            <w:shd w:val="clear" w:color="000000" w:fill="BFBFBF"/>
            <w:textDirection w:val="lrTb"/>
            <w:vAlign w:val="center"/>
            <w:hideMark/>
          </w:tcPr>
          <w:p w:rsidR="0052093A" w:rsidRPr="00E77207" w:rsidP="0027279E">
            <w:pPr>
              <w:bidi w:val="0"/>
              <w:jc w:val="center"/>
              <w:rPr>
                <w:rFonts w:ascii="Times New Roman" w:hAnsi="Times New Roman"/>
                <w:b/>
                <w:bCs/>
                <w:sz w:val="18"/>
                <w:szCs w:val="18"/>
              </w:rPr>
            </w:pPr>
            <w:r w:rsidRPr="00E77207">
              <w:rPr>
                <w:rFonts w:ascii="Times New Roman" w:hAnsi="Times New Roman"/>
                <w:b/>
                <w:bCs/>
                <w:sz w:val="18"/>
                <w:szCs w:val="18"/>
              </w:rPr>
              <w:t>4</w:t>
            </w:r>
          </w:p>
        </w:tc>
        <w:tc>
          <w:tcPr>
            <w:tcW w:w="992" w:type="dxa"/>
            <w:tcBorders>
              <w:top w:val="nil"/>
              <w:left w:val="nil"/>
              <w:bottom w:val="single" w:sz="8" w:space="0" w:color="auto"/>
              <w:right w:val="nil"/>
            </w:tcBorders>
            <w:shd w:val="clear" w:color="000000" w:fill="BFBFBF"/>
            <w:textDirection w:val="lrTb"/>
            <w:vAlign w:val="center"/>
            <w:hideMark/>
          </w:tcPr>
          <w:p w:rsidR="0052093A" w:rsidRPr="00E77207" w:rsidP="0027279E">
            <w:pPr>
              <w:bidi w:val="0"/>
              <w:jc w:val="center"/>
              <w:rPr>
                <w:rFonts w:ascii="Times New Roman" w:hAnsi="Times New Roman"/>
                <w:b/>
                <w:bCs/>
                <w:sz w:val="18"/>
                <w:szCs w:val="18"/>
              </w:rPr>
            </w:pPr>
            <w:r w:rsidRPr="00E77207">
              <w:rPr>
                <w:rFonts w:ascii="Times New Roman" w:hAnsi="Times New Roman"/>
                <w:b/>
                <w:bCs/>
                <w:sz w:val="18"/>
                <w:szCs w:val="18"/>
              </w:rPr>
              <w:t>5=4-3</w:t>
            </w:r>
          </w:p>
        </w:tc>
        <w:tc>
          <w:tcPr>
            <w:tcW w:w="851" w:type="dxa"/>
            <w:tcBorders>
              <w:top w:val="nil"/>
              <w:left w:val="nil"/>
              <w:bottom w:val="single" w:sz="8" w:space="0" w:color="auto"/>
              <w:right w:val="nil"/>
            </w:tcBorders>
            <w:shd w:val="clear" w:color="000000" w:fill="BFBFBF"/>
            <w:textDirection w:val="lrTb"/>
            <w:vAlign w:val="center"/>
            <w:hideMark/>
          </w:tcPr>
          <w:p w:rsidR="0052093A" w:rsidRPr="00E77207" w:rsidP="0027279E">
            <w:pPr>
              <w:bidi w:val="0"/>
              <w:jc w:val="center"/>
              <w:rPr>
                <w:rFonts w:ascii="Times New Roman" w:hAnsi="Times New Roman"/>
                <w:b/>
                <w:bCs/>
                <w:sz w:val="18"/>
                <w:szCs w:val="18"/>
              </w:rPr>
            </w:pPr>
            <w:r w:rsidRPr="00E77207">
              <w:rPr>
                <w:rFonts w:ascii="Times New Roman" w:hAnsi="Times New Roman"/>
                <w:b/>
                <w:bCs/>
                <w:sz w:val="18"/>
                <w:szCs w:val="18"/>
              </w:rPr>
              <w:t>6=4-3</w:t>
            </w:r>
          </w:p>
        </w:tc>
      </w:tr>
      <w:tr>
        <w:tblPrEx>
          <w:tblW w:w="8946" w:type="dxa"/>
          <w:tblInd w:w="55" w:type="dxa"/>
          <w:tblCellMar>
            <w:left w:w="70" w:type="dxa"/>
            <w:right w:w="70" w:type="dxa"/>
          </w:tblCellMar>
          <w:tblLook w:val="04A0"/>
        </w:tblPrEx>
        <w:trPr>
          <w:trHeight w:val="330"/>
        </w:trPr>
        <w:tc>
          <w:tcPr>
            <w:tcW w:w="2992" w:type="dxa"/>
            <w:tcBorders>
              <w:top w:val="nil"/>
              <w:left w:val="nil"/>
              <w:bottom w:val="nil"/>
              <w:right w:val="nil"/>
            </w:tcBorders>
            <w:shd w:val="clear" w:color="000000" w:fill="FFFFFF"/>
            <w:noWrap/>
            <w:textDirection w:val="lrTb"/>
            <w:vAlign w:val="center"/>
            <w:hideMark/>
          </w:tcPr>
          <w:p w:rsidR="0052093A" w:rsidRPr="00E77207" w:rsidP="0027279E">
            <w:pPr>
              <w:bidi w:val="0"/>
              <w:rPr>
                <w:rFonts w:ascii="Times New Roman" w:hAnsi="Times New Roman"/>
                <w:color w:val="000000"/>
                <w:sz w:val="18"/>
                <w:szCs w:val="18"/>
              </w:rPr>
            </w:pPr>
            <w:r w:rsidRPr="00E77207">
              <w:rPr>
                <w:rFonts w:ascii="Times New Roman" w:hAnsi="Times New Roman"/>
                <w:color w:val="000000"/>
                <w:sz w:val="18"/>
                <w:szCs w:val="18"/>
              </w:rPr>
              <w:t>Tuzemské granty a transfery</w:t>
            </w:r>
          </w:p>
        </w:tc>
        <w:tc>
          <w:tcPr>
            <w:tcW w:w="992"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212 902</w:t>
            </w:r>
          </w:p>
        </w:tc>
        <w:tc>
          <w:tcPr>
            <w:tcW w:w="1025"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300 501</w:t>
            </w:r>
          </w:p>
        </w:tc>
        <w:tc>
          <w:tcPr>
            <w:tcW w:w="960"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40 759</w:t>
            </w:r>
          </w:p>
        </w:tc>
        <w:tc>
          <w:tcPr>
            <w:tcW w:w="1134" w:type="dxa"/>
            <w:tcBorders>
              <w:top w:val="single" w:sz="8" w:space="0" w:color="auto"/>
              <w:left w:val="nil"/>
              <w:bottom w:val="nil"/>
              <w:right w:val="nil"/>
            </w:tcBorders>
            <w:shd w:val="pct25" w:color="000000" w:fill="FFFFFF"/>
            <w:noWrap/>
            <w:textDirection w:val="lrTb"/>
            <w:vAlign w:val="center"/>
            <w:hideMark/>
          </w:tcPr>
          <w:p w:rsidR="0052093A" w:rsidRPr="00E77207" w:rsidP="00CD74B1">
            <w:pPr>
              <w:bidi w:val="0"/>
              <w:jc w:val="right"/>
              <w:rPr>
                <w:rFonts w:ascii="Times New Roman" w:hAnsi="Times New Roman"/>
                <w:color w:val="000000"/>
                <w:sz w:val="18"/>
                <w:szCs w:val="18"/>
              </w:rPr>
            </w:pPr>
            <w:r w:rsidRPr="00E77207">
              <w:rPr>
                <w:rFonts w:ascii="Times New Roman" w:hAnsi="Times New Roman"/>
                <w:color w:val="000000"/>
                <w:sz w:val="18"/>
                <w:szCs w:val="18"/>
              </w:rPr>
              <w:t>49 027</w:t>
            </w:r>
          </w:p>
        </w:tc>
        <w:tc>
          <w:tcPr>
            <w:tcW w:w="992" w:type="dxa"/>
            <w:tcBorders>
              <w:top w:val="nil"/>
              <w:left w:val="nil"/>
              <w:bottom w:val="nil"/>
              <w:right w:val="nil"/>
            </w:tcBorders>
            <w:shd w:val="clear" w:color="000000" w:fill="FFFFFF"/>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8 268</w:t>
            </w:r>
          </w:p>
        </w:tc>
        <w:tc>
          <w:tcPr>
            <w:tcW w:w="851" w:type="dxa"/>
            <w:tcBorders>
              <w:top w:val="nil"/>
              <w:left w:val="nil"/>
              <w:bottom w:val="nil"/>
              <w:right w:val="nil"/>
            </w:tcBorders>
            <w:shd w:val="clear" w:color="000000" w:fill="FFFFFF"/>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20,3</w:t>
            </w:r>
          </w:p>
        </w:tc>
      </w:tr>
      <w:tr>
        <w:tblPrEx>
          <w:tblW w:w="8946" w:type="dxa"/>
          <w:tblInd w:w="55" w:type="dxa"/>
          <w:tblCellMar>
            <w:left w:w="70" w:type="dxa"/>
            <w:right w:w="70" w:type="dxa"/>
          </w:tblCellMar>
          <w:tblLook w:val="04A0"/>
        </w:tblPrEx>
        <w:trPr>
          <w:trHeight w:val="330"/>
        </w:trPr>
        <w:tc>
          <w:tcPr>
            <w:tcW w:w="2992" w:type="dxa"/>
            <w:tcBorders>
              <w:top w:val="nil"/>
              <w:left w:val="nil"/>
              <w:bottom w:val="nil"/>
              <w:right w:val="nil"/>
            </w:tcBorders>
            <w:shd w:val="clear" w:color="000000" w:fill="FFFFFF"/>
            <w:noWrap/>
            <w:textDirection w:val="lrTb"/>
            <w:vAlign w:val="center"/>
            <w:hideMark/>
          </w:tcPr>
          <w:p w:rsidR="0052093A" w:rsidRPr="00E77207" w:rsidP="0027279E">
            <w:pPr>
              <w:bidi w:val="0"/>
              <w:rPr>
                <w:rFonts w:ascii="Times New Roman" w:hAnsi="Times New Roman"/>
                <w:color w:val="000000"/>
                <w:sz w:val="18"/>
                <w:szCs w:val="18"/>
              </w:rPr>
            </w:pPr>
            <w:r w:rsidRPr="00E77207">
              <w:rPr>
                <w:rFonts w:ascii="Times New Roman" w:hAnsi="Times New Roman"/>
                <w:color w:val="000000"/>
                <w:sz w:val="18"/>
                <w:szCs w:val="18"/>
              </w:rPr>
              <w:t>Zahraničné granty a transfery</w:t>
            </w:r>
          </w:p>
        </w:tc>
        <w:tc>
          <w:tcPr>
            <w:tcW w:w="992"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2 186 630</w:t>
            </w:r>
          </w:p>
        </w:tc>
        <w:tc>
          <w:tcPr>
            <w:tcW w:w="1025"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1 267 747</w:t>
            </w:r>
          </w:p>
        </w:tc>
        <w:tc>
          <w:tcPr>
            <w:tcW w:w="960"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3 272 393</w:t>
            </w:r>
          </w:p>
        </w:tc>
        <w:tc>
          <w:tcPr>
            <w:tcW w:w="1134" w:type="dxa"/>
            <w:tcBorders>
              <w:top w:val="nil"/>
              <w:left w:val="nil"/>
              <w:bottom w:val="nil"/>
              <w:right w:val="nil"/>
            </w:tcBorders>
            <w:shd w:val="pct25"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4 293 335</w:t>
            </w:r>
          </w:p>
        </w:tc>
        <w:tc>
          <w:tcPr>
            <w:tcW w:w="992" w:type="dxa"/>
            <w:tcBorders>
              <w:top w:val="nil"/>
              <w:left w:val="nil"/>
              <w:bottom w:val="nil"/>
              <w:right w:val="nil"/>
            </w:tcBorders>
            <w:shd w:val="clear" w:color="000000" w:fill="FFFFFF"/>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1 020 942</w:t>
            </w:r>
          </w:p>
        </w:tc>
        <w:tc>
          <w:tcPr>
            <w:tcW w:w="851" w:type="dxa"/>
            <w:tcBorders>
              <w:top w:val="nil"/>
              <w:left w:val="nil"/>
              <w:bottom w:val="nil"/>
              <w:right w:val="nil"/>
            </w:tcBorders>
            <w:shd w:val="clear" w:color="000000" w:fill="FFFFFF"/>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31,2</w:t>
            </w:r>
          </w:p>
        </w:tc>
      </w:tr>
      <w:tr>
        <w:tblPrEx>
          <w:tblW w:w="8946" w:type="dxa"/>
          <w:tblInd w:w="55" w:type="dxa"/>
          <w:tblCellMar>
            <w:left w:w="70" w:type="dxa"/>
            <w:right w:w="70" w:type="dxa"/>
          </w:tblCellMar>
          <w:tblLook w:val="04A0"/>
        </w:tblPrEx>
        <w:trPr>
          <w:trHeight w:val="330"/>
        </w:trPr>
        <w:tc>
          <w:tcPr>
            <w:tcW w:w="2992" w:type="dxa"/>
            <w:tcBorders>
              <w:top w:val="nil"/>
              <w:left w:val="nil"/>
              <w:bottom w:val="nil"/>
              <w:right w:val="nil"/>
            </w:tcBorders>
            <w:shd w:val="clear" w:color="000000" w:fill="FFFFFF"/>
            <w:noWrap/>
            <w:textDirection w:val="lrTb"/>
            <w:vAlign w:val="center"/>
            <w:hideMark/>
          </w:tcPr>
          <w:p w:rsidR="0052093A" w:rsidRPr="00E77207" w:rsidP="0017680C">
            <w:pPr>
              <w:bidi w:val="0"/>
              <w:rPr>
                <w:rFonts w:ascii="Times New Roman" w:hAnsi="Times New Roman"/>
                <w:color w:val="000000"/>
                <w:sz w:val="18"/>
                <w:szCs w:val="18"/>
              </w:rPr>
            </w:pPr>
            <w:r w:rsidR="0017680C">
              <w:rPr>
                <w:rFonts w:ascii="Times New Roman" w:hAnsi="Times New Roman"/>
                <w:color w:val="000000"/>
                <w:sz w:val="18"/>
                <w:szCs w:val="18"/>
              </w:rPr>
              <w:t xml:space="preserve">   </w:t>
            </w:r>
            <w:r w:rsidRPr="00E77207">
              <w:rPr>
                <w:rFonts w:ascii="Times New Roman" w:hAnsi="Times New Roman"/>
                <w:color w:val="000000"/>
                <w:sz w:val="18"/>
                <w:szCs w:val="18"/>
              </w:rPr>
              <w:t xml:space="preserve">z toho: </w:t>
            </w:r>
            <w:r w:rsidRPr="00E77207" w:rsidR="0010627D">
              <w:rPr>
                <w:rFonts w:ascii="Times New Roman" w:hAnsi="Times New Roman"/>
                <w:color w:val="000000"/>
                <w:sz w:val="18"/>
                <w:szCs w:val="18"/>
              </w:rPr>
              <w:t>transfery</w:t>
            </w:r>
            <w:r w:rsidRPr="00E77207">
              <w:rPr>
                <w:rFonts w:ascii="Times New Roman" w:hAnsi="Times New Roman"/>
                <w:color w:val="000000"/>
                <w:sz w:val="18"/>
                <w:szCs w:val="18"/>
              </w:rPr>
              <w:t xml:space="preserve"> z rozpočtu EÚ</w:t>
            </w:r>
          </w:p>
        </w:tc>
        <w:tc>
          <w:tcPr>
            <w:tcW w:w="992"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2 174 997</w:t>
            </w:r>
          </w:p>
        </w:tc>
        <w:tc>
          <w:tcPr>
            <w:tcW w:w="1025"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1 257 505</w:t>
            </w:r>
          </w:p>
        </w:tc>
        <w:tc>
          <w:tcPr>
            <w:tcW w:w="960" w:type="dxa"/>
            <w:tcBorders>
              <w:top w:val="nil"/>
              <w:left w:val="nil"/>
              <w:bottom w:val="nil"/>
              <w:right w:val="nil"/>
            </w:tcBorders>
            <w:shd w:val="clear" w:color="000000" w:fill="FFFFFF"/>
            <w:noWrap/>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3 272 393</w:t>
            </w:r>
          </w:p>
        </w:tc>
        <w:tc>
          <w:tcPr>
            <w:tcW w:w="1134" w:type="dxa"/>
            <w:tcBorders>
              <w:top w:val="nil"/>
              <w:left w:val="nil"/>
              <w:bottom w:val="nil"/>
              <w:right w:val="nil"/>
            </w:tcBorders>
            <w:shd w:val="pct25" w:color="000000" w:fill="FFFFFF"/>
            <w:noWrap/>
            <w:textDirection w:val="lrTb"/>
            <w:vAlign w:val="bottom"/>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4 280 041</w:t>
            </w:r>
          </w:p>
        </w:tc>
        <w:tc>
          <w:tcPr>
            <w:tcW w:w="992" w:type="dxa"/>
            <w:tcBorders>
              <w:top w:val="nil"/>
              <w:left w:val="nil"/>
              <w:bottom w:val="nil"/>
              <w:right w:val="nil"/>
            </w:tcBorders>
            <w:shd w:val="clear" w:color="000000" w:fill="FFFFFF"/>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1 007 648</w:t>
            </w:r>
          </w:p>
        </w:tc>
        <w:tc>
          <w:tcPr>
            <w:tcW w:w="851" w:type="dxa"/>
            <w:tcBorders>
              <w:top w:val="nil"/>
              <w:left w:val="nil"/>
              <w:bottom w:val="nil"/>
              <w:right w:val="nil"/>
            </w:tcBorders>
            <w:shd w:val="clear" w:color="000000" w:fill="FFFFFF"/>
            <w:textDirection w:val="lrTb"/>
            <w:vAlign w:val="center"/>
            <w:hideMark/>
          </w:tcPr>
          <w:p w:rsidR="0052093A" w:rsidRPr="00E77207" w:rsidP="0027279E">
            <w:pPr>
              <w:bidi w:val="0"/>
              <w:jc w:val="right"/>
              <w:rPr>
                <w:rFonts w:ascii="Times New Roman" w:hAnsi="Times New Roman"/>
                <w:color w:val="000000"/>
                <w:sz w:val="18"/>
                <w:szCs w:val="18"/>
              </w:rPr>
            </w:pPr>
            <w:r w:rsidRPr="00E77207">
              <w:rPr>
                <w:rFonts w:ascii="Times New Roman" w:hAnsi="Times New Roman"/>
                <w:color w:val="000000"/>
                <w:sz w:val="18"/>
                <w:szCs w:val="18"/>
              </w:rPr>
              <w:t>30,8</w:t>
            </w:r>
          </w:p>
        </w:tc>
      </w:tr>
      <w:tr>
        <w:tblPrEx>
          <w:tblW w:w="8946" w:type="dxa"/>
          <w:tblInd w:w="55" w:type="dxa"/>
          <w:tblCellMar>
            <w:left w:w="70" w:type="dxa"/>
            <w:right w:w="70" w:type="dxa"/>
          </w:tblCellMar>
          <w:tblLook w:val="04A0"/>
        </w:tblPrEx>
        <w:trPr>
          <w:trHeight w:val="345"/>
        </w:trPr>
        <w:tc>
          <w:tcPr>
            <w:tcW w:w="2992" w:type="dxa"/>
            <w:tcBorders>
              <w:top w:val="single" w:sz="4" w:space="0" w:color="auto"/>
              <w:left w:val="nil"/>
              <w:bottom w:val="single" w:sz="8" w:space="0" w:color="auto"/>
              <w:right w:val="nil"/>
            </w:tcBorders>
            <w:shd w:val="clear" w:color="000000" w:fill="FFFFFF"/>
            <w:noWrap/>
            <w:textDirection w:val="lrTb"/>
            <w:vAlign w:val="center"/>
            <w:hideMark/>
          </w:tcPr>
          <w:p w:rsidR="0052093A" w:rsidRPr="00E77207" w:rsidP="0027279E">
            <w:pPr>
              <w:bidi w:val="0"/>
              <w:rPr>
                <w:rFonts w:ascii="Times New Roman" w:hAnsi="Times New Roman"/>
                <w:b/>
                <w:bCs/>
                <w:color w:val="000000"/>
                <w:sz w:val="18"/>
                <w:szCs w:val="18"/>
              </w:rPr>
            </w:pPr>
            <w:r w:rsidRPr="00E77207">
              <w:rPr>
                <w:rFonts w:ascii="Times New Roman" w:hAnsi="Times New Roman"/>
                <w:b/>
                <w:bCs/>
                <w:color w:val="000000"/>
                <w:sz w:val="18"/>
                <w:szCs w:val="18"/>
              </w:rPr>
              <w:t>Spolu</w:t>
            </w:r>
          </w:p>
        </w:tc>
        <w:tc>
          <w:tcPr>
            <w:tcW w:w="992" w:type="dxa"/>
            <w:tcBorders>
              <w:top w:val="single" w:sz="4" w:space="0" w:color="auto"/>
              <w:left w:val="nil"/>
              <w:bottom w:val="single" w:sz="8" w:space="0" w:color="auto"/>
              <w:right w:val="nil"/>
            </w:tcBorders>
            <w:shd w:val="clear" w:color="000000" w:fill="FFFFFF"/>
            <w:noWrap/>
            <w:textDirection w:val="lrTb"/>
            <w:vAlign w:val="center"/>
            <w:hideMark/>
          </w:tcPr>
          <w:p w:rsidR="0052093A" w:rsidRPr="00E77207" w:rsidP="0027279E">
            <w:pPr>
              <w:bidi w:val="0"/>
              <w:jc w:val="right"/>
              <w:rPr>
                <w:rFonts w:ascii="Times New Roman" w:hAnsi="Times New Roman"/>
                <w:b/>
                <w:bCs/>
                <w:color w:val="000000"/>
                <w:sz w:val="18"/>
                <w:szCs w:val="18"/>
              </w:rPr>
            </w:pPr>
            <w:r w:rsidRPr="00E77207">
              <w:rPr>
                <w:rFonts w:ascii="Times New Roman" w:hAnsi="Times New Roman"/>
                <w:b/>
                <w:bCs/>
                <w:color w:val="000000"/>
                <w:sz w:val="18"/>
                <w:szCs w:val="18"/>
              </w:rPr>
              <w:t>2 399 532</w:t>
            </w:r>
          </w:p>
        </w:tc>
        <w:tc>
          <w:tcPr>
            <w:tcW w:w="1025" w:type="dxa"/>
            <w:tcBorders>
              <w:top w:val="single" w:sz="4" w:space="0" w:color="auto"/>
              <w:left w:val="nil"/>
              <w:bottom w:val="single" w:sz="8" w:space="0" w:color="auto"/>
              <w:right w:val="nil"/>
            </w:tcBorders>
            <w:shd w:val="clear" w:color="000000" w:fill="FFFFFF"/>
            <w:noWrap/>
            <w:textDirection w:val="lrTb"/>
            <w:vAlign w:val="center"/>
            <w:hideMark/>
          </w:tcPr>
          <w:p w:rsidR="0052093A" w:rsidRPr="00E77207" w:rsidP="0027279E">
            <w:pPr>
              <w:bidi w:val="0"/>
              <w:jc w:val="right"/>
              <w:rPr>
                <w:rFonts w:ascii="Times New Roman" w:hAnsi="Times New Roman"/>
                <w:b/>
                <w:bCs/>
                <w:color w:val="000000"/>
                <w:sz w:val="18"/>
                <w:szCs w:val="18"/>
              </w:rPr>
            </w:pPr>
            <w:r w:rsidRPr="00E77207">
              <w:rPr>
                <w:rFonts w:ascii="Times New Roman" w:hAnsi="Times New Roman"/>
                <w:b/>
                <w:bCs/>
                <w:color w:val="000000"/>
                <w:sz w:val="18"/>
                <w:szCs w:val="18"/>
              </w:rPr>
              <w:t>1 568 248</w:t>
            </w:r>
          </w:p>
        </w:tc>
        <w:tc>
          <w:tcPr>
            <w:tcW w:w="960" w:type="dxa"/>
            <w:tcBorders>
              <w:top w:val="single" w:sz="4" w:space="0" w:color="auto"/>
              <w:left w:val="nil"/>
              <w:bottom w:val="single" w:sz="8" w:space="0" w:color="auto"/>
              <w:right w:val="nil"/>
            </w:tcBorders>
            <w:shd w:val="clear" w:color="000000" w:fill="FFFFFF"/>
            <w:noWrap/>
            <w:textDirection w:val="lrTb"/>
            <w:vAlign w:val="center"/>
            <w:hideMark/>
          </w:tcPr>
          <w:p w:rsidR="0052093A" w:rsidRPr="00E77207" w:rsidP="0027279E">
            <w:pPr>
              <w:bidi w:val="0"/>
              <w:jc w:val="right"/>
              <w:rPr>
                <w:rFonts w:ascii="Times New Roman" w:hAnsi="Times New Roman"/>
                <w:b/>
                <w:bCs/>
                <w:color w:val="000000"/>
                <w:sz w:val="18"/>
                <w:szCs w:val="18"/>
              </w:rPr>
            </w:pPr>
            <w:r w:rsidRPr="00E77207">
              <w:rPr>
                <w:rFonts w:ascii="Times New Roman" w:hAnsi="Times New Roman"/>
                <w:b/>
                <w:bCs/>
                <w:color w:val="000000"/>
                <w:sz w:val="18"/>
                <w:szCs w:val="18"/>
              </w:rPr>
              <w:t>3 313 152</w:t>
            </w:r>
          </w:p>
        </w:tc>
        <w:tc>
          <w:tcPr>
            <w:tcW w:w="1134" w:type="dxa"/>
            <w:tcBorders>
              <w:top w:val="single" w:sz="4" w:space="0" w:color="auto"/>
              <w:left w:val="nil"/>
              <w:bottom w:val="single" w:sz="8" w:space="0" w:color="auto"/>
              <w:right w:val="nil"/>
            </w:tcBorders>
            <w:shd w:val="pct25" w:color="000000" w:fill="FFFFFF"/>
            <w:noWrap/>
            <w:textDirection w:val="lrTb"/>
            <w:vAlign w:val="center"/>
            <w:hideMark/>
          </w:tcPr>
          <w:p w:rsidR="0052093A" w:rsidRPr="00E77207" w:rsidP="0027279E">
            <w:pPr>
              <w:bidi w:val="0"/>
              <w:jc w:val="right"/>
              <w:rPr>
                <w:rFonts w:ascii="Times New Roman" w:hAnsi="Times New Roman"/>
                <w:b/>
                <w:bCs/>
                <w:color w:val="000000"/>
                <w:sz w:val="18"/>
                <w:szCs w:val="18"/>
              </w:rPr>
            </w:pPr>
            <w:r w:rsidRPr="00E77207">
              <w:rPr>
                <w:rFonts w:ascii="Times New Roman" w:hAnsi="Times New Roman"/>
                <w:b/>
                <w:bCs/>
                <w:color w:val="000000"/>
                <w:sz w:val="18"/>
                <w:szCs w:val="18"/>
              </w:rPr>
              <w:t>4 342 362</w:t>
            </w:r>
          </w:p>
        </w:tc>
        <w:tc>
          <w:tcPr>
            <w:tcW w:w="992" w:type="dxa"/>
            <w:tcBorders>
              <w:top w:val="single" w:sz="4" w:space="0" w:color="auto"/>
              <w:left w:val="nil"/>
              <w:bottom w:val="single" w:sz="8" w:space="0" w:color="auto"/>
              <w:right w:val="nil"/>
            </w:tcBorders>
            <w:shd w:val="clear" w:color="000000" w:fill="FFFFFF"/>
            <w:noWrap/>
            <w:textDirection w:val="lrTb"/>
            <w:vAlign w:val="center"/>
            <w:hideMark/>
          </w:tcPr>
          <w:p w:rsidR="0052093A" w:rsidRPr="00E77207" w:rsidP="0027279E">
            <w:pPr>
              <w:bidi w:val="0"/>
              <w:jc w:val="right"/>
              <w:rPr>
                <w:rFonts w:ascii="Times New Roman" w:hAnsi="Times New Roman"/>
                <w:b/>
                <w:bCs/>
                <w:color w:val="000000"/>
                <w:sz w:val="18"/>
                <w:szCs w:val="18"/>
              </w:rPr>
            </w:pPr>
            <w:r w:rsidRPr="00E77207">
              <w:rPr>
                <w:rFonts w:ascii="Times New Roman" w:hAnsi="Times New Roman"/>
                <w:b/>
                <w:bCs/>
                <w:color w:val="000000"/>
                <w:sz w:val="18"/>
                <w:szCs w:val="18"/>
              </w:rPr>
              <w:t>1 029 210</w:t>
            </w:r>
          </w:p>
        </w:tc>
        <w:tc>
          <w:tcPr>
            <w:tcW w:w="851" w:type="dxa"/>
            <w:tcBorders>
              <w:top w:val="single" w:sz="4" w:space="0" w:color="auto"/>
              <w:left w:val="nil"/>
              <w:bottom w:val="single" w:sz="8" w:space="0" w:color="auto"/>
              <w:right w:val="nil"/>
            </w:tcBorders>
            <w:shd w:val="clear" w:color="000000" w:fill="FFFFFF"/>
            <w:noWrap/>
            <w:textDirection w:val="lrTb"/>
            <w:vAlign w:val="center"/>
            <w:hideMark/>
          </w:tcPr>
          <w:p w:rsidR="0052093A" w:rsidRPr="00E77207" w:rsidP="0027279E">
            <w:pPr>
              <w:bidi w:val="0"/>
              <w:jc w:val="right"/>
              <w:rPr>
                <w:rFonts w:ascii="Times New Roman" w:hAnsi="Times New Roman"/>
                <w:b/>
                <w:bCs/>
                <w:color w:val="000000"/>
                <w:sz w:val="18"/>
                <w:szCs w:val="18"/>
              </w:rPr>
            </w:pPr>
            <w:r w:rsidRPr="00E77207">
              <w:rPr>
                <w:rFonts w:ascii="Times New Roman" w:hAnsi="Times New Roman"/>
                <w:b/>
                <w:bCs/>
                <w:color w:val="000000"/>
                <w:sz w:val="18"/>
                <w:szCs w:val="18"/>
              </w:rPr>
              <w:t>31,1</w:t>
            </w:r>
          </w:p>
        </w:tc>
      </w:tr>
    </w:tbl>
    <w:p w:rsidR="0052093A" w:rsidRPr="0052093A" w:rsidP="00E77207">
      <w:pPr>
        <w:bidi w:val="0"/>
        <w:spacing w:after="120" w:line="336" w:lineRule="auto"/>
        <w:jc w:val="right"/>
        <w:rPr>
          <w:rFonts w:ascii="Times New Roman" w:hAnsi="Times New Roman"/>
          <w:color w:val="000000"/>
          <w:sz w:val="22"/>
          <w:szCs w:val="22"/>
        </w:rPr>
      </w:pPr>
      <w:r w:rsidRPr="0052093A">
        <w:rPr>
          <w:rFonts w:ascii="Times New Roman" w:hAnsi="Times New Roman"/>
          <w:color w:val="000000"/>
          <w:sz w:val="18"/>
          <w:szCs w:val="18"/>
        </w:rPr>
        <w:t>Zdroj: MF SR</w:t>
      </w:r>
    </w:p>
    <w:p w:rsidR="0052093A" w:rsidRPr="0052093A" w:rsidP="0052093A">
      <w:pPr>
        <w:numPr>
          <w:numId w:val="9"/>
        </w:numPr>
        <w:tabs>
          <w:tab w:val="left" w:pos="284"/>
        </w:tabs>
        <w:suppressAutoHyphens/>
        <w:bidi w:val="0"/>
        <w:spacing w:after="120" w:line="336" w:lineRule="auto"/>
        <w:ind w:left="0" w:firstLine="0"/>
        <w:jc w:val="both"/>
        <w:rPr>
          <w:rFonts w:ascii="Times New Roman" w:eastAsia="Calibri" w:hAnsi="Times New Roman" w:hint="default"/>
          <w:color w:val="000000"/>
          <w:sz w:val="22"/>
          <w:szCs w:val="22"/>
          <w:lang w:eastAsia="en-US"/>
        </w:rPr>
      </w:pPr>
      <w:r w:rsidRPr="0052093A">
        <w:rPr>
          <w:rFonts w:ascii="Times New Roman" w:eastAsia="Calibri" w:hAnsi="Times New Roman" w:hint="default"/>
          <w:b/>
          <w:color w:val="000000"/>
          <w:sz w:val="22"/>
          <w:szCs w:val="22"/>
          <w:lang w:eastAsia="en-US"/>
        </w:rPr>
        <w:t>Tuzemské</w:t>
      </w:r>
      <w:r w:rsidRPr="0052093A">
        <w:rPr>
          <w:rFonts w:ascii="Times New Roman" w:eastAsia="Calibri" w:hAnsi="Times New Roman" w:hint="default"/>
          <w:b/>
          <w:color w:val="000000"/>
          <w:sz w:val="22"/>
          <w:szCs w:val="22"/>
          <w:lang w:eastAsia="en-US"/>
        </w:rPr>
        <w:t xml:space="preserve"> granty a transfery</w:t>
      </w:r>
      <w:r w:rsidRPr="0052093A">
        <w:rPr>
          <w:rFonts w:ascii="Times New Roman" w:eastAsia="Calibri" w:hAnsi="Times New Roman" w:hint="default"/>
          <w:color w:val="000000"/>
          <w:sz w:val="22"/>
          <w:szCs w:val="22"/>
          <w:lang w:eastAsia="en-US"/>
        </w:rPr>
        <w:t xml:space="preserve"> svojim skutoč</w:t>
      </w:r>
      <w:r w:rsidRPr="0052093A">
        <w:rPr>
          <w:rFonts w:ascii="Times New Roman" w:eastAsia="Calibri" w:hAnsi="Times New Roman" w:hint="default"/>
          <w:color w:val="000000"/>
          <w:sz w:val="22"/>
          <w:szCs w:val="22"/>
          <w:lang w:eastAsia="en-US"/>
        </w:rPr>
        <w:t>ný</w:t>
      </w:r>
      <w:r w:rsidRPr="0052093A">
        <w:rPr>
          <w:rFonts w:ascii="Times New Roman" w:eastAsia="Calibri" w:hAnsi="Times New Roman" w:hint="default"/>
          <w:color w:val="000000"/>
          <w:sz w:val="22"/>
          <w:szCs w:val="22"/>
          <w:lang w:eastAsia="en-US"/>
        </w:rPr>
        <w:t>m plnení</w:t>
      </w:r>
      <w:r w:rsidRPr="0052093A">
        <w:rPr>
          <w:rFonts w:ascii="Times New Roman" w:eastAsia="Calibri" w:hAnsi="Times New Roman" w:hint="default"/>
          <w:color w:val="000000"/>
          <w:sz w:val="22"/>
          <w:szCs w:val="22"/>
          <w:lang w:eastAsia="en-US"/>
        </w:rPr>
        <w:t>m v sume 49 027 tis. eur tvorili len 1,1 % z </w:t>
      </w:r>
      <w:r w:rsidRPr="0052093A">
        <w:rPr>
          <w:rFonts w:ascii="Times New Roman" w:eastAsia="Calibri" w:hAnsi="Times New Roman" w:hint="default"/>
          <w:color w:val="000000"/>
          <w:sz w:val="22"/>
          <w:szCs w:val="22"/>
          <w:lang w:eastAsia="en-US"/>
        </w:rPr>
        <w:t>celkovo dosiahnutý</w:t>
      </w:r>
      <w:r w:rsidRPr="0052093A">
        <w:rPr>
          <w:rFonts w:ascii="Times New Roman" w:eastAsia="Calibri" w:hAnsi="Times New Roman" w:hint="default"/>
          <w:color w:val="000000"/>
          <w:sz w:val="22"/>
          <w:szCs w:val="22"/>
          <w:lang w:eastAsia="en-US"/>
        </w:rPr>
        <w:t>ch grantov a</w:t>
      </w:r>
      <w:r w:rsidR="0010627D">
        <w:rPr>
          <w:rFonts w:ascii="Times New Roman" w:eastAsia="Calibri" w:hAnsi="Times New Roman"/>
          <w:color w:val="000000"/>
          <w:sz w:val="22"/>
          <w:szCs w:val="22"/>
          <w:lang w:eastAsia="en-US"/>
        </w:rPr>
        <w:t> </w:t>
      </w:r>
      <w:r w:rsidRPr="0052093A">
        <w:rPr>
          <w:rFonts w:ascii="Times New Roman" w:eastAsia="Calibri" w:hAnsi="Times New Roman"/>
          <w:color w:val="000000"/>
          <w:sz w:val="22"/>
          <w:szCs w:val="22"/>
          <w:lang w:eastAsia="en-US"/>
        </w:rPr>
        <w:t>transferov</w:t>
      </w:r>
      <w:r w:rsidR="0010627D">
        <w:rPr>
          <w:rFonts w:ascii="Times New Roman" w:eastAsia="Calibri" w:hAnsi="Times New Roman"/>
          <w:color w:val="000000"/>
          <w:sz w:val="22"/>
          <w:szCs w:val="22"/>
          <w:lang w:eastAsia="en-US"/>
        </w:rPr>
        <w:t>.</w:t>
      </w:r>
      <w:r w:rsidRPr="0052093A">
        <w:rPr>
          <w:rFonts w:ascii="Times New Roman" w:eastAsia="Calibri" w:hAnsi="Times New Roman" w:hint="default"/>
          <w:color w:val="000000"/>
          <w:sz w:val="22"/>
          <w:szCs w:val="22"/>
          <w:lang w:eastAsia="en-US"/>
        </w:rPr>
        <w:t xml:space="preserve"> Objemovo najdô</w:t>
      </w:r>
      <w:r w:rsidRPr="0052093A">
        <w:rPr>
          <w:rFonts w:ascii="Times New Roman" w:eastAsia="Calibri" w:hAnsi="Times New Roman" w:hint="default"/>
          <w:color w:val="000000"/>
          <w:sz w:val="22"/>
          <w:szCs w:val="22"/>
          <w:lang w:eastAsia="en-US"/>
        </w:rPr>
        <w:t>lež</w:t>
      </w:r>
      <w:r w:rsidRPr="0052093A">
        <w:rPr>
          <w:rFonts w:ascii="Times New Roman" w:eastAsia="Calibri" w:hAnsi="Times New Roman" w:hint="default"/>
          <w:color w:val="000000"/>
          <w:sz w:val="22"/>
          <w:szCs w:val="22"/>
          <w:lang w:eastAsia="en-US"/>
        </w:rPr>
        <w:t>itejš</w:t>
      </w:r>
      <w:r w:rsidRPr="0052093A">
        <w:rPr>
          <w:rFonts w:ascii="Times New Roman" w:eastAsia="Calibri" w:hAnsi="Times New Roman" w:hint="default"/>
          <w:color w:val="000000"/>
          <w:sz w:val="22"/>
          <w:szCs w:val="22"/>
          <w:lang w:eastAsia="en-US"/>
        </w:rPr>
        <w:t>ou č</w:t>
      </w:r>
      <w:r w:rsidRPr="0052093A">
        <w:rPr>
          <w:rFonts w:ascii="Times New Roman" w:eastAsia="Calibri" w:hAnsi="Times New Roman" w:hint="default"/>
          <w:color w:val="000000"/>
          <w:sz w:val="22"/>
          <w:szCs w:val="22"/>
          <w:lang w:eastAsia="en-US"/>
        </w:rPr>
        <w:t>asť</w:t>
      </w:r>
      <w:r w:rsidRPr="0052093A">
        <w:rPr>
          <w:rFonts w:ascii="Times New Roman" w:eastAsia="Calibri" w:hAnsi="Times New Roman" w:hint="default"/>
          <w:color w:val="000000"/>
          <w:sz w:val="22"/>
          <w:szCs w:val="22"/>
          <w:lang w:eastAsia="en-US"/>
        </w:rPr>
        <w:t>ou</w:t>
      </w:r>
      <w:r w:rsidRPr="0052093A">
        <w:rPr>
          <w:rFonts w:ascii="Times New Roman" w:eastAsia="Calibri" w:hAnsi="Times New Roman" w:hint="default"/>
          <w:color w:val="000000"/>
          <w:sz w:val="22"/>
          <w:szCs w:val="22"/>
          <w:lang w:eastAsia="en-US"/>
        </w:rPr>
        <w:t xml:space="preserve"> tý</w:t>
      </w:r>
      <w:r w:rsidRPr="0052093A">
        <w:rPr>
          <w:rFonts w:ascii="Times New Roman" w:eastAsia="Calibri" w:hAnsi="Times New Roman" w:hint="default"/>
          <w:color w:val="000000"/>
          <w:sz w:val="22"/>
          <w:szCs w:val="22"/>
          <w:lang w:eastAsia="en-US"/>
        </w:rPr>
        <w:t>chto prí</w:t>
      </w:r>
      <w:r w:rsidRPr="0052093A">
        <w:rPr>
          <w:rFonts w:ascii="Times New Roman" w:eastAsia="Calibri" w:hAnsi="Times New Roman" w:hint="default"/>
          <w:color w:val="000000"/>
          <w:sz w:val="22"/>
          <w:szCs w:val="22"/>
          <w:lang w:eastAsia="en-US"/>
        </w:rPr>
        <w:t>jmov boli v</w:t>
      </w:r>
      <w:r w:rsidR="00223EFD">
        <w:rPr>
          <w:rFonts w:ascii="Times New Roman" w:eastAsia="Calibri" w:hAnsi="Times New Roman"/>
          <w:color w:val="000000"/>
          <w:sz w:val="22"/>
          <w:szCs w:val="22"/>
          <w:lang w:eastAsia="en-US"/>
        </w:rPr>
        <w:t> </w:t>
      </w:r>
      <w:r w:rsidRPr="0052093A">
        <w:rPr>
          <w:rFonts w:ascii="Times New Roman" w:eastAsia="Calibri" w:hAnsi="Times New Roman" w:hint="default"/>
          <w:color w:val="000000"/>
          <w:sz w:val="22"/>
          <w:szCs w:val="22"/>
          <w:lang w:eastAsia="en-US"/>
        </w:rPr>
        <w:t>predchá</w:t>
      </w:r>
      <w:r w:rsidRPr="0052093A">
        <w:rPr>
          <w:rFonts w:ascii="Times New Roman" w:eastAsia="Calibri" w:hAnsi="Times New Roman" w:hint="default"/>
          <w:color w:val="000000"/>
          <w:sz w:val="22"/>
          <w:szCs w:val="22"/>
          <w:lang w:eastAsia="en-US"/>
        </w:rPr>
        <w:t>dzajú</w:t>
      </w:r>
      <w:r w:rsidRPr="0052093A">
        <w:rPr>
          <w:rFonts w:ascii="Times New Roman" w:eastAsia="Calibri" w:hAnsi="Times New Roman" w:hint="default"/>
          <w:color w:val="000000"/>
          <w:sz w:val="22"/>
          <w:szCs w:val="22"/>
          <w:lang w:eastAsia="en-US"/>
        </w:rPr>
        <w:t>cich rokoch prostriedky na posilnenie š</w:t>
      </w:r>
      <w:r w:rsidRPr="0052093A">
        <w:rPr>
          <w:rFonts w:ascii="Times New Roman" w:eastAsia="Calibri" w:hAnsi="Times New Roman" w:hint="default"/>
          <w:color w:val="000000"/>
          <w:sz w:val="22"/>
          <w:szCs w:val="22"/>
          <w:lang w:eastAsia="en-US"/>
        </w:rPr>
        <w:t>tá</w:t>
      </w:r>
      <w:r w:rsidRPr="0052093A">
        <w:rPr>
          <w:rFonts w:ascii="Times New Roman" w:eastAsia="Calibri" w:hAnsi="Times New Roman" w:hint="default"/>
          <w:color w:val="000000"/>
          <w:sz w:val="22"/>
          <w:szCs w:val="22"/>
          <w:lang w:eastAsia="en-US"/>
        </w:rPr>
        <w:t>tnych finanč</w:t>
      </w:r>
      <w:r w:rsidRPr="0052093A">
        <w:rPr>
          <w:rFonts w:ascii="Times New Roman" w:eastAsia="Calibri" w:hAnsi="Times New Roman" w:hint="default"/>
          <w:color w:val="000000"/>
          <w:sz w:val="22"/>
          <w:szCs w:val="22"/>
          <w:lang w:eastAsia="en-US"/>
        </w:rPr>
        <w:t>ný</w:t>
      </w:r>
      <w:r w:rsidRPr="0052093A">
        <w:rPr>
          <w:rFonts w:ascii="Times New Roman" w:eastAsia="Calibri" w:hAnsi="Times New Roman" w:hint="default"/>
          <w:color w:val="000000"/>
          <w:sz w:val="22"/>
          <w:szCs w:val="22"/>
          <w:lang w:eastAsia="en-US"/>
        </w:rPr>
        <w:t>ch aktí</w:t>
      </w:r>
      <w:r w:rsidRPr="0052093A">
        <w:rPr>
          <w:rFonts w:ascii="Times New Roman" w:eastAsia="Calibri" w:hAnsi="Times New Roman" w:hint="default"/>
          <w:color w:val="000000"/>
          <w:sz w:val="22"/>
          <w:szCs w:val="22"/>
          <w:lang w:eastAsia="en-US"/>
        </w:rPr>
        <w:t>v z </w:t>
      </w:r>
      <w:r w:rsidRPr="0052093A">
        <w:rPr>
          <w:rFonts w:ascii="Times New Roman" w:eastAsia="Calibri" w:hAnsi="Times New Roman" w:hint="default"/>
          <w:color w:val="000000"/>
          <w:sz w:val="22"/>
          <w:szCs w:val="22"/>
          <w:lang w:eastAsia="en-US"/>
        </w:rPr>
        <w:t>rozpoč</w:t>
      </w:r>
      <w:r w:rsidRPr="0052093A">
        <w:rPr>
          <w:rFonts w:ascii="Times New Roman" w:eastAsia="Calibri" w:hAnsi="Times New Roman" w:hint="default"/>
          <w:color w:val="000000"/>
          <w:sz w:val="22"/>
          <w:szCs w:val="22"/>
          <w:lang w:eastAsia="en-US"/>
        </w:rPr>
        <w:t>tu Fondu ná</w:t>
      </w:r>
      <w:r w:rsidRPr="0052093A">
        <w:rPr>
          <w:rFonts w:ascii="Times New Roman" w:eastAsia="Calibri" w:hAnsi="Times New Roman" w:hint="default"/>
          <w:color w:val="000000"/>
          <w:sz w:val="22"/>
          <w:szCs w:val="22"/>
          <w:lang w:eastAsia="en-US"/>
        </w:rPr>
        <w:t>rodné</w:t>
      </w:r>
      <w:r w:rsidRPr="0052093A">
        <w:rPr>
          <w:rFonts w:ascii="Times New Roman" w:eastAsia="Calibri" w:hAnsi="Times New Roman" w:hint="default"/>
          <w:color w:val="000000"/>
          <w:sz w:val="22"/>
          <w:szCs w:val="22"/>
          <w:lang w:eastAsia="en-US"/>
        </w:rPr>
        <w:t>ho majetku SR (ď</w:t>
      </w:r>
      <w:r w:rsidRPr="0052093A">
        <w:rPr>
          <w:rFonts w:ascii="Times New Roman" w:eastAsia="Calibri" w:hAnsi="Times New Roman" w:hint="default"/>
          <w:color w:val="000000"/>
          <w:sz w:val="22"/>
          <w:szCs w:val="22"/>
          <w:lang w:eastAsia="en-US"/>
        </w:rPr>
        <w:t>alej „</w:t>
      </w:r>
      <w:r w:rsidRPr="0052093A">
        <w:rPr>
          <w:rFonts w:ascii="Times New Roman" w:eastAsia="Calibri" w:hAnsi="Times New Roman" w:hint="default"/>
          <w:color w:val="000000"/>
          <w:sz w:val="22"/>
          <w:szCs w:val="22"/>
          <w:lang w:eastAsia="en-US"/>
        </w:rPr>
        <w:t>fond“</w:t>
      </w:r>
      <w:r w:rsidRPr="0052093A">
        <w:rPr>
          <w:rFonts w:ascii="Times New Roman" w:eastAsia="Calibri" w:hAnsi="Times New Roman" w:hint="default"/>
          <w:color w:val="000000"/>
          <w:sz w:val="22"/>
          <w:szCs w:val="22"/>
          <w:lang w:eastAsia="en-US"/>
        </w:rPr>
        <w:t>), ktoré</w:t>
      </w:r>
      <w:r w:rsidRPr="0052093A">
        <w:rPr>
          <w:rFonts w:ascii="Times New Roman" w:eastAsia="Calibri" w:hAnsi="Times New Roman" w:hint="default"/>
          <w:color w:val="000000"/>
          <w:sz w:val="22"/>
          <w:szCs w:val="22"/>
          <w:lang w:eastAsia="en-US"/>
        </w:rPr>
        <w:t xml:space="preserve"> fond zí</w:t>
      </w:r>
      <w:r w:rsidRPr="0052093A">
        <w:rPr>
          <w:rFonts w:ascii="Times New Roman" w:eastAsia="Calibri" w:hAnsi="Times New Roman" w:hint="default"/>
          <w:color w:val="000000"/>
          <w:sz w:val="22"/>
          <w:szCs w:val="22"/>
          <w:lang w:eastAsia="en-US"/>
        </w:rPr>
        <w:t>skal ako dividendy v </w:t>
      </w:r>
      <w:r w:rsidRPr="0052093A">
        <w:rPr>
          <w:rFonts w:ascii="Times New Roman" w:eastAsia="Calibri" w:hAnsi="Times New Roman" w:hint="default"/>
          <w:color w:val="000000"/>
          <w:sz w:val="22"/>
          <w:szCs w:val="22"/>
          <w:lang w:eastAsia="en-US"/>
        </w:rPr>
        <w:t>spoloč</w:t>
      </w:r>
      <w:r w:rsidRPr="0052093A">
        <w:rPr>
          <w:rFonts w:ascii="Times New Roman" w:eastAsia="Calibri" w:hAnsi="Times New Roman" w:hint="default"/>
          <w:color w:val="000000"/>
          <w:sz w:val="22"/>
          <w:szCs w:val="22"/>
          <w:lang w:eastAsia="en-US"/>
        </w:rPr>
        <w:t>nostiach s </w:t>
      </w:r>
      <w:r w:rsidRPr="0052093A">
        <w:rPr>
          <w:rFonts w:ascii="Times New Roman" w:eastAsia="Calibri" w:hAnsi="Times New Roman" w:hint="default"/>
          <w:color w:val="000000"/>
          <w:sz w:val="22"/>
          <w:szCs w:val="22"/>
          <w:lang w:eastAsia="en-US"/>
        </w:rPr>
        <w:t>majetkovou úč</w:t>
      </w:r>
      <w:r w:rsidRPr="0052093A">
        <w:rPr>
          <w:rFonts w:ascii="Times New Roman" w:eastAsia="Calibri" w:hAnsi="Times New Roman" w:hint="default"/>
          <w:color w:val="000000"/>
          <w:sz w:val="22"/>
          <w:szCs w:val="22"/>
          <w:lang w:eastAsia="en-US"/>
        </w:rPr>
        <w:t>asť</w:t>
      </w:r>
      <w:r w:rsidRPr="0052093A">
        <w:rPr>
          <w:rFonts w:ascii="Times New Roman" w:eastAsia="Calibri" w:hAnsi="Times New Roman" w:hint="default"/>
          <w:color w:val="000000"/>
          <w:sz w:val="22"/>
          <w:szCs w:val="22"/>
          <w:lang w:eastAsia="en-US"/>
        </w:rPr>
        <w:t>ou fondu. Tieto boli v roku 2015 roz</w:t>
      </w:r>
      <w:r w:rsidRPr="0052093A">
        <w:rPr>
          <w:rFonts w:ascii="Times New Roman" w:eastAsia="Calibri" w:hAnsi="Times New Roman" w:hint="default"/>
          <w:color w:val="000000"/>
          <w:sz w:val="22"/>
          <w:szCs w:val="22"/>
          <w:lang w:eastAsia="en-US"/>
        </w:rPr>
        <w:t>poč</w:t>
      </w:r>
      <w:r w:rsidRPr="0052093A">
        <w:rPr>
          <w:rFonts w:ascii="Times New Roman" w:eastAsia="Calibri" w:hAnsi="Times New Roman" w:hint="default"/>
          <w:color w:val="000000"/>
          <w:sz w:val="22"/>
          <w:szCs w:val="22"/>
          <w:lang w:eastAsia="en-US"/>
        </w:rPr>
        <w:t>tované</w:t>
      </w:r>
      <w:r w:rsidRPr="0052093A">
        <w:rPr>
          <w:rFonts w:ascii="Times New Roman" w:eastAsia="Calibri" w:hAnsi="Times New Roman" w:hint="default"/>
          <w:color w:val="000000"/>
          <w:sz w:val="22"/>
          <w:szCs w:val="22"/>
          <w:lang w:eastAsia="en-US"/>
        </w:rPr>
        <w:t xml:space="preserve"> v objeme iba 15 </w:t>
      </w:r>
      <w:r w:rsidRPr="0052093A">
        <w:rPr>
          <w:rFonts w:ascii="Times New Roman" w:eastAsia="Calibri" w:hAnsi="Times New Roman" w:hint="default"/>
          <w:color w:val="000000"/>
          <w:sz w:val="22"/>
          <w:szCs w:val="22"/>
          <w:lang w:eastAsia="en-US"/>
        </w:rPr>
        <w:t>424 tis. eur, č</w:t>
      </w:r>
      <w:r w:rsidRPr="0052093A">
        <w:rPr>
          <w:rFonts w:ascii="Times New Roman" w:eastAsia="Calibri" w:hAnsi="Times New Roman" w:hint="default"/>
          <w:color w:val="000000"/>
          <w:sz w:val="22"/>
          <w:szCs w:val="22"/>
          <w:lang w:eastAsia="en-US"/>
        </w:rPr>
        <w:t>o predstavuje oproti roku 2014 pokles o 808 340 tis. eur, t. j. o 98,1 %, a to z </w:t>
      </w:r>
      <w:r w:rsidRPr="0052093A">
        <w:rPr>
          <w:rFonts w:ascii="Times New Roman" w:eastAsia="Calibri" w:hAnsi="Times New Roman" w:hint="default"/>
          <w:color w:val="000000"/>
          <w:sz w:val="22"/>
          <w:szCs w:val="22"/>
          <w:lang w:eastAsia="en-US"/>
        </w:rPr>
        <w:t>dô</w:t>
      </w:r>
      <w:r w:rsidRPr="0052093A">
        <w:rPr>
          <w:rFonts w:ascii="Times New Roman" w:eastAsia="Calibri" w:hAnsi="Times New Roman" w:hint="default"/>
          <w:color w:val="000000"/>
          <w:sz w:val="22"/>
          <w:szCs w:val="22"/>
          <w:lang w:eastAsia="en-US"/>
        </w:rPr>
        <w:t>vodu prijatia novely zá</w:t>
      </w:r>
      <w:r w:rsidRPr="0052093A">
        <w:rPr>
          <w:rFonts w:ascii="Times New Roman" w:eastAsia="Calibri" w:hAnsi="Times New Roman" w:hint="default"/>
          <w:color w:val="000000"/>
          <w:sz w:val="22"/>
          <w:szCs w:val="22"/>
          <w:lang w:eastAsia="en-US"/>
        </w:rPr>
        <w:t>kona č</w:t>
      </w:r>
      <w:r w:rsidRPr="0052093A">
        <w:rPr>
          <w:rFonts w:ascii="Times New Roman" w:eastAsia="Calibri" w:hAnsi="Times New Roman" w:hint="default"/>
          <w:color w:val="000000"/>
          <w:sz w:val="22"/>
          <w:szCs w:val="22"/>
          <w:lang w:eastAsia="en-US"/>
        </w:rPr>
        <w:t>. 92/1991 Zb. o </w:t>
      </w:r>
      <w:r w:rsidRPr="0052093A">
        <w:rPr>
          <w:rFonts w:ascii="Times New Roman" w:eastAsia="Calibri" w:hAnsi="Times New Roman" w:hint="default"/>
          <w:color w:val="000000"/>
          <w:sz w:val="22"/>
          <w:szCs w:val="22"/>
          <w:lang w:eastAsia="en-US"/>
        </w:rPr>
        <w:t>podmienkach prevodu majetku š</w:t>
      </w:r>
      <w:r w:rsidRPr="0052093A">
        <w:rPr>
          <w:rFonts w:ascii="Times New Roman" w:eastAsia="Calibri" w:hAnsi="Times New Roman" w:hint="default"/>
          <w:color w:val="000000"/>
          <w:sz w:val="22"/>
          <w:szCs w:val="22"/>
          <w:lang w:eastAsia="en-US"/>
        </w:rPr>
        <w:t>tá</w:t>
      </w:r>
      <w:r w:rsidRPr="0052093A">
        <w:rPr>
          <w:rFonts w:ascii="Times New Roman" w:eastAsia="Calibri" w:hAnsi="Times New Roman" w:hint="default"/>
          <w:color w:val="000000"/>
          <w:sz w:val="22"/>
          <w:szCs w:val="22"/>
          <w:lang w:eastAsia="en-US"/>
        </w:rPr>
        <w:t>tu na iné</w:t>
      </w:r>
      <w:r w:rsidRPr="0052093A">
        <w:rPr>
          <w:rFonts w:ascii="Times New Roman" w:eastAsia="Calibri" w:hAnsi="Times New Roman" w:hint="default"/>
          <w:color w:val="000000"/>
          <w:sz w:val="22"/>
          <w:szCs w:val="22"/>
          <w:lang w:eastAsia="en-US"/>
        </w:rPr>
        <w:t xml:space="preserve"> osoby v </w:t>
      </w:r>
      <w:r w:rsidRPr="0052093A">
        <w:rPr>
          <w:rFonts w:ascii="Times New Roman" w:eastAsia="Calibri" w:hAnsi="Times New Roman" w:hint="default"/>
          <w:color w:val="000000"/>
          <w:sz w:val="22"/>
          <w:szCs w:val="22"/>
          <w:lang w:eastAsia="en-US"/>
        </w:rPr>
        <w:t>znení</w:t>
      </w:r>
      <w:r w:rsidRPr="0052093A">
        <w:rPr>
          <w:rFonts w:ascii="Times New Roman" w:eastAsia="Calibri" w:hAnsi="Times New Roman" w:hint="default"/>
          <w:color w:val="000000"/>
          <w:sz w:val="22"/>
          <w:szCs w:val="22"/>
          <w:lang w:eastAsia="en-US"/>
        </w:rPr>
        <w:t xml:space="preserve"> neskorší</w:t>
      </w:r>
      <w:r w:rsidRPr="0052093A">
        <w:rPr>
          <w:rFonts w:ascii="Times New Roman" w:eastAsia="Calibri" w:hAnsi="Times New Roman" w:hint="default"/>
          <w:color w:val="000000"/>
          <w:sz w:val="22"/>
          <w:szCs w:val="22"/>
          <w:lang w:eastAsia="en-US"/>
        </w:rPr>
        <w:t>ch predpisov, na zá</w:t>
      </w:r>
      <w:r w:rsidRPr="0052093A">
        <w:rPr>
          <w:rFonts w:ascii="Times New Roman" w:eastAsia="Calibri" w:hAnsi="Times New Roman" w:hint="default"/>
          <w:color w:val="000000"/>
          <w:sz w:val="22"/>
          <w:szCs w:val="22"/>
          <w:lang w:eastAsia="en-US"/>
        </w:rPr>
        <w:t>klad</w:t>
      </w:r>
      <w:r w:rsidRPr="0052093A">
        <w:rPr>
          <w:rFonts w:ascii="Times New Roman" w:eastAsia="Calibri" w:hAnsi="Times New Roman" w:hint="default"/>
          <w:color w:val="000000"/>
          <w:sz w:val="22"/>
          <w:szCs w:val="22"/>
          <w:lang w:eastAsia="en-US"/>
        </w:rPr>
        <w:t>e</w:t>
      </w:r>
      <w:r w:rsidRPr="0052093A">
        <w:rPr>
          <w:rFonts w:ascii="Times New Roman" w:eastAsia="Calibri" w:hAnsi="Times New Roman" w:hint="default"/>
          <w:color w:val="000000"/>
          <w:sz w:val="22"/>
          <w:szCs w:val="22"/>
          <w:lang w:eastAsia="en-US"/>
        </w:rPr>
        <w:t xml:space="preserve"> ktorej preš</w:t>
      </w:r>
      <w:r w:rsidRPr="0052093A">
        <w:rPr>
          <w:rFonts w:ascii="Times New Roman" w:eastAsia="Calibri" w:hAnsi="Times New Roman" w:hint="default"/>
          <w:color w:val="000000"/>
          <w:sz w:val="22"/>
          <w:szCs w:val="22"/>
          <w:lang w:eastAsia="en-US"/>
        </w:rPr>
        <w:t>li majetkové</w:t>
      </w:r>
      <w:r w:rsidRPr="0052093A">
        <w:rPr>
          <w:rFonts w:ascii="Times New Roman" w:eastAsia="Calibri" w:hAnsi="Times New Roman" w:hint="default"/>
          <w:color w:val="000000"/>
          <w:sz w:val="22"/>
          <w:szCs w:val="22"/>
          <w:lang w:eastAsia="en-US"/>
        </w:rPr>
        <w:t xml:space="preserve"> úč</w:t>
      </w:r>
      <w:r w:rsidRPr="0052093A">
        <w:rPr>
          <w:rFonts w:ascii="Times New Roman" w:eastAsia="Calibri" w:hAnsi="Times New Roman" w:hint="default"/>
          <w:color w:val="000000"/>
          <w:sz w:val="22"/>
          <w:szCs w:val="22"/>
          <w:lang w:eastAsia="en-US"/>
        </w:rPr>
        <w:t>asti fondu vo vybraný</w:t>
      </w:r>
      <w:r w:rsidRPr="0052093A">
        <w:rPr>
          <w:rFonts w:ascii="Times New Roman" w:eastAsia="Calibri" w:hAnsi="Times New Roman" w:hint="default"/>
          <w:color w:val="000000"/>
          <w:sz w:val="22"/>
          <w:szCs w:val="22"/>
          <w:lang w:eastAsia="en-US"/>
        </w:rPr>
        <w:t xml:space="preserve">ch </w:t>
      </w:r>
      <w:r w:rsidR="0010627D">
        <w:rPr>
          <w:rFonts w:ascii="Times New Roman" w:eastAsia="Calibri" w:hAnsi="Times New Roman"/>
          <w:color w:val="000000"/>
          <w:sz w:val="22"/>
          <w:szCs w:val="22"/>
          <w:lang w:eastAsia="en-US"/>
        </w:rPr>
        <w:t>(a z </w:t>
      </w:r>
      <w:r w:rsidR="0010627D">
        <w:rPr>
          <w:rFonts w:ascii="Times New Roman" w:eastAsia="Calibri" w:hAnsi="Times New Roman" w:hint="default"/>
          <w:color w:val="000000"/>
          <w:sz w:val="22"/>
          <w:szCs w:val="22"/>
          <w:lang w:eastAsia="en-US"/>
        </w:rPr>
        <w:t>pohľ</w:t>
      </w:r>
      <w:r w:rsidR="0010627D">
        <w:rPr>
          <w:rFonts w:ascii="Times New Roman" w:eastAsia="Calibri" w:hAnsi="Times New Roman" w:hint="default"/>
          <w:color w:val="000000"/>
          <w:sz w:val="22"/>
          <w:szCs w:val="22"/>
          <w:lang w:eastAsia="en-US"/>
        </w:rPr>
        <w:t>adu mož</w:t>
      </w:r>
      <w:r w:rsidR="0010627D">
        <w:rPr>
          <w:rFonts w:ascii="Times New Roman" w:eastAsia="Calibri" w:hAnsi="Times New Roman" w:hint="default"/>
          <w:color w:val="000000"/>
          <w:sz w:val="22"/>
          <w:szCs w:val="22"/>
          <w:lang w:eastAsia="en-US"/>
        </w:rPr>
        <w:t>ný</w:t>
      </w:r>
      <w:r w:rsidR="0010627D">
        <w:rPr>
          <w:rFonts w:ascii="Times New Roman" w:eastAsia="Calibri" w:hAnsi="Times New Roman" w:hint="default"/>
          <w:color w:val="000000"/>
          <w:sz w:val="22"/>
          <w:szCs w:val="22"/>
          <w:lang w:eastAsia="en-US"/>
        </w:rPr>
        <w:t>ch dividend rozhodujú</w:t>
      </w:r>
      <w:r w:rsidR="0010627D">
        <w:rPr>
          <w:rFonts w:ascii="Times New Roman" w:eastAsia="Calibri" w:hAnsi="Times New Roman" w:hint="default"/>
          <w:color w:val="000000"/>
          <w:sz w:val="22"/>
          <w:szCs w:val="22"/>
          <w:lang w:eastAsia="en-US"/>
        </w:rPr>
        <w:t xml:space="preserve">cich) </w:t>
      </w:r>
      <w:r w:rsidRPr="0052093A">
        <w:rPr>
          <w:rFonts w:ascii="Times New Roman" w:eastAsia="Calibri" w:hAnsi="Times New Roman" w:hint="default"/>
          <w:color w:val="000000"/>
          <w:sz w:val="22"/>
          <w:szCs w:val="22"/>
          <w:lang w:eastAsia="en-US"/>
        </w:rPr>
        <w:t>spoloč</w:t>
      </w:r>
      <w:r w:rsidRPr="0052093A">
        <w:rPr>
          <w:rFonts w:ascii="Times New Roman" w:eastAsia="Calibri" w:hAnsi="Times New Roman" w:hint="default"/>
          <w:color w:val="000000"/>
          <w:sz w:val="22"/>
          <w:szCs w:val="22"/>
          <w:lang w:eastAsia="en-US"/>
        </w:rPr>
        <w:t>nostiach do vý</w:t>
      </w:r>
      <w:r w:rsidRPr="0052093A">
        <w:rPr>
          <w:rFonts w:ascii="Times New Roman" w:eastAsia="Calibri" w:hAnsi="Times New Roman" w:hint="default"/>
          <w:color w:val="000000"/>
          <w:sz w:val="22"/>
          <w:szCs w:val="22"/>
          <w:lang w:eastAsia="en-US"/>
        </w:rPr>
        <w:t>luč</w:t>
      </w:r>
      <w:r w:rsidRPr="0052093A">
        <w:rPr>
          <w:rFonts w:ascii="Times New Roman" w:eastAsia="Calibri" w:hAnsi="Times New Roman" w:hint="default"/>
          <w:color w:val="000000"/>
          <w:sz w:val="22"/>
          <w:szCs w:val="22"/>
          <w:lang w:eastAsia="en-US"/>
        </w:rPr>
        <w:t>né</w:t>
      </w:r>
      <w:r w:rsidRPr="0052093A">
        <w:rPr>
          <w:rFonts w:ascii="Times New Roman" w:eastAsia="Calibri" w:hAnsi="Times New Roman" w:hint="default"/>
          <w:color w:val="000000"/>
          <w:sz w:val="22"/>
          <w:szCs w:val="22"/>
          <w:lang w:eastAsia="en-US"/>
        </w:rPr>
        <w:t>ho vlastní</w:t>
      </w:r>
      <w:r w:rsidRPr="0052093A">
        <w:rPr>
          <w:rFonts w:ascii="Times New Roman" w:eastAsia="Calibri" w:hAnsi="Times New Roman" w:hint="default"/>
          <w:color w:val="000000"/>
          <w:sz w:val="22"/>
          <w:szCs w:val="22"/>
          <w:lang w:eastAsia="en-US"/>
        </w:rPr>
        <w:t>ctva š</w:t>
      </w:r>
      <w:r w:rsidRPr="0052093A">
        <w:rPr>
          <w:rFonts w:ascii="Times New Roman" w:eastAsia="Calibri" w:hAnsi="Times New Roman" w:hint="default"/>
          <w:color w:val="000000"/>
          <w:sz w:val="22"/>
          <w:szCs w:val="22"/>
          <w:lang w:eastAsia="en-US"/>
        </w:rPr>
        <w:t>tá</w:t>
      </w:r>
      <w:r w:rsidRPr="0052093A">
        <w:rPr>
          <w:rFonts w:ascii="Times New Roman" w:eastAsia="Calibri" w:hAnsi="Times New Roman" w:hint="default"/>
          <w:color w:val="000000"/>
          <w:sz w:val="22"/>
          <w:szCs w:val="22"/>
          <w:lang w:eastAsia="en-US"/>
        </w:rPr>
        <w:t>tu</w:t>
      </w:r>
      <w:r w:rsidR="0010627D">
        <w:rPr>
          <w:rFonts w:ascii="Times New Roman" w:eastAsia="Calibri" w:hAnsi="Times New Roman" w:hint="default"/>
          <w:color w:val="000000"/>
          <w:sz w:val="22"/>
          <w:szCs w:val="22"/>
          <w:lang w:eastAsia="en-US"/>
        </w:rPr>
        <w:t>, pod sprá</w:t>
      </w:r>
      <w:r w:rsidR="0010627D">
        <w:rPr>
          <w:rFonts w:ascii="Times New Roman" w:eastAsia="Calibri" w:hAnsi="Times New Roman" w:hint="default"/>
          <w:color w:val="000000"/>
          <w:sz w:val="22"/>
          <w:szCs w:val="22"/>
          <w:lang w:eastAsia="en-US"/>
        </w:rPr>
        <w:t>vou Ministerstva hospodá</w:t>
      </w:r>
      <w:r w:rsidR="0010627D">
        <w:rPr>
          <w:rFonts w:ascii="Times New Roman" w:eastAsia="Calibri" w:hAnsi="Times New Roman" w:hint="default"/>
          <w:color w:val="000000"/>
          <w:sz w:val="22"/>
          <w:szCs w:val="22"/>
          <w:lang w:eastAsia="en-US"/>
        </w:rPr>
        <w:t>rstva SR</w:t>
      </w:r>
      <w:r w:rsidRPr="0052093A">
        <w:rPr>
          <w:rFonts w:ascii="Times New Roman" w:eastAsia="Calibri" w:hAnsi="Times New Roman"/>
          <w:color w:val="000000"/>
          <w:sz w:val="22"/>
          <w:szCs w:val="22"/>
          <w:lang w:eastAsia="en-US"/>
        </w:rPr>
        <w:t>. Ide o </w:t>
      </w:r>
      <w:r w:rsidRPr="0052093A">
        <w:rPr>
          <w:rFonts w:ascii="Times New Roman" w:eastAsia="Calibri" w:hAnsi="Times New Roman" w:hint="default"/>
          <w:color w:val="000000"/>
          <w:sz w:val="22"/>
          <w:szCs w:val="22"/>
          <w:lang w:eastAsia="en-US"/>
        </w:rPr>
        <w:t>Slovenský</w:t>
      </w:r>
      <w:r w:rsidRPr="0052093A">
        <w:rPr>
          <w:rFonts w:ascii="Times New Roman" w:eastAsia="Calibri" w:hAnsi="Times New Roman" w:hint="default"/>
          <w:color w:val="000000"/>
          <w:sz w:val="22"/>
          <w:szCs w:val="22"/>
          <w:lang w:eastAsia="en-US"/>
        </w:rPr>
        <w:t xml:space="preserve"> plyná</w:t>
      </w:r>
      <w:r w:rsidRPr="0052093A">
        <w:rPr>
          <w:rFonts w:ascii="Times New Roman" w:eastAsia="Calibri" w:hAnsi="Times New Roman" w:hint="default"/>
          <w:color w:val="000000"/>
          <w:sz w:val="22"/>
          <w:szCs w:val="22"/>
          <w:lang w:eastAsia="en-US"/>
        </w:rPr>
        <w:t>renský</w:t>
      </w:r>
      <w:r w:rsidRPr="0052093A">
        <w:rPr>
          <w:rFonts w:ascii="Times New Roman" w:eastAsia="Calibri" w:hAnsi="Times New Roman" w:hint="default"/>
          <w:color w:val="000000"/>
          <w:sz w:val="22"/>
          <w:szCs w:val="22"/>
          <w:lang w:eastAsia="en-US"/>
        </w:rPr>
        <w:t xml:space="preserve"> priemysel, a.s., Zá</w:t>
      </w:r>
      <w:r w:rsidRPr="0052093A">
        <w:rPr>
          <w:rFonts w:ascii="Times New Roman" w:eastAsia="Calibri" w:hAnsi="Times New Roman" w:hint="default"/>
          <w:color w:val="000000"/>
          <w:sz w:val="22"/>
          <w:szCs w:val="22"/>
          <w:lang w:eastAsia="en-US"/>
        </w:rPr>
        <w:t>padoslovenskú</w:t>
      </w:r>
      <w:r w:rsidRPr="0052093A">
        <w:rPr>
          <w:rFonts w:ascii="Times New Roman" w:eastAsia="Calibri" w:hAnsi="Times New Roman" w:hint="default"/>
          <w:color w:val="000000"/>
          <w:sz w:val="22"/>
          <w:szCs w:val="22"/>
          <w:lang w:eastAsia="en-US"/>
        </w:rPr>
        <w:t xml:space="preserve"> energetiku</w:t>
      </w:r>
      <w:r w:rsidRPr="0052093A">
        <w:rPr>
          <w:rFonts w:ascii="Times New Roman" w:eastAsia="Calibri" w:hAnsi="Times New Roman" w:hint="default"/>
          <w:color w:val="000000"/>
          <w:sz w:val="22"/>
          <w:szCs w:val="22"/>
          <w:lang w:eastAsia="en-US"/>
        </w:rPr>
        <w:t>, a.s., Stredoslovenskú</w:t>
      </w:r>
      <w:r w:rsidRPr="0052093A">
        <w:rPr>
          <w:rFonts w:ascii="Times New Roman" w:eastAsia="Calibri" w:hAnsi="Times New Roman" w:hint="default"/>
          <w:color w:val="000000"/>
          <w:sz w:val="22"/>
          <w:szCs w:val="22"/>
          <w:lang w:eastAsia="en-US"/>
        </w:rPr>
        <w:t xml:space="preserve"> energetiku, a.s., Vý</w:t>
      </w:r>
      <w:r w:rsidRPr="0052093A">
        <w:rPr>
          <w:rFonts w:ascii="Times New Roman" w:eastAsia="Calibri" w:hAnsi="Times New Roman" w:hint="default"/>
          <w:color w:val="000000"/>
          <w:sz w:val="22"/>
          <w:szCs w:val="22"/>
          <w:lang w:eastAsia="en-US"/>
        </w:rPr>
        <w:t>chodoslovenskú</w:t>
      </w:r>
      <w:r w:rsidRPr="0052093A">
        <w:rPr>
          <w:rFonts w:ascii="Times New Roman" w:eastAsia="Calibri" w:hAnsi="Times New Roman" w:hint="default"/>
          <w:color w:val="000000"/>
          <w:sz w:val="22"/>
          <w:szCs w:val="22"/>
          <w:lang w:eastAsia="en-US"/>
        </w:rPr>
        <w:t xml:space="preserve"> energetiku. a.s</w:t>
      </w:r>
      <w:r w:rsidR="0010627D">
        <w:rPr>
          <w:rFonts w:ascii="Times New Roman" w:eastAsia="Calibri" w:hAnsi="Times New Roman"/>
          <w:color w:val="000000"/>
          <w:sz w:val="22"/>
          <w:szCs w:val="22"/>
          <w:lang w:eastAsia="en-US"/>
        </w:rPr>
        <w:t>. a </w:t>
      </w:r>
      <w:r w:rsidR="0010627D">
        <w:rPr>
          <w:rFonts w:ascii="Times New Roman" w:eastAsia="Calibri" w:hAnsi="Times New Roman" w:hint="default"/>
          <w:color w:val="000000"/>
          <w:sz w:val="22"/>
          <w:szCs w:val="22"/>
          <w:lang w:eastAsia="en-US"/>
        </w:rPr>
        <w:t>Slovenské</w:t>
      </w:r>
      <w:r w:rsidR="0010627D">
        <w:rPr>
          <w:rFonts w:ascii="Times New Roman" w:eastAsia="Calibri" w:hAnsi="Times New Roman" w:hint="default"/>
          <w:color w:val="000000"/>
          <w:sz w:val="22"/>
          <w:szCs w:val="22"/>
          <w:lang w:eastAsia="en-US"/>
        </w:rPr>
        <w:t xml:space="preserve"> elektrá</w:t>
      </w:r>
      <w:r w:rsidR="0010627D">
        <w:rPr>
          <w:rFonts w:ascii="Times New Roman" w:eastAsia="Calibri" w:hAnsi="Times New Roman" w:hint="default"/>
          <w:color w:val="000000"/>
          <w:sz w:val="22"/>
          <w:szCs w:val="22"/>
          <w:lang w:eastAsia="en-US"/>
        </w:rPr>
        <w:t xml:space="preserve">rne, a.s. </w:t>
      </w:r>
      <w:r w:rsidRPr="0052093A">
        <w:rPr>
          <w:rFonts w:ascii="Times New Roman" w:eastAsia="Calibri" w:hAnsi="Times New Roman" w:hint="default"/>
          <w:color w:val="000000"/>
          <w:sz w:val="22"/>
          <w:szCs w:val="22"/>
          <w:lang w:eastAsia="en-US"/>
        </w:rPr>
        <w:t>Skutoč</w:t>
      </w:r>
      <w:r w:rsidRPr="0052093A">
        <w:rPr>
          <w:rFonts w:ascii="Times New Roman" w:eastAsia="Calibri" w:hAnsi="Times New Roman" w:hint="default"/>
          <w:color w:val="000000"/>
          <w:sz w:val="22"/>
          <w:szCs w:val="22"/>
          <w:lang w:eastAsia="en-US"/>
        </w:rPr>
        <w:t>ný</w:t>
      </w:r>
      <w:r w:rsidRPr="0052093A">
        <w:rPr>
          <w:rFonts w:ascii="Times New Roman" w:eastAsia="Calibri" w:hAnsi="Times New Roman" w:hint="default"/>
          <w:color w:val="000000"/>
          <w:sz w:val="22"/>
          <w:szCs w:val="22"/>
          <w:lang w:eastAsia="en-US"/>
        </w:rPr>
        <w:t xml:space="preserve"> objem prostriedkov, ktoré</w:t>
      </w:r>
      <w:r w:rsidRPr="0052093A">
        <w:rPr>
          <w:rFonts w:ascii="Times New Roman" w:eastAsia="Calibri" w:hAnsi="Times New Roman" w:hint="default"/>
          <w:color w:val="000000"/>
          <w:sz w:val="22"/>
          <w:szCs w:val="22"/>
          <w:lang w:eastAsia="en-US"/>
        </w:rPr>
        <w:t xml:space="preserve"> boli prevedené</w:t>
      </w:r>
      <w:r w:rsidRPr="0052093A">
        <w:rPr>
          <w:rFonts w:ascii="Times New Roman" w:eastAsia="Calibri" w:hAnsi="Times New Roman" w:hint="default"/>
          <w:color w:val="000000"/>
          <w:sz w:val="22"/>
          <w:szCs w:val="22"/>
          <w:lang w:eastAsia="en-US"/>
        </w:rPr>
        <w:t xml:space="preserve"> </w:t>
      </w:r>
      <w:r w:rsidR="0010627D">
        <w:rPr>
          <w:rFonts w:ascii="Times New Roman" w:eastAsia="Calibri" w:hAnsi="Times New Roman"/>
          <w:color w:val="000000"/>
          <w:sz w:val="22"/>
          <w:szCs w:val="22"/>
          <w:lang w:eastAsia="en-US"/>
        </w:rPr>
        <w:t>z</w:t>
      </w:r>
      <w:r w:rsidRPr="0052093A">
        <w:rPr>
          <w:rFonts w:ascii="Times New Roman" w:eastAsia="Calibri" w:hAnsi="Times New Roman" w:hint="default"/>
          <w:color w:val="000000"/>
          <w:sz w:val="22"/>
          <w:szCs w:val="22"/>
          <w:lang w:eastAsia="en-US"/>
        </w:rPr>
        <w:t xml:space="preserve"> úč</w:t>
      </w:r>
      <w:r w:rsidRPr="0052093A">
        <w:rPr>
          <w:rFonts w:ascii="Times New Roman" w:eastAsia="Calibri" w:hAnsi="Times New Roman" w:hint="default"/>
          <w:color w:val="000000"/>
          <w:sz w:val="22"/>
          <w:szCs w:val="22"/>
          <w:lang w:eastAsia="en-US"/>
        </w:rPr>
        <w:t>t</w:t>
      </w:r>
      <w:r w:rsidR="0010627D">
        <w:rPr>
          <w:rFonts w:ascii="Times New Roman" w:eastAsia="Calibri" w:hAnsi="Times New Roman"/>
          <w:color w:val="000000"/>
          <w:sz w:val="22"/>
          <w:szCs w:val="22"/>
          <w:lang w:eastAsia="en-US"/>
        </w:rPr>
        <w:t>u</w:t>
      </w:r>
      <w:r w:rsidRPr="0052093A">
        <w:rPr>
          <w:rFonts w:ascii="Times New Roman" w:eastAsia="Calibri" w:hAnsi="Times New Roman" w:hint="default"/>
          <w:color w:val="000000"/>
          <w:sz w:val="22"/>
          <w:szCs w:val="22"/>
          <w:lang w:eastAsia="en-US"/>
        </w:rPr>
        <w:t xml:space="preserve"> š</w:t>
      </w:r>
      <w:r w:rsidRPr="0052093A">
        <w:rPr>
          <w:rFonts w:ascii="Times New Roman" w:eastAsia="Calibri" w:hAnsi="Times New Roman" w:hint="default"/>
          <w:color w:val="000000"/>
          <w:sz w:val="22"/>
          <w:szCs w:val="22"/>
          <w:lang w:eastAsia="en-US"/>
        </w:rPr>
        <w:t>tá</w:t>
      </w:r>
      <w:r w:rsidRPr="0052093A">
        <w:rPr>
          <w:rFonts w:ascii="Times New Roman" w:eastAsia="Calibri" w:hAnsi="Times New Roman" w:hint="default"/>
          <w:color w:val="000000"/>
          <w:sz w:val="22"/>
          <w:szCs w:val="22"/>
          <w:lang w:eastAsia="en-US"/>
        </w:rPr>
        <w:t>tnych finanč</w:t>
      </w:r>
      <w:r w:rsidRPr="0052093A">
        <w:rPr>
          <w:rFonts w:ascii="Times New Roman" w:eastAsia="Calibri" w:hAnsi="Times New Roman" w:hint="default"/>
          <w:color w:val="000000"/>
          <w:sz w:val="22"/>
          <w:szCs w:val="22"/>
          <w:lang w:eastAsia="en-US"/>
        </w:rPr>
        <w:t>ný</w:t>
      </w:r>
      <w:r w:rsidRPr="0052093A">
        <w:rPr>
          <w:rFonts w:ascii="Times New Roman" w:eastAsia="Calibri" w:hAnsi="Times New Roman" w:hint="default"/>
          <w:color w:val="000000"/>
          <w:sz w:val="22"/>
          <w:szCs w:val="22"/>
          <w:lang w:eastAsia="en-US"/>
        </w:rPr>
        <w:t>ch aktí</w:t>
      </w:r>
      <w:r w:rsidRPr="0052093A">
        <w:rPr>
          <w:rFonts w:ascii="Times New Roman" w:eastAsia="Calibri" w:hAnsi="Times New Roman" w:hint="default"/>
          <w:color w:val="000000"/>
          <w:sz w:val="22"/>
          <w:szCs w:val="22"/>
          <w:lang w:eastAsia="en-US"/>
        </w:rPr>
        <w:t>v do </w:t>
      </w:r>
      <w:r w:rsidRPr="0052093A">
        <w:rPr>
          <w:rFonts w:ascii="Times New Roman" w:eastAsia="Calibri" w:hAnsi="Times New Roman" w:hint="default"/>
          <w:color w:val="000000"/>
          <w:sz w:val="22"/>
          <w:szCs w:val="22"/>
          <w:lang w:eastAsia="en-US"/>
        </w:rPr>
        <w:t>kapitoly Vš</w:t>
      </w:r>
      <w:r w:rsidRPr="0052093A">
        <w:rPr>
          <w:rFonts w:ascii="Times New Roman" w:eastAsia="Calibri" w:hAnsi="Times New Roman" w:hint="default"/>
          <w:color w:val="000000"/>
          <w:sz w:val="22"/>
          <w:szCs w:val="22"/>
          <w:lang w:eastAsia="en-US"/>
        </w:rPr>
        <w:t>eobecná</w:t>
      </w:r>
      <w:r w:rsidRPr="0052093A">
        <w:rPr>
          <w:rFonts w:ascii="Times New Roman" w:eastAsia="Calibri" w:hAnsi="Times New Roman" w:hint="default"/>
          <w:color w:val="000000"/>
          <w:sz w:val="22"/>
          <w:szCs w:val="22"/>
          <w:lang w:eastAsia="en-US"/>
        </w:rPr>
        <w:t xml:space="preserve"> pokladnič</w:t>
      </w:r>
      <w:r w:rsidRPr="0052093A">
        <w:rPr>
          <w:rFonts w:ascii="Times New Roman" w:eastAsia="Calibri" w:hAnsi="Times New Roman" w:hint="default"/>
          <w:color w:val="000000"/>
          <w:sz w:val="22"/>
          <w:szCs w:val="22"/>
          <w:lang w:eastAsia="en-US"/>
        </w:rPr>
        <w:t>ná</w:t>
      </w:r>
      <w:r w:rsidRPr="0052093A">
        <w:rPr>
          <w:rFonts w:ascii="Times New Roman" w:eastAsia="Calibri" w:hAnsi="Times New Roman" w:hint="default"/>
          <w:color w:val="000000"/>
          <w:sz w:val="22"/>
          <w:szCs w:val="22"/>
          <w:lang w:eastAsia="en-US"/>
        </w:rPr>
        <w:t xml:space="preserve"> sprá</w:t>
      </w:r>
      <w:r w:rsidRPr="0052093A">
        <w:rPr>
          <w:rFonts w:ascii="Times New Roman" w:eastAsia="Calibri" w:hAnsi="Times New Roman" w:hint="default"/>
          <w:color w:val="000000"/>
          <w:sz w:val="22"/>
          <w:szCs w:val="22"/>
          <w:lang w:eastAsia="en-US"/>
        </w:rPr>
        <w:t>va bol 8 872 tis. eur. Najpods</w:t>
      </w:r>
      <w:r w:rsidRPr="0052093A">
        <w:rPr>
          <w:rFonts w:ascii="Times New Roman" w:eastAsia="Calibri" w:hAnsi="Times New Roman" w:hint="default"/>
          <w:color w:val="000000"/>
          <w:sz w:val="22"/>
          <w:szCs w:val="22"/>
          <w:lang w:eastAsia="en-US"/>
        </w:rPr>
        <w:t>tatnejš</w:t>
      </w:r>
      <w:r w:rsidR="00195306">
        <w:rPr>
          <w:rFonts w:ascii="Times New Roman" w:eastAsia="Calibri" w:hAnsi="Times New Roman" w:hint="default"/>
          <w:color w:val="000000"/>
          <w:sz w:val="22"/>
          <w:szCs w:val="22"/>
          <w:lang w:eastAsia="en-US"/>
        </w:rPr>
        <w:t>í</w:t>
      </w:r>
      <w:r w:rsidR="00195306">
        <w:rPr>
          <w:rFonts w:ascii="Times New Roman" w:eastAsia="Calibri" w:hAnsi="Times New Roman" w:hint="default"/>
          <w:color w:val="000000"/>
          <w:sz w:val="22"/>
          <w:szCs w:val="22"/>
          <w:lang w:eastAsia="en-US"/>
        </w:rPr>
        <w:t xml:space="preserve"> rozdiel medzi rozpoč</w:t>
      </w:r>
      <w:r w:rsidR="00195306">
        <w:rPr>
          <w:rFonts w:ascii="Times New Roman" w:eastAsia="Calibri" w:hAnsi="Times New Roman" w:hint="default"/>
          <w:color w:val="000000"/>
          <w:sz w:val="22"/>
          <w:szCs w:val="22"/>
          <w:lang w:eastAsia="en-US"/>
        </w:rPr>
        <w:t xml:space="preserve">tovanou a </w:t>
      </w:r>
      <w:r w:rsidRPr="0052093A">
        <w:rPr>
          <w:rFonts w:ascii="Times New Roman" w:eastAsia="Calibri" w:hAnsi="Times New Roman" w:hint="default"/>
          <w:color w:val="000000"/>
          <w:sz w:val="22"/>
          <w:szCs w:val="22"/>
          <w:lang w:eastAsia="en-US"/>
        </w:rPr>
        <w:t>uhradenou výš</w:t>
      </w:r>
      <w:r w:rsidRPr="0052093A">
        <w:rPr>
          <w:rFonts w:ascii="Times New Roman" w:eastAsia="Calibri" w:hAnsi="Times New Roman" w:hint="default"/>
          <w:color w:val="000000"/>
          <w:sz w:val="22"/>
          <w:szCs w:val="22"/>
          <w:lang w:eastAsia="en-US"/>
        </w:rPr>
        <w:t>kou dividend tvorili dividendy od Slovak Telekom, a.s., nakoľ</w:t>
      </w:r>
      <w:r w:rsidRPr="0052093A">
        <w:rPr>
          <w:rFonts w:ascii="Times New Roman" w:eastAsia="Calibri" w:hAnsi="Times New Roman" w:hint="default"/>
          <w:color w:val="000000"/>
          <w:sz w:val="22"/>
          <w:szCs w:val="22"/>
          <w:lang w:eastAsia="en-US"/>
        </w:rPr>
        <w:t>ko na zá</w:t>
      </w:r>
      <w:r w:rsidRPr="0052093A">
        <w:rPr>
          <w:rFonts w:ascii="Times New Roman" w:eastAsia="Calibri" w:hAnsi="Times New Roman" w:hint="default"/>
          <w:color w:val="000000"/>
          <w:sz w:val="22"/>
          <w:szCs w:val="22"/>
          <w:lang w:eastAsia="en-US"/>
        </w:rPr>
        <w:t>klade rozhodnutia valné</w:t>
      </w:r>
      <w:r w:rsidRPr="0052093A">
        <w:rPr>
          <w:rFonts w:ascii="Times New Roman" w:eastAsia="Calibri" w:hAnsi="Times New Roman" w:hint="default"/>
          <w:color w:val="000000"/>
          <w:sz w:val="22"/>
          <w:szCs w:val="22"/>
          <w:lang w:eastAsia="en-US"/>
        </w:rPr>
        <w:t>ho zhromaž</w:t>
      </w:r>
      <w:r w:rsidRPr="0052093A">
        <w:rPr>
          <w:rFonts w:ascii="Times New Roman" w:eastAsia="Calibri" w:hAnsi="Times New Roman" w:hint="default"/>
          <w:color w:val="000000"/>
          <w:sz w:val="22"/>
          <w:szCs w:val="22"/>
          <w:lang w:eastAsia="en-US"/>
        </w:rPr>
        <w:t>denia tejto spoloč</w:t>
      </w:r>
      <w:r w:rsidRPr="0052093A">
        <w:rPr>
          <w:rFonts w:ascii="Times New Roman" w:eastAsia="Calibri" w:hAnsi="Times New Roman" w:hint="default"/>
          <w:color w:val="000000"/>
          <w:sz w:val="22"/>
          <w:szCs w:val="22"/>
          <w:lang w:eastAsia="en-US"/>
        </w:rPr>
        <w:t>nosti bola pô</w:t>
      </w:r>
      <w:r w:rsidRPr="0052093A">
        <w:rPr>
          <w:rFonts w:ascii="Times New Roman" w:eastAsia="Calibri" w:hAnsi="Times New Roman" w:hint="default"/>
          <w:color w:val="000000"/>
          <w:sz w:val="22"/>
          <w:szCs w:val="22"/>
          <w:lang w:eastAsia="en-US"/>
        </w:rPr>
        <w:t>vodne rozpoč</w:t>
      </w:r>
      <w:r w:rsidRPr="0052093A">
        <w:rPr>
          <w:rFonts w:ascii="Times New Roman" w:eastAsia="Calibri" w:hAnsi="Times New Roman" w:hint="default"/>
          <w:color w:val="000000"/>
          <w:sz w:val="22"/>
          <w:szCs w:val="22"/>
          <w:lang w:eastAsia="en-US"/>
        </w:rPr>
        <w:t>tovaná</w:t>
      </w:r>
      <w:r w:rsidRPr="0052093A">
        <w:rPr>
          <w:rFonts w:ascii="Times New Roman" w:eastAsia="Calibri" w:hAnsi="Times New Roman" w:hint="default"/>
          <w:color w:val="000000"/>
          <w:sz w:val="22"/>
          <w:szCs w:val="22"/>
          <w:lang w:eastAsia="en-US"/>
        </w:rPr>
        <w:t xml:space="preserve"> výš</w:t>
      </w:r>
      <w:r w:rsidRPr="0052093A">
        <w:rPr>
          <w:rFonts w:ascii="Times New Roman" w:eastAsia="Calibri" w:hAnsi="Times New Roman" w:hint="default"/>
          <w:color w:val="000000"/>
          <w:sz w:val="22"/>
          <w:szCs w:val="22"/>
          <w:lang w:eastAsia="en-US"/>
        </w:rPr>
        <w:t>ka dividend v sume 15 157 tis. </w:t>
      </w:r>
      <w:r w:rsidRPr="0052093A">
        <w:rPr>
          <w:rFonts w:ascii="Times New Roman" w:eastAsia="Calibri" w:hAnsi="Times New Roman" w:hint="default"/>
          <w:color w:val="000000"/>
          <w:sz w:val="22"/>
          <w:szCs w:val="22"/>
          <w:lang w:eastAsia="en-US"/>
        </w:rPr>
        <w:t>eur zníž</w:t>
      </w:r>
      <w:r w:rsidRPr="0052093A">
        <w:rPr>
          <w:rFonts w:ascii="Times New Roman" w:eastAsia="Calibri" w:hAnsi="Times New Roman" w:hint="default"/>
          <w:color w:val="000000"/>
          <w:sz w:val="22"/>
          <w:szCs w:val="22"/>
          <w:lang w:eastAsia="en-US"/>
        </w:rPr>
        <w:t>ená</w:t>
      </w:r>
      <w:r w:rsidRPr="0052093A">
        <w:rPr>
          <w:rFonts w:ascii="Times New Roman" w:eastAsia="Calibri" w:hAnsi="Times New Roman" w:hint="default"/>
          <w:color w:val="000000"/>
          <w:sz w:val="22"/>
          <w:szCs w:val="22"/>
          <w:lang w:eastAsia="en-US"/>
        </w:rPr>
        <w:t xml:space="preserve"> na č</w:t>
      </w:r>
      <w:r w:rsidRPr="0052093A">
        <w:rPr>
          <w:rFonts w:ascii="Times New Roman" w:eastAsia="Calibri" w:hAnsi="Times New Roman" w:hint="default"/>
          <w:color w:val="000000"/>
          <w:sz w:val="22"/>
          <w:szCs w:val="22"/>
          <w:lang w:eastAsia="en-US"/>
        </w:rPr>
        <w:t>ia</w:t>
      </w:r>
      <w:r w:rsidRPr="0052093A">
        <w:rPr>
          <w:rFonts w:ascii="Times New Roman" w:eastAsia="Calibri" w:hAnsi="Times New Roman" w:hint="default"/>
          <w:color w:val="000000"/>
          <w:sz w:val="22"/>
          <w:szCs w:val="22"/>
          <w:lang w:eastAsia="en-US"/>
        </w:rPr>
        <w:t>stku 4 882 tis. </w:t>
      </w:r>
      <w:r w:rsidRPr="0052093A">
        <w:rPr>
          <w:rFonts w:ascii="Times New Roman" w:eastAsia="Calibri" w:hAnsi="Times New Roman" w:hint="default"/>
          <w:color w:val="000000"/>
          <w:sz w:val="22"/>
          <w:szCs w:val="22"/>
          <w:lang w:eastAsia="en-US"/>
        </w:rPr>
        <w:t>eur. Snahou fondu bolo pokryť</w:t>
      </w:r>
      <w:r w:rsidRPr="0052093A">
        <w:rPr>
          <w:rFonts w:ascii="Times New Roman" w:eastAsia="Calibri" w:hAnsi="Times New Roman" w:hint="default"/>
          <w:color w:val="000000"/>
          <w:sz w:val="22"/>
          <w:szCs w:val="22"/>
          <w:lang w:eastAsia="en-US"/>
        </w:rPr>
        <w:t xml:space="preserve"> tento pokles prí</w:t>
      </w:r>
      <w:r w:rsidRPr="0052093A">
        <w:rPr>
          <w:rFonts w:ascii="Times New Roman" w:eastAsia="Calibri" w:hAnsi="Times New Roman" w:hint="default"/>
          <w:color w:val="000000"/>
          <w:sz w:val="22"/>
          <w:szCs w:val="22"/>
          <w:lang w:eastAsia="en-US"/>
        </w:rPr>
        <w:t>jmami z </w:t>
      </w:r>
      <w:r w:rsidRPr="0052093A">
        <w:rPr>
          <w:rFonts w:ascii="Times New Roman" w:eastAsia="Calibri" w:hAnsi="Times New Roman" w:hint="default"/>
          <w:color w:val="000000"/>
          <w:sz w:val="22"/>
          <w:szCs w:val="22"/>
          <w:lang w:eastAsia="en-US"/>
        </w:rPr>
        <w:t>dividend od spoloč</w:t>
      </w:r>
      <w:r w:rsidRPr="0052093A">
        <w:rPr>
          <w:rFonts w:ascii="Times New Roman" w:eastAsia="Calibri" w:hAnsi="Times New Roman" w:hint="default"/>
          <w:color w:val="000000"/>
          <w:sz w:val="22"/>
          <w:szCs w:val="22"/>
          <w:lang w:eastAsia="en-US"/>
        </w:rPr>
        <w:t>ností</w:t>
      </w:r>
      <w:r w:rsidRPr="0052093A">
        <w:rPr>
          <w:rFonts w:ascii="Times New Roman" w:eastAsia="Calibri" w:hAnsi="Times New Roman" w:hint="default"/>
          <w:color w:val="000000"/>
          <w:sz w:val="22"/>
          <w:szCs w:val="22"/>
          <w:lang w:eastAsia="en-US"/>
        </w:rPr>
        <w:t>, od ktorý</w:t>
      </w:r>
      <w:r w:rsidRPr="0052093A">
        <w:rPr>
          <w:rFonts w:ascii="Times New Roman" w:eastAsia="Calibri" w:hAnsi="Times New Roman" w:hint="default"/>
          <w:color w:val="000000"/>
          <w:sz w:val="22"/>
          <w:szCs w:val="22"/>
          <w:lang w:eastAsia="en-US"/>
        </w:rPr>
        <w:t>ch dividendy pô</w:t>
      </w:r>
      <w:r w:rsidRPr="0052093A">
        <w:rPr>
          <w:rFonts w:ascii="Times New Roman" w:eastAsia="Calibri" w:hAnsi="Times New Roman" w:hint="default"/>
          <w:color w:val="000000"/>
          <w:sz w:val="22"/>
          <w:szCs w:val="22"/>
          <w:lang w:eastAsia="en-US"/>
        </w:rPr>
        <w:t>vodne plá</w:t>
      </w:r>
      <w:r w:rsidRPr="0052093A">
        <w:rPr>
          <w:rFonts w:ascii="Times New Roman" w:eastAsia="Calibri" w:hAnsi="Times New Roman" w:hint="default"/>
          <w:color w:val="000000"/>
          <w:sz w:val="22"/>
          <w:szCs w:val="22"/>
          <w:lang w:eastAsia="en-US"/>
        </w:rPr>
        <w:t>nované</w:t>
      </w:r>
      <w:r w:rsidRPr="0052093A">
        <w:rPr>
          <w:rFonts w:ascii="Times New Roman" w:eastAsia="Calibri" w:hAnsi="Times New Roman" w:hint="default"/>
          <w:color w:val="000000"/>
          <w:sz w:val="22"/>
          <w:szCs w:val="22"/>
          <w:lang w:eastAsia="en-US"/>
        </w:rPr>
        <w:t xml:space="preserve"> neboli. Podstatnú</w:t>
      </w:r>
      <w:r w:rsidRPr="0052093A">
        <w:rPr>
          <w:rFonts w:ascii="Times New Roman" w:eastAsia="Calibri" w:hAnsi="Times New Roman" w:hint="default"/>
          <w:color w:val="000000"/>
          <w:sz w:val="22"/>
          <w:szCs w:val="22"/>
          <w:lang w:eastAsia="en-US"/>
        </w:rPr>
        <w:t xml:space="preserve"> č</w:t>
      </w:r>
      <w:r w:rsidRPr="0052093A">
        <w:rPr>
          <w:rFonts w:ascii="Times New Roman" w:eastAsia="Calibri" w:hAnsi="Times New Roman" w:hint="default"/>
          <w:color w:val="000000"/>
          <w:sz w:val="22"/>
          <w:szCs w:val="22"/>
          <w:lang w:eastAsia="en-US"/>
        </w:rPr>
        <w:t>asť</w:t>
      </w:r>
      <w:r w:rsidRPr="0052093A">
        <w:rPr>
          <w:rFonts w:ascii="Times New Roman" w:eastAsia="Calibri" w:hAnsi="Times New Roman" w:hint="default"/>
          <w:color w:val="000000"/>
          <w:sz w:val="22"/>
          <w:szCs w:val="22"/>
          <w:lang w:eastAsia="en-US"/>
        </w:rPr>
        <w:t xml:space="preserve"> tý</w:t>
      </w:r>
      <w:r w:rsidRPr="0052093A">
        <w:rPr>
          <w:rFonts w:ascii="Times New Roman" w:eastAsia="Calibri" w:hAnsi="Times New Roman" w:hint="default"/>
          <w:color w:val="000000"/>
          <w:sz w:val="22"/>
          <w:szCs w:val="22"/>
          <w:lang w:eastAsia="en-US"/>
        </w:rPr>
        <w:t>chto prí</w:t>
      </w:r>
      <w:r w:rsidRPr="0052093A">
        <w:rPr>
          <w:rFonts w:ascii="Times New Roman" w:eastAsia="Calibri" w:hAnsi="Times New Roman" w:hint="default"/>
          <w:color w:val="000000"/>
          <w:sz w:val="22"/>
          <w:szCs w:val="22"/>
          <w:lang w:eastAsia="en-US"/>
        </w:rPr>
        <w:t>jmov tvorili najmä</w:t>
      </w:r>
      <w:r w:rsidRPr="0052093A">
        <w:rPr>
          <w:rFonts w:ascii="Times New Roman" w:eastAsia="Calibri" w:hAnsi="Times New Roman" w:hint="default"/>
          <w:color w:val="000000"/>
          <w:sz w:val="22"/>
          <w:szCs w:val="22"/>
          <w:lang w:eastAsia="en-US"/>
        </w:rPr>
        <w:t xml:space="preserve"> dividendy od spoloč</w:t>
      </w:r>
      <w:r w:rsidRPr="0052093A">
        <w:rPr>
          <w:rFonts w:ascii="Times New Roman" w:eastAsia="Calibri" w:hAnsi="Times New Roman" w:hint="default"/>
          <w:color w:val="000000"/>
          <w:sz w:val="22"/>
          <w:szCs w:val="22"/>
          <w:lang w:eastAsia="en-US"/>
        </w:rPr>
        <w:t>nosti SAD Tre</w:t>
      </w:r>
      <w:r w:rsidR="00223EFD">
        <w:rPr>
          <w:rFonts w:ascii="Times New Roman" w:eastAsia="Calibri" w:hAnsi="Times New Roman" w:hint="default"/>
          <w:color w:val="000000"/>
          <w:sz w:val="22"/>
          <w:szCs w:val="22"/>
          <w:lang w:eastAsia="en-US"/>
        </w:rPr>
        <w:t>nčí</w:t>
      </w:r>
      <w:r w:rsidR="00223EFD">
        <w:rPr>
          <w:rFonts w:ascii="Times New Roman" w:eastAsia="Calibri" w:hAnsi="Times New Roman" w:hint="default"/>
          <w:color w:val="000000"/>
          <w:sz w:val="22"/>
          <w:szCs w:val="22"/>
          <w:lang w:eastAsia="en-US"/>
        </w:rPr>
        <w:t>n, a. s. v objeme 1 762 tis. </w:t>
      </w:r>
      <w:r w:rsidRPr="0052093A">
        <w:rPr>
          <w:rFonts w:ascii="Times New Roman" w:eastAsia="Calibri" w:hAnsi="Times New Roman"/>
          <w:color w:val="000000"/>
          <w:sz w:val="22"/>
          <w:szCs w:val="22"/>
          <w:lang w:eastAsia="en-US"/>
        </w:rPr>
        <w:t>eur a </w:t>
      </w:r>
      <w:r w:rsidRPr="0052093A">
        <w:rPr>
          <w:rFonts w:ascii="Times New Roman" w:eastAsia="Calibri" w:hAnsi="Times New Roman" w:hint="default"/>
          <w:color w:val="000000"/>
          <w:sz w:val="22"/>
          <w:szCs w:val="22"/>
          <w:lang w:eastAsia="en-US"/>
        </w:rPr>
        <w:t>od SAD Ž</w:t>
      </w:r>
      <w:r w:rsidRPr="0052093A">
        <w:rPr>
          <w:rFonts w:ascii="Times New Roman" w:eastAsia="Calibri" w:hAnsi="Times New Roman" w:hint="default"/>
          <w:color w:val="000000"/>
          <w:sz w:val="22"/>
          <w:szCs w:val="22"/>
          <w:lang w:eastAsia="en-US"/>
        </w:rPr>
        <w:t>ilina, a.s. v </w:t>
      </w:r>
      <w:r w:rsidRPr="0052093A">
        <w:rPr>
          <w:rFonts w:ascii="Times New Roman" w:eastAsia="Calibri" w:hAnsi="Times New Roman" w:hint="default"/>
          <w:color w:val="000000"/>
          <w:sz w:val="22"/>
          <w:szCs w:val="22"/>
          <w:lang w:eastAsia="en-US"/>
        </w:rPr>
        <w:t>č</w:t>
      </w:r>
      <w:r w:rsidRPr="0052093A">
        <w:rPr>
          <w:rFonts w:ascii="Times New Roman" w:eastAsia="Calibri" w:hAnsi="Times New Roman" w:hint="default"/>
          <w:color w:val="000000"/>
          <w:sz w:val="22"/>
          <w:szCs w:val="22"/>
          <w:lang w:eastAsia="en-US"/>
        </w:rPr>
        <w:t>iastke 1 700 tis. eur.</w:t>
      </w:r>
    </w:p>
    <w:p w:rsidR="0052093A" w:rsidRPr="0052093A" w:rsidP="0052093A">
      <w:pPr>
        <w:tabs>
          <w:tab w:val="left" w:pos="284"/>
        </w:tabs>
        <w:suppressAutoHyphens/>
        <w:bidi w:val="0"/>
        <w:spacing w:after="120" w:line="336" w:lineRule="auto"/>
        <w:jc w:val="both"/>
        <w:rPr>
          <w:rFonts w:ascii="Times New Roman" w:eastAsia="Calibri" w:hAnsi="Times New Roman"/>
          <w:color w:val="000000"/>
          <w:sz w:val="22"/>
          <w:szCs w:val="22"/>
          <w:lang w:eastAsia="en-US"/>
        </w:rPr>
      </w:pPr>
      <w:r w:rsidRPr="0052093A">
        <w:rPr>
          <w:rFonts w:ascii="Times New Roman" w:eastAsia="Calibri" w:hAnsi="Times New Roman" w:hint="default"/>
          <w:color w:val="000000"/>
          <w:sz w:val="22"/>
          <w:szCs w:val="22"/>
          <w:lang w:eastAsia="en-US"/>
        </w:rPr>
        <w:t>Ď</w:t>
      </w:r>
      <w:r w:rsidRPr="0052093A">
        <w:rPr>
          <w:rFonts w:ascii="Times New Roman" w:eastAsia="Calibri" w:hAnsi="Times New Roman" w:hint="default"/>
          <w:color w:val="000000"/>
          <w:sz w:val="22"/>
          <w:szCs w:val="22"/>
          <w:lang w:eastAsia="en-US"/>
        </w:rPr>
        <w:t>alš</w:t>
      </w:r>
      <w:r w:rsidRPr="0052093A">
        <w:rPr>
          <w:rFonts w:ascii="Times New Roman" w:eastAsia="Calibri" w:hAnsi="Times New Roman" w:hint="default"/>
          <w:color w:val="000000"/>
          <w:sz w:val="22"/>
          <w:szCs w:val="22"/>
          <w:lang w:eastAsia="en-US"/>
        </w:rPr>
        <w:t>ie prí</w:t>
      </w:r>
      <w:r w:rsidRPr="0052093A">
        <w:rPr>
          <w:rFonts w:ascii="Times New Roman" w:eastAsia="Calibri" w:hAnsi="Times New Roman" w:hint="default"/>
          <w:color w:val="000000"/>
          <w:sz w:val="22"/>
          <w:szCs w:val="22"/>
          <w:lang w:eastAsia="en-US"/>
        </w:rPr>
        <w:t>jmy v rá</w:t>
      </w:r>
      <w:r w:rsidRPr="0052093A">
        <w:rPr>
          <w:rFonts w:ascii="Times New Roman" w:eastAsia="Calibri" w:hAnsi="Times New Roman" w:hint="default"/>
          <w:color w:val="000000"/>
          <w:sz w:val="22"/>
          <w:szCs w:val="22"/>
          <w:lang w:eastAsia="en-US"/>
        </w:rPr>
        <w:t>mci tejto kategó</w:t>
      </w:r>
      <w:r w:rsidRPr="0052093A">
        <w:rPr>
          <w:rFonts w:ascii="Times New Roman" w:eastAsia="Calibri" w:hAnsi="Times New Roman" w:hint="default"/>
          <w:color w:val="000000"/>
          <w:sz w:val="22"/>
          <w:szCs w:val="22"/>
          <w:lang w:eastAsia="en-US"/>
        </w:rPr>
        <w:t>rie tvorili najmä</w:t>
      </w:r>
      <w:r w:rsidRPr="0052093A">
        <w:rPr>
          <w:rFonts w:ascii="Times New Roman" w:eastAsia="Calibri" w:hAnsi="Times New Roman" w:hint="default"/>
          <w:color w:val="000000"/>
          <w:sz w:val="22"/>
          <w:szCs w:val="22"/>
          <w:lang w:eastAsia="en-US"/>
        </w:rPr>
        <w:t xml:space="preserve"> prí</w:t>
      </w:r>
      <w:r w:rsidRPr="0052093A">
        <w:rPr>
          <w:rFonts w:ascii="Times New Roman" w:eastAsia="Calibri" w:hAnsi="Times New Roman" w:hint="default"/>
          <w:color w:val="000000"/>
          <w:sz w:val="22"/>
          <w:szCs w:val="22"/>
          <w:lang w:eastAsia="en-US"/>
        </w:rPr>
        <w:t>jmy z prí</w:t>
      </w:r>
      <w:r w:rsidRPr="0052093A">
        <w:rPr>
          <w:rFonts w:ascii="Times New Roman" w:eastAsia="Calibri" w:hAnsi="Times New Roman" w:hint="default"/>
          <w:color w:val="000000"/>
          <w:sz w:val="22"/>
          <w:szCs w:val="22"/>
          <w:lang w:eastAsia="en-US"/>
        </w:rPr>
        <w:t>spevkov zdravotný</w:t>
      </w:r>
      <w:r w:rsidRPr="0052093A">
        <w:rPr>
          <w:rFonts w:ascii="Times New Roman" w:eastAsia="Calibri" w:hAnsi="Times New Roman" w:hint="default"/>
          <w:color w:val="000000"/>
          <w:sz w:val="22"/>
          <w:szCs w:val="22"/>
          <w:lang w:eastAsia="en-US"/>
        </w:rPr>
        <w:t>ch poisť</w:t>
      </w:r>
      <w:r w:rsidRPr="0052093A">
        <w:rPr>
          <w:rFonts w:ascii="Times New Roman" w:eastAsia="Calibri" w:hAnsi="Times New Roman" w:hint="default"/>
          <w:color w:val="000000"/>
          <w:sz w:val="22"/>
          <w:szCs w:val="22"/>
          <w:lang w:eastAsia="en-US"/>
        </w:rPr>
        <w:t>ovní</w:t>
      </w:r>
      <w:r w:rsidRPr="0052093A">
        <w:rPr>
          <w:rFonts w:ascii="Times New Roman" w:eastAsia="Calibri" w:hAnsi="Times New Roman" w:hint="default"/>
          <w:color w:val="000000"/>
          <w:sz w:val="22"/>
          <w:szCs w:val="22"/>
          <w:lang w:eastAsia="en-US"/>
        </w:rPr>
        <w:t xml:space="preserve"> na </w:t>
      </w:r>
      <w:r w:rsidRPr="0052093A">
        <w:rPr>
          <w:rFonts w:ascii="Times New Roman" w:eastAsia="Calibri" w:hAnsi="Times New Roman" w:hint="default"/>
          <w:color w:val="000000"/>
          <w:sz w:val="22"/>
          <w:szCs w:val="22"/>
          <w:lang w:eastAsia="en-US"/>
        </w:rPr>
        <w:t>č</w:t>
      </w:r>
      <w:r w:rsidRPr="0052093A">
        <w:rPr>
          <w:rFonts w:ascii="Times New Roman" w:eastAsia="Calibri" w:hAnsi="Times New Roman" w:hint="default"/>
          <w:color w:val="000000"/>
          <w:sz w:val="22"/>
          <w:szCs w:val="22"/>
          <w:lang w:eastAsia="en-US"/>
        </w:rPr>
        <w:t>innosť</w:t>
      </w:r>
      <w:r w:rsidRPr="0052093A">
        <w:rPr>
          <w:rFonts w:ascii="Times New Roman" w:eastAsia="Calibri" w:hAnsi="Times New Roman" w:hint="default"/>
          <w:color w:val="000000"/>
          <w:sz w:val="22"/>
          <w:szCs w:val="22"/>
          <w:lang w:eastAsia="en-US"/>
        </w:rPr>
        <w:t xml:space="preserve"> operač</w:t>
      </w:r>
      <w:r w:rsidRPr="0052093A">
        <w:rPr>
          <w:rFonts w:ascii="Times New Roman" w:eastAsia="Calibri" w:hAnsi="Times New Roman" w:hint="default"/>
          <w:color w:val="000000"/>
          <w:sz w:val="22"/>
          <w:szCs w:val="22"/>
          <w:lang w:eastAsia="en-US"/>
        </w:rPr>
        <w:t>ný</w:t>
      </w:r>
      <w:r w:rsidRPr="0052093A">
        <w:rPr>
          <w:rFonts w:ascii="Times New Roman" w:eastAsia="Calibri" w:hAnsi="Times New Roman" w:hint="default"/>
          <w:color w:val="000000"/>
          <w:sz w:val="22"/>
          <w:szCs w:val="22"/>
          <w:lang w:eastAsia="en-US"/>
        </w:rPr>
        <w:t>ch stredí</w:t>
      </w:r>
      <w:r w:rsidRPr="0052093A">
        <w:rPr>
          <w:rFonts w:ascii="Times New Roman" w:eastAsia="Calibri" w:hAnsi="Times New Roman" w:hint="default"/>
          <w:color w:val="000000"/>
          <w:sz w:val="22"/>
          <w:szCs w:val="22"/>
          <w:lang w:eastAsia="en-US"/>
        </w:rPr>
        <w:t>sk zá</w:t>
      </w:r>
      <w:r w:rsidRPr="0052093A">
        <w:rPr>
          <w:rFonts w:ascii="Times New Roman" w:eastAsia="Calibri" w:hAnsi="Times New Roman" w:hint="default"/>
          <w:color w:val="000000"/>
          <w:sz w:val="22"/>
          <w:szCs w:val="22"/>
          <w:lang w:eastAsia="en-US"/>
        </w:rPr>
        <w:t>chrannej zdravotnej služ</w:t>
      </w:r>
      <w:r w:rsidRPr="0052093A">
        <w:rPr>
          <w:rFonts w:ascii="Times New Roman" w:eastAsia="Calibri" w:hAnsi="Times New Roman" w:hint="default"/>
          <w:color w:val="000000"/>
          <w:sz w:val="22"/>
          <w:szCs w:val="22"/>
          <w:lang w:eastAsia="en-US"/>
        </w:rPr>
        <w:t>by a </w:t>
      </w:r>
      <w:r w:rsidRPr="0052093A">
        <w:rPr>
          <w:rFonts w:ascii="Times New Roman" w:eastAsia="Calibri" w:hAnsi="Times New Roman" w:hint="default"/>
          <w:color w:val="000000"/>
          <w:sz w:val="22"/>
          <w:szCs w:val="22"/>
          <w:lang w:eastAsia="en-US"/>
        </w:rPr>
        <w:t>na č</w:t>
      </w:r>
      <w:r w:rsidRPr="0052093A">
        <w:rPr>
          <w:rFonts w:ascii="Times New Roman" w:eastAsia="Calibri" w:hAnsi="Times New Roman" w:hint="default"/>
          <w:color w:val="000000"/>
          <w:sz w:val="22"/>
          <w:szCs w:val="22"/>
          <w:lang w:eastAsia="en-US"/>
        </w:rPr>
        <w:t>innosť</w:t>
      </w:r>
      <w:r w:rsidRPr="0052093A">
        <w:rPr>
          <w:rFonts w:ascii="Times New Roman" w:eastAsia="Calibri" w:hAnsi="Times New Roman" w:hint="default"/>
          <w:color w:val="000000"/>
          <w:sz w:val="22"/>
          <w:szCs w:val="22"/>
          <w:lang w:eastAsia="en-US"/>
        </w:rPr>
        <w:t xml:space="preserve"> Ná</w:t>
      </w:r>
      <w:r w:rsidRPr="0052093A">
        <w:rPr>
          <w:rFonts w:ascii="Times New Roman" w:eastAsia="Calibri" w:hAnsi="Times New Roman" w:hint="default"/>
          <w:color w:val="000000"/>
          <w:sz w:val="22"/>
          <w:szCs w:val="22"/>
          <w:lang w:eastAsia="en-US"/>
        </w:rPr>
        <w:t>rodné</w:t>
      </w:r>
      <w:r w:rsidRPr="0052093A">
        <w:rPr>
          <w:rFonts w:ascii="Times New Roman" w:eastAsia="Calibri" w:hAnsi="Times New Roman" w:hint="default"/>
          <w:color w:val="000000"/>
          <w:sz w:val="22"/>
          <w:szCs w:val="22"/>
          <w:lang w:eastAsia="en-US"/>
        </w:rPr>
        <w:t>ho centra zdravotní</w:t>
      </w:r>
      <w:r w:rsidRPr="0052093A">
        <w:rPr>
          <w:rFonts w:ascii="Times New Roman" w:eastAsia="Calibri" w:hAnsi="Times New Roman" w:hint="default"/>
          <w:color w:val="000000"/>
          <w:sz w:val="22"/>
          <w:szCs w:val="22"/>
          <w:lang w:eastAsia="en-US"/>
        </w:rPr>
        <w:t>ckych informá</w:t>
      </w:r>
      <w:r w:rsidRPr="0052093A">
        <w:rPr>
          <w:rFonts w:ascii="Times New Roman" w:eastAsia="Calibri" w:hAnsi="Times New Roman" w:hint="default"/>
          <w:color w:val="000000"/>
          <w:sz w:val="22"/>
          <w:szCs w:val="22"/>
          <w:lang w:eastAsia="en-US"/>
        </w:rPr>
        <w:t>cií</w:t>
      </w:r>
      <w:r w:rsidRPr="0052093A">
        <w:rPr>
          <w:rFonts w:ascii="Times New Roman" w:eastAsia="Calibri" w:hAnsi="Times New Roman" w:hint="default"/>
          <w:color w:val="000000"/>
          <w:sz w:val="22"/>
          <w:szCs w:val="22"/>
          <w:lang w:eastAsia="en-US"/>
        </w:rPr>
        <w:t xml:space="preserve"> </w:t>
      </w:r>
      <w:r w:rsidRPr="0052093A">
        <w:rPr>
          <w:rFonts w:ascii="Times New Roman" w:eastAsia="Calibri" w:hAnsi="Times New Roman" w:hint="default"/>
          <w:color w:val="000000"/>
          <w:sz w:val="22"/>
          <w:szCs w:val="22"/>
          <w:lang w:eastAsia="en-US"/>
        </w:rPr>
        <w:t>vo výš</w:t>
      </w:r>
      <w:r w:rsidRPr="0052093A">
        <w:rPr>
          <w:rFonts w:ascii="Times New Roman" w:eastAsia="Calibri" w:hAnsi="Times New Roman" w:hint="default"/>
          <w:color w:val="000000"/>
          <w:sz w:val="22"/>
          <w:szCs w:val="22"/>
          <w:lang w:eastAsia="en-US"/>
        </w:rPr>
        <w:t>ke 28 990 tis. eur v kapitole Ministers</w:t>
      </w:r>
      <w:r w:rsidR="0010627D">
        <w:rPr>
          <w:rFonts w:ascii="Times New Roman" w:eastAsia="Calibri" w:hAnsi="Times New Roman" w:hint="default"/>
          <w:color w:val="000000"/>
          <w:sz w:val="22"/>
          <w:szCs w:val="22"/>
          <w:lang w:eastAsia="en-US"/>
        </w:rPr>
        <w:t>tva zdravotní</w:t>
      </w:r>
      <w:r w:rsidR="0010627D">
        <w:rPr>
          <w:rFonts w:ascii="Times New Roman" w:eastAsia="Calibri" w:hAnsi="Times New Roman" w:hint="default"/>
          <w:color w:val="000000"/>
          <w:sz w:val="22"/>
          <w:szCs w:val="22"/>
          <w:lang w:eastAsia="en-US"/>
        </w:rPr>
        <w:t>ctva SR (2014: 23 161 tis. eur).</w:t>
      </w:r>
      <w:r w:rsidRPr="0052093A">
        <w:rPr>
          <w:rFonts w:ascii="Times New Roman" w:eastAsia="Calibri" w:hAnsi="Times New Roman"/>
          <w:color w:val="000000"/>
          <w:sz w:val="22"/>
          <w:szCs w:val="22"/>
          <w:lang w:eastAsia="en-US"/>
        </w:rPr>
        <w:t xml:space="preserve"> </w:t>
      </w:r>
    </w:p>
    <w:p w:rsidR="0052093A" w:rsidRPr="0052093A" w:rsidP="0052093A">
      <w:pPr>
        <w:numPr>
          <w:numId w:val="9"/>
        </w:numPr>
        <w:tabs>
          <w:tab w:val="left" w:pos="284"/>
        </w:tabs>
        <w:suppressAutoHyphens/>
        <w:bidi w:val="0"/>
        <w:spacing w:after="120" w:line="336" w:lineRule="auto"/>
        <w:ind w:left="0" w:firstLine="0"/>
        <w:jc w:val="both"/>
        <w:rPr>
          <w:rFonts w:ascii="Times New Roman" w:eastAsia="Calibri" w:hAnsi="Times New Roman" w:hint="default"/>
          <w:color w:val="000000"/>
          <w:sz w:val="22"/>
          <w:szCs w:val="22"/>
          <w:lang w:eastAsia="en-US"/>
        </w:rPr>
      </w:pPr>
      <w:r w:rsidRPr="0052093A">
        <w:rPr>
          <w:rFonts w:ascii="Times New Roman" w:eastAsia="Calibri" w:hAnsi="Times New Roman" w:hint="default"/>
          <w:b/>
          <w:color w:val="000000"/>
          <w:sz w:val="22"/>
          <w:szCs w:val="22"/>
          <w:lang w:eastAsia="en-US"/>
        </w:rPr>
        <w:t>Zahranič</w:t>
      </w:r>
      <w:r w:rsidRPr="0052093A">
        <w:rPr>
          <w:rFonts w:ascii="Times New Roman" w:eastAsia="Calibri" w:hAnsi="Times New Roman" w:hint="default"/>
          <w:b/>
          <w:color w:val="000000"/>
          <w:sz w:val="22"/>
          <w:szCs w:val="22"/>
          <w:lang w:eastAsia="en-US"/>
        </w:rPr>
        <w:t>né</w:t>
      </w:r>
      <w:r w:rsidRPr="0052093A">
        <w:rPr>
          <w:rFonts w:ascii="Times New Roman" w:eastAsia="Calibri" w:hAnsi="Times New Roman" w:hint="default"/>
          <w:b/>
          <w:color w:val="000000"/>
          <w:sz w:val="22"/>
          <w:szCs w:val="22"/>
          <w:lang w:eastAsia="en-US"/>
        </w:rPr>
        <w:t xml:space="preserve"> transfery</w:t>
      </w:r>
      <w:r w:rsidRPr="0052093A">
        <w:rPr>
          <w:rFonts w:ascii="Times New Roman" w:eastAsia="Calibri" w:hAnsi="Times New Roman" w:hint="default"/>
          <w:color w:val="000000"/>
          <w:sz w:val="22"/>
          <w:szCs w:val="22"/>
          <w:lang w:eastAsia="en-US"/>
        </w:rPr>
        <w:t xml:space="preserve"> boli rozpoč</w:t>
      </w:r>
      <w:r w:rsidRPr="0052093A">
        <w:rPr>
          <w:rFonts w:ascii="Times New Roman" w:eastAsia="Calibri" w:hAnsi="Times New Roman" w:hint="default"/>
          <w:color w:val="000000"/>
          <w:sz w:val="22"/>
          <w:szCs w:val="22"/>
          <w:lang w:eastAsia="en-US"/>
        </w:rPr>
        <w:t>tované</w:t>
      </w:r>
      <w:r w:rsidRPr="0052093A">
        <w:rPr>
          <w:rFonts w:ascii="Times New Roman" w:eastAsia="Calibri" w:hAnsi="Times New Roman" w:hint="default"/>
          <w:color w:val="000000"/>
          <w:sz w:val="22"/>
          <w:szCs w:val="22"/>
          <w:lang w:eastAsia="en-US"/>
        </w:rPr>
        <w:t xml:space="preserve"> na rok 2015 vo výš</w:t>
      </w:r>
      <w:r w:rsidRPr="0052093A">
        <w:rPr>
          <w:rFonts w:ascii="Times New Roman" w:eastAsia="Calibri" w:hAnsi="Times New Roman" w:hint="default"/>
          <w:color w:val="000000"/>
          <w:sz w:val="22"/>
          <w:szCs w:val="22"/>
          <w:lang w:eastAsia="en-US"/>
        </w:rPr>
        <w:t>ke 3 272 393 tis. eur a tvorili ich prostriedky z </w:t>
      </w:r>
      <w:r w:rsidRPr="0052093A">
        <w:rPr>
          <w:rFonts w:ascii="Times New Roman" w:eastAsia="Calibri" w:hAnsi="Times New Roman" w:hint="default"/>
          <w:color w:val="000000"/>
          <w:sz w:val="22"/>
          <w:szCs w:val="22"/>
          <w:lang w:eastAsia="en-US"/>
        </w:rPr>
        <w:t>rozpoč</w:t>
      </w:r>
      <w:r w:rsidRPr="0052093A">
        <w:rPr>
          <w:rFonts w:ascii="Times New Roman" w:eastAsia="Calibri" w:hAnsi="Times New Roman" w:hint="default"/>
          <w:color w:val="000000"/>
          <w:sz w:val="22"/>
          <w:szCs w:val="22"/>
          <w:lang w:eastAsia="en-US"/>
        </w:rPr>
        <w:t>tu Euró</w:t>
      </w:r>
      <w:r w:rsidRPr="0052093A">
        <w:rPr>
          <w:rFonts w:ascii="Times New Roman" w:eastAsia="Calibri" w:hAnsi="Times New Roman" w:hint="default"/>
          <w:color w:val="000000"/>
          <w:sz w:val="22"/>
          <w:szCs w:val="22"/>
          <w:lang w:eastAsia="en-US"/>
        </w:rPr>
        <w:t>pskej ú</w:t>
      </w:r>
      <w:r w:rsidRPr="0052093A">
        <w:rPr>
          <w:rFonts w:ascii="Times New Roman" w:eastAsia="Calibri" w:hAnsi="Times New Roman" w:hint="default"/>
          <w:color w:val="000000"/>
          <w:sz w:val="22"/>
          <w:szCs w:val="22"/>
          <w:lang w:eastAsia="en-US"/>
        </w:rPr>
        <w:t>nie za programy 2. a </w:t>
      </w:r>
      <w:r w:rsidRPr="0052093A">
        <w:rPr>
          <w:rFonts w:ascii="Times New Roman" w:eastAsia="Calibri" w:hAnsi="Times New Roman" w:hint="default"/>
          <w:color w:val="000000"/>
          <w:sz w:val="22"/>
          <w:szCs w:val="22"/>
          <w:lang w:eastAsia="en-US"/>
        </w:rPr>
        <w:t>3. programové</w:t>
      </w:r>
      <w:r w:rsidRPr="0052093A">
        <w:rPr>
          <w:rFonts w:ascii="Times New Roman" w:eastAsia="Calibri" w:hAnsi="Times New Roman" w:hint="default"/>
          <w:color w:val="000000"/>
          <w:sz w:val="22"/>
          <w:szCs w:val="22"/>
          <w:lang w:eastAsia="en-US"/>
        </w:rPr>
        <w:t xml:space="preserve">ho </w:t>
      </w:r>
      <w:r w:rsidRPr="0052093A">
        <w:rPr>
          <w:rFonts w:ascii="Times New Roman" w:eastAsia="Calibri" w:hAnsi="Times New Roman" w:hint="default"/>
          <w:color w:val="000000"/>
          <w:sz w:val="22"/>
          <w:szCs w:val="22"/>
          <w:lang w:eastAsia="en-US"/>
        </w:rPr>
        <w:t>obdobia, a </w:t>
      </w:r>
      <w:r w:rsidRPr="0052093A">
        <w:rPr>
          <w:rFonts w:ascii="Times New Roman" w:eastAsia="Calibri" w:hAnsi="Times New Roman" w:hint="default"/>
          <w:color w:val="000000"/>
          <w:sz w:val="22"/>
          <w:szCs w:val="22"/>
          <w:lang w:eastAsia="en-US"/>
        </w:rPr>
        <w:t>to za prostriedky š</w:t>
      </w:r>
      <w:r w:rsidRPr="0052093A">
        <w:rPr>
          <w:rFonts w:ascii="Times New Roman" w:eastAsia="Calibri" w:hAnsi="Times New Roman" w:hint="default"/>
          <w:color w:val="000000"/>
          <w:sz w:val="22"/>
          <w:szCs w:val="22"/>
          <w:lang w:eastAsia="en-US"/>
        </w:rPr>
        <w:t>trukturá</w:t>
      </w:r>
      <w:r w:rsidRPr="0052093A">
        <w:rPr>
          <w:rFonts w:ascii="Times New Roman" w:eastAsia="Calibri" w:hAnsi="Times New Roman" w:hint="default"/>
          <w:color w:val="000000"/>
          <w:sz w:val="22"/>
          <w:szCs w:val="22"/>
          <w:lang w:eastAsia="en-US"/>
        </w:rPr>
        <w:t>lnych fondov, Kohé</w:t>
      </w:r>
      <w:r w:rsidRPr="0052093A">
        <w:rPr>
          <w:rFonts w:ascii="Times New Roman" w:eastAsia="Calibri" w:hAnsi="Times New Roman" w:hint="default"/>
          <w:color w:val="000000"/>
          <w:sz w:val="22"/>
          <w:szCs w:val="22"/>
          <w:lang w:eastAsia="en-US"/>
        </w:rPr>
        <w:t>zneho fondu a </w:t>
      </w:r>
      <w:r w:rsidRPr="0052093A">
        <w:rPr>
          <w:rFonts w:ascii="Times New Roman" w:eastAsia="Calibri" w:hAnsi="Times New Roman" w:hint="default"/>
          <w:color w:val="000000"/>
          <w:sz w:val="22"/>
          <w:szCs w:val="22"/>
          <w:lang w:eastAsia="en-US"/>
        </w:rPr>
        <w:t>poľ</w:t>
      </w:r>
      <w:r w:rsidRPr="0052093A">
        <w:rPr>
          <w:rFonts w:ascii="Times New Roman" w:eastAsia="Calibri" w:hAnsi="Times New Roman" w:hint="default"/>
          <w:color w:val="000000"/>
          <w:sz w:val="22"/>
          <w:szCs w:val="22"/>
          <w:lang w:eastAsia="en-US"/>
        </w:rPr>
        <w:t>nohospodá</w:t>
      </w:r>
      <w:r w:rsidRPr="0052093A">
        <w:rPr>
          <w:rFonts w:ascii="Times New Roman" w:eastAsia="Calibri" w:hAnsi="Times New Roman" w:hint="default"/>
          <w:color w:val="000000"/>
          <w:sz w:val="22"/>
          <w:szCs w:val="22"/>
          <w:lang w:eastAsia="en-US"/>
        </w:rPr>
        <w:t>rskych fondov. Skutoč</w:t>
      </w:r>
      <w:r w:rsidRPr="0052093A">
        <w:rPr>
          <w:rFonts w:ascii="Times New Roman" w:eastAsia="Calibri" w:hAnsi="Times New Roman" w:hint="default"/>
          <w:color w:val="000000"/>
          <w:sz w:val="22"/>
          <w:szCs w:val="22"/>
          <w:lang w:eastAsia="en-US"/>
        </w:rPr>
        <w:t>né</w:t>
      </w:r>
      <w:r w:rsidRPr="0052093A">
        <w:rPr>
          <w:rFonts w:ascii="Times New Roman" w:eastAsia="Calibri" w:hAnsi="Times New Roman" w:hint="default"/>
          <w:color w:val="000000"/>
          <w:sz w:val="22"/>
          <w:szCs w:val="22"/>
          <w:lang w:eastAsia="en-US"/>
        </w:rPr>
        <w:t xml:space="preserve"> plnenie tý</w:t>
      </w:r>
      <w:r w:rsidRPr="0052093A">
        <w:rPr>
          <w:rFonts w:ascii="Times New Roman" w:eastAsia="Calibri" w:hAnsi="Times New Roman" w:hint="default"/>
          <w:color w:val="000000"/>
          <w:sz w:val="22"/>
          <w:szCs w:val="22"/>
          <w:lang w:eastAsia="en-US"/>
        </w:rPr>
        <w:t>chto prí</w:t>
      </w:r>
      <w:r w:rsidRPr="0052093A">
        <w:rPr>
          <w:rFonts w:ascii="Times New Roman" w:eastAsia="Calibri" w:hAnsi="Times New Roman" w:hint="default"/>
          <w:color w:val="000000"/>
          <w:sz w:val="22"/>
          <w:szCs w:val="22"/>
          <w:lang w:eastAsia="en-US"/>
        </w:rPr>
        <w:t>jmov bolo vo výš</w:t>
      </w:r>
      <w:r w:rsidRPr="0052093A">
        <w:rPr>
          <w:rFonts w:ascii="Times New Roman" w:eastAsia="Calibri" w:hAnsi="Times New Roman" w:hint="default"/>
          <w:color w:val="000000"/>
          <w:sz w:val="22"/>
          <w:szCs w:val="22"/>
          <w:lang w:eastAsia="en-US"/>
        </w:rPr>
        <w:t>ke 4 280 041 tis. eur.</w:t>
      </w:r>
      <w:r w:rsidRPr="001F0171">
        <w:rPr>
          <w:rFonts w:ascii="Times New Roman" w:eastAsia="Calibri" w:hAnsi="Times New Roman"/>
          <w:color w:val="FF0000"/>
          <w:sz w:val="22"/>
          <w:szCs w:val="22"/>
          <w:lang w:eastAsia="en-US"/>
        </w:rPr>
        <w:t xml:space="preserve"> </w:t>
      </w:r>
      <w:r w:rsidRPr="0052093A">
        <w:rPr>
          <w:rFonts w:ascii="Times New Roman" w:eastAsia="Calibri" w:hAnsi="Times New Roman" w:hint="default"/>
          <w:color w:val="000000"/>
          <w:sz w:val="22"/>
          <w:szCs w:val="22"/>
          <w:lang w:eastAsia="en-US"/>
        </w:rPr>
        <w:t>Tieto prostriedky prijali Ministerstvo dopravy, vý</w:t>
      </w:r>
      <w:r w:rsidRPr="0052093A">
        <w:rPr>
          <w:rFonts w:ascii="Times New Roman" w:eastAsia="Calibri" w:hAnsi="Times New Roman" w:hint="default"/>
          <w:color w:val="000000"/>
          <w:sz w:val="22"/>
          <w:szCs w:val="22"/>
          <w:lang w:eastAsia="en-US"/>
        </w:rPr>
        <w:t>stavby a </w:t>
      </w:r>
      <w:r w:rsidRPr="0052093A">
        <w:rPr>
          <w:rFonts w:ascii="Times New Roman" w:eastAsia="Calibri" w:hAnsi="Times New Roman" w:hint="default"/>
          <w:color w:val="000000"/>
          <w:sz w:val="22"/>
          <w:szCs w:val="22"/>
          <w:lang w:eastAsia="en-US"/>
        </w:rPr>
        <w:t>regioná</w:t>
      </w:r>
      <w:r w:rsidRPr="0052093A">
        <w:rPr>
          <w:rFonts w:ascii="Times New Roman" w:eastAsia="Calibri" w:hAnsi="Times New Roman" w:hint="default"/>
          <w:color w:val="000000"/>
          <w:sz w:val="22"/>
          <w:szCs w:val="22"/>
          <w:lang w:eastAsia="en-US"/>
        </w:rPr>
        <w:t>lneho rozvoja SR (1 397 317 </w:t>
      </w:r>
      <w:r w:rsidRPr="0052093A">
        <w:rPr>
          <w:rFonts w:ascii="Times New Roman" w:eastAsia="Calibri" w:hAnsi="Times New Roman" w:hint="default"/>
          <w:color w:val="000000"/>
          <w:sz w:val="22"/>
          <w:szCs w:val="22"/>
          <w:lang w:eastAsia="en-US"/>
        </w:rPr>
        <w:t>tis. eur), Ministerstvo š</w:t>
      </w:r>
      <w:r w:rsidRPr="0052093A">
        <w:rPr>
          <w:rFonts w:ascii="Times New Roman" w:eastAsia="Calibri" w:hAnsi="Times New Roman" w:hint="default"/>
          <w:color w:val="000000"/>
          <w:sz w:val="22"/>
          <w:szCs w:val="22"/>
          <w:lang w:eastAsia="en-US"/>
        </w:rPr>
        <w:t>kolstva, vedy, vý</w:t>
      </w:r>
      <w:r w:rsidRPr="0052093A">
        <w:rPr>
          <w:rFonts w:ascii="Times New Roman" w:eastAsia="Calibri" w:hAnsi="Times New Roman" w:hint="default"/>
          <w:color w:val="000000"/>
          <w:sz w:val="22"/>
          <w:szCs w:val="22"/>
          <w:lang w:eastAsia="en-US"/>
        </w:rPr>
        <w:t>skumu a </w:t>
      </w:r>
      <w:r w:rsidRPr="0052093A">
        <w:rPr>
          <w:rFonts w:ascii="Times New Roman" w:eastAsia="Calibri" w:hAnsi="Times New Roman" w:hint="default"/>
          <w:color w:val="000000"/>
          <w:sz w:val="22"/>
          <w:szCs w:val="22"/>
          <w:lang w:eastAsia="en-US"/>
        </w:rPr>
        <w:t>š</w:t>
      </w:r>
      <w:r w:rsidRPr="0052093A">
        <w:rPr>
          <w:rFonts w:ascii="Times New Roman" w:eastAsia="Calibri" w:hAnsi="Times New Roman" w:hint="default"/>
          <w:color w:val="000000"/>
          <w:sz w:val="22"/>
          <w:szCs w:val="22"/>
          <w:lang w:eastAsia="en-US"/>
        </w:rPr>
        <w:t>portu SR (711 747 </w:t>
      </w:r>
      <w:r w:rsidRPr="0052093A">
        <w:rPr>
          <w:rFonts w:ascii="Times New Roman" w:eastAsia="Calibri" w:hAnsi="Times New Roman" w:hint="default"/>
          <w:color w:val="000000"/>
          <w:sz w:val="22"/>
          <w:szCs w:val="22"/>
          <w:lang w:eastAsia="en-US"/>
        </w:rPr>
        <w:t>tis. eur), Ministerstvo pô</w:t>
      </w:r>
      <w:r w:rsidRPr="0052093A">
        <w:rPr>
          <w:rFonts w:ascii="Times New Roman" w:eastAsia="Calibri" w:hAnsi="Times New Roman" w:hint="default"/>
          <w:color w:val="000000"/>
          <w:sz w:val="22"/>
          <w:szCs w:val="22"/>
          <w:lang w:eastAsia="en-US"/>
        </w:rPr>
        <w:t>dohospodá</w:t>
      </w:r>
      <w:r w:rsidRPr="0052093A">
        <w:rPr>
          <w:rFonts w:ascii="Times New Roman" w:eastAsia="Calibri" w:hAnsi="Times New Roman" w:hint="default"/>
          <w:color w:val="000000"/>
          <w:sz w:val="22"/>
          <w:szCs w:val="22"/>
          <w:lang w:eastAsia="en-US"/>
        </w:rPr>
        <w:t>rstva a rozvoja vidieka SR (705 676 </w:t>
      </w:r>
      <w:r w:rsidRPr="0052093A">
        <w:rPr>
          <w:rFonts w:ascii="Times New Roman" w:eastAsia="Calibri" w:hAnsi="Times New Roman" w:hint="default"/>
          <w:color w:val="000000"/>
          <w:sz w:val="22"/>
          <w:szCs w:val="22"/>
          <w:lang w:eastAsia="en-US"/>
        </w:rPr>
        <w:t>tis. eur), Ministerstvo ž</w:t>
      </w:r>
      <w:r w:rsidRPr="0052093A">
        <w:rPr>
          <w:rFonts w:ascii="Times New Roman" w:eastAsia="Calibri" w:hAnsi="Times New Roman" w:hint="default"/>
          <w:color w:val="000000"/>
          <w:sz w:val="22"/>
          <w:szCs w:val="22"/>
          <w:lang w:eastAsia="en-US"/>
        </w:rPr>
        <w:t>ivotné</w:t>
      </w:r>
      <w:r w:rsidRPr="0052093A">
        <w:rPr>
          <w:rFonts w:ascii="Times New Roman" w:eastAsia="Calibri" w:hAnsi="Times New Roman" w:hint="default"/>
          <w:color w:val="000000"/>
          <w:sz w:val="22"/>
          <w:szCs w:val="22"/>
          <w:lang w:eastAsia="en-US"/>
        </w:rPr>
        <w:t>ho prostredia SR (533 381 tis. </w:t>
      </w:r>
      <w:r w:rsidRPr="0052093A">
        <w:rPr>
          <w:rFonts w:ascii="Times New Roman" w:eastAsia="Calibri" w:hAnsi="Times New Roman" w:hint="default"/>
          <w:color w:val="000000"/>
          <w:sz w:val="22"/>
          <w:szCs w:val="22"/>
          <w:lang w:eastAsia="en-US"/>
        </w:rPr>
        <w:t>eur), Ministerstvo financií</w:t>
      </w:r>
      <w:r w:rsidRPr="0052093A">
        <w:rPr>
          <w:rFonts w:ascii="Times New Roman" w:eastAsia="Calibri" w:hAnsi="Times New Roman" w:hint="default"/>
          <w:color w:val="000000"/>
          <w:sz w:val="22"/>
          <w:szCs w:val="22"/>
          <w:lang w:eastAsia="en-US"/>
        </w:rPr>
        <w:t xml:space="preserve"> SR (373 518 tis. eur),</w:t>
      </w:r>
      <w:r w:rsidRPr="001F0171">
        <w:rPr>
          <w:rFonts w:ascii="Times New Roman" w:eastAsia="Calibri" w:hAnsi="Times New Roman"/>
          <w:color w:val="FF0000"/>
          <w:sz w:val="22"/>
          <w:szCs w:val="22"/>
          <w:lang w:eastAsia="en-US"/>
        </w:rPr>
        <w:t xml:space="preserve"> </w:t>
      </w:r>
      <w:r w:rsidRPr="0052093A">
        <w:rPr>
          <w:rFonts w:ascii="Times New Roman" w:eastAsia="Calibri" w:hAnsi="Times New Roman"/>
          <w:color w:val="000000"/>
          <w:sz w:val="22"/>
          <w:szCs w:val="22"/>
          <w:lang w:eastAsia="en-US"/>
        </w:rPr>
        <w:t>Mi</w:t>
      </w:r>
      <w:r w:rsidRPr="0052093A">
        <w:rPr>
          <w:rFonts w:ascii="Times New Roman" w:eastAsia="Calibri" w:hAnsi="Times New Roman" w:hint="default"/>
          <w:color w:val="000000"/>
          <w:sz w:val="22"/>
          <w:szCs w:val="22"/>
          <w:lang w:eastAsia="en-US"/>
        </w:rPr>
        <w:t>nisterstvo hospodá</w:t>
      </w:r>
      <w:r w:rsidRPr="0052093A">
        <w:rPr>
          <w:rFonts w:ascii="Times New Roman" w:eastAsia="Calibri" w:hAnsi="Times New Roman" w:hint="default"/>
          <w:color w:val="000000"/>
          <w:sz w:val="22"/>
          <w:szCs w:val="22"/>
          <w:lang w:eastAsia="en-US"/>
        </w:rPr>
        <w:t>rstva SR (268 551 tis. </w:t>
      </w:r>
      <w:r w:rsidRPr="0052093A">
        <w:rPr>
          <w:rFonts w:ascii="Times New Roman" w:eastAsia="Calibri" w:hAnsi="Times New Roman" w:hint="default"/>
          <w:color w:val="000000"/>
          <w:sz w:val="22"/>
          <w:szCs w:val="22"/>
          <w:lang w:eastAsia="en-US"/>
        </w:rPr>
        <w:t>eur), Ministerstvo prá</w:t>
      </w:r>
      <w:r w:rsidRPr="0052093A">
        <w:rPr>
          <w:rFonts w:ascii="Times New Roman" w:eastAsia="Calibri" w:hAnsi="Times New Roman" w:hint="default"/>
          <w:color w:val="000000"/>
          <w:sz w:val="22"/>
          <w:szCs w:val="22"/>
          <w:lang w:eastAsia="en-US"/>
        </w:rPr>
        <w:t>ce sociá</w:t>
      </w:r>
      <w:r w:rsidRPr="0052093A">
        <w:rPr>
          <w:rFonts w:ascii="Times New Roman" w:eastAsia="Calibri" w:hAnsi="Times New Roman" w:hint="default"/>
          <w:color w:val="000000"/>
          <w:sz w:val="22"/>
          <w:szCs w:val="22"/>
          <w:lang w:eastAsia="en-US"/>
        </w:rPr>
        <w:t>lnych vecí</w:t>
      </w:r>
      <w:r w:rsidRPr="0052093A">
        <w:rPr>
          <w:rFonts w:ascii="Times New Roman" w:eastAsia="Calibri" w:hAnsi="Times New Roman" w:hint="default"/>
          <w:color w:val="000000"/>
          <w:sz w:val="22"/>
          <w:szCs w:val="22"/>
          <w:lang w:eastAsia="en-US"/>
        </w:rPr>
        <w:t xml:space="preserve"> a rodiny SR (246 772 tis. </w:t>
      </w:r>
      <w:r w:rsidRPr="0052093A">
        <w:rPr>
          <w:rFonts w:ascii="Times New Roman" w:eastAsia="Calibri" w:hAnsi="Times New Roman" w:hint="default"/>
          <w:color w:val="000000"/>
          <w:sz w:val="22"/>
          <w:szCs w:val="22"/>
          <w:lang w:eastAsia="en-US"/>
        </w:rPr>
        <w:t>eur), Ministerstvo zdravotní</w:t>
      </w:r>
      <w:r w:rsidRPr="0052093A">
        <w:rPr>
          <w:rFonts w:ascii="Times New Roman" w:eastAsia="Calibri" w:hAnsi="Times New Roman" w:hint="default"/>
          <w:color w:val="000000"/>
          <w:sz w:val="22"/>
          <w:szCs w:val="22"/>
          <w:lang w:eastAsia="en-US"/>
        </w:rPr>
        <w:t>ctva SR (25 792 </w:t>
      </w:r>
      <w:r w:rsidRPr="0052093A">
        <w:rPr>
          <w:rFonts w:ascii="Times New Roman" w:eastAsia="Calibri" w:hAnsi="Times New Roman" w:hint="default"/>
          <w:color w:val="000000"/>
          <w:sz w:val="22"/>
          <w:szCs w:val="22"/>
          <w:lang w:eastAsia="en-US"/>
        </w:rPr>
        <w:t>tis. eur) a Ú</w:t>
      </w:r>
      <w:r w:rsidRPr="0052093A">
        <w:rPr>
          <w:rFonts w:ascii="Times New Roman" w:eastAsia="Calibri" w:hAnsi="Times New Roman" w:hint="default"/>
          <w:color w:val="000000"/>
          <w:sz w:val="22"/>
          <w:szCs w:val="22"/>
          <w:lang w:eastAsia="en-US"/>
        </w:rPr>
        <w:t>rad vlá</w:t>
      </w:r>
      <w:r w:rsidRPr="0052093A">
        <w:rPr>
          <w:rFonts w:ascii="Times New Roman" w:eastAsia="Calibri" w:hAnsi="Times New Roman" w:hint="default"/>
          <w:color w:val="000000"/>
          <w:sz w:val="22"/>
          <w:szCs w:val="22"/>
          <w:lang w:eastAsia="en-US"/>
        </w:rPr>
        <w:t xml:space="preserve">dy SR (17 287 tis. eur). </w:t>
      </w:r>
    </w:p>
    <w:p w:rsidR="00C35A1D" w:rsidP="0052093A">
      <w:pPr>
        <w:tabs>
          <w:tab w:val="left" w:pos="284"/>
        </w:tabs>
        <w:suppressAutoHyphens/>
        <w:bidi w:val="0"/>
        <w:spacing w:after="120" w:line="336" w:lineRule="auto"/>
        <w:jc w:val="both"/>
        <w:rPr>
          <w:rFonts w:ascii="Times New Roman" w:eastAsia="Calibri" w:hAnsi="Times New Roman"/>
          <w:color w:val="000000"/>
          <w:sz w:val="22"/>
          <w:szCs w:val="22"/>
          <w:lang w:eastAsia="en-US"/>
        </w:rPr>
      </w:pPr>
      <w:r w:rsidRPr="00C35A1D">
        <w:rPr>
          <w:rFonts w:ascii="Times New Roman" w:hAnsi="Times New Roman"/>
          <w:color w:val="000000"/>
          <w:sz w:val="22"/>
          <w:szCs w:val="22"/>
        </w:rPr>
        <w:t>Bližšie informácie o príjmoch z rozpočtu EÚ sú uvedené v samostatnej kapitole 3.4. vzťahy štátneho rozpočtu k Európskej únii</w:t>
      </w:r>
      <w:r>
        <w:rPr>
          <w:rFonts w:ascii="Times New Roman" w:hAnsi="Times New Roman"/>
          <w:color w:val="000000"/>
          <w:sz w:val="22"/>
          <w:szCs w:val="22"/>
        </w:rPr>
        <w:t>.</w:t>
      </w:r>
      <w:r w:rsidRPr="0052093A">
        <w:rPr>
          <w:rFonts w:ascii="Times New Roman" w:eastAsia="Calibri" w:hAnsi="Times New Roman"/>
          <w:color w:val="000000"/>
          <w:sz w:val="22"/>
          <w:szCs w:val="22"/>
          <w:lang w:eastAsia="en-US"/>
        </w:rPr>
        <w:t xml:space="preserve"> </w:t>
      </w:r>
    </w:p>
    <w:p w:rsidR="0052093A" w:rsidRPr="0052093A" w:rsidP="0052093A">
      <w:pPr>
        <w:tabs>
          <w:tab w:val="left" w:pos="284"/>
        </w:tabs>
        <w:suppressAutoHyphens/>
        <w:bidi w:val="0"/>
        <w:spacing w:after="120" w:line="336" w:lineRule="auto"/>
        <w:jc w:val="both"/>
        <w:rPr>
          <w:rFonts w:ascii="Times New Roman" w:eastAsia="Calibri" w:hAnsi="Times New Roman" w:hint="default"/>
          <w:color w:val="000000"/>
          <w:sz w:val="22"/>
          <w:szCs w:val="22"/>
          <w:lang w:eastAsia="en-US"/>
        </w:rPr>
      </w:pPr>
      <w:r w:rsidRPr="0052093A">
        <w:rPr>
          <w:rFonts w:ascii="Times New Roman" w:eastAsia="Calibri" w:hAnsi="Times New Roman" w:hint="default"/>
          <w:color w:val="000000"/>
          <w:sz w:val="22"/>
          <w:szCs w:val="22"/>
          <w:lang w:eastAsia="en-US"/>
        </w:rPr>
        <w:t>Prí</w:t>
      </w:r>
      <w:r w:rsidRPr="0052093A">
        <w:rPr>
          <w:rFonts w:ascii="Times New Roman" w:eastAsia="Calibri" w:hAnsi="Times New Roman" w:hint="default"/>
          <w:color w:val="000000"/>
          <w:sz w:val="22"/>
          <w:szCs w:val="22"/>
          <w:lang w:eastAsia="en-US"/>
        </w:rPr>
        <w:t xml:space="preserve">jmy zo </w:t>
      </w:r>
      <w:r w:rsidRPr="0052093A">
        <w:rPr>
          <w:rFonts w:ascii="Times New Roman" w:eastAsia="Calibri" w:hAnsi="Times New Roman" w:hint="default"/>
          <w:b/>
          <w:color w:val="000000"/>
          <w:sz w:val="22"/>
          <w:szCs w:val="22"/>
          <w:lang w:eastAsia="en-US"/>
        </w:rPr>
        <w:t>zahranič</w:t>
      </w:r>
      <w:r w:rsidRPr="0052093A">
        <w:rPr>
          <w:rFonts w:ascii="Times New Roman" w:eastAsia="Calibri" w:hAnsi="Times New Roman" w:hint="default"/>
          <w:b/>
          <w:color w:val="000000"/>
          <w:sz w:val="22"/>
          <w:szCs w:val="22"/>
          <w:lang w:eastAsia="en-US"/>
        </w:rPr>
        <w:t>ný</w:t>
      </w:r>
      <w:r w:rsidRPr="0052093A">
        <w:rPr>
          <w:rFonts w:ascii="Times New Roman" w:eastAsia="Calibri" w:hAnsi="Times New Roman" w:hint="default"/>
          <w:b/>
          <w:color w:val="000000"/>
          <w:sz w:val="22"/>
          <w:szCs w:val="22"/>
          <w:lang w:eastAsia="en-US"/>
        </w:rPr>
        <w:t xml:space="preserve">ch grantov </w:t>
      </w:r>
      <w:r w:rsidRPr="0052093A">
        <w:rPr>
          <w:rFonts w:ascii="Times New Roman" w:eastAsia="Calibri" w:hAnsi="Times New Roman"/>
          <w:color w:val="000000"/>
          <w:sz w:val="22"/>
          <w:szCs w:val="22"/>
          <w:lang w:eastAsia="en-US"/>
        </w:rPr>
        <w:t>dosiahli za rok 2015 sumu 13 294 </w:t>
      </w:r>
      <w:r w:rsidRPr="0052093A">
        <w:rPr>
          <w:rFonts w:ascii="Times New Roman" w:eastAsia="Calibri" w:hAnsi="Times New Roman" w:hint="default"/>
          <w:color w:val="000000"/>
          <w:sz w:val="22"/>
          <w:szCs w:val="22"/>
          <w:lang w:eastAsia="en-US"/>
        </w:rPr>
        <w:t>tis. eur. Iš</w:t>
      </w:r>
      <w:r w:rsidRPr="0052093A">
        <w:rPr>
          <w:rFonts w:ascii="Times New Roman" w:eastAsia="Calibri" w:hAnsi="Times New Roman" w:hint="default"/>
          <w:color w:val="000000"/>
          <w:sz w:val="22"/>
          <w:szCs w:val="22"/>
          <w:lang w:eastAsia="en-US"/>
        </w:rPr>
        <w:t>lo o </w:t>
      </w:r>
      <w:r w:rsidRPr="0052093A">
        <w:rPr>
          <w:rFonts w:ascii="Times New Roman" w:eastAsia="Calibri" w:hAnsi="Times New Roman" w:hint="default"/>
          <w:color w:val="000000"/>
          <w:sz w:val="22"/>
          <w:szCs w:val="22"/>
          <w:lang w:eastAsia="en-US"/>
        </w:rPr>
        <w:t>prí</w:t>
      </w:r>
      <w:r w:rsidRPr="0052093A">
        <w:rPr>
          <w:rFonts w:ascii="Times New Roman" w:eastAsia="Calibri" w:hAnsi="Times New Roman" w:hint="default"/>
          <w:color w:val="000000"/>
          <w:sz w:val="22"/>
          <w:szCs w:val="22"/>
          <w:lang w:eastAsia="en-US"/>
        </w:rPr>
        <w:t>jmy poskytnuté</w:t>
      </w:r>
      <w:r w:rsidRPr="0052093A">
        <w:rPr>
          <w:rFonts w:ascii="Times New Roman" w:eastAsia="Calibri" w:hAnsi="Times New Roman" w:hint="default"/>
          <w:color w:val="000000"/>
          <w:sz w:val="22"/>
          <w:szCs w:val="22"/>
          <w:lang w:eastAsia="en-US"/>
        </w:rPr>
        <w:t xml:space="preserve"> z </w:t>
      </w:r>
      <w:r w:rsidRPr="0052093A">
        <w:rPr>
          <w:rFonts w:ascii="Times New Roman" w:eastAsia="Calibri" w:hAnsi="Times New Roman" w:hint="default"/>
          <w:color w:val="000000"/>
          <w:sz w:val="22"/>
          <w:szCs w:val="22"/>
          <w:lang w:eastAsia="en-US"/>
        </w:rPr>
        <w:t>rozpoč</w:t>
      </w:r>
      <w:r w:rsidRPr="0052093A">
        <w:rPr>
          <w:rFonts w:ascii="Times New Roman" w:eastAsia="Calibri" w:hAnsi="Times New Roman" w:hint="default"/>
          <w:color w:val="000000"/>
          <w:sz w:val="22"/>
          <w:szCs w:val="22"/>
          <w:lang w:eastAsia="en-US"/>
        </w:rPr>
        <w:t>tu Euró</w:t>
      </w:r>
      <w:r w:rsidRPr="0052093A">
        <w:rPr>
          <w:rFonts w:ascii="Times New Roman" w:eastAsia="Calibri" w:hAnsi="Times New Roman" w:hint="default"/>
          <w:color w:val="000000"/>
          <w:sz w:val="22"/>
          <w:szCs w:val="22"/>
          <w:lang w:eastAsia="en-US"/>
        </w:rPr>
        <w:t>pske ú</w:t>
      </w:r>
      <w:r w:rsidRPr="0052093A">
        <w:rPr>
          <w:rFonts w:ascii="Times New Roman" w:eastAsia="Calibri" w:hAnsi="Times New Roman" w:hint="default"/>
          <w:color w:val="000000"/>
          <w:sz w:val="22"/>
          <w:szCs w:val="22"/>
          <w:lang w:eastAsia="en-US"/>
        </w:rPr>
        <w:t>nie a o </w:t>
      </w:r>
      <w:r w:rsidRPr="0052093A">
        <w:rPr>
          <w:rFonts w:ascii="Times New Roman" w:eastAsia="Calibri" w:hAnsi="Times New Roman" w:hint="default"/>
          <w:color w:val="000000"/>
          <w:sz w:val="22"/>
          <w:szCs w:val="22"/>
          <w:lang w:eastAsia="en-US"/>
        </w:rPr>
        <w:t>prí</w:t>
      </w:r>
      <w:r w:rsidRPr="0052093A">
        <w:rPr>
          <w:rFonts w:ascii="Times New Roman" w:eastAsia="Calibri" w:hAnsi="Times New Roman" w:hint="default"/>
          <w:color w:val="000000"/>
          <w:sz w:val="22"/>
          <w:szCs w:val="22"/>
          <w:lang w:eastAsia="en-US"/>
        </w:rPr>
        <w:t>jmy poskytnuté</w:t>
      </w:r>
      <w:r w:rsidRPr="0052093A">
        <w:rPr>
          <w:rFonts w:ascii="Times New Roman" w:eastAsia="Calibri" w:hAnsi="Times New Roman" w:hint="default"/>
          <w:color w:val="000000"/>
          <w:sz w:val="22"/>
          <w:szCs w:val="22"/>
          <w:lang w:eastAsia="en-US"/>
        </w:rPr>
        <w:t xml:space="preserve"> zo zahranič</w:t>
      </w:r>
      <w:r w:rsidRPr="0052093A">
        <w:rPr>
          <w:rFonts w:ascii="Times New Roman" w:eastAsia="Calibri" w:hAnsi="Times New Roman" w:hint="default"/>
          <w:color w:val="000000"/>
          <w:sz w:val="22"/>
          <w:szCs w:val="22"/>
          <w:lang w:eastAsia="en-US"/>
        </w:rPr>
        <w:t>ia na zá</w:t>
      </w:r>
      <w:r w:rsidRPr="0052093A">
        <w:rPr>
          <w:rFonts w:ascii="Times New Roman" w:eastAsia="Calibri" w:hAnsi="Times New Roman" w:hint="default"/>
          <w:color w:val="000000"/>
          <w:sz w:val="22"/>
          <w:szCs w:val="22"/>
          <w:lang w:eastAsia="en-US"/>
        </w:rPr>
        <w:t>klade medziná</w:t>
      </w:r>
      <w:r w:rsidRPr="0052093A">
        <w:rPr>
          <w:rFonts w:ascii="Times New Roman" w:eastAsia="Calibri" w:hAnsi="Times New Roman" w:hint="default"/>
          <w:color w:val="000000"/>
          <w:sz w:val="22"/>
          <w:szCs w:val="22"/>
          <w:lang w:eastAsia="en-US"/>
        </w:rPr>
        <w:t>rodný</w:t>
      </w:r>
      <w:r w:rsidRPr="0052093A">
        <w:rPr>
          <w:rFonts w:ascii="Times New Roman" w:eastAsia="Calibri" w:hAnsi="Times New Roman" w:hint="default"/>
          <w:color w:val="000000"/>
          <w:sz w:val="22"/>
          <w:szCs w:val="22"/>
          <w:lang w:eastAsia="en-US"/>
        </w:rPr>
        <w:t>ch z</w:t>
      </w:r>
      <w:r w:rsidRPr="0052093A">
        <w:rPr>
          <w:rFonts w:ascii="Times New Roman" w:eastAsia="Calibri" w:hAnsi="Times New Roman" w:hint="default"/>
          <w:color w:val="000000"/>
          <w:sz w:val="22"/>
          <w:szCs w:val="22"/>
          <w:lang w:eastAsia="en-US"/>
        </w:rPr>
        <w:t>mlú</w:t>
      </w:r>
      <w:r w:rsidRPr="0052093A">
        <w:rPr>
          <w:rFonts w:ascii="Times New Roman" w:eastAsia="Calibri" w:hAnsi="Times New Roman" w:hint="default"/>
          <w:color w:val="000000"/>
          <w:sz w:val="22"/>
          <w:szCs w:val="22"/>
          <w:lang w:eastAsia="en-US"/>
        </w:rPr>
        <w:t>v medzi Slovenskou republikou a </w:t>
      </w:r>
      <w:r w:rsidRPr="0052093A">
        <w:rPr>
          <w:rFonts w:ascii="Times New Roman" w:eastAsia="Calibri" w:hAnsi="Times New Roman" w:hint="default"/>
          <w:color w:val="000000"/>
          <w:sz w:val="22"/>
          <w:szCs w:val="22"/>
          <w:lang w:eastAsia="en-US"/>
        </w:rPr>
        <w:t>iný</w:t>
      </w:r>
      <w:r w:rsidRPr="0052093A">
        <w:rPr>
          <w:rFonts w:ascii="Times New Roman" w:eastAsia="Calibri" w:hAnsi="Times New Roman" w:hint="default"/>
          <w:color w:val="000000"/>
          <w:sz w:val="22"/>
          <w:szCs w:val="22"/>
          <w:lang w:eastAsia="en-US"/>
        </w:rPr>
        <w:t>mi š</w:t>
      </w:r>
      <w:r w:rsidRPr="0052093A">
        <w:rPr>
          <w:rFonts w:ascii="Times New Roman" w:eastAsia="Calibri" w:hAnsi="Times New Roman" w:hint="default"/>
          <w:color w:val="000000"/>
          <w:sz w:val="22"/>
          <w:szCs w:val="22"/>
          <w:lang w:eastAsia="en-US"/>
        </w:rPr>
        <w:t>tá</w:t>
      </w:r>
      <w:r w:rsidRPr="0052093A">
        <w:rPr>
          <w:rFonts w:ascii="Times New Roman" w:eastAsia="Calibri" w:hAnsi="Times New Roman" w:hint="default"/>
          <w:color w:val="000000"/>
          <w:sz w:val="22"/>
          <w:szCs w:val="22"/>
          <w:lang w:eastAsia="en-US"/>
        </w:rPr>
        <w:t>tmi, ktoré</w:t>
      </w:r>
      <w:r w:rsidRPr="0052093A">
        <w:rPr>
          <w:rFonts w:ascii="Times New Roman" w:eastAsia="Calibri" w:hAnsi="Times New Roman" w:hint="default"/>
          <w:color w:val="000000"/>
          <w:sz w:val="22"/>
          <w:szCs w:val="22"/>
          <w:lang w:eastAsia="en-US"/>
        </w:rPr>
        <w:t xml:space="preserve"> predstavujú</w:t>
      </w:r>
      <w:r w:rsidRPr="0052093A">
        <w:rPr>
          <w:rFonts w:ascii="Times New Roman" w:eastAsia="Calibri" w:hAnsi="Times New Roman" w:hint="default"/>
          <w:color w:val="000000"/>
          <w:sz w:val="22"/>
          <w:szCs w:val="22"/>
          <w:lang w:eastAsia="en-US"/>
        </w:rPr>
        <w:t xml:space="preserve"> prostriedky Finanč</w:t>
      </w:r>
      <w:r w:rsidRPr="0052093A">
        <w:rPr>
          <w:rFonts w:ascii="Times New Roman" w:eastAsia="Calibri" w:hAnsi="Times New Roman" w:hint="default"/>
          <w:color w:val="000000"/>
          <w:sz w:val="22"/>
          <w:szCs w:val="22"/>
          <w:lang w:eastAsia="en-US"/>
        </w:rPr>
        <w:t>né</w:t>
      </w:r>
      <w:r w:rsidRPr="0052093A">
        <w:rPr>
          <w:rFonts w:ascii="Times New Roman" w:eastAsia="Calibri" w:hAnsi="Times New Roman" w:hint="default"/>
          <w:color w:val="000000"/>
          <w:sz w:val="22"/>
          <w:szCs w:val="22"/>
          <w:lang w:eastAsia="en-US"/>
        </w:rPr>
        <w:t>ho mechanizmu EHP, Nó</w:t>
      </w:r>
      <w:r w:rsidRPr="0052093A">
        <w:rPr>
          <w:rFonts w:ascii="Times New Roman" w:eastAsia="Calibri" w:hAnsi="Times New Roman" w:hint="default"/>
          <w:color w:val="000000"/>
          <w:sz w:val="22"/>
          <w:szCs w:val="22"/>
          <w:lang w:eastAsia="en-US"/>
        </w:rPr>
        <w:t>rskeho finanč</w:t>
      </w:r>
      <w:r w:rsidRPr="0052093A">
        <w:rPr>
          <w:rFonts w:ascii="Times New Roman" w:eastAsia="Calibri" w:hAnsi="Times New Roman" w:hint="default"/>
          <w:color w:val="000000"/>
          <w:sz w:val="22"/>
          <w:szCs w:val="22"/>
          <w:lang w:eastAsia="en-US"/>
        </w:rPr>
        <w:t>né</w:t>
      </w:r>
      <w:r w:rsidRPr="0052093A">
        <w:rPr>
          <w:rFonts w:ascii="Times New Roman" w:eastAsia="Calibri" w:hAnsi="Times New Roman" w:hint="default"/>
          <w:color w:val="000000"/>
          <w:sz w:val="22"/>
          <w:szCs w:val="22"/>
          <w:lang w:eastAsia="en-US"/>
        </w:rPr>
        <w:t>ho mechanizmu a </w:t>
      </w:r>
      <w:r w:rsidRPr="0052093A">
        <w:rPr>
          <w:rFonts w:ascii="Times New Roman" w:eastAsia="Calibri" w:hAnsi="Times New Roman" w:hint="default"/>
          <w:color w:val="000000"/>
          <w:sz w:val="22"/>
          <w:szCs w:val="22"/>
          <w:lang w:eastAsia="en-US"/>
        </w:rPr>
        <w:t>Š</w:t>
      </w:r>
      <w:r w:rsidRPr="0052093A">
        <w:rPr>
          <w:rFonts w:ascii="Times New Roman" w:eastAsia="Calibri" w:hAnsi="Times New Roman" w:hint="default"/>
          <w:color w:val="000000"/>
          <w:sz w:val="22"/>
          <w:szCs w:val="22"/>
          <w:lang w:eastAsia="en-US"/>
        </w:rPr>
        <w:t>vajč</w:t>
      </w:r>
      <w:r w:rsidRPr="0052093A">
        <w:rPr>
          <w:rFonts w:ascii="Times New Roman" w:eastAsia="Calibri" w:hAnsi="Times New Roman" w:hint="default"/>
          <w:color w:val="000000"/>
          <w:sz w:val="22"/>
          <w:szCs w:val="22"/>
          <w:lang w:eastAsia="en-US"/>
        </w:rPr>
        <w:t>iarskeho finanč</w:t>
      </w:r>
      <w:r w:rsidRPr="0052093A">
        <w:rPr>
          <w:rFonts w:ascii="Times New Roman" w:eastAsia="Calibri" w:hAnsi="Times New Roman" w:hint="default"/>
          <w:color w:val="000000"/>
          <w:sz w:val="22"/>
          <w:szCs w:val="22"/>
          <w:lang w:eastAsia="en-US"/>
        </w:rPr>
        <w:t>né</w:t>
      </w:r>
      <w:r w:rsidRPr="0052093A">
        <w:rPr>
          <w:rFonts w:ascii="Times New Roman" w:eastAsia="Calibri" w:hAnsi="Times New Roman" w:hint="default"/>
          <w:color w:val="000000"/>
          <w:sz w:val="22"/>
          <w:szCs w:val="22"/>
          <w:lang w:eastAsia="en-US"/>
        </w:rPr>
        <w:t xml:space="preserve">ho mechanizmu. </w:t>
      </w:r>
    </w:p>
    <w:p w:rsidR="0052093A" w:rsidRPr="0052093A" w:rsidP="0052093A">
      <w:pPr>
        <w:bidi w:val="0"/>
        <w:spacing w:after="120" w:line="336" w:lineRule="auto"/>
        <w:jc w:val="both"/>
        <w:rPr>
          <w:rFonts w:ascii="Times New Roman" w:hAnsi="Times New Roman"/>
          <w:color w:val="000000"/>
        </w:rPr>
      </w:pPr>
      <w:r w:rsidRPr="0052093A">
        <w:rPr>
          <w:rFonts w:ascii="Times New Roman" w:hAnsi="Times New Roman"/>
          <w:i/>
          <w:color w:val="000000"/>
          <w:sz w:val="22"/>
          <w:szCs w:val="22"/>
        </w:rPr>
        <w:t>Podrobné údaje o príjmoch štátneho rozpočtu podľa kapitol, kategórií rozpočtovej klasifikácie a podľa zdrojov za rok 2015 sú uvedené v tab. č. 4 až 6 tabuľkovej prílohy štátneho záverečného účtu.</w:t>
      </w:r>
    </w:p>
    <w:p w:rsidR="009C3082" w:rsidP="008D72D9">
      <w:pPr>
        <w:pStyle w:val="Heading2"/>
        <w:numPr>
          <w:ilvl w:val="1"/>
          <w:numId w:val="20"/>
        </w:numPr>
        <w:bidi w:val="0"/>
        <w:spacing w:line="336" w:lineRule="auto"/>
        <w:rPr>
          <w:rFonts w:ascii="Times New Roman" w:hAnsi="Times New Roman"/>
        </w:rPr>
      </w:pPr>
      <w:bookmarkStart w:id="28" w:name="_Toc449622837"/>
      <w:r w:rsidRPr="006E50E2">
        <w:rPr>
          <w:rFonts w:ascii="Times New Roman" w:hAnsi="Times New Roman"/>
        </w:rPr>
        <w:t>Výdavky štátneho rozpočtu</w:t>
      </w:r>
      <w:bookmarkEnd w:id="28"/>
    </w:p>
    <w:p w:rsidR="00B548CC" w:rsidP="001F1246">
      <w:pPr>
        <w:bidi w:val="0"/>
        <w:spacing w:after="120" w:line="336" w:lineRule="auto"/>
        <w:jc w:val="both"/>
        <w:rPr>
          <w:rFonts w:ascii="Times New Roman" w:hAnsi="Times New Roman"/>
          <w:sz w:val="22"/>
          <w:szCs w:val="22"/>
        </w:rPr>
      </w:pPr>
      <w:r>
        <w:rPr>
          <w:rFonts w:ascii="Times New Roman" w:hAnsi="Times New Roman"/>
          <w:sz w:val="22"/>
          <w:szCs w:val="22"/>
        </w:rPr>
        <w:t xml:space="preserve">Schválený rozpočet </w:t>
      </w:r>
      <w:r w:rsidR="001F1246">
        <w:rPr>
          <w:rFonts w:ascii="Times New Roman" w:hAnsi="Times New Roman"/>
          <w:sz w:val="22"/>
          <w:szCs w:val="22"/>
        </w:rPr>
        <w:t>výdavkov bol</w:t>
      </w:r>
      <w:r>
        <w:rPr>
          <w:rFonts w:ascii="Times New Roman" w:hAnsi="Times New Roman"/>
          <w:sz w:val="22"/>
          <w:szCs w:val="22"/>
        </w:rPr>
        <w:t xml:space="preserve"> vo výraznej miere ovplyvnený opatreniami vyplývajúcimi z ústavného zákona o rozpočtovej zodpovednosti a zabezpečovaním efektívnych a dlhodobo udržateľných verejných financií.</w:t>
      </w:r>
      <w:r w:rsidRPr="006E50E2">
        <w:rPr>
          <w:rFonts w:ascii="Times New Roman" w:hAnsi="Times New Roman"/>
          <w:sz w:val="22"/>
          <w:szCs w:val="22"/>
        </w:rPr>
        <w:t xml:space="preserve"> Pri rozpočtovaní výdavkov na rok 201</w:t>
      </w:r>
      <w:r>
        <w:rPr>
          <w:rFonts w:ascii="Times New Roman" w:hAnsi="Times New Roman"/>
          <w:sz w:val="22"/>
          <w:szCs w:val="22"/>
        </w:rPr>
        <w:t>5</w:t>
      </w:r>
      <w:r w:rsidRPr="006E50E2">
        <w:rPr>
          <w:rFonts w:ascii="Times New Roman" w:hAnsi="Times New Roman"/>
          <w:sz w:val="22"/>
          <w:szCs w:val="22"/>
        </w:rPr>
        <w:t xml:space="preserve"> sa</w:t>
      </w:r>
      <w:r>
        <w:rPr>
          <w:rFonts w:ascii="Times New Roman" w:hAnsi="Times New Roman"/>
          <w:sz w:val="22"/>
          <w:szCs w:val="22"/>
        </w:rPr>
        <w:t xml:space="preserve"> taktiež</w:t>
      </w:r>
      <w:r w:rsidRPr="006E50E2">
        <w:rPr>
          <w:rFonts w:ascii="Times New Roman" w:hAnsi="Times New Roman"/>
          <w:sz w:val="22"/>
          <w:szCs w:val="22"/>
        </w:rPr>
        <w:t xml:space="preserve"> zohľadnili </w:t>
      </w:r>
      <w:r>
        <w:rPr>
          <w:rFonts w:ascii="Times New Roman" w:hAnsi="Times New Roman"/>
          <w:sz w:val="22"/>
          <w:szCs w:val="22"/>
        </w:rPr>
        <w:t xml:space="preserve">aktuálne legislatívne zmeny a dodržali sa </w:t>
      </w:r>
      <w:r w:rsidRPr="006E50E2">
        <w:rPr>
          <w:rFonts w:ascii="Times New Roman" w:hAnsi="Times New Roman"/>
          <w:sz w:val="22"/>
          <w:szCs w:val="22"/>
        </w:rPr>
        <w:t xml:space="preserve">pravidlá rozpočtového </w:t>
      </w:r>
      <w:r w:rsidR="00223EFD">
        <w:rPr>
          <w:rFonts w:ascii="Times New Roman" w:hAnsi="Times New Roman"/>
          <w:sz w:val="22"/>
          <w:szCs w:val="22"/>
        </w:rPr>
        <w:t>hospodárenia v zmysle zákona č. </w:t>
      </w:r>
      <w:r w:rsidRPr="006E50E2">
        <w:rPr>
          <w:rFonts w:ascii="Times New Roman" w:hAnsi="Times New Roman"/>
          <w:sz w:val="22"/>
          <w:szCs w:val="22"/>
        </w:rPr>
        <w:t>523/2004 Z. z. o rozpočtových pravidlách verejnej správy a</w:t>
      </w:r>
      <w:r w:rsidR="00640774">
        <w:rPr>
          <w:rFonts w:ascii="Times New Roman" w:hAnsi="Times New Roman"/>
          <w:sz w:val="22"/>
          <w:szCs w:val="22"/>
        </w:rPr>
        <w:t xml:space="preserve"> </w:t>
      </w:r>
      <w:r w:rsidRPr="006E50E2">
        <w:rPr>
          <w:rFonts w:ascii="Times New Roman" w:hAnsi="Times New Roman"/>
          <w:sz w:val="22"/>
          <w:szCs w:val="22"/>
        </w:rPr>
        <w:t>o zmene a doplnení niektorých zákonov v znení neskorších predpisov</w:t>
      </w:r>
      <w:r>
        <w:rPr>
          <w:rFonts w:ascii="Times New Roman" w:hAnsi="Times New Roman"/>
          <w:sz w:val="22"/>
          <w:szCs w:val="22"/>
        </w:rPr>
        <w:t xml:space="preserve"> (ďalej len „zákon o rozpočtových pravidlách verejnej správy“):</w:t>
      </w:r>
    </w:p>
    <w:p w:rsidR="001F1246" w:rsidRPr="006E50E2" w:rsidP="001F1246">
      <w:pPr>
        <w:numPr>
          <w:ilvl w:val="1"/>
          <w:numId w:val="2"/>
        </w:numPr>
        <w:bidi w:val="0"/>
        <w:spacing w:after="120" w:line="336" w:lineRule="auto"/>
        <w:ind w:left="426" w:hanging="426"/>
        <w:jc w:val="both"/>
        <w:rPr>
          <w:rFonts w:ascii="Times New Roman" w:hAnsi="Times New Roman"/>
          <w:sz w:val="22"/>
          <w:szCs w:val="22"/>
        </w:rPr>
      </w:pPr>
      <w:r w:rsidRPr="006E50E2">
        <w:rPr>
          <w:rFonts w:ascii="Times New Roman" w:hAnsi="Times New Roman"/>
          <w:sz w:val="22"/>
          <w:szCs w:val="22"/>
        </w:rPr>
        <w:t>možnosť použitia kapitálových výdavkov na určený účel aj v nasledujúcich dvoch rozpočtových rokoch po rozpočtovom roku, na ktorý boli rozpočtované,</w:t>
      </w:r>
    </w:p>
    <w:p w:rsidR="00FA7958" w:rsidRPr="006E50E2" w:rsidP="00FA7958">
      <w:pPr>
        <w:numPr>
          <w:ilvl w:val="1"/>
          <w:numId w:val="2"/>
        </w:numPr>
        <w:bidi w:val="0"/>
        <w:spacing w:after="120" w:line="336" w:lineRule="auto"/>
        <w:ind w:left="426" w:hanging="426"/>
        <w:jc w:val="both"/>
        <w:rPr>
          <w:rFonts w:ascii="Times New Roman" w:hAnsi="Times New Roman"/>
          <w:sz w:val="22"/>
          <w:szCs w:val="22"/>
        </w:rPr>
      </w:pPr>
      <w:r w:rsidRPr="006E50E2">
        <w:rPr>
          <w:rFonts w:ascii="Times New Roman" w:hAnsi="Times New Roman"/>
          <w:sz w:val="22"/>
          <w:szCs w:val="22"/>
        </w:rPr>
        <w:t>možnosť použitia prostriedkov Európskej únie vrátane spolufinancovania zo štátneho rozpočtu aj v nasledujúcich rozpočtových rokoch až do ich vyčerpania na určený účel,</w:t>
      </w:r>
    </w:p>
    <w:p w:rsidR="00FA7958" w:rsidRPr="006E50E2" w:rsidP="00FA7958">
      <w:pPr>
        <w:numPr>
          <w:ilvl w:val="1"/>
          <w:numId w:val="2"/>
        </w:numPr>
        <w:bidi w:val="0"/>
        <w:spacing w:after="120" w:line="336" w:lineRule="auto"/>
        <w:ind w:left="426" w:hanging="426"/>
        <w:jc w:val="both"/>
        <w:rPr>
          <w:rFonts w:ascii="Times New Roman" w:hAnsi="Times New Roman"/>
          <w:sz w:val="22"/>
          <w:szCs w:val="22"/>
        </w:rPr>
      </w:pPr>
      <w:r w:rsidRPr="006E50E2">
        <w:rPr>
          <w:rFonts w:ascii="Times New Roman" w:hAnsi="Times New Roman"/>
          <w:sz w:val="22"/>
          <w:szCs w:val="22"/>
        </w:rPr>
        <w:t>pri bežných transferoch s výnimkou miezd, poskytnutých príjemcom po 1. októbri rozpočtového roka, možnosť ich použitia do konca prvého štvrťroka nasledujúceho roka,</w:t>
      </w:r>
    </w:p>
    <w:p w:rsidR="00B548CC" w:rsidRPr="006E50E2" w:rsidP="001F1246">
      <w:pPr>
        <w:numPr>
          <w:numId w:val="9"/>
        </w:numPr>
        <w:tabs>
          <w:tab w:val="left" w:pos="426"/>
        </w:tabs>
        <w:bidi w:val="0"/>
        <w:spacing w:after="120" w:line="336" w:lineRule="auto"/>
        <w:ind w:left="0" w:firstLine="0"/>
        <w:jc w:val="both"/>
        <w:rPr>
          <w:rFonts w:ascii="Times New Roman" w:hAnsi="Times New Roman"/>
          <w:sz w:val="22"/>
          <w:szCs w:val="22"/>
        </w:rPr>
      </w:pPr>
      <w:r w:rsidRPr="006E50E2">
        <w:rPr>
          <w:rFonts w:ascii="Times New Roman" w:hAnsi="Times New Roman"/>
          <w:sz w:val="22"/>
          <w:szCs w:val="22"/>
        </w:rPr>
        <w:t>viacročné rozpočtovanie na tri rozpočtové roky,</w:t>
      </w:r>
    </w:p>
    <w:p w:rsidR="00B548CC" w:rsidRPr="006E50E2" w:rsidP="001F1246">
      <w:pPr>
        <w:numPr>
          <w:numId w:val="9"/>
        </w:numPr>
        <w:tabs>
          <w:tab w:val="left" w:pos="426"/>
        </w:tabs>
        <w:bidi w:val="0"/>
        <w:spacing w:after="120" w:line="336" w:lineRule="auto"/>
        <w:ind w:left="426" w:hanging="426"/>
        <w:jc w:val="both"/>
        <w:rPr>
          <w:rFonts w:ascii="Times New Roman" w:hAnsi="Times New Roman"/>
          <w:sz w:val="22"/>
          <w:szCs w:val="22"/>
        </w:rPr>
      </w:pPr>
      <w:r w:rsidRPr="006E50E2">
        <w:rPr>
          <w:rFonts w:ascii="Times New Roman" w:hAnsi="Times New Roman"/>
          <w:sz w:val="22"/>
          <w:szCs w:val="22"/>
        </w:rPr>
        <w:t>rozpočtovanie formou bežných a</w:t>
      </w:r>
      <w:r>
        <w:rPr>
          <w:rFonts w:ascii="Times New Roman" w:hAnsi="Times New Roman"/>
          <w:sz w:val="22"/>
          <w:szCs w:val="22"/>
        </w:rPr>
        <w:t xml:space="preserve"> </w:t>
      </w:r>
      <w:r w:rsidRPr="006E50E2">
        <w:rPr>
          <w:rFonts w:ascii="Times New Roman" w:hAnsi="Times New Roman"/>
          <w:sz w:val="22"/>
          <w:szCs w:val="22"/>
        </w:rPr>
        <w:t>kapitálových výdavkov pri uplatňovaní rozpočtovej klasifikácie,</w:t>
      </w:r>
    </w:p>
    <w:p w:rsidR="00B548CC" w:rsidRPr="006E50E2" w:rsidP="001F1246">
      <w:pPr>
        <w:numPr>
          <w:ilvl w:val="1"/>
          <w:numId w:val="2"/>
        </w:numPr>
        <w:bidi w:val="0"/>
        <w:spacing w:after="120" w:line="336" w:lineRule="auto"/>
        <w:ind w:left="426" w:hanging="426"/>
        <w:jc w:val="both"/>
        <w:rPr>
          <w:rFonts w:ascii="Times New Roman" w:hAnsi="Times New Roman"/>
          <w:sz w:val="22"/>
          <w:szCs w:val="22"/>
        </w:rPr>
      </w:pPr>
      <w:r w:rsidRPr="006E50E2">
        <w:rPr>
          <w:rFonts w:ascii="Times New Roman" w:hAnsi="Times New Roman"/>
          <w:sz w:val="22"/>
          <w:szCs w:val="22"/>
        </w:rPr>
        <w:t>využívanie programového rozpočtovania, aby bolo možné transparentné hodnotenie formulovaných zámerov,</w:t>
      </w:r>
    </w:p>
    <w:p w:rsidR="00B548CC" w:rsidRPr="006E50E2" w:rsidP="001F1246">
      <w:pPr>
        <w:numPr>
          <w:ilvl w:val="1"/>
          <w:numId w:val="2"/>
        </w:numPr>
        <w:bidi w:val="0"/>
        <w:spacing w:after="120" w:line="336" w:lineRule="auto"/>
        <w:ind w:left="426" w:hanging="426"/>
        <w:jc w:val="both"/>
        <w:rPr>
          <w:rFonts w:ascii="Times New Roman" w:hAnsi="Times New Roman"/>
          <w:sz w:val="22"/>
          <w:szCs w:val="22"/>
        </w:rPr>
      </w:pPr>
      <w:r w:rsidRPr="006E50E2">
        <w:rPr>
          <w:rFonts w:ascii="Times New Roman" w:hAnsi="Times New Roman"/>
          <w:sz w:val="22"/>
          <w:szCs w:val="22"/>
        </w:rPr>
        <w:t>poskytovanie dotácií v súlade so zákonom o štátnom rozpočte na príslušný rozpočtový rok,</w:t>
      </w:r>
    </w:p>
    <w:p w:rsidR="00B548CC" w:rsidP="00B548CC">
      <w:pPr>
        <w:bidi w:val="0"/>
        <w:spacing w:after="120" w:line="336" w:lineRule="auto"/>
        <w:jc w:val="both"/>
        <w:rPr>
          <w:rFonts w:ascii="Times New Roman" w:hAnsi="Times New Roman"/>
        </w:rPr>
      </w:pPr>
      <w:r w:rsidRPr="006E50E2">
        <w:rPr>
          <w:rFonts w:ascii="Times New Roman" w:hAnsi="Times New Roman"/>
          <w:i/>
          <w:sz w:val="22"/>
          <w:szCs w:val="22"/>
        </w:rPr>
        <w:t>Podrobný prehľad o výdavkoch štátneho rozpočtu v roku 201</w:t>
      </w:r>
      <w:r>
        <w:rPr>
          <w:rFonts w:ascii="Times New Roman" w:hAnsi="Times New Roman"/>
          <w:i/>
          <w:sz w:val="22"/>
          <w:szCs w:val="22"/>
        </w:rPr>
        <w:t>5</w:t>
      </w:r>
      <w:r w:rsidRPr="006E50E2">
        <w:rPr>
          <w:rFonts w:ascii="Times New Roman" w:hAnsi="Times New Roman"/>
          <w:i/>
          <w:sz w:val="22"/>
          <w:szCs w:val="22"/>
        </w:rPr>
        <w:t xml:space="preserve"> podľa kategórií rozpočtovej klasifikácie a kapitol štátneho rozpočtu, o bežných transferoch a kapitálových výdavkoch je uvedený v tab. 7 až 9 tabuľkovej prílohy štátneho záverečného účtu</w:t>
      </w:r>
    </w:p>
    <w:p w:rsidR="00B548CC" w:rsidP="00B548CC">
      <w:pPr>
        <w:pStyle w:val="Heading3"/>
        <w:numPr>
          <w:ilvl w:val="2"/>
          <w:numId w:val="20"/>
        </w:numPr>
        <w:bidi w:val="0"/>
        <w:spacing w:line="336" w:lineRule="auto"/>
        <w:ind w:left="1077"/>
        <w:rPr>
          <w:rFonts w:ascii="Times New Roman" w:hAnsi="Times New Roman"/>
          <w:sz w:val="22"/>
          <w:szCs w:val="22"/>
          <w:lang w:val="sk-SK"/>
        </w:rPr>
      </w:pPr>
      <w:bookmarkStart w:id="29" w:name="_Toc322614759"/>
      <w:bookmarkStart w:id="30" w:name="_Toc449622838"/>
      <w:r w:rsidRPr="006E50E2" w:rsidR="005B7CF0">
        <w:rPr>
          <w:rFonts w:ascii="Times New Roman" w:hAnsi="Times New Roman"/>
          <w:sz w:val="22"/>
          <w:szCs w:val="22"/>
          <w:lang w:val="sk-SK"/>
        </w:rPr>
        <w:t>Výdavky štátneho rozpočtu podľa ekonomickej klasifikácie</w:t>
      </w:r>
      <w:bookmarkEnd w:id="29"/>
      <w:bookmarkEnd w:id="30"/>
    </w:p>
    <w:p w:rsidR="00B548CC" w:rsidRPr="00B548CC" w:rsidP="00B548CC">
      <w:pPr>
        <w:bidi w:val="0"/>
        <w:spacing w:after="120" w:line="336" w:lineRule="auto"/>
        <w:jc w:val="both"/>
        <w:rPr>
          <w:rFonts w:ascii="Times New Roman" w:hAnsi="Times New Roman"/>
          <w:sz w:val="22"/>
          <w:szCs w:val="22"/>
        </w:rPr>
      </w:pPr>
      <w:r w:rsidRPr="006E50E2">
        <w:rPr>
          <w:rFonts w:ascii="Times New Roman" w:hAnsi="Times New Roman"/>
          <w:sz w:val="22"/>
          <w:szCs w:val="22"/>
        </w:rPr>
        <w:t>Pre rok 201</w:t>
      </w:r>
      <w:r>
        <w:rPr>
          <w:rFonts w:ascii="Times New Roman" w:hAnsi="Times New Roman"/>
          <w:sz w:val="22"/>
          <w:szCs w:val="22"/>
        </w:rPr>
        <w:t>5</w:t>
      </w:r>
      <w:r w:rsidRPr="006E50E2">
        <w:rPr>
          <w:rFonts w:ascii="Times New Roman" w:hAnsi="Times New Roman"/>
          <w:sz w:val="22"/>
          <w:szCs w:val="22"/>
        </w:rPr>
        <w:t xml:space="preserve"> boli </w:t>
      </w:r>
      <w:r>
        <w:rPr>
          <w:rFonts w:ascii="Times New Roman" w:hAnsi="Times New Roman"/>
          <w:sz w:val="22"/>
          <w:szCs w:val="22"/>
        </w:rPr>
        <w:t xml:space="preserve">celkové výdavky štátneho rozpočtu plánované </w:t>
      </w:r>
      <w:r w:rsidR="00FA7958">
        <w:rPr>
          <w:rFonts w:ascii="Times New Roman" w:hAnsi="Times New Roman"/>
          <w:sz w:val="22"/>
          <w:szCs w:val="22"/>
        </w:rPr>
        <w:t>vo výške</w:t>
      </w:r>
      <w:r>
        <w:rPr>
          <w:rFonts w:ascii="Times New Roman" w:hAnsi="Times New Roman"/>
          <w:sz w:val="22"/>
          <w:szCs w:val="22"/>
        </w:rPr>
        <w:t xml:space="preserve"> 17 478 558 tis. eur, čo v porovnaní so </w:t>
      </w:r>
      <w:r w:rsidRPr="006E50E2">
        <w:rPr>
          <w:rFonts w:ascii="Times New Roman" w:hAnsi="Times New Roman"/>
          <w:sz w:val="22"/>
          <w:szCs w:val="22"/>
        </w:rPr>
        <w:t>schváleným rozpočtom pre rok 201</w:t>
      </w:r>
      <w:r>
        <w:rPr>
          <w:rFonts w:ascii="Times New Roman" w:hAnsi="Times New Roman"/>
          <w:sz w:val="22"/>
          <w:szCs w:val="22"/>
        </w:rPr>
        <w:t>4 predstavovalo</w:t>
      </w:r>
      <w:r w:rsidRPr="006E50E2">
        <w:rPr>
          <w:rFonts w:ascii="Times New Roman" w:hAnsi="Times New Roman"/>
          <w:sz w:val="22"/>
          <w:szCs w:val="22"/>
        </w:rPr>
        <w:t xml:space="preserve"> nárast </w:t>
      </w:r>
      <w:r>
        <w:rPr>
          <w:rFonts w:ascii="Times New Roman" w:hAnsi="Times New Roman"/>
          <w:sz w:val="22"/>
          <w:szCs w:val="22"/>
        </w:rPr>
        <w:t>0,5</w:t>
      </w:r>
      <w:r w:rsidRPr="006E50E2">
        <w:rPr>
          <w:rFonts w:ascii="Times New Roman" w:hAnsi="Times New Roman"/>
          <w:sz w:val="22"/>
          <w:szCs w:val="22"/>
        </w:rPr>
        <w:t xml:space="preserve"> %. </w:t>
      </w:r>
      <w:r>
        <w:rPr>
          <w:rFonts w:ascii="Times New Roman" w:hAnsi="Times New Roman"/>
          <w:sz w:val="22"/>
          <w:szCs w:val="22"/>
        </w:rPr>
        <w:t>Skutočne bolo vynaložených 18 166 391</w:t>
      </w:r>
      <w:r w:rsidRPr="006E50E2">
        <w:rPr>
          <w:rFonts w:ascii="Times New Roman" w:hAnsi="Times New Roman"/>
          <w:sz w:val="22"/>
          <w:szCs w:val="22"/>
        </w:rPr>
        <w:t> tis. eur</w:t>
      </w:r>
      <w:r>
        <w:rPr>
          <w:rFonts w:ascii="Times New Roman" w:hAnsi="Times New Roman"/>
          <w:sz w:val="22"/>
          <w:szCs w:val="22"/>
        </w:rPr>
        <w:t>, na čom sa bežné výdavky podieľali objemom 13 498 303 tis. eur a kapitálové výdavky objemom 4 668 088 tis. eur.</w:t>
      </w:r>
    </w:p>
    <w:p w:rsidR="005B7CF0" w:rsidP="008D72D9">
      <w:pPr>
        <w:pStyle w:val="Heading4"/>
        <w:numPr>
          <w:numId w:val="20"/>
        </w:numPr>
        <w:bidi w:val="0"/>
        <w:spacing w:line="336" w:lineRule="auto"/>
        <w:ind w:left="1077"/>
        <w:rPr>
          <w:rFonts w:ascii="Times New Roman" w:hAnsi="Times New Roman"/>
          <w:sz w:val="22"/>
          <w:szCs w:val="22"/>
          <w:lang w:val="sk-SK" w:eastAsia="x-none"/>
        </w:rPr>
      </w:pPr>
      <w:r w:rsidRPr="006E50E2">
        <w:rPr>
          <w:rFonts w:ascii="Times New Roman" w:hAnsi="Times New Roman"/>
          <w:sz w:val="22"/>
          <w:szCs w:val="22"/>
          <w:lang w:val="sk-SK" w:eastAsia="x-none"/>
        </w:rPr>
        <w:t>Bežné výdavky</w:t>
      </w:r>
    </w:p>
    <w:p w:rsidR="00B548CC" w:rsidRPr="006E50E2" w:rsidP="00B548CC">
      <w:pPr>
        <w:bidi w:val="0"/>
        <w:spacing w:after="120" w:line="336" w:lineRule="auto"/>
        <w:jc w:val="both"/>
        <w:rPr>
          <w:rFonts w:ascii="Times New Roman" w:hAnsi="Times New Roman"/>
          <w:sz w:val="22"/>
          <w:szCs w:val="22"/>
        </w:rPr>
      </w:pPr>
      <w:r>
        <w:rPr>
          <w:rFonts w:ascii="Times New Roman" w:hAnsi="Times New Roman"/>
          <w:sz w:val="22"/>
          <w:szCs w:val="22"/>
        </w:rPr>
        <w:t xml:space="preserve">Schváleným rozpočtom boli stanovené </w:t>
      </w:r>
      <w:r w:rsidRPr="00D83379">
        <w:rPr>
          <w:rFonts w:ascii="Times New Roman" w:hAnsi="Times New Roman"/>
          <w:b/>
          <w:sz w:val="22"/>
          <w:szCs w:val="22"/>
        </w:rPr>
        <w:t>bežné výdavky</w:t>
      </w:r>
      <w:r>
        <w:rPr>
          <w:rFonts w:ascii="Times New Roman" w:hAnsi="Times New Roman"/>
          <w:sz w:val="22"/>
          <w:szCs w:val="22"/>
        </w:rPr>
        <w:t xml:space="preserve"> vo výške 14</w:t>
      </w:r>
      <w:r w:rsidR="00AD13E4">
        <w:rPr>
          <w:rFonts w:ascii="Times New Roman" w:hAnsi="Times New Roman"/>
          <w:sz w:val="22"/>
          <w:szCs w:val="22"/>
        </w:rPr>
        <w:t xml:space="preserve"> </w:t>
      </w:r>
      <w:r>
        <w:rPr>
          <w:rFonts w:ascii="Times New Roman" w:hAnsi="Times New Roman"/>
          <w:sz w:val="22"/>
          <w:szCs w:val="22"/>
        </w:rPr>
        <w:t>931 725</w:t>
      </w:r>
      <w:r w:rsidRPr="006E50E2">
        <w:rPr>
          <w:rFonts w:ascii="Times New Roman" w:hAnsi="Times New Roman"/>
          <w:sz w:val="22"/>
          <w:szCs w:val="22"/>
        </w:rPr>
        <w:t xml:space="preserve"> tis. eur. </w:t>
      </w:r>
      <w:r>
        <w:rPr>
          <w:rFonts w:ascii="Times New Roman" w:hAnsi="Times New Roman"/>
          <w:sz w:val="22"/>
          <w:szCs w:val="22"/>
        </w:rPr>
        <w:t>V ich skutočnom čerpaní 13 498 303</w:t>
      </w:r>
      <w:r w:rsidRPr="006E50E2">
        <w:rPr>
          <w:rFonts w:ascii="Times New Roman" w:hAnsi="Times New Roman"/>
          <w:sz w:val="22"/>
          <w:szCs w:val="22"/>
        </w:rPr>
        <w:t xml:space="preserve"> tis. eur</w:t>
      </w:r>
      <w:r>
        <w:rPr>
          <w:rFonts w:ascii="Times New Roman" w:hAnsi="Times New Roman"/>
          <w:sz w:val="22"/>
          <w:szCs w:val="22"/>
        </w:rPr>
        <w:t xml:space="preserve"> (2014: 13 441 150 tis. eur) sa odráža </w:t>
      </w:r>
      <w:r w:rsidR="00327108">
        <w:rPr>
          <w:rFonts w:ascii="Times New Roman" w:hAnsi="Times New Roman"/>
          <w:sz w:val="22"/>
          <w:szCs w:val="22"/>
        </w:rPr>
        <w:t xml:space="preserve">aj pokračujúca </w:t>
      </w:r>
      <w:r w:rsidRPr="006E50E2">
        <w:rPr>
          <w:rFonts w:ascii="Times New Roman" w:hAnsi="Times New Roman"/>
          <w:sz w:val="22"/>
          <w:szCs w:val="22"/>
        </w:rPr>
        <w:t>optimalizáci</w:t>
      </w:r>
      <w:r>
        <w:rPr>
          <w:rFonts w:ascii="Times New Roman" w:hAnsi="Times New Roman"/>
          <w:sz w:val="22"/>
          <w:szCs w:val="22"/>
        </w:rPr>
        <w:t>a</w:t>
      </w:r>
      <w:r w:rsidRPr="006E50E2">
        <w:rPr>
          <w:rFonts w:ascii="Times New Roman" w:hAnsi="Times New Roman"/>
          <w:sz w:val="22"/>
          <w:szCs w:val="22"/>
        </w:rPr>
        <w:t xml:space="preserve"> </w:t>
      </w:r>
      <w:r w:rsidR="00327108">
        <w:rPr>
          <w:rFonts w:ascii="Times New Roman" w:hAnsi="Times New Roman"/>
          <w:sz w:val="22"/>
          <w:szCs w:val="22"/>
        </w:rPr>
        <w:t xml:space="preserve">činností ústrednej správy </w:t>
      </w:r>
      <w:r>
        <w:rPr>
          <w:rFonts w:ascii="Times New Roman" w:hAnsi="Times New Roman"/>
          <w:sz w:val="22"/>
          <w:szCs w:val="22"/>
        </w:rPr>
        <w:t xml:space="preserve">v rámci vládneho Programu ESO. Celková úspora </w:t>
      </w:r>
      <w:r w:rsidR="00FA7958">
        <w:rPr>
          <w:rFonts w:ascii="Times New Roman" w:hAnsi="Times New Roman"/>
          <w:sz w:val="22"/>
          <w:szCs w:val="22"/>
        </w:rPr>
        <w:t xml:space="preserve">z plánovaných výdavkov </w:t>
      </w:r>
      <w:r>
        <w:rPr>
          <w:rFonts w:ascii="Times New Roman" w:hAnsi="Times New Roman"/>
          <w:sz w:val="22"/>
          <w:szCs w:val="22"/>
        </w:rPr>
        <w:t>dosiahla 9,6 % a</w:t>
      </w:r>
      <w:r w:rsidR="00AD13E4">
        <w:rPr>
          <w:rFonts w:ascii="Times New Roman" w:hAnsi="Times New Roman"/>
          <w:sz w:val="22"/>
          <w:szCs w:val="22"/>
        </w:rPr>
        <w:t xml:space="preserve"> </w:t>
      </w:r>
      <w:r>
        <w:rPr>
          <w:rFonts w:ascii="Times New Roman" w:hAnsi="Times New Roman"/>
          <w:sz w:val="22"/>
          <w:szCs w:val="22"/>
        </w:rPr>
        <w:t>prejavila sa najmä v kategórii tovarov a služieb a</w:t>
      </w:r>
      <w:r w:rsidR="00AD13E4">
        <w:rPr>
          <w:rFonts w:ascii="Times New Roman" w:hAnsi="Times New Roman"/>
          <w:sz w:val="22"/>
          <w:szCs w:val="22"/>
        </w:rPr>
        <w:t xml:space="preserve"> </w:t>
      </w:r>
      <w:r>
        <w:rPr>
          <w:rFonts w:ascii="Times New Roman" w:hAnsi="Times New Roman"/>
          <w:sz w:val="22"/>
          <w:szCs w:val="22"/>
        </w:rPr>
        <w:t>v kategórii bežných transferov.</w:t>
      </w:r>
    </w:p>
    <w:p w:rsidR="00B548CC" w:rsidP="00B548CC">
      <w:pPr>
        <w:bidi w:val="0"/>
        <w:spacing w:after="120" w:line="336" w:lineRule="auto"/>
        <w:jc w:val="both"/>
        <w:rPr>
          <w:rFonts w:ascii="Times New Roman" w:hAnsi="Times New Roman"/>
          <w:sz w:val="22"/>
          <w:szCs w:val="22"/>
        </w:rPr>
      </w:pPr>
      <w:r w:rsidRPr="006E50E2">
        <w:rPr>
          <w:rFonts w:ascii="Times New Roman" w:hAnsi="Times New Roman"/>
          <w:sz w:val="22"/>
          <w:szCs w:val="22"/>
        </w:rPr>
        <w:t>Prehľad bežných výdavkov v</w:t>
      </w:r>
      <w:r>
        <w:rPr>
          <w:rFonts w:ascii="Times New Roman" w:hAnsi="Times New Roman"/>
          <w:sz w:val="22"/>
          <w:szCs w:val="22"/>
        </w:rPr>
        <w:t> štruktúre rozpočtovej klasifikácie je uvedený v </w:t>
      </w:r>
      <w:r w:rsidRPr="006E50E2">
        <w:rPr>
          <w:rFonts w:ascii="Times New Roman" w:hAnsi="Times New Roman"/>
          <w:sz w:val="22"/>
          <w:szCs w:val="22"/>
        </w:rPr>
        <w:t>nasledovn</w:t>
      </w:r>
      <w:r>
        <w:rPr>
          <w:rFonts w:ascii="Times New Roman" w:hAnsi="Times New Roman"/>
          <w:sz w:val="22"/>
          <w:szCs w:val="22"/>
        </w:rPr>
        <w:t xml:space="preserve">ej </w:t>
      </w:r>
      <w:r w:rsidRPr="006E50E2">
        <w:rPr>
          <w:rFonts w:ascii="Times New Roman" w:hAnsi="Times New Roman"/>
          <w:sz w:val="22"/>
          <w:szCs w:val="22"/>
        </w:rPr>
        <w:t>tabuľk</w:t>
      </w:r>
      <w:r>
        <w:rPr>
          <w:rFonts w:ascii="Times New Roman" w:hAnsi="Times New Roman"/>
          <w:sz w:val="22"/>
          <w:szCs w:val="22"/>
        </w:rPr>
        <w:t>e</w:t>
      </w:r>
      <w:r w:rsidRPr="006E50E2">
        <w:rPr>
          <w:rFonts w:ascii="Times New Roman" w:hAnsi="Times New Roman"/>
          <w:sz w:val="22"/>
          <w:szCs w:val="22"/>
        </w:rPr>
        <w:t>:</w:t>
      </w:r>
    </w:p>
    <w:tbl>
      <w:tblPr>
        <w:tblStyle w:val="TableNormal"/>
        <w:tblW w:w="8946" w:type="dxa"/>
        <w:tblInd w:w="55" w:type="dxa"/>
        <w:tblLayout w:type="fixed"/>
        <w:tblCellMar>
          <w:left w:w="70" w:type="dxa"/>
          <w:right w:w="70" w:type="dxa"/>
        </w:tblCellMar>
        <w:tblLook w:val="04A0"/>
      </w:tblPr>
      <w:tblGrid>
        <w:gridCol w:w="2850"/>
        <w:gridCol w:w="993"/>
        <w:gridCol w:w="992"/>
        <w:gridCol w:w="1276"/>
        <w:gridCol w:w="1134"/>
        <w:gridCol w:w="992"/>
        <w:gridCol w:w="709"/>
      </w:tblGrid>
      <w:tr>
        <w:tblPrEx>
          <w:tblW w:w="8946" w:type="dxa"/>
          <w:tblInd w:w="55" w:type="dxa"/>
          <w:tblLayout w:type="fixed"/>
          <w:tblCellMar>
            <w:left w:w="70" w:type="dxa"/>
            <w:right w:w="70" w:type="dxa"/>
          </w:tblCellMar>
          <w:tblLook w:val="04A0"/>
        </w:tblPrEx>
        <w:trPr>
          <w:trHeight w:val="381"/>
        </w:trPr>
        <w:tc>
          <w:tcPr>
            <w:tcW w:w="8946" w:type="dxa"/>
            <w:gridSpan w:val="7"/>
            <w:tcBorders>
              <w:top w:val="nil"/>
              <w:left w:val="nil"/>
              <w:bottom w:val="nil"/>
              <w:right w:val="nil"/>
            </w:tcBorders>
            <w:shd w:val="clear" w:color="000000" w:fill="000000"/>
            <w:textDirection w:val="lrTb"/>
            <w:vAlign w:val="center"/>
            <w:hideMark/>
          </w:tcPr>
          <w:p w:rsidR="00FA7958" w:rsidRPr="00FA7958" w:rsidP="00812F26">
            <w:pPr>
              <w:bidi w:val="0"/>
              <w:rPr>
                <w:rFonts w:ascii="Times New Roman" w:hAnsi="Times New Roman"/>
                <w:b/>
                <w:bCs/>
                <w:color w:val="FFFFFF"/>
                <w:sz w:val="18"/>
                <w:szCs w:val="18"/>
              </w:rPr>
            </w:pPr>
            <w:r w:rsidRPr="00FA7958">
              <w:rPr>
                <w:rFonts w:ascii="Times New Roman" w:hAnsi="Times New Roman"/>
                <w:b/>
                <w:bCs/>
                <w:color w:val="FFFFFF"/>
                <w:sz w:val="18"/>
                <w:szCs w:val="18"/>
              </w:rPr>
              <w:t xml:space="preserve">Bežné výdavky podľa ekonomickej klasifikácie                                                                                          </w:t>
            </w:r>
            <w:r w:rsidR="00812F26">
              <w:rPr>
                <w:rFonts w:ascii="Times New Roman" w:hAnsi="Times New Roman"/>
                <w:b/>
                <w:bCs/>
                <w:color w:val="FFFFFF"/>
                <w:sz w:val="18"/>
                <w:szCs w:val="18"/>
              </w:rPr>
              <w:t xml:space="preserve"> </w:t>
            </w:r>
            <w:r w:rsidRPr="00FA7958">
              <w:rPr>
                <w:rFonts w:ascii="Times New Roman" w:hAnsi="Times New Roman"/>
                <w:b/>
                <w:bCs/>
                <w:color w:val="FFFFFF"/>
                <w:sz w:val="18"/>
                <w:szCs w:val="18"/>
              </w:rPr>
              <w:t xml:space="preserve">         v</w:t>
            </w:r>
            <w:r w:rsidR="00812F26">
              <w:rPr>
                <w:rFonts w:ascii="Times New Roman" w:hAnsi="Times New Roman"/>
                <w:b/>
                <w:bCs/>
                <w:color w:val="FFFFFF"/>
                <w:sz w:val="18"/>
                <w:szCs w:val="18"/>
              </w:rPr>
              <w:t> </w:t>
            </w:r>
            <w:r w:rsidRPr="00FA7958">
              <w:rPr>
                <w:rFonts w:ascii="Times New Roman" w:hAnsi="Times New Roman"/>
                <w:b/>
                <w:bCs/>
                <w:color w:val="FFFFFF"/>
                <w:sz w:val="18"/>
                <w:szCs w:val="18"/>
              </w:rPr>
              <w:t>tis</w:t>
            </w:r>
            <w:r w:rsidR="00812F26">
              <w:rPr>
                <w:rFonts w:ascii="Times New Roman" w:hAnsi="Times New Roman"/>
                <w:b/>
                <w:bCs/>
                <w:color w:val="FFFFFF"/>
                <w:sz w:val="18"/>
                <w:szCs w:val="18"/>
              </w:rPr>
              <w:t>.</w:t>
            </w:r>
            <w:r w:rsidRPr="00FA7958">
              <w:rPr>
                <w:rFonts w:ascii="Times New Roman" w:hAnsi="Times New Roman"/>
                <w:b/>
                <w:bCs/>
                <w:color w:val="FFFFFF"/>
                <w:sz w:val="18"/>
                <w:szCs w:val="18"/>
              </w:rPr>
              <w:t xml:space="preserve"> eur</w:t>
            </w:r>
          </w:p>
        </w:tc>
      </w:tr>
      <w:tr>
        <w:tblPrEx>
          <w:tblW w:w="8946" w:type="dxa"/>
          <w:tblInd w:w="55" w:type="dxa"/>
          <w:tblLayout w:type="fixed"/>
          <w:tblCellMar>
            <w:left w:w="70" w:type="dxa"/>
            <w:right w:w="70" w:type="dxa"/>
          </w:tblCellMar>
          <w:tblLook w:val="04A0"/>
        </w:tblPrEx>
        <w:trPr>
          <w:trHeight w:val="330"/>
        </w:trPr>
        <w:tc>
          <w:tcPr>
            <w:tcW w:w="2850" w:type="dxa"/>
            <w:vMerge w:val="restart"/>
            <w:tcBorders>
              <w:top w:val="nil"/>
              <w:left w:val="nil"/>
              <w:bottom w:val="nil"/>
              <w:right w:val="nil"/>
            </w:tcBorders>
            <w:shd w:val="clear" w:color="000000" w:fill="BFBFBF"/>
            <w:textDirection w:val="lrTb"/>
            <w:vAlign w:val="center"/>
            <w:hideMark/>
          </w:tcPr>
          <w:p w:rsidR="00FA7958" w:rsidRPr="00FA7958" w:rsidP="00FA7958">
            <w:pPr>
              <w:bidi w:val="0"/>
              <w:rPr>
                <w:rFonts w:ascii="Times New Roman" w:hAnsi="Times New Roman"/>
                <w:b/>
                <w:bCs/>
                <w:color w:val="000000"/>
                <w:sz w:val="18"/>
                <w:szCs w:val="18"/>
              </w:rPr>
            </w:pPr>
            <w:r w:rsidRPr="00FA7958">
              <w:rPr>
                <w:rFonts w:ascii="Times New Roman" w:hAnsi="Times New Roman"/>
                <w:b/>
                <w:bCs/>
                <w:color w:val="000000"/>
                <w:sz w:val="18"/>
                <w:szCs w:val="18"/>
              </w:rPr>
              <w:t xml:space="preserve"> </w:t>
            </w:r>
          </w:p>
        </w:tc>
        <w:tc>
          <w:tcPr>
            <w:tcW w:w="1985" w:type="dxa"/>
            <w:gridSpan w:val="2"/>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Skutočnosť</w:t>
            </w:r>
          </w:p>
        </w:tc>
        <w:tc>
          <w:tcPr>
            <w:tcW w:w="1276" w:type="dxa"/>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Rozpočet</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Skutočnosť</w:t>
            </w:r>
          </w:p>
        </w:tc>
        <w:tc>
          <w:tcPr>
            <w:tcW w:w="1701" w:type="dxa"/>
            <w:gridSpan w:val="2"/>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Rozdiel</w:t>
            </w:r>
          </w:p>
        </w:tc>
      </w:tr>
      <w:tr>
        <w:tblPrEx>
          <w:tblW w:w="8946" w:type="dxa"/>
          <w:tblInd w:w="55" w:type="dxa"/>
          <w:tblLayout w:type="fixed"/>
          <w:tblCellMar>
            <w:left w:w="70" w:type="dxa"/>
            <w:right w:w="70" w:type="dxa"/>
          </w:tblCellMar>
          <w:tblLook w:val="04A0"/>
        </w:tblPrEx>
        <w:trPr>
          <w:trHeight w:val="330"/>
        </w:trPr>
        <w:tc>
          <w:tcPr>
            <w:tcW w:w="2850" w:type="dxa"/>
            <w:vMerge/>
            <w:tcBorders>
              <w:top w:val="nil"/>
              <w:left w:val="nil"/>
              <w:bottom w:val="nil"/>
              <w:right w:val="nil"/>
            </w:tcBorders>
            <w:textDirection w:val="lrTb"/>
            <w:vAlign w:val="center"/>
            <w:hideMark/>
          </w:tcPr>
          <w:p w:rsidR="00FA7958" w:rsidRPr="00FA7958" w:rsidP="00FA7958">
            <w:pPr>
              <w:bidi w:val="0"/>
              <w:rPr>
                <w:rFonts w:ascii="Times New Roman" w:hAnsi="Times New Roman"/>
                <w:b/>
                <w:bCs/>
                <w:color w:val="000000"/>
                <w:sz w:val="18"/>
                <w:szCs w:val="18"/>
              </w:rPr>
            </w:pPr>
          </w:p>
        </w:tc>
        <w:tc>
          <w:tcPr>
            <w:tcW w:w="993" w:type="dxa"/>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2013</w:t>
            </w:r>
          </w:p>
        </w:tc>
        <w:tc>
          <w:tcPr>
            <w:tcW w:w="992" w:type="dxa"/>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2014</w:t>
            </w:r>
          </w:p>
        </w:tc>
        <w:tc>
          <w:tcPr>
            <w:tcW w:w="1276" w:type="dxa"/>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2015</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2015</w:t>
            </w:r>
          </w:p>
        </w:tc>
        <w:tc>
          <w:tcPr>
            <w:tcW w:w="992" w:type="dxa"/>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v tis. eur</w:t>
            </w:r>
          </w:p>
        </w:tc>
        <w:tc>
          <w:tcPr>
            <w:tcW w:w="709" w:type="dxa"/>
            <w:tcBorders>
              <w:top w:val="nil"/>
              <w:left w:val="nil"/>
              <w:bottom w:val="nil"/>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v %</w:t>
            </w:r>
          </w:p>
        </w:tc>
      </w:tr>
      <w:tr>
        <w:tblPrEx>
          <w:tblW w:w="8946" w:type="dxa"/>
          <w:tblInd w:w="55" w:type="dxa"/>
          <w:tblLayout w:type="fixed"/>
          <w:tblCellMar>
            <w:left w:w="70" w:type="dxa"/>
            <w:right w:w="70" w:type="dxa"/>
          </w:tblCellMar>
          <w:tblLook w:val="04A0"/>
        </w:tblPrEx>
        <w:trPr>
          <w:trHeight w:val="345"/>
        </w:trPr>
        <w:tc>
          <w:tcPr>
            <w:tcW w:w="2850" w:type="dxa"/>
            <w:tcBorders>
              <w:top w:val="nil"/>
              <w:left w:val="nil"/>
              <w:bottom w:val="single" w:sz="8" w:space="0" w:color="auto"/>
              <w:right w:val="nil"/>
            </w:tcBorders>
            <w:shd w:val="clear" w:color="000000" w:fill="BFBFBF"/>
            <w:textDirection w:val="lrTb"/>
            <w:vAlign w:val="center"/>
            <w:hideMark/>
          </w:tcPr>
          <w:p w:rsidR="00FA7958" w:rsidRPr="00FA7958" w:rsidP="00FA7958">
            <w:pPr>
              <w:bidi w:val="0"/>
              <w:rPr>
                <w:rFonts w:ascii="Times New Roman" w:hAnsi="Times New Roman"/>
                <w:color w:val="000000"/>
                <w:sz w:val="18"/>
                <w:szCs w:val="18"/>
              </w:rPr>
            </w:pPr>
            <w:r w:rsidRPr="00FA7958">
              <w:rPr>
                <w:rFonts w:ascii="Times New Roman" w:hAnsi="Times New Roman"/>
                <w:color w:val="000000"/>
                <w:sz w:val="18"/>
                <w:szCs w:val="18"/>
              </w:rPr>
              <w:t> </w:t>
            </w:r>
          </w:p>
        </w:tc>
        <w:tc>
          <w:tcPr>
            <w:tcW w:w="993" w:type="dxa"/>
            <w:tcBorders>
              <w:top w:val="nil"/>
              <w:left w:val="nil"/>
              <w:bottom w:val="single" w:sz="8" w:space="0" w:color="auto"/>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1</w:t>
            </w:r>
          </w:p>
        </w:tc>
        <w:tc>
          <w:tcPr>
            <w:tcW w:w="992" w:type="dxa"/>
            <w:tcBorders>
              <w:top w:val="nil"/>
              <w:left w:val="nil"/>
              <w:bottom w:val="single" w:sz="8" w:space="0" w:color="auto"/>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2</w:t>
            </w:r>
          </w:p>
        </w:tc>
        <w:tc>
          <w:tcPr>
            <w:tcW w:w="1276" w:type="dxa"/>
            <w:tcBorders>
              <w:top w:val="nil"/>
              <w:left w:val="nil"/>
              <w:bottom w:val="single" w:sz="8" w:space="0" w:color="auto"/>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3</w:t>
            </w:r>
          </w:p>
        </w:tc>
        <w:tc>
          <w:tcPr>
            <w:tcW w:w="1134" w:type="dxa"/>
            <w:tcBorders>
              <w:top w:val="nil"/>
              <w:left w:val="nil"/>
              <w:bottom w:val="single" w:sz="8" w:space="0" w:color="auto"/>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4</w:t>
            </w:r>
          </w:p>
        </w:tc>
        <w:tc>
          <w:tcPr>
            <w:tcW w:w="992" w:type="dxa"/>
            <w:tcBorders>
              <w:top w:val="nil"/>
              <w:left w:val="nil"/>
              <w:bottom w:val="single" w:sz="8" w:space="0" w:color="auto"/>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5=4-3</w:t>
            </w:r>
          </w:p>
        </w:tc>
        <w:tc>
          <w:tcPr>
            <w:tcW w:w="709" w:type="dxa"/>
            <w:tcBorders>
              <w:top w:val="nil"/>
              <w:left w:val="nil"/>
              <w:bottom w:val="single" w:sz="8" w:space="0" w:color="auto"/>
              <w:right w:val="nil"/>
            </w:tcBorders>
            <w:shd w:val="clear" w:color="000000" w:fill="BFBFBF"/>
            <w:noWrap/>
            <w:textDirection w:val="lrTb"/>
            <w:vAlign w:val="center"/>
            <w:hideMark/>
          </w:tcPr>
          <w:p w:rsidR="00FA7958" w:rsidRPr="00FA7958" w:rsidP="00FA7958">
            <w:pPr>
              <w:bidi w:val="0"/>
              <w:jc w:val="center"/>
              <w:rPr>
                <w:rFonts w:ascii="Times New Roman" w:hAnsi="Times New Roman"/>
                <w:b/>
                <w:bCs/>
                <w:color w:val="000000"/>
                <w:sz w:val="18"/>
                <w:szCs w:val="18"/>
              </w:rPr>
            </w:pPr>
            <w:r w:rsidRPr="00FA7958">
              <w:rPr>
                <w:rFonts w:ascii="Times New Roman" w:hAnsi="Times New Roman"/>
                <w:b/>
                <w:bCs/>
                <w:color w:val="000000"/>
                <w:sz w:val="18"/>
                <w:szCs w:val="18"/>
              </w:rPr>
              <w:t>6=4-3</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color w:val="000000"/>
                <w:sz w:val="18"/>
                <w:szCs w:val="18"/>
              </w:rPr>
            </w:pPr>
            <w:r w:rsidRPr="00FA7958">
              <w:rPr>
                <w:rFonts w:ascii="Times New Roman" w:hAnsi="Times New Roman"/>
                <w:color w:val="000000"/>
                <w:sz w:val="18"/>
                <w:szCs w:val="18"/>
              </w:rPr>
              <w:t>Mzdy, platy, služobné príjmy a ostatné osobné vyrovnania</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1 548 405</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1 626 366</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1 545 754</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1 677 390</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131 636</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8,5</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color w:val="000000"/>
                <w:sz w:val="18"/>
                <w:szCs w:val="18"/>
              </w:rPr>
            </w:pPr>
            <w:r w:rsidRPr="00FA7958">
              <w:rPr>
                <w:rFonts w:ascii="Times New Roman" w:hAnsi="Times New Roman"/>
                <w:color w:val="000000"/>
                <w:sz w:val="18"/>
                <w:szCs w:val="18"/>
              </w:rPr>
              <w:t>Poistné a príspevok do poisťovní</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544 941</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579 308</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540 556</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604 645</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64 089</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11,9</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color w:val="000000"/>
                <w:sz w:val="18"/>
                <w:szCs w:val="18"/>
              </w:rPr>
            </w:pPr>
            <w:r w:rsidRPr="00FA7958">
              <w:rPr>
                <w:rFonts w:ascii="Times New Roman" w:hAnsi="Times New Roman"/>
                <w:color w:val="000000"/>
                <w:sz w:val="18"/>
                <w:szCs w:val="18"/>
              </w:rPr>
              <w:t>Tovary a služby</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1 282 033</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1 443 262</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2 446 363</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1 590 167</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-856 196</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-35</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color w:val="000000"/>
                <w:sz w:val="18"/>
                <w:szCs w:val="18"/>
              </w:rPr>
            </w:pPr>
            <w:r w:rsidRPr="00FA7958">
              <w:rPr>
                <w:rFonts w:ascii="Times New Roman" w:hAnsi="Times New Roman"/>
                <w:color w:val="000000"/>
                <w:sz w:val="18"/>
                <w:szCs w:val="18"/>
              </w:rPr>
              <w:t>Bežné transfery</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9 588 528</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9 791 940</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10 398 782</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9 625 831</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-772 951</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-7,4</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color w:val="000000"/>
                <w:sz w:val="18"/>
                <w:szCs w:val="18"/>
              </w:rPr>
            </w:pPr>
            <w:r w:rsidRPr="00FA7958">
              <w:rPr>
                <w:rFonts w:ascii="Times New Roman" w:hAnsi="Times New Roman"/>
                <w:color w:val="000000"/>
                <w:sz w:val="18"/>
                <w:szCs w:val="18"/>
              </w:rPr>
              <w:t>v tom</w:t>
            </w:r>
            <w:r w:rsidRPr="00FA7958">
              <w:rPr>
                <w:rFonts w:ascii="Times New Roman" w:hAnsi="Times New Roman"/>
                <w:i/>
                <w:iCs/>
                <w:color w:val="000000"/>
                <w:sz w:val="18"/>
                <w:szCs w:val="18"/>
              </w:rPr>
              <w:t xml:space="preserve">: </w:t>
            </w:r>
          </w:p>
        </w:tc>
        <w:tc>
          <w:tcPr>
            <w:tcW w:w="993" w:type="dxa"/>
            <w:tcBorders>
              <w:top w:val="nil"/>
              <w:left w:val="nil"/>
              <w:bottom w:val="nil"/>
              <w:right w:val="nil"/>
            </w:tcBorders>
            <w:noWrap/>
            <w:textDirection w:val="lrTb"/>
            <w:vAlign w:val="center"/>
            <w:hideMark/>
          </w:tcPr>
          <w:p w:rsidR="00FA7958" w:rsidRPr="00FA7958" w:rsidP="00FA7958">
            <w:pPr>
              <w:bidi w:val="0"/>
              <w:rPr>
                <w:rFonts w:ascii="Arial Narrow" w:hAnsi="Arial Narrow"/>
                <w:color w:val="000000"/>
                <w:sz w:val="20"/>
                <w:szCs w:val="20"/>
              </w:rPr>
            </w:pPr>
          </w:p>
        </w:tc>
        <w:tc>
          <w:tcPr>
            <w:tcW w:w="992" w:type="dxa"/>
            <w:tcBorders>
              <w:top w:val="nil"/>
              <w:left w:val="nil"/>
              <w:bottom w:val="nil"/>
              <w:right w:val="nil"/>
            </w:tcBorders>
            <w:noWrap/>
            <w:textDirection w:val="lrTb"/>
            <w:vAlign w:val="center"/>
            <w:hideMark/>
          </w:tcPr>
          <w:p w:rsidR="00FA7958" w:rsidRPr="00FA7958" w:rsidP="00FA7958">
            <w:pPr>
              <w:bidi w:val="0"/>
              <w:rPr>
                <w:rFonts w:ascii="Arial Narrow" w:hAnsi="Arial Narrow"/>
                <w:color w:val="000000"/>
                <w:sz w:val="20"/>
                <w:szCs w:val="20"/>
              </w:rPr>
            </w:pPr>
          </w:p>
        </w:tc>
        <w:tc>
          <w:tcPr>
            <w:tcW w:w="1276" w:type="dxa"/>
            <w:tcBorders>
              <w:top w:val="nil"/>
              <w:left w:val="nil"/>
              <w:bottom w:val="nil"/>
              <w:right w:val="nil"/>
            </w:tcBorders>
            <w:noWrap/>
            <w:textDirection w:val="lrTb"/>
            <w:vAlign w:val="center"/>
            <w:hideMark/>
          </w:tcPr>
          <w:p w:rsidR="00FA7958" w:rsidRPr="00FA7958" w:rsidP="00FA7958">
            <w:pPr>
              <w:bidi w:val="0"/>
              <w:rPr>
                <w:rFonts w:ascii="Arial Narrow" w:hAnsi="Arial Narrow"/>
                <w:color w:val="000000"/>
                <w:sz w:val="20"/>
                <w:szCs w:val="20"/>
              </w:rPr>
            </w:pP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 </w:t>
            </w:r>
          </w:p>
        </w:tc>
        <w:tc>
          <w:tcPr>
            <w:tcW w:w="992" w:type="dxa"/>
            <w:tcBorders>
              <w:top w:val="nil"/>
              <w:left w:val="nil"/>
              <w:bottom w:val="nil"/>
              <w:right w:val="nil"/>
            </w:tcBorders>
            <w:noWrap/>
            <w:textDirection w:val="lrTb"/>
            <w:vAlign w:val="center"/>
            <w:hideMark/>
          </w:tcPr>
          <w:p w:rsidR="00FA7958" w:rsidRPr="00FA7958" w:rsidP="00FA7958">
            <w:pPr>
              <w:bidi w:val="0"/>
              <w:rPr>
                <w:rFonts w:ascii="Arial Narrow" w:hAnsi="Arial Narrow"/>
                <w:color w:val="000000"/>
                <w:sz w:val="20"/>
                <w:szCs w:val="20"/>
              </w:rPr>
            </w:pPr>
          </w:p>
        </w:tc>
        <w:tc>
          <w:tcPr>
            <w:tcW w:w="709" w:type="dxa"/>
            <w:tcBorders>
              <w:top w:val="nil"/>
              <w:left w:val="nil"/>
              <w:bottom w:val="nil"/>
              <w:right w:val="nil"/>
            </w:tcBorders>
            <w:noWrap/>
            <w:textDirection w:val="lrTb"/>
            <w:vAlign w:val="center"/>
            <w:hideMark/>
          </w:tcPr>
          <w:p w:rsidR="00FA7958" w:rsidRPr="00FA7958" w:rsidP="00FA7958">
            <w:pPr>
              <w:bidi w:val="0"/>
              <w:rPr>
                <w:rFonts w:ascii="Arial Narrow" w:hAnsi="Arial Narrow"/>
                <w:color w:val="000000"/>
                <w:sz w:val="20"/>
                <w:szCs w:val="20"/>
              </w:rPr>
            </w:pP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i/>
                <w:iCs/>
                <w:color w:val="000000"/>
                <w:sz w:val="18"/>
                <w:szCs w:val="18"/>
              </w:rPr>
            </w:pPr>
            <w:r w:rsidRPr="00FA7958">
              <w:rPr>
                <w:rFonts w:ascii="Times New Roman" w:hAnsi="Times New Roman"/>
                <w:i/>
                <w:iCs/>
                <w:color w:val="000000"/>
                <w:sz w:val="18"/>
                <w:szCs w:val="18"/>
              </w:rPr>
              <w:t>v rámci verejnej správy</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3 986 090</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4 699 535</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4 556 941</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4 405 975</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-150 966</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-3,3</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i/>
                <w:iCs/>
                <w:color w:val="000000"/>
                <w:sz w:val="18"/>
                <w:szCs w:val="18"/>
              </w:rPr>
            </w:pPr>
            <w:r w:rsidRPr="00FA7958">
              <w:rPr>
                <w:rFonts w:ascii="Times New Roman" w:hAnsi="Times New Roman"/>
                <w:i/>
                <w:iCs/>
                <w:color w:val="000000"/>
                <w:sz w:val="18"/>
                <w:szCs w:val="18"/>
              </w:rPr>
              <w:t>jednotlivcom a neziskovým právnickým osobám</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3 590 752</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3 510 557</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3 917 505</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3 691 591</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-225 914</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-5,8</w:t>
            </w:r>
          </w:p>
        </w:tc>
      </w:tr>
      <w:tr>
        <w:tblPrEx>
          <w:tblW w:w="8946" w:type="dxa"/>
          <w:tblInd w:w="55" w:type="dxa"/>
          <w:tblLayout w:type="fixed"/>
          <w:tblCellMar>
            <w:left w:w="70" w:type="dxa"/>
            <w:right w:w="70" w:type="dxa"/>
          </w:tblCellMar>
          <w:tblLook w:val="04A0"/>
        </w:tblPrEx>
        <w:trPr>
          <w:trHeight w:val="48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i/>
                <w:iCs/>
                <w:color w:val="000000"/>
                <w:sz w:val="18"/>
                <w:szCs w:val="18"/>
              </w:rPr>
            </w:pPr>
            <w:r w:rsidRPr="00FA7958">
              <w:rPr>
                <w:rFonts w:ascii="Times New Roman" w:hAnsi="Times New Roman"/>
                <w:i/>
                <w:iCs/>
                <w:color w:val="000000"/>
                <w:sz w:val="18"/>
                <w:szCs w:val="18"/>
              </w:rPr>
              <w:t>nefin. subjektom a transfery PO nezaradeným vo verejnej správe</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1 216 911</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847 188</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1 066 751</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859 603</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-207 148</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-19,4</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i/>
                <w:iCs/>
                <w:color w:val="000000"/>
                <w:sz w:val="18"/>
                <w:szCs w:val="18"/>
              </w:rPr>
            </w:pPr>
            <w:r w:rsidRPr="00FA7958">
              <w:rPr>
                <w:rFonts w:ascii="Times New Roman" w:hAnsi="Times New Roman"/>
                <w:i/>
                <w:iCs/>
                <w:color w:val="000000"/>
                <w:sz w:val="18"/>
                <w:szCs w:val="18"/>
              </w:rPr>
              <w:t>do tuzemských finančných inštitúcií</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855</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1 565</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2 700</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2 023</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-677</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-25,1</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nil"/>
              <w:right w:val="nil"/>
            </w:tcBorders>
            <w:textDirection w:val="lrTb"/>
            <w:vAlign w:val="center"/>
            <w:hideMark/>
          </w:tcPr>
          <w:p w:rsidR="00FA7958" w:rsidRPr="00FA7958" w:rsidP="00FA7958">
            <w:pPr>
              <w:bidi w:val="0"/>
              <w:rPr>
                <w:rFonts w:ascii="Times New Roman" w:hAnsi="Times New Roman"/>
                <w:i/>
                <w:iCs/>
                <w:color w:val="000000"/>
                <w:sz w:val="18"/>
                <w:szCs w:val="18"/>
              </w:rPr>
            </w:pPr>
            <w:r w:rsidRPr="00FA7958">
              <w:rPr>
                <w:rFonts w:ascii="Times New Roman" w:hAnsi="Times New Roman"/>
                <w:i/>
                <w:iCs/>
                <w:color w:val="000000"/>
                <w:sz w:val="18"/>
                <w:szCs w:val="18"/>
              </w:rPr>
              <w:t>do zahraničia</w:t>
            </w:r>
          </w:p>
        </w:tc>
        <w:tc>
          <w:tcPr>
            <w:tcW w:w="993"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793 920</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733 095</w:t>
            </w:r>
          </w:p>
        </w:tc>
        <w:tc>
          <w:tcPr>
            <w:tcW w:w="1276"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854 885</w:t>
            </w:r>
          </w:p>
        </w:tc>
        <w:tc>
          <w:tcPr>
            <w:tcW w:w="1134" w:type="dxa"/>
            <w:tcBorders>
              <w:top w:val="nil"/>
              <w:left w:val="nil"/>
              <w:bottom w:val="nil"/>
              <w:right w:val="nil"/>
            </w:tcBorders>
            <w:shd w:val="clear" w:color="000000" w:fill="BFBFBF"/>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666 639</w:t>
            </w:r>
          </w:p>
        </w:tc>
        <w:tc>
          <w:tcPr>
            <w:tcW w:w="992"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-188 246</w:t>
            </w:r>
          </w:p>
        </w:tc>
        <w:tc>
          <w:tcPr>
            <w:tcW w:w="709" w:type="dxa"/>
            <w:tcBorders>
              <w:top w:val="nil"/>
              <w:left w:val="nil"/>
              <w:bottom w:val="nil"/>
              <w:right w:val="nil"/>
            </w:tcBorders>
            <w:noWrap/>
            <w:textDirection w:val="lrTb"/>
            <w:vAlign w:val="center"/>
            <w:hideMark/>
          </w:tcPr>
          <w:p w:rsidR="00FA7958" w:rsidRPr="00FA7958" w:rsidP="00FA7958">
            <w:pPr>
              <w:bidi w:val="0"/>
              <w:jc w:val="right"/>
              <w:rPr>
                <w:rFonts w:ascii="Times New Roman" w:hAnsi="Times New Roman"/>
                <w:i/>
                <w:iCs/>
                <w:color w:val="000000"/>
                <w:sz w:val="18"/>
                <w:szCs w:val="18"/>
              </w:rPr>
            </w:pPr>
            <w:r w:rsidRPr="00FA7958">
              <w:rPr>
                <w:rFonts w:ascii="Times New Roman" w:hAnsi="Times New Roman"/>
                <w:i/>
                <w:iCs/>
                <w:color w:val="000000"/>
                <w:sz w:val="18"/>
                <w:szCs w:val="18"/>
              </w:rPr>
              <w:t>-22</w:t>
            </w:r>
          </w:p>
        </w:tc>
      </w:tr>
      <w:tr>
        <w:tblPrEx>
          <w:tblW w:w="8946" w:type="dxa"/>
          <w:tblInd w:w="55" w:type="dxa"/>
          <w:tblLayout w:type="fixed"/>
          <w:tblCellMar>
            <w:left w:w="70" w:type="dxa"/>
            <w:right w:w="70" w:type="dxa"/>
          </w:tblCellMar>
          <w:tblLook w:val="04A0"/>
        </w:tblPrEx>
        <w:trPr>
          <w:trHeight w:val="330"/>
        </w:trPr>
        <w:tc>
          <w:tcPr>
            <w:tcW w:w="2850" w:type="dxa"/>
            <w:tcBorders>
              <w:top w:val="nil"/>
              <w:left w:val="nil"/>
              <w:bottom w:val="single" w:sz="8" w:space="0" w:color="auto"/>
              <w:right w:val="nil"/>
            </w:tcBorders>
            <w:textDirection w:val="lrTb"/>
            <w:vAlign w:val="center"/>
            <w:hideMark/>
          </w:tcPr>
          <w:p w:rsidR="00FA7958" w:rsidRPr="00FA7958" w:rsidP="00FA7958">
            <w:pPr>
              <w:bidi w:val="0"/>
              <w:rPr>
                <w:rFonts w:ascii="Times New Roman" w:hAnsi="Times New Roman"/>
                <w:color w:val="000000"/>
                <w:sz w:val="18"/>
                <w:szCs w:val="18"/>
              </w:rPr>
            </w:pPr>
            <w:r w:rsidRPr="00FA7958">
              <w:rPr>
                <w:rFonts w:ascii="Times New Roman" w:hAnsi="Times New Roman"/>
                <w:color w:val="000000"/>
                <w:sz w:val="18"/>
                <w:szCs w:val="18"/>
              </w:rPr>
              <w:t>Splácanie úrokov a platby súvisiace s úverom</w:t>
            </w:r>
          </w:p>
        </w:tc>
        <w:tc>
          <w:tcPr>
            <w:tcW w:w="993" w:type="dxa"/>
            <w:tcBorders>
              <w:top w:val="nil"/>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353</w:t>
            </w:r>
          </w:p>
        </w:tc>
        <w:tc>
          <w:tcPr>
            <w:tcW w:w="992" w:type="dxa"/>
            <w:tcBorders>
              <w:top w:val="nil"/>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274</w:t>
            </w:r>
          </w:p>
        </w:tc>
        <w:tc>
          <w:tcPr>
            <w:tcW w:w="1276" w:type="dxa"/>
            <w:tcBorders>
              <w:top w:val="nil"/>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270</w:t>
            </w:r>
          </w:p>
        </w:tc>
        <w:tc>
          <w:tcPr>
            <w:tcW w:w="1134" w:type="dxa"/>
            <w:tcBorders>
              <w:top w:val="nil"/>
              <w:left w:val="nil"/>
              <w:bottom w:val="single" w:sz="8" w:space="0" w:color="auto"/>
              <w:right w:val="nil"/>
            </w:tcBorders>
            <w:shd w:val="clear" w:color="000000" w:fill="BFBFBF"/>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270</w:t>
            </w:r>
          </w:p>
        </w:tc>
        <w:tc>
          <w:tcPr>
            <w:tcW w:w="992" w:type="dxa"/>
            <w:tcBorders>
              <w:top w:val="nil"/>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0</w:t>
            </w:r>
          </w:p>
        </w:tc>
        <w:tc>
          <w:tcPr>
            <w:tcW w:w="709" w:type="dxa"/>
            <w:tcBorders>
              <w:top w:val="nil"/>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color w:val="000000"/>
                <w:sz w:val="18"/>
                <w:szCs w:val="18"/>
              </w:rPr>
            </w:pPr>
            <w:r w:rsidRPr="00FA7958">
              <w:rPr>
                <w:rFonts w:ascii="Times New Roman" w:hAnsi="Times New Roman"/>
                <w:color w:val="000000"/>
                <w:sz w:val="18"/>
                <w:szCs w:val="18"/>
              </w:rPr>
              <w:t>0</w:t>
            </w:r>
          </w:p>
        </w:tc>
      </w:tr>
      <w:tr>
        <w:tblPrEx>
          <w:tblW w:w="8946" w:type="dxa"/>
          <w:tblInd w:w="55" w:type="dxa"/>
          <w:tblLayout w:type="fixed"/>
          <w:tblCellMar>
            <w:left w:w="70" w:type="dxa"/>
            <w:right w:w="70" w:type="dxa"/>
          </w:tblCellMar>
          <w:tblLook w:val="04A0"/>
        </w:tblPrEx>
        <w:trPr>
          <w:trHeight w:val="170"/>
        </w:trPr>
        <w:tc>
          <w:tcPr>
            <w:tcW w:w="2850" w:type="dxa"/>
            <w:tcBorders>
              <w:top w:val="single" w:sz="8" w:space="0" w:color="auto"/>
              <w:left w:val="nil"/>
              <w:bottom w:val="single" w:sz="8" w:space="0" w:color="auto"/>
              <w:right w:val="nil"/>
            </w:tcBorders>
            <w:textDirection w:val="lrTb"/>
            <w:vAlign w:val="center"/>
            <w:hideMark/>
          </w:tcPr>
          <w:p w:rsidR="00FA7958" w:rsidRPr="00FA7958" w:rsidP="00FA7958">
            <w:pPr>
              <w:bidi w:val="0"/>
              <w:rPr>
                <w:rFonts w:ascii="Times New Roman" w:hAnsi="Times New Roman"/>
                <w:b/>
                <w:bCs/>
                <w:color w:val="000000"/>
                <w:sz w:val="18"/>
                <w:szCs w:val="18"/>
              </w:rPr>
            </w:pPr>
            <w:r w:rsidRPr="00FA7958">
              <w:rPr>
                <w:rFonts w:ascii="Times New Roman" w:hAnsi="Times New Roman"/>
                <w:b/>
                <w:bCs/>
                <w:color w:val="000000"/>
                <w:sz w:val="18"/>
                <w:szCs w:val="18"/>
              </w:rPr>
              <w:t>Bežné výdavky spolu</w:t>
            </w:r>
          </w:p>
        </w:tc>
        <w:tc>
          <w:tcPr>
            <w:tcW w:w="993" w:type="dxa"/>
            <w:tcBorders>
              <w:top w:val="single" w:sz="8" w:space="0" w:color="auto"/>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b/>
                <w:bCs/>
                <w:color w:val="000000"/>
                <w:sz w:val="18"/>
                <w:szCs w:val="18"/>
              </w:rPr>
            </w:pPr>
            <w:r w:rsidRPr="00FA7958">
              <w:rPr>
                <w:rFonts w:ascii="Times New Roman" w:hAnsi="Times New Roman"/>
                <w:b/>
                <w:bCs/>
                <w:color w:val="000000"/>
                <w:sz w:val="18"/>
                <w:szCs w:val="18"/>
              </w:rPr>
              <w:t>12 964 260</w:t>
            </w:r>
          </w:p>
        </w:tc>
        <w:tc>
          <w:tcPr>
            <w:tcW w:w="992" w:type="dxa"/>
            <w:tcBorders>
              <w:top w:val="single" w:sz="8" w:space="0" w:color="auto"/>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b/>
                <w:bCs/>
                <w:color w:val="000000"/>
                <w:sz w:val="18"/>
                <w:szCs w:val="18"/>
              </w:rPr>
            </w:pPr>
            <w:r w:rsidRPr="00FA7958">
              <w:rPr>
                <w:rFonts w:ascii="Times New Roman" w:hAnsi="Times New Roman"/>
                <w:b/>
                <w:bCs/>
                <w:color w:val="000000"/>
                <w:sz w:val="18"/>
                <w:szCs w:val="18"/>
              </w:rPr>
              <w:t>13 441 150</w:t>
            </w:r>
          </w:p>
        </w:tc>
        <w:tc>
          <w:tcPr>
            <w:tcW w:w="1276" w:type="dxa"/>
            <w:tcBorders>
              <w:top w:val="single" w:sz="8" w:space="0" w:color="auto"/>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b/>
                <w:bCs/>
                <w:color w:val="000000"/>
                <w:sz w:val="18"/>
                <w:szCs w:val="18"/>
              </w:rPr>
            </w:pPr>
            <w:r w:rsidRPr="00FA7958">
              <w:rPr>
                <w:rFonts w:ascii="Times New Roman" w:hAnsi="Times New Roman"/>
                <w:b/>
                <w:bCs/>
                <w:color w:val="000000"/>
                <w:sz w:val="18"/>
                <w:szCs w:val="18"/>
              </w:rPr>
              <w:t>14 931 725</w:t>
            </w:r>
          </w:p>
        </w:tc>
        <w:tc>
          <w:tcPr>
            <w:tcW w:w="1134" w:type="dxa"/>
            <w:tcBorders>
              <w:top w:val="single" w:sz="8" w:space="0" w:color="auto"/>
              <w:left w:val="nil"/>
              <w:bottom w:val="single" w:sz="8" w:space="0" w:color="auto"/>
              <w:right w:val="nil"/>
            </w:tcBorders>
            <w:shd w:val="clear" w:color="000000" w:fill="BFBFBF"/>
            <w:noWrap/>
            <w:textDirection w:val="lrTb"/>
            <w:vAlign w:val="center"/>
            <w:hideMark/>
          </w:tcPr>
          <w:p w:rsidR="00FA7958" w:rsidRPr="00FA7958" w:rsidP="00FA7958">
            <w:pPr>
              <w:bidi w:val="0"/>
              <w:jc w:val="right"/>
              <w:rPr>
                <w:rFonts w:ascii="Times New Roman" w:hAnsi="Times New Roman"/>
                <w:b/>
                <w:bCs/>
                <w:color w:val="000000"/>
                <w:sz w:val="18"/>
                <w:szCs w:val="18"/>
              </w:rPr>
            </w:pPr>
            <w:r w:rsidRPr="00FA7958">
              <w:rPr>
                <w:rFonts w:ascii="Times New Roman" w:hAnsi="Times New Roman"/>
                <w:b/>
                <w:bCs/>
                <w:color w:val="000000"/>
                <w:sz w:val="18"/>
                <w:szCs w:val="18"/>
              </w:rPr>
              <w:t>13 498 303</w:t>
            </w:r>
          </w:p>
        </w:tc>
        <w:tc>
          <w:tcPr>
            <w:tcW w:w="992" w:type="dxa"/>
            <w:tcBorders>
              <w:top w:val="single" w:sz="8" w:space="0" w:color="auto"/>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b/>
                <w:bCs/>
                <w:color w:val="000000"/>
                <w:sz w:val="18"/>
                <w:szCs w:val="18"/>
              </w:rPr>
            </w:pPr>
            <w:r w:rsidRPr="00FA7958">
              <w:rPr>
                <w:rFonts w:ascii="Times New Roman" w:hAnsi="Times New Roman"/>
                <w:b/>
                <w:bCs/>
                <w:color w:val="000000"/>
                <w:sz w:val="18"/>
                <w:szCs w:val="18"/>
              </w:rPr>
              <w:t>-1 433 422</w:t>
            </w:r>
          </w:p>
        </w:tc>
        <w:tc>
          <w:tcPr>
            <w:tcW w:w="709" w:type="dxa"/>
            <w:tcBorders>
              <w:top w:val="single" w:sz="8" w:space="0" w:color="auto"/>
              <w:left w:val="nil"/>
              <w:bottom w:val="single" w:sz="8" w:space="0" w:color="auto"/>
              <w:right w:val="nil"/>
            </w:tcBorders>
            <w:noWrap/>
            <w:textDirection w:val="lrTb"/>
            <w:vAlign w:val="center"/>
            <w:hideMark/>
          </w:tcPr>
          <w:p w:rsidR="00FA7958" w:rsidRPr="00FA7958" w:rsidP="00FA7958">
            <w:pPr>
              <w:bidi w:val="0"/>
              <w:jc w:val="right"/>
              <w:rPr>
                <w:rFonts w:ascii="Times New Roman" w:hAnsi="Times New Roman"/>
                <w:b/>
                <w:bCs/>
                <w:color w:val="000000"/>
                <w:sz w:val="18"/>
                <w:szCs w:val="18"/>
              </w:rPr>
            </w:pPr>
            <w:r w:rsidRPr="00FA7958">
              <w:rPr>
                <w:rFonts w:ascii="Times New Roman" w:hAnsi="Times New Roman"/>
                <w:b/>
                <w:bCs/>
                <w:color w:val="000000"/>
                <w:sz w:val="18"/>
                <w:szCs w:val="18"/>
              </w:rPr>
              <w:t>-9,6</w:t>
            </w:r>
          </w:p>
        </w:tc>
      </w:tr>
    </w:tbl>
    <w:p w:rsidR="00BA058B" w:rsidRPr="00C35A1D" w:rsidP="00C35A1D">
      <w:pPr>
        <w:bidi w:val="0"/>
        <w:spacing w:after="120" w:line="360" w:lineRule="auto"/>
        <w:jc w:val="right"/>
        <w:rPr>
          <w:rFonts w:ascii="Times New Roman" w:hAnsi="Times New Roman"/>
          <w:sz w:val="18"/>
          <w:szCs w:val="18"/>
        </w:rPr>
      </w:pPr>
      <w:r w:rsidRPr="00C35A1D">
        <w:rPr>
          <w:rFonts w:ascii="Times New Roman" w:hAnsi="Times New Roman"/>
          <w:sz w:val="18"/>
          <w:szCs w:val="18"/>
        </w:rPr>
        <w:t>Zdroj: MF SR</w:t>
      </w:r>
    </w:p>
    <w:p w:rsidR="00B548CC" w:rsidRPr="00AD13E4" w:rsidP="002250E3">
      <w:pPr>
        <w:numPr>
          <w:numId w:val="28"/>
        </w:numPr>
        <w:bidi w:val="0"/>
        <w:spacing w:after="120" w:line="336" w:lineRule="auto"/>
        <w:ind w:left="0" w:firstLine="0"/>
        <w:rPr>
          <w:rFonts w:ascii="Times New Roman" w:hAnsi="Times New Roman"/>
          <w:b/>
          <w:sz w:val="22"/>
          <w:szCs w:val="22"/>
        </w:rPr>
      </w:pPr>
      <w:r w:rsidRPr="00AD13E4">
        <w:rPr>
          <w:rFonts w:ascii="Times New Roman" w:hAnsi="Times New Roman"/>
          <w:b/>
          <w:sz w:val="22"/>
          <w:szCs w:val="22"/>
        </w:rPr>
        <w:t>Výdavky na mzdy, platy, služobné príjmy a ostatné osobné vyrovnania</w:t>
      </w:r>
    </w:p>
    <w:p w:rsidR="00AD13E4" w:rsidRPr="00390161" w:rsidP="002250E3">
      <w:pPr>
        <w:bidi w:val="0"/>
        <w:spacing w:after="120" w:line="336" w:lineRule="auto"/>
        <w:jc w:val="both"/>
        <w:rPr>
          <w:rFonts w:ascii="Times New Roman" w:hAnsi="Times New Roman"/>
          <w:sz w:val="22"/>
          <w:szCs w:val="22"/>
          <w:highlight w:val="yellow"/>
        </w:rPr>
      </w:pPr>
      <w:r w:rsidRPr="00D76203">
        <w:rPr>
          <w:rFonts w:ascii="Times New Roman" w:hAnsi="Times New Roman"/>
          <w:sz w:val="22"/>
          <w:szCs w:val="22"/>
        </w:rPr>
        <w:t xml:space="preserve">Zákon č. 385 zo 4. decembra 2014 o štátnom rozpočte na rok 2015 stanovil pre zamestnancov rozpočtových organizácií kapitol štátneho rozpočtu </w:t>
      </w:r>
      <w:r w:rsidRPr="00D76203">
        <w:rPr>
          <w:rFonts w:ascii="Times New Roman" w:hAnsi="Times New Roman"/>
          <w:b/>
          <w:sz w:val="22"/>
          <w:szCs w:val="22"/>
        </w:rPr>
        <w:t>limit výdavkov na mzdy, platy, služobné príjmy a ostatné osobné vyrovnania</w:t>
      </w:r>
      <w:r w:rsidRPr="00D76203">
        <w:rPr>
          <w:rFonts w:ascii="Times New Roman" w:hAnsi="Times New Roman"/>
          <w:sz w:val="22"/>
          <w:szCs w:val="22"/>
        </w:rPr>
        <w:t xml:space="preserve"> ako záväzný ukazovateľ </w:t>
      </w:r>
      <w:r w:rsidRPr="00FA0B69" w:rsidR="00FA0B69">
        <w:rPr>
          <w:rFonts w:ascii="Times New Roman" w:hAnsi="Times New Roman"/>
          <w:sz w:val="22"/>
          <w:szCs w:val="22"/>
        </w:rPr>
        <w:t xml:space="preserve">zo </w:t>
      </w:r>
      <w:r w:rsidRPr="00FA0B69">
        <w:rPr>
          <w:rFonts w:ascii="Times New Roman" w:hAnsi="Times New Roman"/>
          <w:sz w:val="22"/>
          <w:szCs w:val="22"/>
        </w:rPr>
        <w:t>zdroj</w:t>
      </w:r>
      <w:r w:rsidRPr="00FA0B69" w:rsidR="00FA0B69">
        <w:rPr>
          <w:rFonts w:ascii="Times New Roman" w:hAnsi="Times New Roman"/>
          <w:sz w:val="22"/>
          <w:szCs w:val="22"/>
        </w:rPr>
        <w:t>a</w:t>
      </w:r>
      <w:r w:rsidRPr="00FA0B69">
        <w:rPr>
          <w:rFonts w:ascii="Times New Roman" w:hAnsi="Times New Roman"/>
          <w:sz w:val="22"/>
          <w:szCs w:val="22"/>
        </w:rPr>
        <w:t xml:space="preserve"> štátneho rozpočtu</w:t>
      </w:r>
      <w:r w:rsidRPr="00D76203">
        <w:rPr>
          <w:rFonts w:ascii="Times New Roman" w:hAnsi="Times New Roman"/>
          <w:sz w:val="22"/>
          <w:szCs w:val="22"/>
        </w:rPr>
        <w:t xml:space="preserve"> v sume 1 545 754 tis. eur</w:t>
      </w:r>
      <w:r w:rsidRPr="00FB7196">
        <w:rPr>
          <w:rFonts w:ascii="Times New Roman" w:hAnsi="Times New Roman"/>
          <w:sz w:val="22"/>
          <w:szCs w:val="22"/>
        </w:rPr>
        <w:t xml:space="preserve">. </w:t>
      </w:r>
      <w:r w:rsidRPr="00D76203">
        <w:rPr>
          <w:rFonts w:ascii="Times New Roman" w:hAnsi="Times New Roman"/>
          <w:sz w:val="22"/>
          <w:szCs w:val="22"/>
        </w:rPr>
        <w:t xml:space="preserve">V priebehu roka bol tento limit rozpočtovými opatreniami zvýšený na </w:t>
      </w:r>
      <w:r>
        <w:rPr>
          <w:rFonts w:ascii="Times New Roman" w:hAnsi="Times New Roman"/>
          <w:sz w:val="22"/>
          <w:szCs w:val="22"/>
        </w:rPr>
        <w:t xml:space="preserve">1 </w:t>
      </w:r>
      <w:r w:rsidRPr="00873127">
        <w:rPr>
          <w:rFonts w:ascii="Times New Roman" w:hAnsi="Times New Roman"/>
          <w:sz w:val="22"/>
          <w:szCs w:val="22"/>
        </w:rPr>
        <w:t>614 124 tis. eur. Z upraveného limitu výdavkov na mzdy a platy na tomto zdroji sa skutočne použilo 1 611 837 tis. eur, čo je o</w:t>
      </w:r>
      <w:r>
        <w:rPr>
          <w:rFonts w:ascii="Times New Roman" w:hAnsi="Times New Roman"/>
          <w:sz w:val="22"/>
          <w:szCs w:val="22"/>
        </w:rPr>
        <w:t xml:space="preserve"> 37 519 </w:t>
      </w:r>
      <w:r w:rsidRPr="00681265">
        <w:rPr>
          <w:rFonts w:ascii="Times New Roman" w:hAnsi="Times New Roman"/>
          <w:sz w:val="22"/>
          <w:szCs w:val="22"/>
        </w:rPr>
        <w:t xml:space="preserve">tis. </w:t>
      </w:r>
      <w:r w:rsidR="00BE737A">
        <w:rPr>
          <w:rFonts w:ascii="Times New Roman" w:hAnsi="Times New Roman"/>
          <w:sz w:val="22"/>
          <w:szCs w:val="22"/>
        </w:rPr>
        <w:t xml:space="preserve">eur </w:t>
      </w:r>
      <w:r w:rsidRPr="00681265">
        <w:rPr>
          <w:rFonts w:ascii="Times New Roman" w:hAnsi="Times New Roman"/>
          <w:sz w:val="22"/>
          <w:szCs w:val="22"/>
        </w:rPr>
        <w:t xml:space="preserve">viac než v predchádzajúcom kalendárnom roku. </w:t>
      </w:r>
      <w:r>
        <w:rPr>
          <w:rFonts w:ascii="Times New Roman" w:hAnsi="Times New Roman"/>
          <w:sz w:val="22"/>
          <w:szCs w:val="22"/>
        </w:rPr>
        <w:t xml:space="preserve">Medziročný nárast </w:t>
      </w:r>
      <w:r w:rsidRPr="00681265">
        <w:rPr>
          <w:rFonts w:ascii="Times New Roman" w:hAnsi="Times New Roman"/>
          <w:sz w:val="22"/>
          <w:szCs w:val="22"/>
        </w:rPr>
        <w:t xml:space="preserve">výdavkov na mzdy, platy, služobné príjmy a ostatné osobné vyrovnania </w:t>
      </w:r>
      <w:r>
        <w:rPr>
          <w:rFonts w:ascii="Times New Roman" w:hAnsi="Times New Roman"/>
          <w:sz w:val="22"/>
          <w:szCs w:val="22"/>
        </w:rPr>
        <w:t xml:space="preserve">ovplyvnilo predovšetkým </w:t>
      </w:r>
      <w:r w:rsidRPr="00681265">
        <w:rPr>
          <w:rFonts w:ascii="Times New Roman" w:hAnsi="Times New Roman"/>
          <w:sz w:val="22"/>
          <w:szCs w:val="22"/>
        </w:rPr>
        <w:t>zvýšeni</w:t>
      </w:r>
      <w:r>
        <w:rPr>
          <w:rFonts w:ascii="Times New Roman" w:hAnsi="Times New Roman"/>
          <w:sz w:val="22"/>
          <w:szCs w:val="22"/>
        </w:rPr>
        <w:t>e</w:t>
      </w:r>
      <w:r w:rsidRPr="00681265">
        <w:rPr>
          <w:rFonts w:ascii="Times New Roman" w:hAnsi="Times New Roman"/>
          <w:sz w:val="22"/>
          <w:szCs w:val="22"/>
        </w:rPr>
        <w:t xml:space="preserve"> platov štátnych zamestnancov a zamestnancov pri výkone práce vo verejnom záujme s výnimkou pedagogických a odborných zamestnancov</w:t>
      </w:r>
      <w:r w:rsidRPr="00681265">
        <w:rPr>
          <w:rFonts w:ascii="Times New Roman" w:hAnsi="Times New Roman"/>
          <w:color w:val="C00000"/>
          <w:sz w:val="22"/>
          <w:szCs w:val="22"/>
        </w:rPr>
        <w:t xml:space="preserve"> </w:t>
      </w:r>
      <w:r w:rsidRPr="00681265">
        <w:rPr>
          <w:rFonts w:ascii="Times New Roman" w:hAnsi="Times New Roman"/>
          <w:sz w:val="22"/>
          <w:szCs w:val="22"/>
        </w:rPr>
        <w:t>o 1,5 % s účinnosťou od 1. januára 2015 a o</w:t>
      </w:r>
      <w:r>
        <w:rPr>
          <w:rFonts w:ascii="Times New Roman" w:hAnsi="Times New Roman"/>
          <w:sz w:val="22"/>
          <w:szCs w:val="22"/>
        </w:rPr>
        <w:t xml:space="preserve"> ďalšie </w:t>
      </w:r>
      <w:r w:rsidRPr="00681265">
        <w:rPr>
          <w:rFonts w:ascii="Times New Roman" w:hAnsi="Times New Roman"/>
          <w:sz w:val="22"/>
          <w:szCs w:val="22"/>
        </w:rPr>
        <w:t>1 % od 1. júla 2015</w:t>
      </w:r>
      <w:r w:rsidR="00FB7196">
        <w:rPr>
          <w:rFonts w:ascii="Times New Roman" w:hAnsi="Times New Roman"/>
          <w:sz w:val="22"/>
          <w:szCs w:val="22"/>
        </w:rPr>
        <w:t>, ďalej</w:t>
      </w:r>
      <w:r w:rsidRPr="00681265">
        <w:rPr>
          <w:rFonts w:ascii="Times New Roman" w:hAnsi="Times New Roman"/>
          <w:sz w:val="22"/>
          <w:szCs w:val="22"/>
        </w:rPr>
        <w:t xml:space="preserve"> zvýšenie platových taríf pedagogických zamestnancov a odborných zamestnancov o 5 % od 1. </w:t>
      </w:r>
      <w:r>
        <w:rPr>
          <w:rFonts w:ascii="Times New Roman" w:hAnsi="Times New Roman"/>
          <w:sz w:val="22"/>
          <w:szCs w:val="22"/>
        </w:rPr>
        <w:t>j</w:t>
      </w:r>
      <w:r w:rsidRPr="00681265">
        <w:rPr>
          <w:rFonts w:ascii="Times New Roman" w:hAnsi="Times New Roman"/>
          <w:sz w:val="22"/>
          <w:szCs w:val="22"/>
        </w:rPr>
        <w:t>anuára 2015</w:t>
      </w:r>
      <w:r>
        <w:rPr>
          <w:rFonts w:ascii="Times New Roman" w:hAnsi="Times New Roman"/>
          <w:sz w:val="22"/>
          <w:szCs w:val="22"/>
        </w:rPr>
        <w:t>. Okrem tejto úpravy boli na dofinancovanie odmeňovania použité finančné prostriedky získané z presunu v rámci ostatných výdavkov kapitol. Súčasne sa na zvýšenom čerpaní výdavkov na mzdy a platy podieľalo zabezpečenie predsedníctva Slovenskej republiky v Rade Európskej únie a tiež doplatenie platov za rok 2015 sudcom v kapitole Ministerstva spravodlivosti SR na základe nálezu Ústavného súdu Slovenskej republiky. Saldo medziročného zvýšenia výdavkov na mzdy a platy bolo v značnej miere ovplyvnené aj viazaním výdavkov na mzdy, platy, služobné príjmy a ostatné osobné vyrovnania v kapitole Ministerstv</w:t>
      </w:r>
      <w:r w:rsidR="00FB7196">
        <w:rPr>
          <w:rFonts w:ascii="Times New Roman" w:hAnsi="Times New Roman"/>
          <w:sz w:val="22"/>
          <w:szCs w:val="22"/>
        </w:rPr>
        <w:t>a</w:t>
      </w:r>
      <w:r>
        <w:rPr>
          <w:rFonts w:ascii="Times New Roman" w:hAnsi="Times New Roman"/>
          <w:sz w:val="22"/>
          <w:szCs w:val="22"/>
        </w:rPr>
        <w:t xml:space="preserve"> obrany SR, ktoré boli použité v rámci ostatných výdavkov kapitoly na modernizáciu Ozbrojených síl Slovenskej republiky. </w:t>
      </w:r>
      <w:r w:rsidRPr="00293093">
        <w:rPr>
          <w:rFonts w:ascii="Times New Roman" w:hAnsi="Times New Roman"/>
          <w:sz w:val="22"/>
          <w:szCs w:val="22"/>
        </w:rPr>
        <w:t>Upravený rozpočet výdavkov na mzdy, platy, služobné príjmy a ostatné osobné vyrovnania na všetkých zdrojoch súhrnne dosiahol sumu 1 671 238 tis. eur.</w:t>
      </w:r>
      <w:r w:rsidRPr="00293093">
        <w:rPr>
          <w:rFonts w:ascii="Times New Roman" w:hAnsi="Times New Roman"/>
          <w:color w:val="C00000"/>
          <w:sz w:val="22"/>
          <w:szCs w:val="22"/>
        </w:rPr>
        <w:t xml:space="preserve"> </w:t>
      </w:r>
      <w:r w:rsidRPr="00293093">
        <w:rPr>
          <w:rFonts w:ascii="Times New Roman" w:hAnsi="Times New Roman"/>
          <w:b/>
          <w:sz w:val="22"/>
          <w:szCs w:val="22"/>
        </w:rPr>
        <w:t>V skutočnosti bolo na</w:t>
      </w:r>
      <w:r w:rsidRPr="00293093">
        <w:rPr>
          <w:rFonts w:ascii="Times New Roman" w:hAnsi="Times New Roman"/>
          <w:sz w:val="22"/>
          <w:szCs w:val="22"/>
        </w:rPr>
        <w:t xml:space="preserve"> </w:t>
      </w:r>
      <w:r w:rsidRPr="00293093">
        <w:rPr>
          <w:rFonts w:ascii="Times New Roman" w:hAnsi="Times New Roman"/>
          <w:b/>
          <w:sz w:val="22"/>
          <w:szCs w:val="22"/>
        </w:rPr>
        <w:t>mzdy, platy, služobné príjmy a ostatné osobné vyrovnania zamestnancov rozpočtových organizácií kapitol štátneho rozpočtu za všetky zdroje vynaložených 1 677 390 tis. eur</w:t>
      </w:r>
      <w:r w:rsidRPr="00BD481E">
        <w:rPr>
          <w:rFonts w:ascii="Times New Roman" w:hAnsi="Times New Roman"/>
          <w:sz w:val="22"/>
          <w:szCs w:val="22"/>
        </w:rPr>
        <w:t>, čo je</w:t>
      </w:r>
      <w:r w:rsidRPr="00BD481E">
        <w:rPr>
          <w:rFonts w:ascii="Times New Roman" w:hAnsi="Times New Roman"/>
          <w:color w:val="C00000"/>
          <w:sz w:val="22"/>
          <w:szCs w:val="22"/>
        </w:rPr>
        <w:t xml:space="preserve"> </w:t>
      </w:r>
      <w:r w:rsidRPr="00BD481E">
        <w:rPr>
          <w:rFonts w:ascii="Times New Roman" w:hAnsi="Times New Roman"/>
          <w:sz w:val="22"/>
          <w:szCs w:val="22"/>
        </w:rPr>
        <w:t>o 51 024 tis. eur viac než v roku 2014</w:t>
      </w:r>
      <w:r>
        <w:rPr>
          <w:rFonts w:ascii="Times New Roman" w:hAnsi="Times New Roman"/>
          <w:b/>
          <w:sz w:val="22"/>
          <w:szCs w:val="22"/>
        </w:rPr>
        <w:t xml:space="preserve"> </w:t>
      </w:r>
      <w:r>
        <w:rPr>
          <w:rFonts w:ascii="Times New Roman" w:hAnsi="Times New Roman"/>
          <w:sz w:val="22"/>
          <w:szCs w:val="22"/>
        </w:rPr>
        <w:t>(3,1</w:t>
      </w:r>
      <w:r w:rsidR="00D54AE2">
        <w:rPr>
          <w:rFonts w:ascii="Times New Roman" w:hAnsi="Times New Roman"/>
          <w:sz w:val="22"/>
          <w:szCs w:val="22"/>
        </w:rPr>
        <w:t xml:space="preserve"> </w:t>
      </w:r>
      <w:r>
        <w:rPr>
          <w:rFonts w:ascii="Times New Roman" w:hAnsi="Times New Roman"/>
          <w:sz w:val="22"/>
          <w:szCs w:val="22"/>
        </w:rPr>
        <w:t>%).</w:t>
      </w:r>
      <w:r w:rsidRPr="00293093">
        <w:rPr>
          <w:rFonts w:ascii="Times New Roman" w:hAnsi="Times New Roman"/>
          <w:color w:val="C00000"/>
          <w:sz w:val="22"/>
          <w:szCs w:val="22"/>
        </w:rPr>
        <w:t xml:space="preserve"> </w:t>
      </w:r>
      <w:r w:rsidRPr="00B82F4E">
        <w:rPr>
          <w:rFonts w:ascii="Times New Roman" w:hAnsi="Times New Roman"/>
          <w:sz w:val="22"/>
          <w:szCs w:val="22"/>
        </w:rPr>
        <w:t>Okrem prostriedkov štátneho rozpočtu boli na mzdy a</w:t>
      </w:r>
      <w:r w:rsidR="00D54AE2">
        <w:rPr>
          <w:rFonts w:ascii="Times New Roman" w:hAnsi="Times New Roman"/>
          <w:sz w:val="22"/>
          <w:szCs w:val="22"/>
        </w:rPr>
        <w:t xml:space="preserve"> </w:t>
      </w:r>
      <w:r w:rsidRPr="00B82F4E">
        <w:rPr>
          <w:rFonts w:ascii="Times New Roman" w:hAnsi="Times New Roman"/>
          <w:sz w:val="22"/>
          <w:szCs w:val="22"/>
        </w:rPr>
        <w:t xml:space="preserve">platy zamestnancov použité aj finančné prostriedky získané z rozpočtu EÚ a prostriedky spolufinancovania zo štátneho rozpočtu súhrnne v sume </w:t>
      </w:r>
      <w:r>
        <w:rPr>
          <w:rFonts w:ascii="Times New Roman" w:hAnsi="Times New Roman"/>
          <w:sz w:val="22"/>
          <w:szCs w:val="22"/>
        </w:rPr>
        <w:t xml:space="preserve">52 576 </w:t>
      </w:r>
      <w:r w:rsidRPr="00B82F4E">
        <w:rPr>
          <w:rFonts w:ascii="Times New Roman" w:hAnsi="Times New Roman"/>
          <w:sz w:val="22"/>
          <w:szCs w:val="22"/>
        </w:rPr>
        <w:t>tis</w:t>
      </w:r>
      <w:r w:rsidR="002C38E1">
        <w:rPr>
          <w:rFonts w:ascii="Times New Roman" w:hAnsi="Times New Roman"/>
          <w:sz w:val="22"/>
          <w:szCs w:val="22"/>
        </w:rPr>
        <w:t>. eur, čo je medziročne o 8 552 </w:t>
      </w:r>
      <w:r w:rsidRPr="00B82F4E">
        <w:rPr>
          <w:rFonts w:ascii="Times New Roman" w:hAnsi="Times New Roman"/>
          <w:sz w:val="22"/>
          <w:szCs w:val="22"/>
        </w:rPr>
        <w:t>tis. eur viac. Okrem toho boli v</w:t>
      </w:r>
      <w:r w:rsidRPr="008B4E66">
        <w:rPr>
          <w:rFonts w:ascii="Times New Roman" w:hAnsi="Times New Roman"/>
          <w:sz w:val="22"/>
          <w:szCs w:val="22"/>
        </w:rPr>
        <w:t> </w:t>
      </w:r>
      <w:r w:rsidRPr="00B82F4E">
        <w:rPr>
          <w:rFonts w:ascii="Times New Roman" w:hAnsi="Times New Roman"/>
          <w:sz w:val="22"/>
          <w:szCs w:val="22"/>
        </w:rPr>
        <w:t>súlade s ustanovením § 23 zákona č. 523/2004 Z. z. o rozpočtových pravidlách verejnej správy na mzdy a platy čerpané prostriedky z mimorozpočtových zdrojov v sume 12 977 tis. eur, čo je v poro</w:t>
      </w:r>
      <w:r w:rsidR="002C38E1">
        <w:rPr>
          <w:rFonts w:ascii="Times New Roman" w:hAnsi="Times New Roman"/>
          <w:sz w:val="22"/>
          <w:szCs w:val="22"/>
        </w:rPr>
        <w:t>vnaní s rokom 2014 o 4 954 tis. </w:t>
      </w:r>
      <w:r w:rsidRPr="00B82F4E">
        <w:rPr>
          <w:rFonts w:ascii="Times New Roman" w:hAnsi="Times New Roman"/>
          <w:sz w:val="22"/>
          <w:szCs w:val="22"/>
        </w:rPr>
        <w:t xml:space="preserve">eur viac. Limit výdavkov na mzdy, platy, služobné príjmy a ostatné osobné vyrovnania bol ako záväzný ukazovateľ </w:t>
      </w:r>
      <w:r>
        <w:rPr>
          <w:rFonts w:ascii="Times New Roman" w:hAnsi="Times New Roman"/>
          <w:sz w:val="22"/>
          <w:szCs w:val="22"/>
        </w:rPr>
        <w:t>rozpočtov</w:t>
      </w:r>
      <w:r w:rsidR="00FA0B69">
        <w:rPr>
          <w:rFonts w:ascii="Times New Roman" w:hAnsi="Times New Roman"/>
          <w:sz w:val="22"/>
          <w:szCs w:val="22"/>
        </w:rPr>
        <w:t>ých</w:t>
      </w:r>
      <w:r>
        <w:rPr>
          <w:rFonts w:ascii="Times New Roman" w:hAnsi="Times New Roman"/>
          <w:sz w:val="22"/>
          <w:szCs w:val="22"/>
        </w:rPr>
        <w:t xml:space="preserve"> prostriedk</w:t>
      </w:r>
      <w:r w:rsidR="00FA0B69">
        <w:rPr>
          <w:rFonts w:ascii="Times New Roman" w:hAnsi="Times New Roman"/>
          <w:sz w:val="22"/>
          <w:szCs w:val="22"/>
        </w:rPr>
        <w:t>ov</w:t>
      </w:r>
      <w:r>
        <w:rPr>
          <w:rFonts w:ascii="Times New Roman" w:hAnsi="Times New Roman"/>
          <w:sz w:val="22"/>
          <w:szCs w:val="22"/>
        </w:rPr>
        <w:t xml:space="preserve"> kapitoly </w:t>
      </w:r>
      <w:r w:rsidRPr="00B82F4E">
        <w:rPr>
          <w:rFonts w:ascii="Times New Roman" w:hAnsi="Times New Roman"/>
          <w:sz w:val="22"/>
          <w:szCs w:val="22"/>
        </w:rPr>
        <w:t>dodržaný vo všetkých kapitolách štátneho rozpočtu.</w:t>
      </w:r>
    </w:p>
    <w:p w:rsidR="00C35A1D" w:rsidP="002250E3">
      <w:pPr>
        <w:bidi w:val="0"/>
        <w:spacing w:after="120" w:line="336" w:lineRule="auto"/>
        <w:jc w:val="both"/>
        <w:rPr>
          <w:rFonts w:ascii="Times New Roman" w:hAnsi="Times New Roman"/>
          <w:sz w:val="22"/>
          <w:szCs w:val="22"/>
        </w:rPr>
      </w:pPr>
      <w:r w:rsidRPr="00C35A1D" w:rsidR="00AD13E4">
        <w:rPr>
          <w:rFonts w:ascii="Times New Roman" w:hAnsi="Times New Roman"/>
          <w:b/>
          <w:sz w:val="22"/>
          <w:szCs w:val="22"/>
        </w:rPr>
        <w:t>Limit počtu zamestnancov rozpočtových organizácií kapitol štátneho rozpočtu</w:t>
      </w:r>
      <w:r w:rsidRPr="00C35A1D" w:rsidR="00AD13E4">
        <w:rPr>
          <w:rFonts w:ascii="Times New Roman" w:hAnsi="Times New Roman"/>
          <w:sz w:val="22"/>
          <w:szCs w:val="22"/>
        </w:rPr>
        <w:t xml:space="preserve"> bol schválený uznesením vlády SR č. 508/2014 k návrhu rozpočtu verejnej správy na roky 2015 až 2017 v počte 127 260 osôb</w:t>
      </w:r>
      <w:r w:rsidRPr="00C35A1D" w:rsidR="000778B9">
        <w:rPr>
          <w:rFonts w:ascii="Times New Roman" w:hAnsi="Times New Roman"/>
          <w:sz w:val="22"/>
          <w:szCs w:val="22"/>
        </w:rPr>
        <w:t xml:space="preserve"> (2014: 126 912)</w:t>
      </w:r>
      <w:r w:rsidRPr="00C35A1D" w:rsidR="00AD13E4">
        <w:rPr>
          <w:rFonts w:ascii="Times New Roman" w:hAnsi="Times New Roman"/>
          <w:sz w:val="22"/>
          <w:szCs w:val="22"/>
        </w:rPr>
        <w:t>. Rokovaním Národnej rady Slovenskej republiky bol upravený na 127 266 osôb</w:t>
      </w:r>
      <w:r w:rsidRPr="00C35A1D" w:rsidR="000778B9">
        <w:rPr>
          <w:rFonts w:ascii="Times New Roman" w:hAnsi="Times New Roman"/>
          <w:sz w:val="22"/>
          <w:szCs w:val="22"/>
        </w:rPr>
        <w:t xml:space="preserve"> a v</w:t>
      </w:r>
      <w:r w:rsidRPr="00C35A1D" w:rsidR="00AD13E4">
        <w:rPr>
          <w:rFonts w:ascii="Times New Roman" w:hAnsi="Times New Roman"/>
          <w:sz w:val="22"/>
          <w:szCs w:val="22"/>
        </w:rPr>
        <w:t xml:space="preserve"> priebehu roka bol rozpočtovými opatreniami zvýšený o 1 829 osôb na 129 095 osôb. Na </w:t>
      </w:r>
      <w:r w:rsidRPr="00C35A1D">
        <w:rPr>
          <w:rFonts w:ascii="Times New Roman" w:hAnsi="Times New Roman"/>
          <w:sz w:val="22"/>
          <w:szCs w:val="22"/>
        </w:rPr>
        <w:t>u</w:t>
      </w:r>
      <w:r w:rsidRPr="00C35A1D" w:rsidR="000778B9">
        <w:rPr>
          <w:rFonts w:ascii="Times New Roman" w:hAnsi="Times New Roman"/>
          <w:sz w:val="22"/>
          <w:szCs w:val="22"/>
        </w:rPr>
        <w:t>pravenom</w:t>
      </w:r>
      <w:r w:rsidRPr="00C35A1D" w:rsidR="00AD13E4">
        <w:rPr>
          <w:rFonts w:ascii="Times New Roman" w:hAnsi="Times New Roman"/>
          <w:sz w:val="22"/>
          <w:szCs w:val="22"/>
        </w:rPr>
        <w:t xml:space="preserve"> limit</w:t>
      </w:r>
      <w:r w:rsidRPr="00C35A1D" w:rsidR="000778B9">
        <w:rPr>
          <w:rFonts w:ascii="Times New Roman" w:hAnsi="Times New Roman"/>
          <w:sz w:val="22"/>
          <w:szCs w:val="22"/>
        </w:rPr>
        <w:t>e</w:t>
      </w:r>
      <w:r w:rsidRPr="00C35A1D" w:rsidR="00AD13E4">
        <w:rPr>
          <w:rFonts w:ascii="Times New Roman" w:hAnsi="Times New Roman"/>
          <w:sz w:val="22"/>
          <w:szCs w:val="22"/>
        </w:rPr>
        <w:t xml:space="preserve"> počtu zamestnancov sa najvýraznejšou mierou (61,5 %) podieľali úpravy vykonané za účelom realizácie projektov financovaných z prostriedkov EÚ a spolufinancovania zo štátneho rozpočtu v počte 1 125 osôb</w:t>
      </w:r>
      <w:r w:rsidRPr="00C35A1D" w:rsidR="00E33A5F">
        <w:rPr>
          <w:rFonts w:ascii="Times New Roman" w:hAnsi="Times New Roman"/>
          <w:sz w:val="22"/>
          <w:szCs w:val="22"/>
        </w:rPr>
        <w:t xml:space="preserve">. </w:t>
      </w:r>
      <w:r w:rsidR="00470A6D">
        <w:rPr>
          <w:rFonts w:ascii="Times New Roman" w:hAnsi="Times New Roman"/>
          <w:sz w:val="22"/>
          <w:szCs w:val="22"/>
        </w:rPr>
        <w:t>Z toho n</w:t>
      </w:r>
      <w:r w:rsidRPr="00C35A1D">
        <w:rPr>
          <w:rFonts w:ascii="Times New Roman" w:hAnsi="Times New Roman"/>
          <w:sz w:val="22"/>
          <w:szCs w:val="22"/>
        </w:rPr>
        <w:t>ajviac v</w:t>
      </w:r>
      <w:r w:rsidRPr="00C35A1D" w:rsidR="00AD13E4">
        <w:rPr>
          <w:rFonts w:ascii="Times New Roman" w:hAnsi="Times New Roman"/>
          <w:sz w:val="22"/>
          <w:szCs w:val="22"/>
        </w:rPr>
        <w:t> kapitol</w:t>
      </w:r>
      <w:r w:rsidRPr="00C35A1D" w:rsidR="00E33A5F">
        <w:rPr>
          <w:rFonts w:ascii="Times New Roman" w:hAnsi="Times New Roman"/>
          <w:sz w:val="22"/>
          <w:szCs w:val="22"/>
        </w:rPr>
        <w:t>e</w:t>
      </w:r>
      <w:r w:rsidRPr="00C35A1D" w:rsidR="00AD13E4">
        <w:rPr>
          <w:rFonts w:ascii="Times New Roman" w:hAnsi="Times New Roman"/>
          <w:sz w:val="22"/>
          <w:szCs w:val="22"/>
        </w:rPr>
        <w:t xml:space="preserve"> Ministerstva školstva, vedy, výskumu a šp</w:t>
      </w:r>
      <w:r w:rsidRPr="00C35A1D" w:rsidR="007029F7">
        <w:rPr>
          <w:rFonts w:ascii="Times New Roman" w:hAnsi="Times New Roman"/>
          <w:sz w:val="22"/>
          <w:szCs w:val="22"/>
        </w:rPr>
        <w:t xml:space="preserve">ortu SR zamestnanci (533 osôb) v rámci projektov financovaných z EÚ vykonávali </w:t>
      </w:r>
      <w:r w:rsidRPr="00C35A1D" w:rsidR="00E33A5F">
        <w:rPr>
          <w:rFonts w:ascii="Times New Roman" w:hAnsi="Times New Roman"/>
          <w:sz w:val="22"/>
          <w:szCs w:val="22"/>
        </w:rPr>
        <w:t>podporné riadenie</w:t>
      </w:r>
      <w:r w:rsidRPr="00C35A1D" w:rsidR="007029F7">
        <w:rPr>
          <w:rFonts w:ascii="Times New Roman" w:hAnsi="Times New Roman"/>
          <w:sz w:val="22"/>
          <w:szCs w:val="22"/>
        </w:rPr>
        <w:t xml:space="preserve"> projektov, odborné vzdelávacie činnosti v oblastiach pre marginalizované rómske komunity, odbornú podporu profesijnej orientácie žiakov základnej školy na odborné vzdelávanie, patentovú ochranu, prístupy k elektronickým databázam, zabezpečenie prevádzky dátového centra, tvorb</w:t>
      </w:r>
      <w:r w:rsidRPr="00C35A1D" w:rsidR="0070341A">
        <w:rPr>
          <w:rFonts w:ascii="Times New Roman" w:hAnsi="Times New Roman"/>
          <w:sz w:val="22"/>
          <w:szCs w:val="22"/>
        </w:rPr>
        <w:t>u</w:t>
      </w:r>
      <w:r w:rsidRPr="00C35A1D" w:rsidR="007029F7">
        <w:rPr>
          <w:rFonts w:ascii="Times New Roman" w:hAnsi="Times New Roman"/>
          <w:sz w:val="22"/>
          <w:szCs w:val="22"/>
        </w:rPr>
        <w:t xml:space="preserve"> obsahu digitálnych vzdelávacích objektov, činnosť školiteľov a</w:t>
      </w:r>
      <w:r w:rsidRPr="00C35A1D" w:rsidR="0070341A">
        <w:rPr>
          <w:rFonts w:ascii="Times New Roman" w:hAnsi="Times New Roman"/>
          <w:sz w:val="22"/>
          <w:szCs w:val="22"/>
        </w:rPr>
        <w:t xml:space="preserve"> </w:t>
      </w:r>
      <w:r w:rsidRPr="00C35A1D" w:rsidR="007029F7">
        <w:rPr>
          <w:rFonts w:ascii="Times New Roman" w:hAnsi="Times New Roman"/>
          <w:sz w:val="22"/>
          <w:szCs w:val="22"/>
        </w:rPr>
        <w:t>pod. V</w:t>
      </w:r>
      <w:r w:rsidRPr="00C35A1D" w:rsidR="0070341A">
        <w:rPr>
          <w:rFonts w:ascii="Times New Roman" w:hAnsi="Times New Roman"/>
          <w:sz w:val="22"/>
          <w:szCs w:val="22"/>
        </w:rPr>
        <w:t xml:space="preserve"> </w:t>
      </w:r>
      <w:r w:rsidRPr="00C35A1D" w:rsidR="007029F7">
        <w:rPr>
          <w:rFonts w:ascii="Times New Roman" w:hAnsi="Times New Roman"/>
          <w:sz w:val="22"/>
          <w:szCs w:val="22"/>
        </w:rPr>
        <w:t xml:space="preserve">kapitole </w:t>
      </w:r>
      <w:r w:rsidRPr="00C35A1D" w:rsidR="00AD13E4">
        <w:rPr>
          <w:rFonts w:ascii="Times New Roman" w:hAnsi="Times New Roman"/>
          <w:sz w:val="22"/>
          <w:szCs w:val="22"/>
        </w:rPr>
        <w:t>Ministerstva práce, sociáln</w:t>
      </w:r>
      <w:r w:rsidRPr="00C35A1D" w:rsidR="0070341A">
        <w:rPr>
          <w:rFonts w:ascii="Times New Roman" w:hAnsi="Times New Roman"/>
          <w:sz w:val="22"/>
          <w:szCs w:val="22"/>
        </w:rPr>
        <w:t xml:space="preserve">ych vecí a </w:t>
      </w:r>
      <w:r w:rsidRPr="00C35A1D" w:rsidR="007029F7">
        <w:rPr>
          <w:rFonts w:ascii="Times New Roman" w:hAnsi="Times New Roman"/>
          <w:sz w:val="22"/>
          <w:szCs w:val="22"/>
        </w:rPr>
        <w:t xml:space="preserve">rodiny SR (463 osôb) </w:t>
      </w:r>
      <w:r w:rsidRPr="00C35A1D" w:rsidR="0070341A">
        <w:rPr>
          <w:rFonts w:ascii="Times New Roman" w:hAnsi="Times New Roman"/>
          <w:sz w:val="22"/>
          <w:szCs w:val="22"/>
        </w:rPr>
        <w:t>p</w:t>
      </w:r>
      <w:r w:rsidRPr="00C35A1D" w:rsidR="007029F7">
        <w:rPr>
          <w:rFonts w:ascii="Times New Roman" w:hAnsi="Times New Roman"/>
          <w:sz w:val="22"/>
          <w:szCs w:val="22"/>
        </w:rPr>
        <w:t>racovné pozície zahŕňajú sociálnych pracovníkov,</w:t>
      </w:r>
      <w:r w:rsidRPr="00C35A1D" w:rsidR="0070341A">
        <w:rPr>
          <w:rFonts w:ascii="Times New Roman" w:hAnsi="Times New Roman"/>
          <w:sz w:val="22"/>
          <w:szCs w:val="22"/>
        </w:rPr>
        <w:t xml:space="preserve"> psychológov, </w:t>
      </w:r>
      <w:r w:rsidRPr="00C35A1D" w:rsidR="007029F7">
        <w:rPr>
          <w:rFonts w:ascii="Times New Roman" w:hAnsi="Times New Roman"/>
          <w:sz w:val="22"/>
          <w:szCs w:val="22"/>
        </w:rPr>
        <w:t>terénnych sociálnych pracovníkov, regionálnych koordinátorov a pod.</w:t>
      </w:r>
      <w:r w:rsidRPr="00C35A1D" w:rsidR="00AD13E4">
        <w:rPr>
          <w:rFonts w:ascii="Times New Roman" w:hAnsi="Times New Roman"/>
          <w:sz w:val="22"/>
          <w:szCs w:val="22"/>
        </w:rPr>
        <w:t xml:space="preserve"> </w:t>
      </w:r>
      <w:r w:rsidRPr="00C35A1D" w:rsidR="0070341A">
        <w:rPr>
          <w:rFonts w:ascii="Times New Roman" w:hAnsi="Times New Roman"/>
          <w:sz w:val="22"/>
          <w:szCs w:val="22"/>
        </w:rPr>
        <w:t>Zvýšenými kapacitami v kapitole Ministerstva kultúry SR (121 osôb) sa riešila implementácia projektov Operačného programu Informatizácia spoločnosti, predmetné pracovné pozície zahŕňali v prevažnej miere digitalizačných pracovníkov, počítačových grafikov, servisných technikov, knihovníkov a pod.</w:t>
      </w:r>
    </w:p>
    <w:p w:rsidR="00C35A1D" w:rsidP="002250E3">
      <w:pPr>
        <w:bidi w:val="0"/>
        <w:spacing w:after="120" w:line="336" w:lineRule="auto"/>
        <w:jc w:val="both"/>
        <w:rPr>
          <w:rFonts w:ascii="Times New Roman" w:hAnsi="Times New Roman"/>
          <w:sz w:val="22"/>
          <w:szCs w:val="22"/>
        </w:rPr>
      </w:pPr>
      <w:r w:rsidRPr="00C35A1D" w:rsidR="00AD13E4">
        <w:rPr>
          <w:rFonts w:ascii="Times New Roman" w:hAnsi="Times New Roman"/>
          <w:sz w:val="22"/>
          <w:szCs w:val="22"/>
        </w:rPr>
        <w:t>Pozmeňovací návrh poslancov pri schvaľovaní štátneho rozpočtu na rok 2015 v Národnej rade SR zvýšil vládou schválený limit počtu zamestnancov v kapitole Slovenskej akadémie vied o 266 osôb. K zvýšeniu limitu počtu zamestnancov došlo v kapitole Ministerstva zdravotníctva SR (150 osôb), ktoré súviselo so zabezpečením činnosti Úradu verejného zdravotníctva SR a regionálnych úradov</w:t>
      </w:r>
      <w:r w:rsidRPr="0024561D" w:rsidR="00AD13E4">
        <w:rPr>
          <w:rFonts w:ascii="Times New Roman" w:hAnsi="Times New Roman"/>
          <w:sz w:val="22"/>
          <w:szCs w:val="22"/>
        </w:rPr>
        <w:t xml:space="preserve"> verejného zdravotníctva</w:t>
      </w:r>
      <w:r w:rsidR="00AD13E4">
        <w:rPr>
          <w:rFonts w:ascii="Times New Roman" w:hAnsi="Times New Roman"/>
          <w:sz w:val="22"/>
          <w:szCs w:val="22"/>
        </w:rPr>
        <w:t xml:space="preserve"> a v </w:t>
      </w:r>
      <w:r w:rsidRPr="0024561D" w:rsidR="00AD13E4">
        <w:rPr>
          <w:rFonts w:ascii="Times New Roman" w:hAnsi="Times New Roman"/>
          <w:sz w:val="22"/>
          <w:szCs w:val="22"/>
        </w:rPr>
        <w:t>kapitol</w:t>
      </w:r>
      <w:r w:rsidR="00AD13E4">
        <w:rPr>
          <w:rFonts w:ascii="Times New Roman" w:hAnsi="Times New Roman"/>
          <w:sz w:val="22"/>
          <w:szCs w:val="22"/>
        </w:rPr>
        <w:t>e</w:t>
      </w:r>
      <w:r w:rsidRPr="0024561D" w:rsidR="00AD13E4">
        <w:rPr>
          <w:rFonts w:ascii="Times New Roman" w:hAnsi="Times New Roman"/>
          <w:sz w:val="22"/>
          <w:szCs w:val="22"/>
        </w:rPr>
        <w:t xml:space="preserve"> Ministerstva vnútra SR </w:t>
      </w:r>
      <w:r w:rsidR="00AD13E4">
        <w:rPr>
          <w:rFonts w:ascii="Times New Roman" w:hAnsi="Times New Roman"/>
          <w:sz w:val="22"/>
          <w:szCs w:val="22"/>
        </w:rPr>
        <w:t>(138 osôb) v súvislosti zo zvýšením počtu asistentov učiteľa na úseku školstva</w:t>
      </w:r>
      <w:r w:rsidRPr="0024561D" w:rsidR="00AD13E4">
        <w:rPr>
          <w:rFonts w:ascii="Times New Roman" w:hAnsi="Times New Roman"/>
          <w:sz w:val="22"/>
          <w:szCs w:val="22"/>
        </w:rPr>
        <w:t xml:space="preserve">. </w:t>
      </w:r>
      <w:r w:rsidR="00AD13E4">
        <w:rPr>
          <w:rFonts w:ascii="Times New Roman" w:hAnsi="Times New Roman"/>
          <w:sz w:val="22"/>
          <w:szCs w:val="22"/>
        </w:rPr>
        <w:t xml:space="preserve">V súvislosti s prípravou a zabezpečením predsedníctva Slovenskej republiky v Rade Európskej únie boli v kapitolách štátneho rozpočtu upravené limity v celkovom počte 117 osôb. </w:t>
      </w:r>
    </w:p>
    <w:p w:rsidR="00AD13E4" w:rsidP="002250E3">
      <w:pPr>
        <w:bidi w:val="0"/>
        <w:spacing w:after="120" w:line="336" w:lineRule="auto"/>
        <w:jc w:val="both"/>
        <w:rPr>
          <w:rFonts w:ascii="Times New Roman" w:hAnsi="Times New Roman"/>
          <w:sz w:val="22"/>
          <w:szCs w:val="22"/>
        </w:rPr>
      </w:pPr>
      <w:r w:rsidRPr="00657ECA" w:rsidR="00657ECA">
        <w:rPr>
          <w:rFonts w:ascii="Times New Roman" w:hAnsi="Times New Roman"/>
          <w:sz w:val="22"/>
          <w:szCs w:val="22"/>
        </w:rPr>
        <w:t xml:space="preserve">Pri porovnaní skutočného stavu zamestnancov za rok 2015 a plánovaného počtu v návrhu rozpočtu dosiahlo z 32 rozpočtových </w:t>
      </w:r>
      <w:r w:rsidRPr="000F2028" w:rsidR="00657ECA">
        <w:rPr>
          <w:rFonts w:ascii="Times New Roman" w:hAnsi="Times New Roman"/>
          <w:sz w:val="22"/>
          <w:szCs w:val="22"/>
        </w:rPr>
        <w:t>kapitol nižší stav 26 kapitol, 5 kapitol vyšší stav a jedna kapitola bola bez zmeny oproti návrhu rozpočtu.</w:t>
      </w:r>
      <w:r w:rsidR="00657ECA">
        <w:rPr>
          <w:rFonts w:ascii="Times New Roman" w:hAnsi="Times New Roman"/>
          <w:sz w:val="22"/>
          <w:szCs w:val="22"/>
        </w:rPr>
        <w:t xml:space="preserve"> S</w:t>
      </w:r>
      <w:r>
        <w:rPr>
          <w:rFonts w:ascii="Times New Roman" w:hAnsi="Times New Roman"/>
          <w:sz w:val="22"/>
          <w:szCs w:val="22"/>
        </w:rPr>
        <w:t>kutočné plnenie počtu zamestnancov rozpočtových organi</w:t>
      </w:r>
      <w:r w:rsidR="00B5573B">
        <w:rPr>
          <w:rFonts w:ascii="Times New Roman" w:hAnsi="Times New Roman"/>
          <w:sz w:val="22"/>
          <w:szCs w:val="22"/>
        </w:rPr>
        <w:t>zácií kapitol štátneho rozpočtu</w:t>
      </w:r>
      <w:r>
        <w:rPr>
          <w:rFonts w:ascii="Times New Roman" w:hAnsi="Times New Roman"/>
          <w:sz w:val="22"/>
          <w:szCs w:val="22"/>
        </w:rPr>
        <w:t xml:space="preserve"> dosiahlo úroveň </w:t>
      </w:r>
      <w:r w:rsidRPr="00867DB3">
        <w:rPr>
          <w:rFonts w:ascii="Times New Roman" w:hAnsi="Times New Roman"/>
          <w:sz w:val="22"/>
          <w:szCs w:val="22"/>
        </w:rPr>
        <w:t>124 199</w:t>
      </w:r>
      <w:r>
        <w:rPr>
          <w:rFonts w:ascii="Times New Roman" w:hAnsi="Times New Roman"/>
          <w:sz w:val="22"/>
          <w:szCs w:val="22"/>
        </w:rPr>
        <w:t xml:space="preserve"> osôb, čo </w:t>
      </w:r>
      <w:r w:rsidR="000F2028">
        <w:rPr>
          <w:rFonts w:ascii="Times New Roman" w:hAnsi="Times New Roman"/>
          <w:sz w:val="22"/>
          <w:szCs w:val="22"/>
        </w:rPr>
        <w:t xml:space="preserve">je </w:t>
      </w:r>
      <w:r>
        <w:rPr>
          <w:rFonts w:ascii="Times New Roman" w:hAnsi="Times New Roman"/>
          <w:sz w:val="22"/>
          <w:szCs w:val="22"/>
        </w:rPr>
        <w:t>v porovnaní s</w:t>
      </w:r>
      <w:r w:rsidR="000F2028">
        <w:rPr>
          <w:rFonts w:ascii="Times New Roman" w:hAnsi="Times New Roman"/>
          <w:sz w:val="22"/>
          <w:szCs w:val="22"/>
        </w:rPr>
        <w:t xml:space="preserve"> pôvodným návrhom rozpočtu menej o 3 067 osôb, ale so skutočnosťou v roku 2014 viac o 494 osôb. </w:t>
      </w:r>
      <w:r w:rsidRPr="000F2028" w:rsidR="000F2028">
        <w:rPr>
          <w:rFonts w:ascii="Times New Roman" w:hAnsi="Times New Roman"/>
          <w:sz w:val="22"/>
          <w:szCs w:val="22"/>
        </w:rPr>
        <w:t>Najvyššie medziročné zníženie zazna</w:t>
      </w:r>
      <w:r w:rsidR="00B5573B">
        <w:rPr>
          <w:rFonts w:ascii="Times New Roman" w:hAnsi="Times New Roman"/>
          <w:sz w:val="22"/>
          <w:szCs w:val="22"/>
        </w:rPr>
        <w:t xml:space="preserve">menala kapitola </w:t>
      </w:r>
      <w:r w:rsidRPr="000F2028" w:rsidR="000F2028">
        <w:rPr>
          <w:rFonts w:ascii="Times New Roman" w:hAnsi="Times New Roman"/>
          <w:sz w:val="22"/>
          <w:szCs w:val="22"/>
        </w:rPr>
        <w:t>Slovensk</w:t>
      </w:r>
      <w:r w:rsidR="00B5573B">
        <w:rPr>
          <w:rFonts w:ascii="Times New Roman" w:hAnsi="Times New Roman"/>
          <w:sz w:val="22"/>
          <w:szCs w:val="22"/>
        </w:rPr>
        <w:t>á</w:t>
      </w:r>
      <w:r w:rsidRPr="000F2028" w:rsidR="000F2028">
        <w:rPr>
          <w:rFonts w:ascii="Times New Roman" w:hAnsi="Times New Roman"/>
          <w:sz w:val="22"/>
          <w:szCs w:val="22"/>
        </w:rPr>
        <w:t xml:space="preserve"> akadémi</w:t>
      </w:r>
      <w:r w:rsidR="00B5573B">
        <w:rPr>
          <w:rFonts w:ascii="Times New Roman" w:hAnsi="Times New Roman"/>
          <w:sz w:val="22"/>
          <w:szCs w:val="22"/>
        </w:rPr>
        <w:t>a</w:t>
      </w:r>
      <w:r w:rsidRPr="000F2028" w:rsidR="000F2028">
        <w:rPr>
          <w:rFonts w:ascii="Times New Roman" w:hAnsi="Times New Roman"/>
          <w:sz w:val="22"/>
          <w:szCs w:val="22"/>
        </w:rPr>
        <w:t xml:space="preserve"> vied (-103 zamestnancov),</w:t>
      </w:r>
      <w:r w:rsidR="00B5573B">
        <w:rPr>
          <w:rFonts w:ascii="Times New Roman" w:hAnsi="Times New Roman"/>
          <w:sz w:val="22"/>
          <w:szCs w:val="22"/>
        </w:rPr>
        <w:t xml:space="preserve"> </w:t>
      </w:r>
      <w:r w:rsidRPr="000F2028" w:rsidR="000F2028">
        <w:rPr>
          <w:rFonts w:ascii="Times New Roman" w:hAnsi="Times New Roman"/>
          <w:sz w:val="22"/>
          <w:szCs w:val="22"/>
        </w:rPr>
        <w:t xml:space="preserve">kapitola </w:t>
      </w:r>
      <w:r w:rsidR="000F2028">
        <w:rPr>
          <w:rFonts w:ascii="Times New Roman" w:hAnsi="Times New Roman"/>
          <w:sz w:val="22"/>
          <w:szCs w:val="22"/>
        </w:rPr>
        <w:t xml:space="preserve">Ministerstva </w:t>
      </w:r>
      <w:r w:rsidRPr="000F2028" w:rsidR="000F2028">
        <w:rPr>
          <w:rFonts w:ascii="Times New Roman" w:hAnsi="Times New Roman"/>
          <w:sz w:val="22"/>
          <w:szCs w:val="22"/>
        </w:rPr>
        <w:t>školstva, vedy, výskumu a</w:t>
      </w:r>
      <w:r w:rsidR="000F2028">
        <w:rPr>
          <w:rFonts w:ascii="Times New Roman" w:hAnsi="Times New Roman"/>
          <w:sz w:val="22"/>
          <w:szCs w:val="22"/>
        </w:rPr>
        <w:t xml:space="preserve"> </w:t>
      </w:r>
      <w:r w:rsidR="005B4245">
        <w:rPr>
          <w:rFonts w:ascii="Times New Roman" w:hAnsi="Times New Roman"/>
          <w:sz w:val="22"/>
          <w:szCs w:val="22"/>
        </w:rPr>
        <w:t>športu SR</w:t>
      </w:r>
      <w:r w:rsidR="00B5573B">
        <w:rPr>
          <w:rFonts w:ascii="Times New Roman" w:hAnsi="Times New Roman"/>
          <w:sz w:val="22"/>
          <w:szCs w:val="22"/>
        </w:rPr>
        <w:t xml:space="preserve"> </w:t>
      </w:r>
      <w:r w:rsidR="005B4245">
        <w:rPr>
          <w:rFonts w:ascii="Times New Roman" w:hAnsi="Times New Roman"/>
          <w:sz w:val="22"/>
          <w:szCs w:val="22"/>
        </w:rPr>
        <w:t>(-53 </w:t>
      </w:r>
      <w:r w:rsidRPr="000F2028" w:rsidR="000F2028">
        <w:rPr>
          <w:rFonts w:ascii="Times New Roman" w:hAnsi="Times New Roman"/>
          <w:sz w:val="22"/>
          <w:szCs w:val="22"/>
        </w:rPr>
        <w:t xml:space="preserve">zamestnancov) a kapitola </w:t>
      </w:r>
      <w:r w:rsidR="00C35A1D">
        <w:rPr>
          <w:rFonts w:ascii="Times New Roman" w:hAnsi="Times New Roman"/>
          <w:sz w:val="22"/>
          <w:szCs w:val="22"/>
        </w:rPr>
        <w:t xml:space="preserve">Ministerstva </w:t>
      </w:r>
      <w:r w:rsidRPr="000F2028" w:rsidR="000F2028">
        <w:rPr>
          <w:rFonts w:ascii="Times New Roman" w:hAnsi="Times New Roman"/>
          <w:sz w:val="22"/>
          <w:szCs w:val="22"/>
        </w:rPr>
        <w:t>spravodlivosti SR (-52 zamestnancov). Najvyššie zvýšenie počtu zamestnancov medzi rokmi 2014 a 2015 bolo v kapitole Ministerstva práce, sociálnych vecí a rodiny SR (424 zamestnancov),</w:t>
      </w:r>
      <w:r w:rsidR="000F2028">
        <w:rPr>
          <w:rFonts w:ascii="Times New Roman" w:hAnsi="Times New Roman"/>
          <w:sz w:val="22"/>
          <w:szCs w:val="22"/>
        </w:rPr>
        <w:t xml:space="preserve"> </w:t>
      </w:r>
      <w:r w:rsidRPr="000F2028" w:rsidR="000F2028">
        <w:rPr>
          <w:rFonts w:ascii="Times New Roman" w:hAnsi="Times New Roman"/>
          <w:sz w:val="22"/>
          <w:szCs w:val="22"/>
        </w:rPr>
        <w:t>v kapitole Ministerstva vnútra SR (155 zamestnancov) a</w:t>
      </w:r>
      <w:r w:rsidR="000F2028">
        <w:rPr>
          <w:rFonts w:ascii="Times New Roman" w:hAnsi="Times New Roman"/>
          <w:sz w:val="22"/>
          <w:szCs w:val="22"/>
        </w:rPr>
        <w:t xml:space="preserve"> </w:t>
      </w:r>
      <w:r w:rsidRPr="000F2028" w:rsidR="000F2028">
        <w:rPr>
          <w:rFonts w:ascii="Times New Roman" w:hAnsi="Times New Roman"/>
          <w:sz w:val="22"/>
          <w:szCs w:val="22"/>
        </w:rPr>
        <w:t>v kapitole Ministerstva obrany SR (99 zamestnancov).</w:t>
      </w:r>
      <w:r w:rsidR="00470A6D">
        <w:rPr>
          <w:rFonts w:ascii="Times New Roman" w:hAnsi="Times New Roman"/>
          <w:sz w:val="22"/>
          <w:szCs w:val="22"/>
        </w:rPr>
        <w:t xml:space="preserve"> </w:t>
      </w:r>
      <w:r w:rsidR="007C5C03">
        <w:rPr>
          <w:rFonts w:ascii="Times New Roman" w:hAnsi="Times New Roman"/>
          <w:sz w:val="22"/>
          <w:szCs w:val="22"/>
        </w:rPr>
        <w:t>Okrem požiadaviek na zabezpečenie realizácie EÚ projektov bola d</w:t>
      </w:r>
      <w:r w:rsidR="00470A6D">
        <w:rPr>
          <w:rFonts w:ascii="Times New Roman" w:hAnsi="Times New Roman"/>
          <w:sz w:val="22"/>
          <w:szCs w:val="22"/>
        </w:rPr>
        <w:t xml:space="preserve">ôvodom </w:t>
      </w:r>
      <w:r w:rsidR="007C5C03">
        <w:rPr>
          <w:rFonts w:ascii="Times New Roman" w:hAnsi="Times New Roman"/>
          <w:sz w:val="22"/>
          <w:szCs w:val="22"/>
        </w:rPr>
        <w:t>týchto zmi</w:t>
      </w:r>
      <w:r w:rsidR="00470A6D">
        <w:rPr>
          <w:rFonts w:ascii="Times New Roman" w:hAnsi="Times New Roman"/>
          <w:sz w:val="22"/>
          <w:szCs w:val="22"/>
        </w:rPr>
        <w:t>en</w:t>
      </w:r>
      <w:r w:rsidR="007C5C03">
        <w:rPr>
          <w:rFonts w:ascii="Times New Roman" w:hAnsi="Times New Roman"/>
          <w:sz w:val="22"/>
          <w:szCs w:val="22"/>
        </w:rPr>
        <w:t xml:space="preserve"> aj prirodzená fluktuácia zamestnancov, prípadne zmena formy hospodárenia rozpočtových organizácií na príspevkové.</w:t>
      </w:r>
    </w:p>
    <w:p w:rsidR="00AD13E4" w:rsidRPr="00B5573B" w:rsidP="002250E3">
      <w:pPr>
        <w:bidi w:val="0"/>
        <w:spacing w:after="120" w:line="336" w:lineRule="auto"/>
        <w:jc w:val="both"/>
        <w:rPr>
          <w:rFonts w:ascii="Times New Roman" w:hAnsi="Times New Roman"/>
          <w:color w:val="C00000"/>
          <w:sz w:val="22"/>
          <w:szCs w:val="22"/>
          <w:highlight w:val="yellow"/>
        </w:rPr>
      </w:pPr>
      <w:r w:rsidRPr="002859DC">
        <w:rPr>
          <w:rFonts w:ascii="Times New Roman" w:hAnsi="Times New Roman"/>
          <w:sz w:val="22"/>
          <w:szCs w:val="22"/>
        </w:rPr>
        <w:t xml:space="preserve">Pre samotné </w:t>
      </w:r>
      <w:r w:rsidRPr="002859DC">
        <w:rPr>
          <w:rFonts w:ascii="Times New Roman" w:hAnsi="Times New Roman"/>
          <w:b/>
          <w:sz w:val="22"/>
          <w:szCs w:val="22"/>
        </w:rPr>
        <w:t>aparáty ústredných orgánov</w:t>
      </w:r>
      <w:r w:rsidRPr="002859DC">
        <w:rPr>
          <w:rFonts w:ascii="Times New Roman" w:hAnsi="Times New Roman"/>
          <w:sz w:val="22"/>
          <w:szCs w:val="22"/>
        </w:rPr>
        <w:t xml:space="preserve"> boli </w:t>
      </w:r>
      <w:r>
        <w:rPr>
          <w:rFonts w:ascii="Times New Roman" w:hAnsi="Times New Roman"/>
          <w:sz w:val="22"/>
          <w:szCs w:val="22"/>
        </w:rPr>
        <w:t xml:space="preserve">po rokovaní Národnej rady Slovenskej republiky </w:t>
      </w:r>
      <w:r w:rsidRPr="002859DC">
        <w:rPr>
          <w:rFonts w:ascii="Times New Roman" w:hAnsi="Times New Roman"/>
          <w:sz w:val="22"/>
          <w:szCs w:val="22"/>
        </w:rPr>
        <w:t xml:space="preserve">schválené výdavky na mzdy, platy, služobné príjmy a ostatné osobné vyrovnania v sume </w:t>
      </w:r>
      <w:r w:rsidRPr="00867DB3">
        <w:rPr>
          <w:rFonts w:ascii="Times New Roman" w:hAnsi="Times New Roman"/>
          <w:sz w:val="22"/>
          <w:szCs w:val="22"/>
        </w:rPr>
        <w:t>183</w:t>
      </w:r>
      <w:r>
        <w:rPr>
          <w:rFonts w:ascii="Times New Roman" w:hAnsi="Times New Roman"/>
          <w:sz w:val="22"/>
          <w:szCs w:val="22"/>
        </w:rPr>
        <w:t> </w:t>
      </w:r>
      <w:r w:rsidRPr="00867DB3">
        <w:rPr>
          <w:rFonts w:ascii="Times New Roman" w:hAnsi="Times New Roman"/>
          <w:sz w:val="22"/>
          <w:szCs w:val="22"/>
        </w:rPr>
        <w:t>769</w:t>
      </w:r>
      <w:r>
        <w:rPr>
          <w:rFonts w:ascii="Times New Roman" w:hAnsi="Times New Roman"/>
          <w:sz w:val="22"/>
          <w:szCs w:val="22"/>
        </w:rPr>
        <w:t> </w:t>
      </w:r>
      <w:r w:rsidRPr="00867DB3">
        <w:rPr>
          <w:rFonts w:ascii="Times New Roman" w:hAnsi="Times New Roman"/>
          <w:sz w:val="22"/>
          <w:szCs w:val="22"/>
        </w:rPr>
        <w:t xml:space="preserve">tis. </w:t>
      </w:r>
      <w:r w:rsidRPr="002859DC">
        <w:rPr>
          <w:rFonts w:ascii="Times New Roman" w:hAnsi="Times New Roman"/>
          <w:sz w:val="22"/>
          <w:szCs w:val="22"/>
        </w:rPr>
        <w:t>eur.</w:t>
      </w:r>
      <w:r w:rsidRPr="002859DC">
        <w:rPr>
          <w:rFonts w:ascii="Times New Roman" w:hAnsi="Times New Roman"/>
          <w:color w:val="C00000"/>
          <w:sz w:val="22"/>
          <w:szCs w:val="22"/>
        </w:rPr>
        <w:t xml:space="preserve"> </w:t>
      </w:r>
      <w:r w:rsidRPr="002859DC">
        <w:rPr>
          <w:rFonts w:ascii="Times New Roman" w:hAnsi="Times New Roman"/>
          <w:sz w:val="22"/>
          <w:szCs w:val="22"/>
        </w:rPr>
        <w:t xml:space="preserve">V priebehu roka bol tento limit rozpočtovými opatreniami zvýšený na </w:t>
      </w:r>
      <w:r w:rsidRPr="00867DB3">
        <w:rPr>
          <w:rFonts w:ascii="Times New Roman" w:hAnsi="Times New Roman"/>
          <w:sz w:val="22"/>
          <w:szCs w:val="22"/>
        </w:rPr>
        <w:t>199</w:t>
      </w:r>
      <w:r>
        <w:rPr>
          <w:rFonts w:ascii="Times New Roman" w:hAnsi="Times New Roman"/>
          <w:sz w:val="22"/>
          <w:szCs w:val="22"/>
        </w:rPr>
        <w:t> </w:t>
      </w:r>
      <w:r w:rsidRPr="00867DB3">
        <w:rPr>
          <w:rFonts w:ascii="Times New Roman" w:hAnsi="Times New Roman"/>
          <w:sz w:val="22"/>
          <w:szCs w:val="22"/>
        </w:rPr>
        <w:t>173</w:t>
      </w:r>
      <w:r>
        <w:rPr>
          <w:rFonts w:ascii="Times New Roman" w:hAnsi="Times New Roman"/>
          <w:sz w:val="22"/>
          <w:szCs w:val="22"/>
        </w:rPr>
        <w:t> </w:t>
      </w:r>
      <w:r w:rsidRPr="00867DB3">
        <w:rPr>
          <w:rFonts w:ascii="Times New Roman" w:hAnsi="Times New Roman"/>
          <w:sz w:val="22"/>
          <w:szCs w:val="22"/>
        </w:rPr>
        <w:t>tis</w:t>
      </w:r>
      <w:r>
        <w:rPr>
          <w:rFonts w:ascii="Times New Roman" w:hAnsi="Times New Roman"/>
          <w:sz w:val="22"/>
          <w:szCs w:val="22"/>
        </w:rPr>
        <w:t>. </w:t>
      </w:r>
      <w:r w:rsidRPr="007A6004">
        <w:rPr>
          <w:rFonts w:ascii="Times New Roman" w:hAnsi="Times New Roman"/>
          <w:sz w:val="22"/>
          <w:szCs w:val="22"/>
        </w:rPr>
        <w:t>e</w:t>
      </w:r>
      <w:r w:rsidRPr="002859DC">
        <w:rPr>
          <w:rFonts w:ascii="Times New Roman" w:hAnsi="Times New Roman"/>
          <w:sz w:val="22"/>
          <w:szCs w:val="22"/>
        </w:rPr>
        <w:t xml:space="preserve">ur. Zamestnancom aparátov ústredných orgánov boli spolu vyplatené mzdy a platy v sume </w:t>
      </w:r>
      <w:r w:rsidRPr="007A6004">
        <w:rPr>
          <w:rFonts w:ascii="Times New Roman" w:hAnsi="Times New Roman"/>
          <w:sz w:val="22"/>
          <w:szCs w:val="22"/>
        </w:rPr>
        <w:t>226 348 tis.</w:t>
      </w:r>
      <w:r w:rsidRPr="002859DC">
        <w:rPr>
          <w:rFonts w:ascii="Times New Roman" w:hAnsi="Times New Roman"/>
          <w:sz w:val="22"/>
          <w:szCs w:val="22"/>
        </w:rPr>
        <w:t xml:space="preserve"> eur vrátane zdrojov Európskej únie, spolufinancovania zo štátneho rozpočtu a mimorozpočtových zdrojov. Výdavky na mzdy, platy, služobné príjmy a ostatné osobné vyrovnania zamestnancov aparátu ústredného orgánu medziročne vzrástli o </w:t>
      </w:r>
      <w:r w:rsidRPr="007A6004">
        <w:rPr>
          <w:rFonts w:ascii="Times New Roman" w:hAnsi="Times New Roman"/>
          <w:sz w:val="22"/>
          <w:szCs w:val="22"/>
        </w:rPr>
        <w:t>13 721 tis.</w:t>
      </w:r>
      <w:r w:rsidRPr="002859DC">
        <w:rPr>
          <w:rFonts w:ascii="Times New Roman" w:hAnsi="Times New Roman"/>
          <w:sz w:val="22"/>
          <w:szCs w:val="22"/>
        </w:rPr>
        <w:t xml:space="preserve"> eur.</w:t>
      </w:r>
      <w:r w:rsidRPr="002859DC">
        <w:rPr>
          <w:rFonts w:ascii="Times New Roman" w:hAnsi="Times New Roman"/>
          <w:color w:val="C00000"/>
          <w:sz w:val="22"/>
          <w:szCs w:val="22"/>
        </w:rPr>
        <w:t xml:space="preserve"> </w:t>
      </w:r>
      <w:r w:rsidRPr="00B5573B" w:rsidR="00BA122C">
        <w:rPr>
          <w:rFonts w:ascii="Times New Roman" w:hAnsi="Times New Roman"/>
          <w:sz w:val="22"/>
          <w:szCs w:val="22"/>
        </w:rPr>
        <w:t xml:space="preserve">Medziročný rast osobných výdavkov súvisí najmä s dohodnutou valorizáciou na rok 2015 a s finančným zabezpečením zamestnancov v rámci SKPRESS. </w:t>
      </w:r>
      <w:r w:rsidRPr="00B5573B">
        <w:rPr>
          <w:rFonts w:ascii="Times New Roman" w:hAnsi="Times New Roman"/>
          <w:sz w:val="22"/>
          <w:szCs w:val="22"/>
        </w:rPr>
        <w:t xml:space="preserve">Záväzný limit miezd, platov, služobných príjmov a ostatných osobných vyrovnaní aparátov ústredných orgánov </w:t>
      </w:r>
      <w:r w:rsidR="007C5C03">
        <w:rPr>
          <w:rFonts w:ascii="Times New Roman" w:hAnsi="Times New Roman"/>
          <w:sz w:val="22"/>
          <w:szCs w:val="22"/>
        </w:rPr>
        <w:t>zo štátneho rozpočtu</w:t>
      </w:r>
      <w:r w:rsidRPr="00B5573B">
        <w:rPr>
          <w:rFonts w:ascii="Times New Roman" w:hAnsi="Times New Roman"/>
          <w:sz w:val="22"/>
          <w:szCs w:val="22"/>
        </w:rPr>
        <w:t xml:space="preserve"> bol dodržaný.</w:t>
      </w:r>
      <w:r w:rsidRPr="00B5573B">
        <w:rPr>
          <w:rFonts w:ascii="Times New Roman" w:hAnsi="Times New Roman"/>
          <w:color w:val="C00000"/>
          <w:sz w:val="22"/>
          <w:szCs w:val="22"/>
        </w:rPr>
        <w:t xml:space="preserve"> </w:t>
      </w:r>
    </w:p>
    <w:p w:rsidR="00AD13E4" w:rsidRPr="00390161" w:rsidP="002250E3">
      <w:pPr>
        <w:bidi w:val="0"/>
        <w:spacing w:after="120" w:line="336" w:lineRule="auto"/>
        <w:jc w:val="both"/>
        <w:rPr>
          <w:rFonts w:ascii="Times New Roman" w:hAnsi="Times New Roman"/>
          <w:sz w:val="22"/>
          <w:szCs w:val="22"/>
          <w:highlight w:val="yellow"/>
        </w:rPr>
      </w:pPr>
      <w:r w:rsidRPr="002724E9">
        <w:rPr>
          <w:rFonts w:ascii="Times New Roman" w:hAnsi="Times New Roman"/>
          <w:sz w:val="22"/>
          <w:szCs w:val="22"/>
        </w:rPr>
        <w:t xml:space="preserve">Pre </w:t>
      </w:r>
      <w:r w:rsidRPr="002724E9">
        <w:rPr>
          <w:rFonts w:ascii="Times New Roman" w:hAnsi="Times New Roman"/>
          <w:b/>
          <w:sz w:val="22"/>
          <w:szCs w:val="22"/>
        </w:rPr>
        <w:t>aparáty ústredných orgánov</w:t>
      </w:r>
      <w:r w:rsidRPr="002724E9">
        <w:rPr>
          <w:rFonts w:ascii="Times New Roman" w:hAnsi="Times New Roman"/>
          <w:sz w:val="22"/>
          <w:szCs w:val="22"/>
        </w:rPr>
        <w:t xml:space="preserve"> bol po rokovaní Národnej rady SR na rok 2015 schválený záväzný </w:t>
      </w:r>
      <w:r w:rsidRPr="002724E9">
        <w:rPr>
          <w:rFonts w:ascii="Times New Roman" w:hAnsi="Times New Roman"/>
          <w:b/>
          <w:sz w:val="22"/>
          <w:szCs w:val="22"/>
        </w:rPr>
        <w:t>limit počtu zamestnancov</w:t>
      </w:r>
      <w:r w:rsidRPr="002724E9">
        <w:rPr>
          <w:rFonts w:ascii="Times New Roman" w:hAnsi="Times New Roman"/>
          <w:sz w:val="22"/>
          <w:szCs w:val="22"/>
        </w:rPr>
        <w:t xml:space="preserve"> 11 580 osôb. Tento limit bol v priebehu roka zvýšený </w:t>
      </w:r>
      <w:r w:rsidR="000F2028">
        <w:rPr>
          <w:rFonts w:ascii="Times New Roman" w:hAnsi="Times New Roman"/>
          <w:sz w:val="22"/>
          <w:szCs w:val="22"/>
        </w:rPr>
        <w:t xml:space="preserve">úpravami </w:t>
      </w:r>
      <w:r w:rsidRPr="002724E9">
        <w:rPr>
          <w:rFonts w:ascii="Times New Roman" w:hAnsi="Times New Roman"/>
          <w:sz w:val="22"/>
          <w:szCs w:val="22"/>
        </w:rPr>
        <w:t>o 459 osôb na 12 039 osôb. V skutočnosti aparáty ústredných orgánov v roku 201</w:t>
      </w:r>
      <w:r w:rsidR="000F2028">
        <w:rPr>
          <w:rFonts w:ascii="Times New Roman" w:hAnsi="Times New Roman"/>
          <w:sz w:val="22"/>
          <w:szCs w:val="22"/>
        </w:rPr>
        <w:t>5</w:t>
      </w:r>
      <w:r w:rsidRPr="002724E9">
        <w:rPr>
          <w:rFonts w:ascii="Times New Roman" w:hAnsi="Times New Roman"/>
          <w:sz w:val="22"/>
          <w:szCs w:val="22"/>
        </w:rPr>
        <w:t xml:space="preserve"> zamestnávali </w:t>
      </w:r>
      <w:r w:rsidRPr="00867DB3">
        <w:rPr>
          <w:rFonts w:ascii="Times New Roman" w:hAnsi="Times New Roman"/>
          <w:sz w:val="22"/>
          <w:szCs w:val="22"/>
        </w:rPr>
        <w:t>11 039</w:t>
      </w:r>
      <w:r w:rsidRPr="002724E9">
        <w:rPr>
          <w:rFonts w:ascii="Times New Roman" w:hAnsi="Times New Roman"/>
          <w:sz w:val="22"/>
          <w:szCs w:val="22"/>
        </w:rPr>
        <w:t xml:space="preserve"> o</w:t>
      </w:r>
      <w:r w:rsidR="000F2028">
        <w:rPr>
          <w:rFonts w:ascii="Times New Roman" w:hAnsi="Times New Roman"/>
          <w:sz w:val="22"/>
          <w:szCs w:val="22"/>
        </w:rPr>
        <w:t>sôb, čo v porovnaní s rokom 2014</w:t>
      </w:r>
      <w:r w:rsidRPr="002724E9">
        <w:rPr>
          <w:rFonts w:ascii="Times New Roman" w:hAnsi="Times New Roman"/>
          <w:sz w:val="22"/>
          <w:szCs w:val="22"/>
        </w:rPr>
        <w:t xml:space="preserve"> </w:t>
      </w:r>
      <w:r>
        <w:rPr>
          <w:rFonts w:ascii="Times New Roman" w:hAnsi="Times New Roman"/>
          <w:sz w:val="22"/>
          <w:szCs w:val="22"/>
        </w:rPr>
        <w:t xml:space="preserve">je viac </w:t>
      </w:r>
      <w:r w:rsidRPr="002724E9">
        <w:rPr>
          <w:rFonts w:ascii="Times New Roman" w:hAnsi="Times New Roman"/>
          <w:sz w:val="22"/>
          <w:szCs w:val="22"/>
        </w:rPr>
        <w:t>o </w:t>
      </w:r>
      <w:r w:rsidRPr="00867DB3">
        <w:rPr>
          <w:rFonts w:ascii="Times New Roman" w:hAnsi="Times New Roman"/>
          <w:sz w:val="22"/>
          <w:szCs w:val="22"/>
        </w:rPr>
        <w:t>199</w:t>
      </w:r>
      <w:r w:rsidRPr="002724E9">
        <w:rPr>
          <w:rFonts w:ascii="Times New Roman" w:hAnsi="Times New Roman"/>
          <w:sz w:val="22"/>
          <w:szCs w:val="22"/>
        </w:rPr>
        <w:t xml:space="preserve"> zamestnancov </w:t>
      </w:r>
      <w:r>
        <w:rPr>
          <w:rFonts w:ascii="Times New Roman" w:hAnsi="Times New Roman"/>
          <w:sz w:val="22"/>
          <w:szCs w:val="22"/>
        </w:rPr>
        <w:t>predovšetkým z dôvodu prípravy a zabezpečenia predsedníctva Slovenskej republiky v Rade Európskej únie</w:t>
      </w:r>
    </w:p>
    <w:p w:rsidR="00AD13E4" w:rsidRPr="00D01480" w:rsidP="002250E3">
      <w:pPr>
        <w:bidi w:val="0"/>
        <w:spacing w:after="120" w:line="336" w:lineRule="auto"/>
        <w:jc w:val="both"/>
        <w:rPr>
          <w:rFonts w:ascii="Times New Roman" w:hAnsi="Times New Roman"/>
          <w:color w:val="C00000"/>
          <w:sz w:val="22"/>
          <w:szCs w:val="22"/>
        </w:rPr>
      </w:pPr>
      <w:r w:rsidRPr="00867DB3">
        <w:rPr>
          <w:rFonts w:ascii="Times New Roman" w:hAnsi="Times New Roman"/>
          <w:sz w:val="22"/>
          <w:szCs w:val="22"/>
        </w:rPr>
        <w:t>Uznesením vlády SR č. 5</w:t>
      </w:r>
      <w:r>
        <w:rPr>
          <w:rFonts w:ascii="Times New Roman" w:hAnsi="Times New Roman"/>
          <w:sz w:val="22"/>
          <w:szCs w:val="22"/>
        </w:rPr>
        <w:t>0</w:t>
      </w:r>
      <w:r w:rsidRPr="00867DB3">
        <w:rPr>
          <w:rFonts w:ascii="Times New Roman" w:hAnsi="Times New Roman"/>
          <w:sz w:val="22"/>
          <w:szCs w:val="22"/>
        </w:rPr>
        <w:t>8/201</w:t>
      </w:r>
      <w:r>
        <w:rPr>
          <w:rFonts w:ascii="Times New Roman" w:hAnsi="Times New Roman"/>
          <w:sz w:val="22"/>
          <w:szCs w:val="22"/>
        </w:rPr>
        <w:t>4</w:t>
      </w:r>
      <w:r w:rsidRPr="00867DB3">
        <w:rPr>
          <w:rFonts w:ascii="Times New Roman" w:hAnsi="Times New Roman"/>
          <w:sz w:val="22"/>
          <w:szCs w:val="22"/>
        </w:rPr>
        <w:t xml:space="preserve"> bola v prílohe č. 2 na rok 201</w:t>
      </w:r>
      <w:r>
        <w:rPr>
          <w:rFonts w:ascii="Times New Roman" w:hAnsi="Times New Roman"/>
          <w:sz w:val="22"/>
          <w:szCs w:val="22"/>
        </w:rPr>
        <w:t>5</w:t>
      </w:r>
      <w:r w:rsidRPr="00867DB3">
        <w:rPr>
          <w:rFonts w:ascii="Times New Roman" w:hAnsi="Times New Roman"/>
          <w:sz w:val="22"/>
          <w:szCs w:val="22"/>
        </w:rPr>
        <w:t xml:space="preserve"> schválená systemizácia colníkov v štátnej službe, systemizácia policajtov v štátnej službe a systemizácia príslušníkov Hasičského a záchranného zboru a príslušníkov Horskej záchrannej služby v štátnej službe.</w:t>
      </w:r>
      <w:r w:rsidRPr="00867DB3">
        <w:rPr>
          <w:rFonts w:ascii="Times New Roman" w:hAnsi="Times New Roman"/>
          <w:color w:val="C00000"/>
          <w:sz w:val="22"/>
          <w:szCs w:val="22"/>
        </w:rPr>
        <w:t xml:space="preserve"> </w:t>
      </w:r>
      <w:r w:rsidRPr="00867DB3">
        <w:rPr>
          <w:rFonts w:ascii="Times New Roman" w:hAnsi="Times New Roman"/>
          <w:sz w:val="22"/>
          <w:szCs w:val="22"/>
        </w:rPr>
        <w:t xml:space="preserve">Záväzné ukazovatele systemizácie boli vo všetkých kapitolách </w:t>
      </w:r>
      <w:r w:rsidRPr="00D01480">
        <w:rPr>
          <w:rFonts w:ascii="Times New Roman" w:hAnsi="Times New Roman"/>
          <w:sz w:val="22"/>
          <w:szCs w:val="22"/>
        </w:rPr>
        <w:t>dodržané.</w:t>
      </w:r>
      <w:r w:rsidRPr="00D01480">
        <w:rPr>
          <w:rFonts w:ascii="Times New Roman" w:hAnsi="Times New Roman"/>
          <w:color w:val="C00000"/>
          <w:sz w:val="22"/>
          <w:szCs w:val="22"/>
        </w:rPr>
        <w:t xml:space="preserve"> </w:t>
      </w:r>
    </w:p>
    <w:p w:rsidR="00B548CC" w:rsidRPr="00077194" w:rsidP="002250E3">
      <w:pPr>
        <w:bidi w:val="0"/>
        <w:spacing w:after="120" w:line="336" w:lineRule="auto"/>
        <w:jc w:val="both"/>
        <w:rPr>
          <w:rFonts w:ascii="Times New Roman" w:hAnsi="Times New Roman"/>
          <w:i/>
          <w:sz w:val="22"/>
          <w:szCs w:val="22"/>
          <w:highlight w:val="yellow"/>
        </w:rPr>
      </w:pPr>
      <w:r w:rsidRPr="003C203C" w:rsidR="00AD13E4">
        <w:rPr>
          <w:rFonts w:ascii="Times New Roman" w:hAnsi="Times New Roman"/>
          <w:i/>
          <w:sz w:val="22"/>
          <w:szCs w:val="22"/>
        </w:rPr>
        <w:t>Prehľad o plnení limitu počtu zamestnancov, miezd, platov, služobných príjmov a ostatných osobných vyrovnaní v kapitolách štátneho rozpočtu na rok 201</w:t>
      </w:r>
      <w:r w:rsidR="00AD13E4">
        <w:rPr>
          <w:rFonts w:ascii="Times New Roman" w:hAnsi="Times New Roman"/>
          <w:i/>
          <w:sz w:val="22"/>
          <w:szCs w:val="22"/>
        </w:rPr>
        <w:t>5</w:t>
      </w:r>
      <w:r w:rsidRPr="003C203C" w:rsidR="00AD13E4">
        <w:rPr>
          <w:rFonts w:ascii="Times New Roman" w:hAnsi="Times New Roman"/>
          <w:i/>
          <w:sz w:val="22"/>
          <w:szCs w:val="22"/>
        </w:rPr>
        <w:t xml:space="preserve"> vrátane vyhodnotenia systemizácie je uvedený v tabuľkách 22</w:t>
      </w:r>
      <w:r w:rsidR="00AD13E4">
        <w:rPr>
          <w:rFonts w:ascii="Times New Roman" w:hAnsi="Times New Roman"/>
          <w:i/>
          <w:sz w:val="22"/>
          <w:szCs w:val="22"/>
        </w:rPr>
        <w:t>, 24</w:t>
      </w:r>
      <w:r w:rsidRPr="003C203C" w:rsidR="00AD13E4">
        <w:rPr>
          <w:rFonts w:ascii="Times New Roman" w:hAnsi="Times New Roman"/>
          <w:i/>
          <w:sz w:val="22"/>
          <w:szCs w:val="22"/>
        </w:rPr>
        <w:t xml:space="preserve"> – 26 tabuľkovej časti štátneho záverečného účtu.</w:t>
      </w:r>
      <w:r w:rsidRPr="00077194">
        <w:rPr>
          <w:rFonts w:ascii="Times New Roman" w:hAnsi="Times New Roman"/>
          <w:i/>
          <w:sz w:val="22"/>
          <w:szCs w:val="22"/>
          <w:highlight w:val="yellow"/>
        </w:rPr>
        <w:t xml:space="preserve"> </w:t>
      </w:r>
    </w:p>
    <w:p w:rsidR="00B548CC" w:rsidRPr="00AD13E4" w:rsidP="002250E3">
      <w:pPr>
        <w:numPr>
          <w:numId w:val="28"/>
        </w:numPr>
        <w:bidi w:val="0"/>
        <w:spacing w:after="120" w:line="336" w:lineRule="auto"/>
        <w:ind w:left="0" w:firstLine="0"/>
        <w:jc w:val="both"/>
        <w:rPr>
          <w:rFonts w:ascii="Times New Roman" w:hAnsi="Times New Roman"/>
          <w:b/>
          <w:sz w:val="22"/>
          <w:szCs w:val="22"/>
        </w:rPr>
      </w:pPr>
      <w:r w:rsidRPr="00AD13E4">
        <w:rPr>
          <w:rFonts w:ascii="Times New Roman" w:hAnsi="Times New Roman"/>
          <w:b/>
          <w:sz w:val="22"/>
          <w:szCs w:val="22"/>
        </w:rPr>
        <w:t>Poistné a príspevok do poisťovní</w:t>
      </w:r>
    </w:p>
    <w:p w:rsidR="00AD13E4" w:rsidRPr="005E4E4D" w:rsidP="002250E3">
      <w:pPr>
        <w:bidi w:val="0"/>
        <w:spacing w:after="120" w:line="336" w:lineRule="auto"/>
        <w:jc w:val="both"/>
        <w:rPr>
          <w:rFonts w:ascii="Times New Roman" w:hAnsi="Times New Roman"/>
          <w:color w:val="C00000"/>
          <w:sz w:val="22"/>
          <w:szCs w:val="22"/>
        </w:rPr>
      </w:pPr>
      <w:r w:rsidRPr="005E4E4D">
        <w:rPr>
          <w:rFonts w:ascii="Times New Roman" w:hAnsi="Times New Roman"/>
          <w:sz w:val="22"/>
          <w:szCs w:val="22"/>
        </w:rPr>
        <w:t>Kapitoly štátneho rozpočtu rozpísali v roku 2015 výdavky na poistné a príspevok do poisťovní v sume 540 556 tis. eur. V priebehu roka bola táto suma upravená na 601 903 tis. eur. Skutočné výdavky na poistné a príspevok do poisťovní dosiahli sumu 604 645 tis. eur pri medziročnom náraste 4,</w:t>
      </w:r>
      <w:r>
        <w:rPr>
          <w:rFonts w:ascii="Times New Roman" w:hAnsi="Times New Roman"/>
          <w:sz w:val="22"/>
          <w:szCs w:val="22"/>
        </w:rPr>
        <w:t>4</w:t>
      </w:r>
      <w:r w:rsidR="00351989">
        <w:rPr>
          <w:rFonts w:ascii="Times New Roman" w:hAnsi="Times New Roman"/>
          <w:sz w:val="22"/>
          <w:szCs w:val="22"/>
        </w:rPr>
        <w:t xml:space="preserve"> %. Dosiahnutá skutočnosť v poistnom zohľadňuje čerpanie výdavkov za všetky zdroje, t</w:t>
      </w:r>
      <w:r w:rsidRPr="00351989" w:rsidR="00351989">
        <w:rPr>
          <w:rFonts w:ascii="Times New Roman" w:hAnsi="Times New Roman"/>
          <w:sz w:val="22"/>
          <w:szCs w:val="22"/>
        </w:rPr>
        <w:t>. j. nielen za kód zdroja 111.</w:t>
      </w:r>
      <w:r w:rsidR="00B5573B">
        <w:rPr>
          <w:rFonts w:ascii="Times New Roman" w:hAnsi="Times New Roman"/>
          <w:sz w:val="22"/>
          <w:szCs w:val="22"/>
        </w:rPr>
        <w:t xml:space="preserve"> Vyššie čerpanie súvisí s valorizáciou miezd a platov, vyšším počtom zamestnancov prijatých na realizáciu projektov EÚ a zabezpečenie predsedníctva SR v rade EÚ</w:t>
      </w:r>
      <w:r w:rsidRPr="00351989" w:rsidR="00351989">
        <w:rPr>
          <w:rFonts w:ascii="Times New Roman" w:hAnsi="Times New Roman"/>
          <w:sz w:val="22"/>
          <w:szCs w:val="22"/>
        </w:rPr>
        <w:t xml:space="preserve"> </w:t>
      </w:r>
      <w:r w:rsidR="00351989">
        <w:rPr>
          <w:rFonts w:ascii="Times New Roman" w:hAnsi="Times New Roman"/>
          <w:sz w:val="22"/>
          <w:szCs w:val="22"/>
        </w:rPr>
        <w:t xml:space="preserve">Výdavky </w:t>
      </w:r>
      <w:r w:rsidRPr="005E4E4D">
        <w:rPr>
          <w:rFonts w:ascii="Times New Roman" w:hAnsi="Times New Roman"/>
          <w:sz w:val="22"/>
          <w:szCs w:val="22"/>
        </w:rPr>
        <w:t>boli čerpané v tejto štruktúre:</w:t>
      </w:r>
      <w:r w:rsidRPr="005E4E4D">
        <w:rPr>
          <w:rFonts w:ascii="Times New Roman" w:hAnsi="Times New Roman"/>
          <w:color w:val="C00000"/>
          <w:sz w:val="22"/>
          <w:szCs w:val="22"/>
        </w:rPr>
        <w:t xml:space="preserve"> </w:t>
      </w:r>
    </w:p>
    <w:p w:rsidR="00AD13E4" w:rsidRPr="00840321" w:rsidP="002250E3">
      <w:pPr>
        <w:bidi w:val="0"/>
        <w:spacing w:after="120" w:line="336" w:lineRule="auto"/>
        <w:jc w:val="both"/>
        <w:rPr>
          <w:rFonts w:ascii="Times New Roman" w:hAnsi="Times New Roman"/>
          <w:sz w:val="22"/>
          <w:szCs w:val="22"/>
        </w:rPr>
      </w:pPr>
      <w:r w:rsidRPr="00840321">
        <w:rPr>
          <w:rFonts w:ascii="Times New Roman" w:hAnsi="Times New Roman"/>
          <w:b/>
          <w:i/>
          <w:sz w:val="22"/>
          <w:szCs w:val="22"/>
        </w:rPr>
        <w:t>Výdavky na poistné do Sociálnej poisťovne</w:t>
      </w:r>
      <w:r w:rsidRPr="00840321">
        <w:rPr>
          <w:rFonts w:ascii="Times New Roman" w:hAnsi="Times New Roman"/>
          <w:sz w:val="22"/>
          <w:szCs w:val="22"/>
        </w:rPr>
        <w:t xml:space="preserve"> v sume 237 241 tis. eur dosia</w:t>
      </w:r>
      <w:r w:rsidR="000F2028">
        <w:rPr>
          <w:rFonts w:ascii="Times New Roman" w:hAnsi="Times New Roman"/>
          <w:sz w:val="22"/>
          <w:szCs w:val="22"/>
        </w:rPr>
        <w:t>hli medziročný nárast 6,2 % (</w:t>
      </w:r>
      <w:r w:rsidRPr="00840321">
        <w:rPr>
          <w:rFonts w:ascii="Times New Roman" w:hAnsi="Times New Roman"/>
          <w:sz w:val="22"/>
          <w:szCs w:val="22"/>
        </w:rPr>
        <w:t>2014: 223 484 tis. eur); z toho najvyšší objem tvorilo poistn</w:t>
      </w:r>
      <w:r w:rsidR="000F2028">
        <w:rPr>
          <w:rFonts w:ascii="Times New Roman" w:hAnsi="Times New Roman"/>
          <w:sz w:val="22"/>
          <w:szCs w:val="22"/>
        </w:rPr>
        <w:t>é na starobné poistenie 135 588 </w:t>
      </w:r>
      <w:r w:rsidRPr="00840321">
        <w:rPr>
          <w:rFonts w:ascii="Times New Roman" w:hAnsi="Times New Roman"/>
          <w:sz w:val="22"/>
          <w:szCs w:val="22"/>
        </w:rPr>
        <w:t>tis. eur, poistné do rezervného fondu solidarity predstavovalo 45 830 tis. eur a poistné na invalidné poistenie sumu 26 887 tis. eur</w:t>
      </w:r>
      <w:r>
        <w:rPr>
          <w:rFonts w:ascii="Times New Roman" w:hAnsi="Times New Roman"/>
          <w:sz w:val="22"/>
          <w:szCs w:val="22"/>
        </w:rPr>
        <w:t>.</w:t>
      </w:r>
      <w:r w:rsidRPr="00840321">
        <w:rPr>
          <w:rFonts w:ascii="Times New Roman" w:hAnsi="Times New Roman"/>
          <w:sz w:val="22"/>
          <w:szCs w:val="22"/>
        </w:rPr>
        <w:t xml:space="preserve"> </w:t>
      </w:r>
    </w:p>
    <w:p w:rsidR="00AD13E4" w:rsidRPr="002121D9" w:rsidP="002250E3">
      <w:pPr>
        <w:bidi w:val="0"/>
        <w:spacing w:after="120" w:line="336" w:lineRule="auto"/>
        <w:jc w:val="both"/>
        <w:rPr>
          <w:rFonts w:ascii="Times New Roman" w:hAnsi="Times New Roman"/>
          <w:sz w:val="22"/>
          <w:szCs w:val="22"/>
        </w:rPr>
      </w:pPr>
      <w:r w:rsidRPr="002121D9">
        <w:rPr>
          <w:rFonts w:ascii="Times New Roman" w:hAnsi="Times New Roman"/>
          <w:b/>
          <w:i/>
          <w:sz w:val="22"/>
          <w:szCs w:val="22"/>
        </w:rPr>
        <w:t>Poistné na osobitné účty</w:t>
      </w:r>
      <w:r w:rsidRPr="002121D9">
        <w:rPr>
          <w:rFonts w:ascii="Times New Roman" w:hAnsi="Times New Roman"/>
          <w:sz w:val="22"/>
          <w:szCs w:val="22"/>
        </w:rPr>
        <w:t xml:space="preserve"> v kapitolách štátneho rozpočtu, do pôsobnosti ktorých patrí riadenie ozbrojených, bezpečnostných a záchranných zložiek medziročne vzrástlo o</w:t>
      </w:r>
      <w:r>
        <w:rPr>
          <w:rFonts w:ascii="Times New Roman" w:hAnsi="Times New Roman"/>
          <w:sz w:val="22"/>
          <w:szCs w:val="22"/>
        </w:rPr>
        <w:t> 2,2</w:t>
      </w:r>
      <w:r w:rsidRPr="002121D9">
        <w:rPr>
          <w:rFonts w:ascii="Times New Roman" w:hAnsi="Times New Roman"/>
          <w:sz w:val="22"/>
          <w:szCs w:val="22"/>
        </w:rPr>
        <w:t xml:space="preserve"> % a dos</w:t>
      </w:r>
      <w:r w:rsidR="000F2028">
        <w:rPr>
          <w:rFonts w:ascii="Times New Roman" w:hAnsi="Times New Roman"/>
          <w:sz w:val="22"/>
          <w:szCs w:val="22"/>
        </w:rPr>
        <w:t>iahlo sumu 182 182 tis. eur (</w:t>
      </w:r>
      <w:r w:rsidRPr="002121D9">
        <w:rPr>
          <w:rFonts w:ascii="Times New Roman" w:hAnsi="Times New Roman"/>
          <w:sz w:val="22"/>
          <w:szCs w:val="22"/>
        </w:rPr>
        <w:t>2014: 1</w:t>
      </w:r>
      <w:r>
        <w:rPr>
          <w:rFonts w:ascii="Times New Roman" w:hAnsi="Times New Roman"/>
          <w:sz w:val="22"/>
          <w:szCs w:val="22"/>
        </w:rPr>
        <w:t>78 205</w:t>
      </w:r>
      <w:r w:rsidRPr="002121D9">
        <w:rPr>
          <w:rFonts w:ascii="Times New Roman" w:hAnsi="Times New Roman"/>
          <w:sz w:val="22"/>
          <w:szCs w:val="22"/>
        </w:rPr>
        <w:t xml:space="preserve"> tis. eur); z toho rozhodujúci podiel predstavovalo poistné na výsluhový dôchodok v sume 141 669 tis. eur, poistné na invalidný</w:t>
      </w:r>
      <w:r w:rsidR="002C38E1">
        <w:rPr>
          <w:rFonts w:ascii="Times New Roman" w:hAnsi="Times New Roman"/>
          <w:sz w:val="22"/>
          <w:szCs w:val="22"/>
        </w:rPr>
        <w:t xml:space="preserve"> výsluhový dôchodok 21 165 tis. </w:t>
      </w:r>
      <w:r w:rsidRPr="002121D9">
        <w:rPr>
          <w:rFonts w:ascii="Times New Roman" w:hAnsi="Times New Roman"/>
          <w:sz w:val="22"/>
          <w:szCs w:val="22"/>
        </w:rPr>
        <w:t xml:space="preserve">eur a na nemocenské zabezpečenie 9 875 tis. eur. </w:t>
      </w:r>
    </w:p>
    <w:p w:rsidR="00AD13E4" w:rsidRPr="00495E48" w:rsidP="002250E3">
      <w:pPr>
        <w:bidi w:val="0"/>
        <w:spacing w:after="120" w:line="336" w:lineRule="auto"/>
        <w:jc w:val="both"/>
        <w:rPr>
          <w:rFonts w:ascii="Times New Roman" w:hAnsi="Times New Roman"/>
          <w:sz w:val="22"/>
          <w:szCs w:val="22"/>
        </w:rPr>
      </w:pPr>
      <w:r w:rsidRPr="00495E48">
        <w:rPr>
          <w:rFonts w:ascii="Times New Roman" w:hAnsi="Times New Roman"/>
          <w:b/>
          <w:i/>
          <w:sz w:val="22"/>
          <w:szCs w:val="22"/>
        </w:rPr>
        <w:t>Poistné do zdravotných poisťovní</w:t>
      </w:r>
      <w:r w:rsidRPr="00495E48">
        <w:rPr>
          <w:rFonts w:ascii="Times New Roman" w:hAnsi="Times New Roman"/>
          <w:sz w:val="22"/>
          <w:szCs w:val="22"/>
        </w:rPr>
        <w:t xml:space="preserve"> medziročne vzrástlo o 3,5 % a dosiahlo sumu 174 575 tis. eur</w:t>
      </w:r>
      <w:r>
        <w:rPr>
          <w:rFonts w:ascii="Times New Roman" w:hAnsi="Times New Roman"/>
          <w:sz w:val="22"/>
          <w:szCs w:val="22"/>
        </w:rPr>
        <w:t xml:space="preserve"> (</w:t>
      </w:r>
      <w:r w:rsidRPr="00495E48">
        <w:rPr>
          <w:rFonts w:ascii="Times New Roman" w:hAnsi="Times New Roman"/>
          <w:sz w:val="22"/>
          <w:szCs w:val="22"/>
        </w:rPr>
        <w:t>2014: 168 666 tis. eur); v tom do Všeobecnej zdravotnej poisťov</w:t>
      </w:r>
      <w:r w:rsidR="002C38E1">
        <w:rPr>
          <w:rFonts w:ascii="Times New Roman" w:hAnsi="Times New Roman"/>
          <w:sz w:val="22"/>
          <w:szCs w:val="22"/>
        </w:rPr>
        <w:t>ne bolo odvedených 137 527 tis. </w:t>
      </w:r>
      <w:r w:rsidRPr="00495E48">
        <w:rPr>
          <w:rFonts w:ascii="Times New Roman" w:hAnsi="Times New Roman"/>
          <w:sz w:val="22"/>
          <w:szCs w:val="22"/>
        </w:rPr>
        <w:t>eur a do ostatných zdravotných poisťovní 37 048 tis. eur</w:t>
      </w:r>
      <w:r>
        <w:rPr>
          <w:rFonts w:ascii="Times New Roman" w:hAnsi="Times New Roman"/>
          <w:sz w:val="22"/>
          <w:szCs w:val="22"/>
        </w:rPr>
        <w:t>.</w:t>
      </w:r>
    </w:p>
    <w:p w:rsidR="00AD13E4" w:rsidRPr="00495E48" w:rsidP="002250E3">
      <w:pPr>
        <w:bidi w:val="0"/>
        <w:spacing w:after="120" w:line="336" w:lineRule="auto"/>
        <w:jc w:val="both"/>
        <w:rPr>
          <w:rFonts w:ascii="Times New Roman" w:hAnsi="Times New Roman"/>
          <w:sz w:val="22"/>
          <w:szCs w:val="22"/>
        </w:rPr>
      </w:pPr>
      <w:r w:rsidRPr="00495E48">
        <w:rPr>
          <w:rFonts w:ascii="Times New Roman" w:hAnsi="Times New Roman"/>
          <w:b/>
          <w:i/>
          <w:sz w:val="22"/>
          <w:szCs w:val="22"/>
        </w:rPr>
        <w:t>Príspevok do doplnkových dôchodkových poisťovní</w:t>
      </w:r>
      <w:r w:rsidRPr="00495E48">
        <w:rPr>
          <w:rFonts w:ascii="Times New Roman" w:hAnsi="Times New Roman"/>
          <w:sz w:val="22"/>
          <w:szCs w:val="22"/>
        </w:rPr>
        <w:t xml:space="preserve"> bol odve</w:t>
      </w:r>
      <w:r w:rsidR="000F2028">
        <w:rPr>
          <w:rFonts w:ascii="Times New Roman" w:hAnsi="Times New Roman"/>
          <w:sz w:val="22"/>
          <w:szCs w:val="22"/>
        </w:rPr>
        <w:t>dený v sume 10 489 tis. eur (2014: </w:t>
      </w:r>
      <w:r w:rsidRPr="00495E48">
        <w:rPr>
          <w:rFonts w:ascii="Times New Roman" w:hAnsi="Times New Roman"/>
          <w:sz w:val="22"/>
          <w:szCs w:val="22"/>
        </w:rPr>
        <w:t xml:space="preserve">8 812 tis. eur) a medziročne vzrástol o 19,0 %. </w:t>
      </w:r>
    </w:p>
    <w:p w:rsidR="00B548CC" w:rsidRPr="006E50E2" w:rsidP="002250E3">
      <w:pPr>
        <w:bidi w:val="0"/>
        <w:spacing w:after="120" w:line="336" w:lineRule="auto"/>
        <w:jc w:val="both"/>
        <w:rPr>
          <w:rFonts w:ascii="Times New Roman" w:hAnsi="Times New Roman"/>
          <w:sz w:val="22"/>
          <w:szCs w:val="22"/>
        </w:rPr>
      </w:pPr>
      <w:r w:rsidRPr="00495E48" w:rsidR="00AD13E4">
        <w:rPr>
          <w:rFonts w:ascii="Times New Roman" w:hAnsi="Times New Roman"/>
          <w:b/>
          <w:i/>
          <w:sz w:val="22"/>
          <w:szCs w:val="22"/>
        </w:rPr>
        <w:t>Príspevky na starobné dôchodkové sporenie</w:t>
      </w:r>
      <w:r w:rsidRPr="00495E48" w:rsidR="00AD13E4">
        <w:rPr>
          <w:rFonts w:ascii="Times New Roman" w:hAnsi="Times New Roman"/>
          <w:sz w:val="22"/>
          <w:szCs w:val="22"/>
        </w:rPr>
        <w:t xml:space="preserve"> boli odvedené v sume 158 tis. eur a medziročne vzrástli o 12,1 %.</w:t>
      </w:r>
    </w:p>
    <w:p w:rsidR="00B548CC" w:rsidRPr="006E50E2" w:rsidP="002250E3">
      <w:pPr>
        <w:pStyle w:val="ListParagraph"/>
        <w:numPr>
          <w:numId w:val="16"/>
        </w:numPr>
        <w:tabs>
          <w:tab w:val="left" w:pos="284"/>
        </w:tabs>
        <w:bidi w:val="0"/>
        <w:spacing w:after="120" w:line="336" w:lineRule="auto"/>
        <w:ind w:left="0" w:firstLine="0"/>
        <w:jc w:val="both"/>
        <w:rPr>
          <w:rFonts w:ascii="Times New Roman" w:hAnsi="Times New Roman"/>
          <w:b/>
        </w:rPr>
      </w:pPr>
      <w:r w:rsidRPr="006E50E2">
        <w:rPr>
          <w:rFonts w:ascii="Times New Roman" w:hAnsi="Times New Roman"/>
          <w:b/>
        </w:rPr>
        <w:t>Tovary a služby</w:t>
      </w:r>
    </w:p>
    <w:p w:rsidR="00B548CC" w:rsidP="002250E3">
      <w:pPr>
        <w:suppressAutoHyphens/>
        <w:bidi w:val="0"/>
        <w:spacing w:after="120" w:line="336" w:lineRule="auto"/>
        <w:jc w:val="both"/>
        <w:rPr>
          <w:rFonts w:ascii="Times New Roman" w:hAnsi="Times New Roman"/>
          <w:b/>
          <w:sz w:val="22"/>
          <w:szCs w:val="22"/>
        </w:rPr>
      </w:pPr>
      <w:r>
        <w:rPr>
          <w:rFonts w:ascii="Times New Roman" w:hAnsi="Times New Roman"/>
          <w:sz w:val="22"/>
          <w:szCs w:val="22"/>
        </w:rPr>
        <w:t>V štátnom rozpočte boli formou tovarov a služieb rozpočtovan</w:t>
      </w:r>
      <w:r w:rsidR="000F2028">
        <w:rPr>
          <w:rFonts w:ascii="Times New Roman" w:hAnsi="Times New Roman"/>
          <w:sz w:val="22"/>
          <w:szCs w:val="22"/>
        </w:rPr>
        <w:t xml:space="preserve">é výdavky </w:t>
      </w:r>
      <w:r w:rsidR="00B5573B">
        <w:rPr>
          <w:rFonts w:ascii="Times New Roman" w:hAnsi="Times New Roman"/>
          <w:sz w:val="22"/>
          <w:szCs w:val="22"/>
        </w:rPr>
        <w:t xml:space="preserve">v sume </w:t>
      </w:r>
      <w:r w:rsidR="000F2028">
        <w:rPr>
          <w:rFonts w:ascii="Times New Roman" w:hAnsi="Times New Roman"/>
          <w:sz w:val="22"/>
          <w:szCs w:val="22"/>
        </w:rPr>
        <w:t>2 446 363 tis. eur. V </w:t>
      </w:r>
      <w:r>
        <w:rPr>
          <w:rFonts w:ascii="Times New Roman" w:hAnsi="Times New Roman"/>
          <w:sz w:val="22"/>
          <w:szCs w:val="22"/>
        </w:rPr>
        <w:t>skutočnom</w:t>
      </w:r>
      <w:r w:rsidR="00AD13E4">
        <w:rPr>
          <w:rFonts w:ascii="Times New Roman" w:hAnsi="Times New Roman"/>
          <w:sz w:val="22"/>
          <w:szCs w:val="22"/>
        </w:rPr>
        <w:t xml:space="preserve"> </w:t>
      </w:r>
      <w:r>
        <w:rPr>
          <w:rFonts w:ascii="Times New Roman" w:hAnsi="Times New Roman"/>
          <w:sz w:val="22"/>
          <w:szCs w:val="22"/>
        </w:rPr>
        <w:t xml:space="preserve">čerpaní 1 590 167 </w:t>
      </w:r>
      <w:r w:rsidRPr="006E50E2">
        <w:rPr>
          <w:rFonts w:ascii="Times New Roman" w:hAnsi="Times New Roman"/>
          <w:sz w:val="22"/>
          <w:szCs w:val="22"/>
        </w:rPr>
        <w:t>tis. eur</w:t>
      </w:r>
      <w:r>
        <w:rPr>
          <w:rFonts w:ascii="Times New Roman" w:hAnsi="Times New Roman"/>
          <w:sz w:val="22"/>
          <w:szCs w:val="22"/>
        </w:rPr>
        <w:t>, ktoré vo vzťahu k schválenému rozpočtu predstavuje úsporu 35 %</w:t>
      </w:r>
      <w:r w:rsidR="00AD13E4">
        <w:rPr>
          <w:rFonts w:ascii="Times New Roman" w:hAnsi="Times New Roman"/>
          <w:sz w:val="22"/>
          <w:szCs w:val="22"/>
        </w:rPr>
        <w:t xml:space="preserve"> </w:t>
      </w:r>
      <w:r>
        <w:rPr>
          <w:rFonts w:ascii="Times New Roman" w:hAnsi="Times New Roman"/>
          <w:sz w:val="22"/>
          <w:szCs w:val="22"/>
        </w:rPr>
        <w:t>sa pozitívne</w:t>
      </w:r>
      <w:r w:rsidR="00AD13E4">
        <w:rPr>
          <w:rFonts w:ascii="Times New Roman" w:hAnsi="Times New Roman"/>
          <w:sz w:val="22"/>
          <w:szCs w:val="22"/>
        </w:rPr>
        <w:t xml:space="preserve"> </w:t>
      </w:r>
      <w:r>
        <w:rPr>
          <w:rFonts w:ascii="Times New Roman" w:hAnsi="Times New Roman"/>
          <w:sz w:val="22"/>
          <w:szCs w:val="22"/>
        </w:rPr>
        <w:t>odrazili úsporné opatrenia,</w:t>
      </w:r>
      <w:r w:rsidR="00AD13E4">
        <w:rPr>
          <w:rFonts w:ascii="Times New Roman" w:hAnsi="Times New Roman"/>
          <w:sz w:val="22"/>
          <w:szCs w:val="22"/>
        </w:rPr>
        <w:t xml:space="preserve"> </w:t>
      </w:r>
      <w:r>
        <w:rPr>
          <w:rFonts w:ascii="Times New Roman" w:hAnsi="Times New Roman"/>
          <w:sz w:val="22"/>
          <w:szCs w:val="22"/>
        </w:rPr>
        <w:t>pokračovanie reformy ESO a</w:t>
      </w:r>
      <w:r w:rsidR="00AD13E4">
        <w:rPr>
          <w:rFonts w:ascii="Times New Roman" w:hAnsi="Times New Roman"/>
          <w:sz w:val="22"/>
          <w:szCs w:val="22"/>
        </w:rPr>
        <w:t xml:space="preserve"> </w:t>
      </w:r>
      <w:r>
        <w:rPr>
          <w:rFonts w:ascii="Times New Roman" w:hAnsi="Times New Roman"/>
          <w:sz w:val="22"/>
          <w:szCs w:val="22"/>
        </w:rPr>
        <w:t>zefektívnenie použitia zdrojov.</w:t>
      </w:r>
      <w:r w:rsidR="00AD13E4">
        <w:rPr>
          <w:rFonts w:ascii="Times New Roman" w:hAnsi="Times New Roman"/>
          <w:sz w:val="22"/>
          <w:szCs w:val="22"/>
        </w:rPr>
        <w:t xml:space="preserve"> </w:t>
      </w:r>
      <w:r>
        <w:rPr>
          <w:rFonts w:ascii="Times New Roman" w:hAnsi="Times New Roman"/>
          <w:sz w:val="22"/>
          <w:szCs w:val="22"/>
        </w:rPr>
        <w:t>Vykázanú</w:t>
      </w:r>
      <w:r w:rsidR="00AD13E4">
        <w:rPr>
          <w:rFonts w:ascii="Times New Roman" w:hAnsi="Times New Roman"/>
          <w:sz w:val="22"/>
          <w:szCs w:val="22"/>
        </w:rPr>
        <w:t xml:space="preserve"> </w:t>
      </w:r>
      <w:r>
        <w:rPr>
          <w:rFonts w:ascii="Times New Roman" w:hAnsi="Times New Roman"/>
          <w:sz w:val="22"/>
          <w:szCs w:val="22"/>
        </w:rPr>
        <w:t>úsporu ovplyvnila</w:t>
      </w:r>
      <w:r w:rsidR="002025D1">
        <w:rPr>
          <w:rFonts w:ascii="Times New Roman" w:hAnsi="Times New Roman"/>
          <w:sz w:val="22"/>
          <w:szCs w:val="22"/>
        </w:rPr>
        <w:t xml:space="preserve"> najmä</w:t>
      </w:r>
      <w:r>
        <w:rPr>
          <w:rFonts w:ascii="Times New Roman" w:hAnsi="Times New Roman"/>
          <w:sz w:val="22"/>
          <w:szCs w:val="22"/>
        </w:rPr>
        <w:t xml:space="preserve"> skutočnosť,</w:t>
      </w:r>
      <w:r w:rsidR="00AD13E4">
        <w:rPr>
          <w:rFonts w:ascii="Times New Roman" w:hAnsi="Times New Roman"/>
          <w:sz w:val="22"/>
          <w:szCs w:val="22"/>
        </w:rPr>
        <w:t xml:space="preserve"> </w:t>
      </w:r>
      <w:r>
        <w:rPr>
          <w:rFonts w:ascii="Times New Roman" w:hAnsi="Times New Roman"/>
          <w:sz w:val="22"/>
          <w:szCs w:val="22"/>
        </w:rPr>
        <w:t>že v</w:t>
      </w:r>
      <w:r w:rsidR="00AD13E4">
        <w:rPr>
          <w:rFonts w:ascii="Times New Roman" w:hAnsi="Times New Roman"/>
          <w:sz w:val="22"/>
          <w:szCs w:val="22"/>
        </w:rPr>
        <w:t xml:space="preserve"> </w:t>
      </w:r>
      <w:r>
        <w:rPr>
          <w:rFonts w:ascii="Times New Roman" w:hAnsi="Times New Roman"/>
          <w:sz w:val="22"/>
          <w:szCs w:val="22"/>
        </w:rPr>
        <w:t>rámci služieb sa rozpočtujú</w:t>
      </w:r>
      <w:r w:rsidR="00AD13E4">
        <w:rPr>
          <w:rFonts w:ascii="Times New Roman" w:hAnsi="Times New Roman"/>
          <w:sz w:val="22"/>
          <w:szCs w:val="22"/>
        </w:rPr>
        <w:t xml:space="preserve"> </w:t>
      </w:r>
      <w:r>
        <w:rPr>
          <w:rFonts w:ascii="Times New Roman" w:hAnsi="Times New Roman"/>
          <w:sz w:val="22"/>
          <w:szCs w:val="22"/>
        </w:rPr>
        <w:t>aj</w:t>
      </w:r>
      <w:r w:rsidR="00AD13E4">
        <w:rPr>
          <w:rFonts w:ascii="Times New Roman" w:hAnsi="Times New Roman"/>
          <w:sz w:val="22"/>
          <w:szCs w:val="22"/>
        </w:rPr>
        <w:t xml:space="preserve"> </w:t>
      </w:r>
      <w:r w:rsidRPr="006E50E2">
        <w:rPr>
          <w:rFonts w:ascii="Times New Roman" w:hAnsi="Times New Roman"/>
          <w:sz w:val="22"/>
          <w:szCs w:val="22"/>
        </w:rPr>
        <w:t>zálohové platby na projekty EÚ a prostriedky štátneho rozpočtu na spolufinancovanie projektov v súlade s koncepciou finančného riadenia štrukturálnych fondov a Kohézneho fondu.</w:t>
      </w:r>
      <w:r w:rsidR="00AD13E4">
        <w:rPr>
          <w:rFonts w:ascii="Times New Roman" w:hAnsi="Times New Roman"/>
          <w:sz w:val="22"/>
          <w:szCs w:val="22"/>
        </w:rPr>
        <w:t xml:space="preserve"> </w:t>
      </w:r>
      <w:r>
        <w:rPr>
          <w:rFonts w:ascii="Times New Roman" w:hAnsi="Times New Roman"/>
          <w:sz w:val="22"/>
          <w:szCs w:val="22"/>
        </w:rPr>
        <w:t>Z</w:t>
      </w:r>
      <w:r w:rsidRPr="006E50E2">
        <w:rPr>
          <w:rFonts w:ascii="Times New Roman" w:hAnsi="Times New Roman"/>
          <w:sz w:val="22"/>
          <w:szCs w:val="22"/>
        </w:rPr>
        <w:t xml:space="preserve">účtovanie poskytnutých zálohových platieb sa </w:t>
      </w:r>
      <w:r>
        <w:rPr>
          <w:rFonts w:ascii="Times New Roman" w:hAnsi="Times New Roman"/>
          <w:sz w:val="22"/>
          <w:szCs w:val="22"/>
        </w:rPr>
        <w:t xml:space="preserve">však </w:t>
      </w:r>
      <w:r w:rsidRPr="006E50E2">
        <w:rPr>
          <w:rFonts w:ascii="Times New Roman" w:hAnsi="Times New Roman"/>
          <w:sz w:val="22"/>
          <w:szCs w:val="22"/>
        </w:rPr>
        <w:t>vykonáva na príslušných položkách rozpočtovej klasifikácie podľa skutočne realizovaných výdavkov</w:t>
      </w:r>
      <w:r>
        <w:rPr>
          <w:rFonts w:ascii="Times New Roman" w:hAnsi="Times New Roman"/>
          <w:sz w:val="22"/>
          <w:szCs w:val="22"/>
        </w:rPr>
        <w:t>.</w:t>
      </w:r>
      <w:r w:rsidR="00AD13E4">
        <w:rPr>
          <w:rFonts w:ascii="Times New Roman" w:hAnsi="Times New Roman"/>
          <w:sz w:val="22"/>
          <w:szCs w:val="22"/>
        </w:rPr>
        <w:t xml:space="preserve"> </w:t>
      </w:r>
      <w:r w:rsidRPr="006E50E2">
        <w:rPr>
          <w:rFonts w:ascii="Times New Roman" w:hAnsi="Times New Roman"/>
          <w:sz w:val="22"/>
          <w:szCs w:val="22"/>
        </w:rPr>
        <w:t>Úprava rozpočtových výdavkov súvisí s celkovým očakávaným príjmom z prostriedkov EÚ v konkrétnom roku</w:t>
      </w:r>
      <w:r>
        <w:rPr>
          <w:rFonts w:ascii="Times New Roman" w:hAnsi="Times New Roman"/>
          <w:sz w:val="22"/>
          <w:szCs w:val="22"/>
        </w:rPr>
        <w:t>.</w:t>
      </w:r>
      <w:r w:rsidR="00AD13E4">
        <w:rPr>
          <w:rFonts w:ascii="Times New Roman" w:hAnsi="Times New Roman"/>
          <w:sz w:val="22"/>
          <w:szCs w:val="22"/>
        </w:rPr>
        <w:t xml:space="preserve"> </w:t>
      </w:r>
    </w:p>
    <w:p w:rsidR="00B548CC" w:rsidP="002250E3">
      <w:pPr>
        <w:suppressAutoHyphens/>
        <w:bidi w:val="0"/>
        <w:spacing w:after="120" w:line="336" w:lineRule="auto"/>
        <w:jc w:val="both"/>
        <w:rPr>
          <w:rFonts w:ascii="Times New Roman" w:hAnsi="Times New Roman"/>
          <w:sz w:val="22"/>
          <w:szCs w:val="22"/>
        </w:rPr>
      </w:pPr>
      <w:r>
        <w:rPr>
          <w:rFonts w:ascii="Times New Roman" w:hAnsi="Times New Roman"/>
          <w:sz w:val="22"/>
          <w:szCs w:val="22"/>
        </w:rPr>
        <w:t>Z úhrad vyčlenených na tovary a služby sa financovali</w:t>
      </w:r>
      <w:r w:rsidR="00AD13E4">
        <w:rPr>
          <w:rFonts w:ascii="Times New Roman" w:hAnsi="Times New Roman"/>
          <w:sz w:val="22"/>
          <w:szCs w:val="22"/>
        </w:rPr>
        <w:t xml:space="preserve"> </w:t>
      </w:r>
      <w:r w:rsidR="002025D1">
        <w:rPr>
          <w:rFonts w:ascii="Times New Roman" w:hAnsi="Times New Roman"/>
          <w:sz w:val="22"/>
          <w:szCs w:val="22"/>
        </w:rPr>
        <w:t>nákupy štandardných tovarov a služieb, ktoré si vyžaduje prevádzka jednotlivých úradov (</w:t>
      </w:r>
      <w:r w:rsidRPr="006E50E2">
        <w:rPr>
          <w:rFonts w:ascii="Times New Roman" w:hAnsi="Times New Roman"/>
          <w:sz w:val="22"/>
          <w:szCs w:val="22"/>
        </w:rPr>
        <w:t>energi</w:t>
      </w:r>
      <w:r>
        <w:rPr>
          <w:rFonts w:ascii="Times New Roman" w:hAnsi="Times New Roman"/>
          <w:sz w:val="22"/>
          <w:szCs w:val="22"/>
        </w:rPr>
        <w:t>e</w:t>
      </w:r>
      <w:r w:rsidRPr="006E50E2">
        <w:rPr>
          <w:rFonts w:ascii="Times New Roman" w:hAnsi="Times New Roman"/>
          <w:sz w:val="22"/>
          <w:szCs w:val="22"/>
        </w:rPr>
        <w:t>, cestovné, dopravné, údržb</w:t>
      </w:r>
      <w:r>
        <w:rPr>
          <w:rFonts w:ascii="Times New Roman" w:hAnsi="Times New Roman"/>
          <w:sz w:val="22"/>
          <w:szCs w:val="22"/>
        </w:rPr>
        <w:t>a</w:t>
      </w:r>
      <w:r w:rsidR="00AD13E4">
        <w:rPr>
          <w:rFonts w:ascii="Times New Roman" w:hAnsi="Times New Roman"/>
          <w:sz w:val="22"/>
          <w:szCs w:val="22"/>
        </w:rPr>
        <w:t xml:space="preserve"> </w:t>
      </w:r>
      <w:r w:rsidRPr="006E50E2">
        <w:rPr>
          <w:rFonts w:ascii="Times New Roman" w:hAnsi="Times New Roman"/>
          <w:sz w:val="22"/>
          <w:szCs w:val="22"/>
        </w:rPr>
        <w:t>a opr</w:t>
      </w:r>
      <w:r>
        <w:rPr>
          <w:rFonts w:ascii="Times New Roman" w:hAnsi="Times New Roman"/>
          <w:sz w:val="22"/>
          <w:szCs w:val="22"/>
        </w:rPr>
        <w:t>avy</w:t>
      </w:r>
      <w:r w:rsidRPr="006E50E2">
        <w:rPr>
          <w:rFonts w:ascii="Times New Roman" w:hAnsi="Times New Roman"/>
          <w:sz w:val="22"/>
          <w:szCs w:val="22"/>
        </w:rPr>
        <w:t>,</w:t>
      </w:r>
      <w:r w:rsidR="00AD13E4">
        <w:rPr>
          <w:rFonts w:ascii="Times New Roman" w:hAnsi="Times New Roman"/>
          <w:sz w:val="22"/>
          <w:szCs w:val="22"/>
        </w:rPr>
        <w:t xml:space="preserve"> </w:t>
      </w:r>
      <w:r w:rsidRPr="006E50E2">
        <w:rPr>
          <w:rFonts w:ascii="Times New Roman" w:hAnsi="Times New Roman"/>
          <w:sz w:val="22"/>
          <w:szCs w:val="22"/>
        </w:rPr>
        <w:t>prenájom hnuteľných a nehnuteľných vecí, poštov</w:t>
      </w:r>
      <w:r>
        <w:rPr>
          <w:rFonts w:ascii="Times New Roman" w:hAnsi="Times New Roman"/>
          <w:sz w:val="22"/>
          <w:szCs w:val="22"/>
        </w:rPr>
        <w:t>é</w:t>
      </w:r>
      <w:r w:rsidR="00AD13E4">
        <w:rPr>
          <w:rFonts w:ascii="Times New Roman" w:hAnsi="Times New Roman"/>
          <w:sz w:val="22"/>
          <w:szCs w:val="22"/>
        </w:rPr>
        <w:t xml:space="preserve"> </w:t>
      </w:r>
      <w:r w:rsidRPr="006E50E2">
        <w:rPr>
          <w:rFonts w:ascii="Times New Roman" w:hAnsi="Times New Roman"/>
          <w:sz w:val="22"/>
          <w:szCs w:val="22"/>
        </w:rPr>
        <w:t>a</w:t>
      </w:r>
      <w:r w:rsidR="00AD13E4">
        <w:rPr>
          <w:rFonts w:ascii="Times New Roman" w:hAnsi="Times New Roman"/>
          <w:sz w:val="22"/>
          <w:szCs w:val="22"/>
        </w:rPr>
        <w:t xml:space="preserve"> </w:t>
      </w:r>
      <w:r w:rsidRPr="006E50E2">
        <w:rPr>
          <w:rFonts w:ascii="Times New Roman" w:hAnsi="Times New Roman"/>
          <w:sz w:val="22"/>
          <w:szCs w:val="22"/>
        </w:rPr>
        <w:t>telekomunikačn</w:t>
      </w:r>
      <w:r>
        <w:rPr>
          <w:rFonts w:ascii="Times New Roman" w:hAnsi="Times New Roman"/>
          <w:sz w:val="22"/>
          <w:szCs w:val="22"/>
        </w:rPr>
        <w:t>é</w:t>
      </w:r>
      <w:r w:rsidR="00AD13E4">
        <w:rPr>
          <w:rFonts w:ascii="Times New Roman" w:hAnsi="Times New Roman"/>
          <w:sz w:val="22"/>
          <w:szCs w:val="22"/>
        </w:rPr>
        <w:t xml:space="preserve"> </w:t>
      </w:r>
      <w:r w:rsidRPr="006E50E2">
        <w:rPr>
          <w:rFonts w:ascii="Times New Roman" w:hAnsi="Times New Roman"/>
          <w:sz w:val="22"/>
          <w:szCs w:val="22"/>
        </w:rPr>
        <w:t>služ</w:t>
      </w:r>
      <w:r>
        <w:rPr>
          <w:rFonts w:ascii="Times New Roman" w:hAnsi="Times New Roman"/>
          <w:sz w:val="22"/>
          <w:szCs w:val="22"/>
        </w:rPr>
        <w:t>by</w:t>
      </w:r>
      <w:r w:rsidR="00AD13E4">
        <w:rPr>
          <w:rFonts w:ascii="Times New Roman" w:hAnsi="Times New Roman"/>
          <w:sz w:val="22"/>
          <w:szCs w:val="22"/>
        </w:rPr>
        <w:t xml:space="preserve"> </w:t>
      </w:r>
      <w:r w:rsidRPr="006E50E2">
        <w:rPr>
          <w:rFonts w:ascii="Times New Roman" w:hAnsi="Times New Roman"/>
          <w:sz w:val="22"/>
          <w:szCs w:val="22"/>
        </w:rPr>
        <w:t>a</w:t>
      </w:r>
      <w:r w:rsidR="00B5573B">
        <w:rPr>
          <w:rFonts w:ascii="Times New Roman" w:hAnsi="Times New Roman"/>
          <w:sz w:val="22"/>
          <w:szCs w:val="22"/>
        </w:rPr>
        <w:t> </w:t>
      </w:r>
      <w:r w:rsidRPr="006E50E2">
        <w:rPr>
          <w:rFonts w:ascii="Times New Roman" w:hAnsi="Times New Roman"/>
          <w:sz w:val="22"/>
          <w:szCs w:val="22"/>
        </w:rPr>
        <w:t>pod</w:t>
      </w:r>
      <w:r w:rsidR="00B5573B">
        <w:rPr>
          <w:rFonts w:ascii="Times New Roman" w:hAnsi="Times New Roman"/>
          <w:sz w:val="22"/>
          <w:szCs w:val="22"/>
        </w:rPr>
        <w:t>)</w:t>
      </w:r>
      <w:r w:rsidRPr="006E50E2">
        <w:rPr>
          <w:rFonts w:ascii="Times New Roman" w:hAnsi="Times New Roman"/>
          <w:sz w:val="22"/>
          <w:szCs w:val="22"/>
        </w:rPr>
        <w:t>.</w:t>
      </w:r>
      <w:r>
        <w:rPr>
          <w:rFonts w:ascii="Times New Roman" w:hAnsi="Times New Roman"/>
          <w:sz w:val="22"/>
          <w:szCs w:val="22"/>
        </w:rPr>
        <w:t xml:space="preserve"> Ich štruktúra je obsiahnutá</w:t>
      </w:r>
      <w:r w:rsidR="00AD13E4">
        <w:rPr>
          <w:rFonts w:ascii="Times New Roman" w:hAnsi="Times New Roman"/>
          <w:sz w:val="22"/>
          <w:szCs w:val="22"/>
        </w:rPr>
        <w:t xml:space="preserve"> </w:t>
      </w:r>
      <w:r>
        <w:rPr>
          <w:rFonts w:ascii="Times New Roman" w:hAnsi="Times New Roman"/>
          <w:sz w:val="22"/>
          <w:szCs w:val="22"/>
        </w:rPr>
        <w:t xml:space="preserve">v nasledovnom prehľade: </w:t>
      </w:r>
    </w:p>
    <w:tbl>
      <w:tblPr>
        <w:tblStyle w:val="TableNormal"/>
        <w:tblW w:w="0" w:type="auto"/>
        <w:tblInd w:w="55" w:type="dxa"/>
        <w:tblCellMar>
          <w:left w:w="70" w:type="dxa"/>
          <w:right w:w="70" w:type="dxa"/>
        </w:tblCellMar>
        <w:tblLook w:val="04A0"/>
      </w:tblPr>
      <w:tblGrid>
        <w:gridCol w:w="3875"/>
        <w:gridCol w:w="860"/>
        <w:gridCol w:w="860"/>
        <w:gridCol w:w="860"/>
        <w:gridCol w:w="1025"/>
        <w:gridCol w:w="805"/>
        <w:gridCol w:w="573"/>
      </w:tblGrid>
      <w:tr>
        <w:tblPrEx>
          <w:tblW w:w="0" w:type="auto"/>
          <w:tblInd w:w="55" w:type="dxa"/>
          <w:tblCellMar>
            <w:left w:w="70" w:type="dxa"/>
            <w:right w:w="70" w:type="dxa"/>
          </w:tblCellMar>
          <w:tblLook w:val="04A0"/>
        </w:tblPrEx>
        <w:trPr>
          <w:trHeight w:val="330"/>
        </w:trPr>
        <w:tc>
          <w:tcPr>
            <w:tcW w:w="0" w:type="auto"/>
            <w:gridSpan w:val="7"/>
            <w:tcBorders>
              <w:top w:val="nil"/>
              <w:left w:val="nil"/>
              <w:bottom w:val="nil"/>
              <w:right w:val="nil"/>
            </w:tcBorders>
            <w:shd w:val="clear" w:color="000000" w:fill="000000"/>
            <w:textDirection w:val="lrTb"/>
            <w:vAlign w:val="center"/>
            <w:hideMark/>
          </w:tcPr>
          <w:p w:rsidR="002025D1" w:rsidRPr="002025D1" w:rsidP="00CF6C2F">
            <w:pPr>
              <w:bidi w:val="0"/>
              <w:rPr>
                <w:rFonts w:ascii="Times New Roman" w:hAnsi="Times New Roman"/>
                <w:b/>
                <w:bCs/>
                <w:color w:val="FFFFFF"/>
                <w:sz w:val="18"/>
                <w:szCs w:val="18"/>
              </w:rPr>
            </w:pPr>
            <w:r w:rsidRPr="002025D1">
              <w:rPr>
                <w:rFonts w:ascii="Times New Roman" w:hAnsi="Times New Roman"/>
                <w:b/>
                <w:bCs/>
                <w:color w:val="FFFFFF"/>
                <w:sz w:val="18"/>
                <w:szCs w:val="18"/>
              </w:rPr>
              <w:t xml:space="preserve">Tovary a služby </w:t>
            </w:r>
            <w:r w:rsidR="00CF6C2F">
              <w:rPr>
                <w:rFonts w:ascii="Times New Roman" w:hAnsi="Times New Roman"/>
                <w:b/>
                <w:bCs/>
                <w:color w:val="FFFFFF"/>
                <w:sz w:val="18"/>
                <w:szCs w:val="18"/>
              </w:rPr>
              <w:t xml:space="preserve">                                                                                                                                                     </w:t>
            </w:r>
            <w:r w:rsidRPr="002025D1">
              <w:rPr>
                <w:rFonts w:ascii="Times New Roman" w:hAnsi="Times New Roman"/>
                <w:b/>
                <w:bCs/>
                <w:color w:val="FFFFFF"/>
                <w:sz w:val="18"/>
                <w:szCs w:val="18"/>
              </w:rPr>
              <w:t>v tis. eur</w:t>
            </w:r>
          </w:p>
        </w:tc>
      </w:tr>
      <w:tr>
        <w:tblPrEx>
          <w:tblW w:w="0" w:type="auto"/>
          <w:tblInd w:w="55" w:type="dxa"/>
          <w:tblCellMar>
            <w:left w:w="70" w:type="dxa"/>
            <w:right w:w="70" w:type="dxa"/>
          </w:tblCellMar>
          <w:tblLook w:val="04A0"/>
        </w:tblPrEx>
        <w:trPr>
          <w:trHeight w:val="330"/>
        </w:trPr>
        <w:tc>
          <w:tcPr>
            <w:tcW w:w="0" w:type="auto"/>
            <w:vMerge w:val="restart"/>
            <w:tcBorders>
              <w:top w:val="nil"/>
              <w:left w:val="nil"/>
              <w:bottom w:val="nil"/>
              <w:right w:val="nil"/>
            </w:tcBorders>
            <w:shd w:val="clear" w:color="000000" w:fill="BFBFBF"/>
            <w:textDirection w:val="lrTb"/>
            <w:vAlign w:val="center"/>
            <w:hideMark/>
          </w:tcPr>
          <w:p w:rsidR="002025D1" w:rsidRPr="002025D1" w:rsidP="002025D1">
            <w:pPr>
              <w:bidi w:val="0"/>
              <w:rPr>
                <w:rFonts w:ascii="Times New Roman" w:hAnsi="Times New Roman"/>
                <w:b/>
                <w:bCs/>
                <w:color w:val="000000"/>
                <w:sz w:val="18"/>
                <w:szCs w:val="18"/>
              </w:rPr>
            </w:pPr>
            <w:r w:rsidRPr="002025D1">
              <w:rPr>
                <w:rFonts w:ascii="Times New Roman" w:hAnsi="Times New Roman"/>
                <w:b/>
                <w:bCs/>
                <w:color w:val="000000"/>
                <w:sz w:val="18"/>
                <w:szCs w:val="18"/>
              </w:rPr>
              <w:t xml:space="preserve"> </w:t>
            </w:r>
          </w:p>
        </w:tc>
        <w:tc>
          <w:tcPr>
            <w:tcW w:w="0" w:type="auto"/>
            <w:gridSpan w:val="2"/>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Rozpočet</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Skutočnosť</w:t>
            </w:r>
          </w:p>
        </w:tc>
        <w:tc>
          <w:tcPr>
            <w:tcW w:w="0" w:type="auto"/>
            <w:gridSpan w:val="2"/>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Rozdiel</w:t>
            </w:r>
          </w:p>
        </w:tc>
      </w:tr>
      <w:tr>
        <w:tblPrEx>
          <w:tblW w:w="0" w:type="auto"/>
          <w:tblInd w:w="55" w:type="dxa"/>
          <w:tblCellMar>
            <w:left w:w="70" w:type="dxa"/>
            <w:right w:w="70" w:type="dxa"/>
          </w:tblCellMar>
          <w:tblLook w:val="04A0"/>
        </w:tblPrEx>
        <w:trPr>
          <w:trHeight w:val="330"/>
        </w:trPr>
        <w:tc>
          <w:tcPr>
            <w:tcW w:w="0" w:type="auto"/>
            <w:vMerge/>
            <w:tcBorders>
              <w:top w:val="nil"/>
              <w:left w:val="nil"/>
              <w:bottom w:val="nil"/>
              <w:right w:val="nil"/>
            </w:tcBorders>
            <w:textDirection w:val="lrTb"/>
            <w:vAlign w:val="center"/>
            <w:hideMark/>
          </w:tcPr>
          <w:p w:rsidR="002025D1" w:rsidRPr="002025D1" w:rsidP="002025D1">
            <w:pPr>
              <w:bidi w:val="0"/>
              <w:rPr>
                <w:rFonts w:ascii="Times New Roman" w:hAnsi="Times New Roman"/>
                <w:b/>
                <w:bCs/>
                <w:color w:val="000000"/>
                <w:sz w:val="18"/>
                <w:szCs w:val="18"/>
              </w:rPr>
            </w:pP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2013</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v tis. eur</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v %</w:t>
            </w:r>
          </w:p>
        </w:tc>
      </w:tr>
      <w:tr>
        <w:tblPrEx>
          <w:tblW w:w="0" w:type="auto"/>
          <w:tblInd w:w="55" w:type="dxa"/>
          <w:tblCellMar>
            <w:left w:w="70" w:type="dxa"/>
            <w:right w:w="70" w:type="dxa"/>
          </w:tblCellMar>
          <w:tblLook w:val="04A0"/>
        </w:tblPrEx>
        <w:trPr>
          <w:trHeight w:val="345"/>
        </w:trPr>
        <w:tc>
          <w:tcPr>
            <w:tcW w:w="0" w:type="auto"/>
            <w:tcBorders>
              <w:top w:val="nil"/>
              <w:left w:val="nil"/>
              <w:bottom w:val="single" w:sz="8" w:space="0" w:color="auto"/>
              <w:right w:val="nil"/>
            </w:tcBorders>
            <w:shd w:val="clear" w:color="000000" w:fill="BFBFBF"/>
            <w:textDirection w:val="lrTb"/>
            <w:vAlign w:val="center"/>
            <w:hideMark/>
          </w:tcPr>
          <w:p w:rsidR="002025D1" w:rsidRPr="002025D1" w:rsidP="002025D1">
            <w:pPr>
              <w:bidi w:val="0"/>
              <w:rPr>
                <w:rFonts w:ascii="Times New Roman" w:hAnsi="Times New Roman"/>
                <w:color w:val="000000"/>
                <w:sz w:val="18"/>
                <w:szCs w:val="18"/>
              </w:rPr>
            </w:pPr>
            <w:r w:rsidRPr="002025D1">
              <w:rPr>
                <w:rFonts w:ascii="Times New Roman" w:hAnsi="Times New Roman"/>
                <w:color w:val="000000"/>
                <w:sz w:val="18"/>
                <w:szCs w:val="18"/>
              </w:rPr>
              <w:t> </w:t>
            </w:r>
          </w:p>
        </w:tc>
        <w:tc>
          <w:tcPr>
            <w:tcW w:w="0" w:type="auto"/>
            <w:tcBorders>
              <w:top w:val="nil"/>
              <w:left w:val="nil"/>
              <w:bottom w:val="single" w:sz="8" w:space="0" w:color="auto"/>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1</w:t>
            </w:r>
          </w:p>
        </w:tc>
        <w:tc>
          <w:tcPr>
            <w:tcW w:w="0" w:type="auto"/>
            <w:tcBorders>
              <w:top w:val="nil"/>
              <w:left w:val="nil"/>
              <w:bottom w:val="single" w:sz="8" w:space="0" w:color="auto"/>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2</w:t>
            </w:r>
          </w:p>
        </w:tc>
        <w:tc>
          <w:tcPr>
            <w:tcW w:w="0" w:type="auto"/>
            <w:tcBorders>
              <w:top w:val="nil"/>
              <w:left w:val="nil"/>
              <w:bottom w:val="single" w:sz="8" w:space="0" w:color="auto"/>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3</w:t>
            </w:r>
          </w:p>
        </w:tc>
        <w:tc>
          <w:tcPr>
            <w:tcW w:w="0" w:type="auto"/>
            <w:tcBorders>
              <w:top w:val="nil"/>
              <w:left w:val="nil"/>
              <w:bottom w:val="single" w:sz="8" w:space="0" w:color="auto"/>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4</w:t>
            </w:r>
          </w:p>
        </w:tc>
        <w:tc>
          <w:tcPr>
            <w:tcW w:w="0" w:type="auto"/>
            <w:tcBorders>
              <w:top w:val="nil"/>
              <w:left w:val="nil"/>
              <w:bottom w:val="single" w:sz="8" w:space="0" w:color="auto"/>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5=4-3</w:t>
            </w:r>
          </w:p>
        </w:tc>
        <w:tc>
          <w:tcPr>
            <w:tcW w:w="0" w:type="auto"/>
            <w:tcBorders>
              <w:top w:val="nil"/>
              <w:left w:val="nil"/>
              <w:bottom w:val="single" w:sz="8" w:space="0" w:color="auto"/>
              <w:right w:val="nil"/>
            </w:tcBorders>
            <w:shd w:val="clear" w:color="000000" w:fill="BFBFBF"/>
            <w:noWrap/>
            <w:textDirection w:val="lrTb"/>
            <w:vAlign w:val="center"/>
            <w:hideMark/>
          </w:tcPr>
          <w:p w:rsidR="002025D1" w:rsidRPr="002025D1" w:rsidP="002025D1">
            <w:pPr>
              <w:bidi w:val="0"/>
              <w:jc w:val="center"/>
              <w:rPr>
                <w:rFonts w:ascii="Times New Roman" w:hAnsi="Times New Roman"/>
                <w:b/>
                <w:bCs/>
                <w:color w:val="000000"/>
                <w:sz w:val="18"/>
                <w:szCs w:val="18"/>
              </w:rPr>
            </w:pPr>
            <w:r w:rsidRPr="002025D1">
              <w:rPr>
                <w:rFonts w:ascii="Times New Roman" w:hAnsi="Times New Roman"/>
                <w:b/>
                <w:bCs/>
                <w:color w:val="000000"/>
                <w:sz w:val="18"/>
                <w:szCs w:val="18"/>
              </w:rPr>
              <w:t>6=4-3</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textDirection w:val="lrTb"/>
            <w:vAlign w:val="center"/>
            <w:hideMark/>
          </w:tcPr>
          <w:p w:rsidR="002025D1" w:rsidRPr="002025D1" w:rsidP="002025D1">
            <w:pPr>
              <w:bidi w:val="0"/>
              <w:rPr>
                <w:rFonts w:ascii="Times New Roman" w:hAnsi="Times New Roman"/>
                <w:color w:val="000000"/>
                <w:sz w:val="18"/>
                <w:szCs w:val="18"/>
              </w:rPr>
            </w:pPr>
            <w:r w:rsidRPr="002025D1">
              <w:rPr>
                <w:rFonts w:ascii="Times New Roman" w:hAnsi="Times New Roman"/>
                <w:color w:val="000000"/>
                <w:sz w:val="18"/>
                <w:szCs w:val="18"/>
              </w:rPr>
              <w:t>Cestovné náhrady</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29 385</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29 969</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51 504</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33 449</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-18 055</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-35,1</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textDirection w:val="lrTb"/>
            <w:vAlign w:val="center"/>
            <w:hideMark/>
          </w:tcPr>
          <w:p w:rsidR="002025D1" w:rsidRPr="002025D1" w:rsidP="002025D1">
            <w:pPr>
              <w:bidi w:val="0"/>
              <w:rPr>
                <w:rFonts w:ascii="Times New Roman" w:hAnsi="Times New Roman"/>
                <w:color w:val="000000"/>
                <w:sz w:val="18"/>
                <w:szCs w:val="18"/>
              </w:rPr>
            </w:pPr>
            <w:r w:rsidRPr="002025D1">
              <w:rPr>
                <w:rFonts w:ascii="Times New Roman" w:hAnsi="Times New Roman"/>
                <w:color w:val="000000"/>
                <w:sz w:val="18"/>
                <w:szCs w:val="18"/>
              </w:rPr>
              <w:t>Energie, voda a komunikácie</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184 085</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185 019</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180 374</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183 302</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2 928</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1,6</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textDirection w:val="lrTb"/>
            <w:vAlign w:val="center"/>
            <w:hideMark/>
          </w:tcPr>
          <w:p w:rsidR="002025D1" w:rsidRPr="002025D1" w:rsidP="002025D1">
            <w:pPr>
              <w:bidi w:val="0"/>
              <w:rPr>
                <w:rFonts w:ascii="Times New Roman" w:hAnsi="Times New Roman"/>
                <w:color w:val="000000"/>
                <w:sz w:val="18"/>
                <w:szCs w:val="18"/>
              </w:rPr>
            </w:pPr>
            <w:r w:rsidRPr="002025D1">
              <w:rPr>
                <w:rFonts w:ascii="Times New Roman" w:hAnsi="Times New Roman"/>
                <w:color w:val="000000"/>
                <w:sz w:val="18"/>
                <w:szCs w:val="18"/>
              </w:rPr>
              <w:t>Materiál</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234 923</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304 384</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143 320</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186 366</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43 046</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30</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textDirection w:val="lrTb"/>
            <w:vAlign w:val="center"/>
            <w:hideMark/>
          </w:tcPr>
          <w:p w:rsidR="002025D1" w:rsidRPr="002025D1" w:rsidP="002025D1">
            <w:pPr>
              <w:bidi w:val="0"/>
              <w:rPr>
                <w:rFonts w:ascii="Times New Roman" w:hAnsi="Times New Roman"/>
                <w:color w:val="000000"/>
                <w:sz w:val="18"/>
                <w:szCs w:val="18"/>
              </w:rPr>
            </w:pPr>
            <w:r w:rsidRPr="002025D1">
              <w:rPr>
                <w:rFonts w:ascii="Times New Roman" w:hAnsi="Times New Roman"/>
                <w:color w:val="000000"/>
                <w:sz w:val="18"/>
                <w:szCs w:val="18"/>
              </w:rPr>
              <w:t>Dopravné</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82 320</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49 944</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64 426</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61 810</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-2 616</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-4,1</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textDirection w:val="lrTb"/>
            <w:vAlign w:val="center"/>
            <w:hideMark/>
          </w:tcPr>
          <w:p w:rsidR="002025D1" w:rsidRPr="002025D1" w:rsidP="002025D1">
            <w:pPr>
              <w:bidi w:val="0"/>
              <w:rPr>
                <w:rFonts w:ascii="Times New Roman" w:hAnsi="Times New Roman"/>
                <w:color w:val="000000"/>
                <w:sz w:val="18"/>
                <w:szCs w:val="18"/>
              </w:rPr>
            </w:pPr>
            <w:r w:rsidRPr="002025D1">
              <w:rPr>
                <w:rFonts w:ascii="Times New Roman" w:hAnsi="Times New Roman"/>
                <w:color w:val="000000"/>
                <w:sz w:val="18"/>
                <w:szCs w:val="18"/>
              </w:rPr>
              <w:t>Rutinná a štandardná údržba</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171 434</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183 475</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145 031</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233 025</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87 994</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60,7</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textDirection w:val="lrTb"/>
            <w:vAlign w:val="center"/>
            <w:hideMark/>
          </w:tcPr>
          <w:p w:rsidR="002025D1" w:rsidRPr="002025D1" w:rsidP="002025D1">
            <w:pPr>
              <w:bidi w:val="0"/>
              <w:rPr>
                <w:rFonts w:ascii="Times New Roman" w:hAnsi="Times New Roman"/>
                <w:color w:val="000000"/>
                <w:sz w:val="18"/>
                <w:szCs w:val="18"/>
              </w:rPr>
            </w:pPr>
            <w:r w:rsidRPr="002025D1">
              <w:rPr>
                <w:rFonts w:ascii="Times New Roman" w:hAnsi="Times New Roman"/>
                <w:color w:val="000000"/>
                <w:sz w:val="18"/>
                <w:szCs w:val="18"/>
              </w:rPr>
              <w:t>Nájomné za nájom nehnuteľných a hnuteľných vecí</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153 193</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155 811</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157 089</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163 946</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6 857</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4,4</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textDirection w:val="lrTb"/>
            <w:vAlign w:val="center"/>
            <w:hideMark/>
          </w:tcPr>
          <w:p w:rsidR="002025D1" w:rsidRPr="002025D1" w:rsidP="002025D1">
            <w:pPr>
              <w:bidi w:val="0"/>
              <w:rPr>
                <w:rFonts w:ascii="Times New Roman" w:hAnsi="Times New Roman"/>
                <w:color w:val="000000"/>
                <w:sz w:val="18"/>
                <w:szCs w:val="18"/>
              </w:rPr>
            </w:pPr>
            <w:r w:rsidRPr="002025D1">
              <w:rPr>
                <w:rFonts w:ascii="Times New Roman" w:hAnsi="Times New Roman"/>
                <w:color w:val="000000"/>
                <w:sz w:val="18"/>
                <w:szCs w:val="18"/>
              </w:rPr>
              <w:t>Služby</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426 693</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534 660</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1 704 619</w:t>
            </w:r>
          </w:p>
        </w:tc>
        <w:tc>
          <w:tcPr>
            <w:tcW w:w="0" w:type="auto"/>
            <w:tcBorders>
              <w:top w:val="nil"/>
              <w:left w:val="nil"/>
              <w:bottom w:val="nil"/>
              <w:right w:val="nil"/>
            </w:tcBorders>
            <w:shd w:val="clear" w:color="000000" w:fill="BFBFBF"/>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728 269</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-976 350</w:t>
            </w:r>
          </w:p>
        </w:tc>
        <w:tc>
          <w:tcPr>
            <w:tcW w:w="0" w:type="auto"/>
            <w:tcBorders>
              <w:top w:val="nil"/>
              <w:left w:val="nil"/>
              <w:bottom w:val="nil"/>
              <w:right w:val="nil"/>
            </w:tcBorders>
            <w:noWrap/>
            <w:textDirection w:val="lrTb"/>
            <w:vAlign w:val="center"/>
            <w:hideMark/>
          </w:tcPr>
          <w:p w:rsidR="002025D1" w:rsidRPr="002025D1" w:rsidP="002025D1">
            <w:pPr>
              <w:bidi w:val="0"/>
              <w:jc w:val="right"/>
              <w:rPr>
                <w:rFonts w:ascii="Times New Roman" w:hAnsi="Times New Roman"/>
                <w:color w:val="000000"/>
                <w:sz w:val="18"/>
                <w:szCs w:val="18"/>
              </w:rPr>
            </w:pPr>
            <w:r w:rsidRPr="002025D1">
              <w:rPr>
                <w:rFonts w:ascii="Times New Roman" w:hAnsi="Times New Roman"/>
                <w:color w:val="000000"/>
                <w:sz w:val="18"/>
                <w:szCs w:val="18"/>
              </w:rPr>
              <w:t>-57,3</w:t>
            </w:r>
          </w:p>
        </w:tc>
      </w:tr>
      <w:tr>
        <w:tblPrEx>
          <w:tblW w:w="0" w:type="auto"/>
          <w:tblInd w:w="55" w:type="dxa"/>
          <w:tblCellMar>
            <w:left w:w="70" w:type="dxa"/>
            <w:right w:w="70" w:type="dxa"/>
          </w:tblCellMar>
          <w:tblLook w:val="04A0"/>
        </w:tblPrEx>
        <w:trPr>
          <w:trHeight w:val="345"/>
        </w:trPr>
        <w:tc>
          <w:tcPr>
            <w:tcW w:w="0" w:type="auto"/>
            <w:tcBorders>
              <w:top w:val="single" w:sz="4" w:space="0" w:color="auto"/>
              <w:left w:val="nil"/>
              <w:bottom w:val="single" w:sz="8" w:space="0" w:color="auto"/>
              <w:right w:val="nil"/>
            </w:tcBorders>
            <w:textDirection w:val="lrTb"/>
            <w:vAlign w:val="center"/>
            <w:hideMark/>
          </w:tcPr>
          <w:p w:rsidR="002025D1" w:rsidRPr="002025D1" w:rsidP="002025D1">
            <w:pPr>
              <w:bidi w:val="0"/>
              <w:rPr>
                <w:rFonts w:ascii="Times New Roman" w:hAnsi="Times New Roman"/>
                <w:b/>
                <w:bCs/>
                <w:color w:val="000000"/>
                <w:sz w:val="18"/>
                <w:szCs w:val="18"/>
              </w:rPr>
            </w:pPr>
            <w:r w:rsidRPr="002025D1">
              <w:rPr>
                <w:rFonts w:ascii="Times New Roman" w:hAnsi="Times New Roman"/>
                <w:b/>
                <w:bCs/>
                <w:color w:val="000000"/>
                <w:sz w:val="18"/>
                <w:szCs w:val="18"/>
              </w:rPr>
              <w:t>Tovary a služby spolu</w:t>
            </w:r>
          </w:p>
        </w:tc>
        <w:tc>
          <w:tcPr>
            <w:tcW w:w="0" w:type="auto"/>
            <w:tcBorders>
              <w:top w:val="single" w:sz="4" w:space="0" w:color="auto"/>
              <w:left w:val="nil"/>
              <w:bottom w:val="single" w:sz="8" w:space="0" w:color="auto"/>
              <w:right w:val="nil"/>
            </w:tcBorders>
            <w:noWrap/>
            <w:textDirection w:val="lrTb"/>
            <w:vAlign w:val="center"/>
            <w:hideMark/>
          </w:tcPr>
          <w:p w:rsidR="002025D1" w:rsidRPr="002025D1" w:rsidP="002025D1">
            <w:pPr>
              <w:bidi w:val="0"/>
              <w:jc w:val="right"/>
              <w:rPr>
                <w:rFonts w:ascii="Times New Roman" w:hAnsi="Times New Roman"/>
                <w:b/>
                <w:bCs/>
                <w:color w:val="000000"/>
                <w:sz w:val="18"/>
                <w:szCs w:val="18"/>
              </w:rPr>
            </w:pPr>
            <w:r w:rsidRPr="002025D1">
              <w:rPr>
                <w:rFonts w:ascii="Times New Roman" w:hAnsi="Times New Roman"/>
                <w:b/>
                <w:bCs/>
                <w:color w:val="000000"/>
                <w:sz w:val="18"/>
                <w:szCs w:val="18"/>
              </w:rPr>
              <w:t>1 282 033</w:t>
            </w:r>
          </w:p>
        </w:tc>
        <w:tc>
          <w:tcPr>
            <w:tcW w:w="0" w:type="auto"/>
            <w:tcBorders>
              <w:top w:val="single" w:sz="4" w:space="0" w:color="auto"/>
              <w:left w:val="nil"/>
              <w:bottom w:val="single" w:sz="8" w:space="0" w:color="auto"/>
              <w:right w:val="nil"/>
            </w:tcBorders>
            <w:noWrap/>
            <w:textDirection w:val="lrTb"/>
            <w:vAlign w:val="center"/>
            <w:hideMark/>
          </w:tcPr>
          <w:p w:rsidR="002025D1" w:rsidRPr="002025D1" w:rsidP="002025D1">
            <w:pPr>
              <w:bidi w:val="0"/>
              <w:jc w:val="right"/>
              <w:rPr>
                <w:rFonts w:ascii="Times New Roman" w:hAnsi="Times New Roman"/>
                <w:b/>
                <w:bCs/>
                <w:color w:val="000000"/>
                <w:sz w:val="18"/>
                <w:szCs w:val="18"/>
              </w:rPr>
            </w:pPr>
            <w:r w:rsidRPr="002025D1">
              <w:rPr>
                <w:rFonts w:ascii="Times New Roman" w:hAnsi="Times New Roman"/>
                <w:b/>
                <w:bCs/>
                <w:color w:val="000000"/>
                <w:sz w:val="18"/>
                <w:szCs w:val="18"/>
              </w:rPr>
              <w:t>1 443 262</w:t>
            </w:r>
          </w:p>
        </w:tc>
        <w:tc>
          <w:tcPr>
            <w:tcW w:w="0" w:type="auto"/>
            <w:tcBorders>
              <w:top w:val="single" w:sz="4" w:space="0" w:color="auto"/>
              <w:left w:val="nil"/>
              <w:bottom w:val="single" w:sz="8" w:space="0" w:color="auto"/>
              <w:right w:val="nil"/>
            </w:tcBorders>
            <w:noWrap/>
            <w:textDirection w:val="lrTb"/>
            <w:vAlign w:val="center"/>
            <w:hideMark/>
          </w:tcPr>
          <w:p w:rsidR="002025D1" w:rsidRPr="002025D1" w:rsidP="002025D1">
            <w:pPr>
              <w:bidi w:val="0"/>
              <w:jc w:val="right"/>
              <w:rPr>
                <w:rFonts w:ascii="Times New Roman" w:hAnsi="Times New Roman"/>
                <w:b/>
                <w:bCs/>
                <w:color w:val="000000"/>
                <w:sz w:val="18"/>
                <w:szCs w:val="18"/>
              </w:rPr>
            </w:pPr>
            <w:r w:rsidRPr="002025D1">
              <w:rPr>
                <w:rFonts w:ascii="Times New Roman" w:hAnsi="Times New Roman"/>
                <w:b/>
                <w:bCs/>
                <w:color w:val="000000"/>
                <w:sz w:val="18"/>
                <w:szCs w:val="18"/>
              </w:rPr>
              <w:t>2 446 363</w:t>
            </w:r>
          </w:p>
        </w:tc>
        <w:tc>
          <w:tcPr>
            <w:tcW w:w="0" w:type="auto"/>
            <w:tcBorders>
              <w:top w:val="single" w:sz="4" w:space="0" w:color="auto"/>
              <w:left w:val="nil"/>
              <w:bottom w:val="single" w:sz="8" w:space="0" w:color="auto"/>
              <w:right w:val="nil"/>
            </w:tcBorders>
            <w:shd w:val="clear" w:color="000000" w:fill="BFBFBF"/>
            <w:noWrap/>
            <w:textDirection w:val="lrTb"/>
            <w:vAlign w:val="center"/>
            <w:hideMark/>
          </w:tcPr>
          <w:p w:rsidR="002025D1" w:rsidRPr="002025D1" w:rsidP="002025D1">
            <w:pPr>
              <w:bidi w:val="0"/>
              <w:jc w:val="right"/>
              <w:rPr>
                <w:rFonts w:ascii="Times New Roman" w:hAnsi="Times New Roman"/>
                <w:b/>
                <w:bCs/>
                <w:color w:val="000000"/>
                <w:sz w:val="18"/>
                <w:szCs w:val="18"/>
              </w:rPr>
            </w:pPr>
            <w:r w:rsidRPr="002025D1">
              <w:rPr>
                <w:rFonts w:ascii="Times New Roman" w:hAnsi="Times New Roman"/>
                <w:b/>
                <w:bCs/>
                <w:color w:val="000000"/>
                <w:sz w:val="18"/>
                <w:szCs w:val="18"/>
              </w:rPr>
              <w:t>1 590 167</w:t>
            </w:r>
          </w:p>
        </w:tc>
        <w:tc>
          <w:tcPr>
            <w:tcW w:w="0" w:type="auto"/>
            <w:tcBorders>
              <w:top w:val="single" w:sz="4" w:space="0" w:color="auto"/>
              <w:left w:val="nil"/>
              <w:bottom w:val="single" w:sz="8" w:space="0" w:color="auto"/>
              <w:right w:val="nil"/>
            </w:tcBorders>
            <w:noWrap/>
            <w:textDirection w:val="lrTb"/>
            <w:vAlign w:val="center"/>
            <w:hideMark/>
          </w:tcPr>
          <w:p w:rsidR="002025D1" w:rsidRPr="002025D1" w:rsidP="002025D1">
            <w:pPr>
              <w:bidi w:val="0"/>
              <w:jc w:val="right"/>
              <w:rPr>
                <w:rFonts w:ascii="Times New Roman" w:hAnsi="Times New Roman"/>
                <w:b/>
                <w:bCs/>
                <w:color w:val="000000"/>
                <w:sz w:val="18"/>
                <w:szCs w:val="18"/>
              </w:rPr>
            </w:pPr>
            <w:r w:rsidRPr="002025D1">
              <w:rPr>
                <w:rFonts w:ascii="Times New Roman" w:hAnsi="Times New Roman"/>
                <w:b/>
                <w:bCs/>
                <w:color w:val="000000"/>
                <w:sz w:val="18"/>
                <w:szCs w:val="18"/>
              </w:rPr>
              <w:t>-856 196</w:t>
            </w:r>
          </w:p>
        </w:tc>
        <w:tc>
          <w:tcPr>
            <w:tcW w:w="0" w:type="auto"/>
            <w:tcBorders>
              <w:top w:val="single" w:sz="4" w:space="0" w:color="auto"/>
              <w:left w:val="nil"/>
              <w:bottom w:val="single" w:sz="8" w:space="0" w:color="auto"/>
              <w:right w:val="nil"/>
            </w:tcBorders>
            <w:noWrap/>
            <w:textDirection w:val="lrTb"/>
            <w:vAlign w:val="center"/>
            <w:hideMark/>
          </w:tcPr>
          <w:p w:rsidR="002025D1" w:rsidRPr="002025D1" w:rsidP="001161F0">
            <w:pPr>
              <w:bidi w:val="0"/>
              <w:jc w:val="right"/>
              <w:rPr>
                <w:rFonts w:ascii="Times New Roman" w:hAnsi="Times New Roman"/>
                <w:b/>
                <w:bCs/>
                <w:color w:val="000000"/>
                <w:sz w:val="18"/>
                <w:szCs w:val="18"/>
              </w:rPr>
            </w:pPr>
            <w:r w:rsidRPr="002025D1">
              <w:rPr>
                <w:rFonts w:ascii="Times New Roman" w:hAnsi="Times New Roman"/>
                <w:b/>
                <w:bCs/>
                <w:color w:val="000000"/>
                <w:sz w:val="18"/>
                <w:szCs w:val="18"/>
              </w:rPr>
              <w:t>-3</w:t>
            </w:r>
            <w:r w:rsidR="001161F0">
              <w:rPr>
                <w:rFonts w:ascii="Times New Roman" w:hAnsi="Times New Roman"/>
                <w:b/>
                <w:bCs/>
                <w:color w:val="000000"/>
                <w:sz w:val="18"/>
                <w:szCs w:val="18"/>
              </w:rPr>
              <w:t>5,0</w:t>
            </w:r>
          </w:p>
        </w:tc>
      </w:tr>
    </w:tbl>
    <w:p w:rsidR="008553EF" w:rsidRPr="00B5573B" w:rsidP="00B5573B">
      <w:pPr>
        <w:suppressAutoHyphens/>
        <w:bidi w:val="0"/>
        <w:spacing w:after="120" w:line="336" w:lineRule="auto"/>
        <w:jc w:val="right"/>
        <w:rPr>
          <w:rFonts w:ascii="Times New Roman" w:hAnsi="Times New Roman"/>
          <w:sz w:val="18"/>
          <w:szCs w:val="18"/>
        </w:rPr>
      </w:pPr>
      <w:r w:rsidRPr="00B5573B">
        <w:rPr>
          <w:rFonts w:ascii="Times New Roman" w:hAnsi="Times New Roman"/>
          <w:sz w:val="18"/>
          <w:szCs w:val="18"/>
        </w:rPr>
        <w:t>Zdroj: MF SR</w:t>
      </w:r>
    </w:p>
    <w:p w:rsidR="00B548CC" w:rsidRPr="00DF7C5A" w:rsidP="00B548CC">
      <w:pPr>
        <w:suppressAutoHyphens/>
        <w:bidi w:val="0"/>
        <w:spacing w:after="120" w:line="336" w:lineRule="auto"/>
        <w:jc w:val="both"/>
        <w:rPr>
          <w:rFonts w:ascii="Times New Roman" w:hAnsi="Times New Roman"/>
          <w:sz w:val="22"/>
          <w:szCs w:val="22"/>
        </w:rPr>
      </w:pPr>
      <w:r>
        <w:rPr>
          <w:rFonts w:ascii="Times New Roman" w:hAnsi="Times New Roman"/>
          <w:sz w:val="22"/>
          <w:szCs w:val="22"/>
        </w:rPr>
        <w:t>Z </w:t>
      </w:r>
      <w:r w:rsidRPr="008553EF">
        <w:rPr>
          <w:rFonts w:ascii="Times New Roman" w:hAnsi="Times New Roman"/>
          <w:b/>
          <w:i/>
          <w:sz w:val="22"/>
          <w:szCs w:val="22"/>
        </w:rPr>
        <w:t>cestovných náhrad</w:t>
      </w:r>
      <w:r w:rsidR="00AD13E4">
        <w:rPr>
          <w:rFonts w:ascii="Times New Roman" w:hAnsi="Times New Roman"/>
          <w:sz w:val="22"/>
          <w:szCs w:val="22"/>
        </w:rPr>
        <w:t xml:space="preserve"> </w:t>
      </w:r>
      <w:r>
        <w:rPr>
          <w:rFonts w:ascii="Times New Roman" w:hAnsi="Times New Roman"/>
          <w:sz w:val="22"/>
          <w:szCs w:val="22"/>
        </w:rPr>
        <w:t>boli uhradené výdavky súvisiace s pracovnými cestami zamestnancov. Viac ako 61 %</w:t>
      </w:r>
      <w:r w:rsidR="00AD13E4">
        <w:rPr>
          <w:rFonts w:ascii="Times New Roman" w:hAnsi="Times New Roman"/>
          <w:sz w:val="22"/>
          <w:szCs w:val="22"/>
        </w:rPr>
        <w:t xml:space="preserve"> </w:t>
      </w:r>
      <w:r>
        <w:rPr>
          <w:rFonts w:ascii="Times New Roman" w:hAnsi="Times New Roman"/>
          <w:sz w:val="22"/>
          <w:szCs w:val="22"/>
        </w:rPr>
        <w:t>v tejto výdavkovej kategórii</w:t>
      </w:r>
      <w:r w:rsidR="00AD13E4">
        <w:rPr>
          <w:rFonts w:ascii="Times New Roman" w:hAnsi="Times New Roman"/>
          <w:sz w:val="22"/>
          <w:szCs w:val="22"/>
        </w:rPr>
        <w:t xml:space="preserve"> </w:t>
      </w:r>
      <w:r>
        <w:rPr>
          <w:rFonts w:ascii="Times New Roman" w:hAnsi="Times New Roman"/>
          <w:sz w:val="22"/>
          <w:szCs w:val="22"/>
        </w:rPr>
        <w:t>(20 554 tis. eur) bolo vynaložených</w:t>
      </w:r>
      <w:r w:rsidR="00AD13E4">
        <w:rPr>
          <w:rFonts w:ascii="Times New Roman" w:hAnsi="Times New Roman"/>
          <w:sz w:val="22"/>
          <w:szCs w:val="22"/>
        </w:rPr>
        <w:t xml:space="preserve"> </w:t>
      </w:r>
      <w:r>
        <w:rPr>
          <w:rFonts w:ascii="Times New Roman" w:hAnsi="Times New Roman"/>
          <w:sz w:val="22"/>
          <w:szCs w:val="22"/>
        </w:rPr>
        <w:t>na</w:t>
      </w:r>
      <w:r w:rsidR="00AD13E4">
        <w:rPr>
          <w:rFonts w:ascii="Times New Roman" w:hAnsi="Times New Roman"/>
          <w:sz w:val="22"/>
          <w:szCs w:val="22"/>
        </w:rPr>
        <w:t xml:space="preserve"> </w:t>
      </w:r>
      <w:r>
        <w:rPr>
          <w:rFonts w:ascii="Times New Roman" w:hAnsi="Times New Roman"/>
          <w:sz w:val="22"/>
          <w:szCs w:val="22"/>
        </w:rPr>
        <w:t>z</w:t>
      </w:r>
      <w:r w:rsidRPr="00BC4282">
        <w:rPr>
          <w:rFonts w:ascii="Times New Roman" w:hAnsi="Times New Roman"/>
          <w:i/>
          <w:sz w:val="22"/>
          <w:szCs w:val="22"/>
        </w:rPr>
        <w:t>ahraničné náhrady</w:t>
      </w:r>
      <w:r w:rsidR="00AD13E4">
        <w:rPr>
          <w:rFonts w:ascii="Times New Roman" w:hAnsi="Times New Roman"/>
          <w:sz w:val="22"/>
          <w:szCs w:val="22"/>
        </w:rPr>
        <w:t xml:space="preserve"> </w:t>
      </w:r>
      <w:r>
        <w:rPr>
          <w:rFonts w:ascii="Times New Roman" w:hAnsi="Times New Roman"/>
          <w:sz w:val="22"/>
          <w:szCs w:val="22"/>
        </w:rPr>
        <w:t>(z toho najvyšší objem pripadá na</w:t>
      </w:r>
      <w:r w:rsidR="00AD13E4">
        <w:rPr>
          <w:rFonts w:ascii="Times New Roman" w:hAnsi="Times New Roman"/>
          <w:sz w:val="22"/>
          <w:szCs w:val="22"/>
        </w:rPr>
        <w:t xml:space="preserve"> </w:t>
      </w:r>
      <w:r>
        <w:rPr>
          <w:rFonts w:ascii="Times New Roman" w:hAnsi="Times New Roman"/>
          <w:sz w:val="22"/>
          <w:szCs w:val="22"/>
        </w:rPr>
        <w:t>kapitolu Ministerstva zahraničných vecí a európskych</w:t>
      </w:r>
      <w:r w:rsidR="00AD13E4">
        <w:rPr>
          <w:rFonts w:ascii="Times New Roman" w:hAnsi="Times New Roman"/>
          <w:sz w:val="22"/>
          <w:szCs w:val="22"/>
        </w:rPr>
        <w:t xml:space="preserve"> </w:t>
      </w:r>
      <w:r>
        <w:rPr>
          <w:rFonts w:ascii="Times New Roman" w:hAnsi="Times New Roman"/>
          <w:sz w:val="22"/>
          <w:szCs w:val="22"/>
        </w:rPr>
        <w:t>záležitostí SR 6 464 tis. eur, Ministerstva</w:t>
      </w:r>
      <w:r w:rsidR="00AD13E4">
        <w:rPr>
          <w:rFonts w:ascii="Times New Roman" w:hAnsi="Times New Roman"/>
          <w:sz w:val="22"/>
          <w:szCs w:val="22"/>
        </w:rPr>
        <w:t xml:space="preserve"> </w:t>
      </w:r>
      <w:r>
        <w:rPr>
          <w:rFonts w:ascii="Times New Roman" w:hAnsi="Times New Roman"/>
          <w:sz w:val="22"/>
          <w:szCs w:val="22"/>
        </w:rPr>
        <w:t xml:space="preserve">obrany SR 3 549 tis. eur a Ministerstva vnútra SR 2 516 tis. eur). </w:t>
      </w:r>
      <w:r w:rsidRPr="006E50E2">
        <w:rPr>
          <w:rFonts w:ascii="Times New Roman" w:hAnsi="Times New Roman"/>
          <w:sz w:val="22"/>
          <w:szCs w:val="22"/>
        </w:rPr>
        <w:t xml:space="preserve">Náhrady pri </w:t>
      </w:r>
      <w:r w:rsidRPr="006E50E2">
        <w:rPr>
          <w:rFonts w:ascii="Times New Roman" w:hAnsi="Times New Roman"/>
          <w:i/>
          <w:sz w:val="22"/>
          <w:szCs w:val="22"/>
        </w:rPr>
        <w:t xml:space="preserve">tuzemských </w:t>
      </w:r>
      <w:r w:rsidRPr="006E50E2">
        <w:rPr>
          <w:rFonts w:ascii="Times New Roman" w:hAnsi="Times New Roman"/>
          <w:sz w:val="22"/>
          <w:szCs w:val="22"/>
        </w:rPr>
        <w:t>pracovných cestách boli</w:t>
      </w:r>
      <w:r>
        <w:rPr>
          <w:rFonts w:ascii="Times New Roman" w:hAnsi="Times New Roman"/>
          <w:sz w:val="22"/>
          <w:szCs w:val="22"/>
        </w:rPr>
        <w:t xml:space="preserve"> vyčerpané</w:t>
      </w:r>
      <w:r w:rsidRPr="006E50E2">
        <w:rPr>
          <w:rFonts w:ascii="Times New Roman" w:hAnsi="Times New Roman"/>
          <w:sz w:val="22"/>
          <w:szCs w:val="22"/>
        </w:rPr>
        <w:t xml:space="preserve"> v objeme </w:t>
      </w:r>
      <w:r>
        <w:rPr>
          <w:rFonts w:ascii="Times New Roman" w:hAnsi="Times New Roman"/>
          <w:sz w:val="22"/>
          <w:szCs w:val="22"/>
        </w:rPr>
        <w:t xml:space="preserve">10 609 </w:t>
      </w:r>
      <w:r w:rsidRPr="006E50E2">
        <w:rPr>
          <w:rFonts w:ascii="Times New Roman" w:hAnsi="Times New Roman"/>
          <w:sz w:val="22"/>
          <w:szCs w:val="22"/>
        </w:rPr>
        <w:t xml:space="preserve">tis. eur (predovšetkým v kapitole Ministerstva obrany SR </w:t>
      </w:r>
      <w:r>
        <w:rPr>
          <w:rFonts w:ascii="Times New Roman" w:hAnsi="Times New Roman"/>
          <w:sz w:val="22"/>
          <w:szCs w:val="22"/>
        </w:rPr>
        <w:t>2 861</w:t>
      </w:r>
      <w:r w:rsidRPr="006E50E2">
        <w:rPr>
          <w:rFonts w:ascii="Times New Roman" w:hAnsi="Times New Roman"/>
          <w:sz w:val="22"/>
          <w:szCs w:val="22"/>
        </w:rPr>
        <w:t xml:space="preserve"> tis. eur a Ministerstva vnútra SR </w:t>
      </w:r>
      <w:r w:rsidR="002C38E1">
        <w:rPr>
          <w:rFonts w:ascii="Times New Roman" w:hAnsi="Times New Roman"/>
          <w:sz w:val="22"/>
          <w:szCs w:val="22"/>
        </w:rPr>
        <w:t>2 </w:t>
      </w:r>
      <w:r>
        <w:rPr>
          <w:rFonts w:ascii="Times New Roman" w:hAnsi="Times New Roman"/>
          <w:sz w:val="22"/>
          <w:szCs w:val="22"/>
        </w:rPr>
        <w:t>373</w:t>
      </w:r>
      <w:r w:rsidRPr="006E50E2">
        <w:rPr>
          <w:rFonts w:ascii="Times New Roman" w:hAnsi="Times New Roman"/>
          <w:sz w:val="22"/>
          <w:szCs w:val="22"/>
        </w:rPr>
        <w:t> tis. eur).</w:t>
      </w:r>
      <w:r>
        <w:rPr>
          <w:rFonts w:ascii="Times New Roman" w:hAnsi="Times New Roman"/>
          <w:sz w:val="22"/>
          <w:szCs w:val="22"/>
        </w:rPr>
        <w:t xml:space="preserve"> Vyplatenie o</w:t>
      </w:r>
      <w:r w:rsidRPr="00DF7C5A">
        <w:rPr>
          <w:rFonts w:ascii="Times New Roman" w:hAnsi="Times New Roman"/>
          <w:i/>
          <w:sz w:val="22"/>
          <w:szCs w:val="22"/>
        </w:rPr>
        <w:t>statn</w:t>
      </w:r>
      <w:r>
        <w:rPr>
          <w:rFonts w:ascii="Times New Roman" w:hAnsi="Times New Roman"/>
          <w:i/>
          <w:sz w:val="22"/>
          <w:szCs w:val="22"/>
        </w:rPr>
        <w:t>ých</w:t>
      </w:r>
      <w:r w:rsidR="00AD13E4">
        <w:rPr>
          <w:rFonts w:ascii="Times New Roman" w:hAnsi="Times New Roman"/>
          <w:i/>
          <w:sz w:val="22"/>
          <w:szCs w:val="22"/>
        </w:rPr>
        <w:t xml:space="preserve"> </w:t>
      </w:r>
      <w:r w:rsidRPr="00DF7C5A">
        <w:rPr>
          <w:rFonts w:ascii="Times New Roman" w:hAnsi="Times New Roman"/>
          <w:i/>
          <w:sz w:val="22"/>
          <w:szCs w:val="22"/>
        </w:rPr>
        <w:t xml:space="preserve">náhrad </w:t>
      </w:r>
      <w:r>
        <w:rPr>
          <w:rFonts w:ascii="Times New Roman" w:hAnsi="Times New Roman"/>
          <w:sz w:val="22"/>
          <w:szCs w:val="22"/>
        </w:rPr>
        <w:t xml:space="preserve">si vyžiadalo 2 286 tis. eur (napr. pri dočasnom pridelení na výkon práce a pod.). </w:t>
      </w:r>
    </w:p>
    <w:p w:rsidR="00B548CC" w:rsidRPr="007B5ACB" w:rsidP="00B548CC">
      <w:pPr>
        <w:suppressAutoHyphens/>
        <w:bidi w:val="0"/>
        <w:spacing w:after="120" w:line="336" w:lineRule="auto"/>
        <w:jc w:val="both"/>
        <w:rPr>
          <w:rFonts w:ascii="Times New Roman" w:hAnsi="Times New Roman"/>
          <w:sz w:val="22"/>
          <w:szCs w:val="22"/>
        </w:rPr>
      </w:pPr>
      <w:r>
        <w:rPr>
          <w:rFonts w:ascii="Times New Roman" w:hAnsi="Times New Roman"/>
          <w:sz w:val="22"/>
          <w:szCs w:val="22"/>
        </w:rPr>
        <w:t>V položke</w:t>
      </w:r>
      <w:r w:rsidR="00AD13E4">
        <w:rPr>
          <w:rFonts w:ascii="Times New Roman" w:hAnsi="Times New Roman"/>
          <w:sz w:val="22"/>
          <w:szCs w:val="22"/>
        </w:rPr>
        <w:t xml:space="preserve"> </w:t>
      </w:r>
      <w:r w:rsidRPr="006E50E2">
        <w:rPr>
          <w:rFonts w:ascii="Times New Roman" w:hAnsi="Times New Roman"/>
          <w:b/>
          <w:i/>
          <w:sz w:val="22"/>
          <w:szCs w:val="22"/>
        </w:rPr>
        <w:t>energie, voda a komunikácie</w:t>
      </w:r>
      <w:r w:rsidR="00AD13E4">
        <w:rPr>
          <w:rFonts w:ascii="Times New Roman" w:hAnsi="Times New Roman"/>
          <w:sz w:val="22"/>
          <w:szCs w:val="22"/>
        </w:rPr>
        <w:t xml:space="preserve"> </w:t>
      </w:r>
      <w:r>
        <w:rPr>
          <w:rFonts w:ascii="Times New Roman" w:hAnsi="Times New Roman"/>
          <w:sz w:val="22"/>
          <w:szCs w:val="22"/>
        </w:rPr>
        <w:t>sú</w:t>
      </w:r>
      <w:r w:rsidR="00AD13E4">
        <w:rPr>
          <w:rFonts w:ascii="Times New Roman" w:hAnsi="Times New Roman"/>
          <w:sz w:val="22"/>
          <w:szCs w:val="22"/>
        </w:rPr>
        <w:t xml:space="preserve"> </w:t>
      </w:r>
      <w:r>
        <w:rPr>
          <w:rFonts w:ascii="Times New Roman" w:hAnsi="Times New Roman"/>
          <w:sz w:val="22"/>
          <w:szCs w:val="22"/>
        </w:rPr>
        <w:t>skumulované</w:t>
      </w:r>
      <w:r w:rsidR="00AD13E4">
        <w:rPr>
          <w:rFonts w:ascii="Times New Roman" w:hAnsi="Times New Roman"/>
          <w:sz w:val="22"/>
          <w:szCs w:val="22"/>
        </w:rPr>
        <w:t xml:space="preserve"> </w:t>
      </w:r>
      <w:r w:rsidRPr="006E50E2">
        <w:rPr>
          <w:rFonts w:ascii="Times New Roman" w:hAnsi="Times New Roman"/>
          <w:sz w:val="22"/>
          <w:szCs w:val="22"/>
        </w:rPr>
        <w:t xml:space="preserve">výdavky na všetky druhy energií, poštové a telekomunikačné služby a taktiež na komunikačnú infraštruktúru. </w:t>
      </w:r>
      <w:r>
        <w:rPr>
          <w:rFonts w:ascii="Times New Roman" w:hAnsi="Times New Roman"/>
          <w:sz w:val="22"/>
          <w:szCs w:val="22"/>
        </w:rPr>
        <w:t>V rozhodujúcej miere sa na nich podieľajú</w:t>
      </w:r>
      <w:r w:rsidR="00AD13E4">
        <w:rPr>
          <w:rFonts w:ascii="Times New Roman" w:hAnsi="Times New Roman"/>
          <w:sz w:val="22"/>
          <w:szCs w:val="22"/>
        </w:rPr>
        <w:t xml:space="preserve"> </w:t>
      </w:r>
      <w:r>
        <w:rPr>
          <w:rFonts w:ascii="Times New Roman" w:hAnsi="Times New Roman"/>
          <w:sz w:val="22"/>
          <w:szCs w:val="22"/>
        </w:rPr>
        <w:t xml:space="preserve">úhrady </w:t>
      </w:r>
      <w:r w:rsidRPr="00EC7402">
        <w:rPr>
          <w:rFonts w:ascii="Times New Roman" w:hAnsi="Times New Roman"/>
          <w:i/>
          <w:sz w:val="22"/>
          <w:szCs w:val="22"/>
        </w:rPr>
        <w:t>energií</w:t>
      </w:r>
      <w:r w:rsidR="00AD13E4">
        <w:rPr>
          <w:rFonts w:ascii="Times New Roman" w:hAnsi="Times New Roman"/>
          <w:sz w:val="22"/>
          <w:szCs w:val="22"/>
        </w:rPr>
        <w:t xml:space="preserve"> </w:t>
      </w:r>
      <w:r>
        <w:rPr>
          <w:rFonts w:ascii="Times New Roman" w:hAnsi="Times New Roman"/>
          <w:sz w:val="22"/>
          <w:szCs w:val="22"/>
        </w:rPr>
        <w:t>81 926 tis. eur (z toho najviac Ministerstvo vnútra</w:t>
      </w:r>
      <w:r w:rsidR="00AD13E4">
        <w:rPr>
          <w:rFonts w:ascii="Times New Roman" w:hAnsi="Times New Roman"/>
          <w:sz w:val="22"/>
          <w:szCs w:val="22"/>
        </w:rPr>
        <w:t xml:space="preserve"> </w:t>
      </w:r>
      <w:r>
        <w:rPr>
          <w:rFonts w:ascii="Times New Roman" w:hAnsi="Times New Roman"/>
          <w:sz w:val="22"/>
          <w:szCs w:val="22"/>
        </w:rPr>
        <w:t>SR</w:t>
      </w:r>
      <w:r w:rsidR="00AD13E4">
        <w:rPr>
          <w:rFonts w:ascii="Times New Roman" w:hAnsi="Times New Roman"/>
          <w:sz w:val="22"/>
          <w:szCs w:val="22"/>
        </w:rPr>
        <w:t xml:space="preserve"> </w:t>
      </w:r>
      <w:r>
        <w:rPr>
          <w:rFonts w:ascii="Times New Roman" w:hAnsi="Times New Roman"/>
          <w:sz w:val="22"/>
          <w:szCs w:val="22"/>
        </w:rPr>
        <w:t>29 101 tis. eur a Ministerstvo obrany SR 17 506 tis. eur).</w:t>
      </w:r>
      <w:r w:rsidR="00AD13E4">
        <w:rPr>
          <w:rFonts w:ascii="Times New Roman" w:hAnsi="Times New Roman"/>
          <w:sz w:val="22"/>
          <w:szCs w:val="22"/>
        </w:rPr>
        <w:t xml:space="preserve"> </w:t>
      </w:r>
      <w:r>
        <w:rPr>
          <w:rFonts w:ascii="Times New Roman" w:hAnsi="Times New Roman"/>
          <w:sz w:val="22"/>
          <w:szCs w:val="22"/>
        </w:rPr>
        <w:t>Na</w:t>
      </w:r>
      <w:r w:rsidR="00AD13E4">
        <w:rPr>
          <w:rFonts w:ascii="Times New Roman" w:hAnsi="Times New Roman"/>
          <w:sz w:val="22"/>
          <w:szCs w:val="22"/>
        </w:rPr>
        <w:t xml:space="preserve"> </w:t>
      </w:r>
      <w:r w:rsidRPr="006E50E2">
        <w:rPr>
          <w:rFonts w:ascii="Times New Roman" w:hAnsi="Times New Roman"/>
          <w:i/>
          <w:sz w:val="22"/>
          <w:szCs w:val="22"/>
        </w:rPr>
        <w:t>poštové a telekomunikačné služby</w:t>
      </w:r>
      <w:r w:rsidR="00AD13E4">
        <w:rPr>
          <w:rFonts w:ascii="Times New Roman" w:hAnsi="Times New Roman"/>
          <w:sz w:val="22"/>
          <w:szCs w:val="22"/>
        </w:rPr>
        <w:t xml:space="preserve"> </w:t>
      </w:r>
      <w:r>
        <w:rPr>
          <w:rFonts w:ascii="Times New Roman" w:hAnsi="Times New Roman"/>
          <w:sz w:val="22"/>
          <w:szCs w:val="22"/>
        </w:rPr>
        <w:t>sa vynaložilo 42 717 tis. eur</w:t>
      </w:r>
      <w:r w:rsidR="00AD13E4">
        <w:rPr>
          <w:rFonts w:ascii="Times New Roman" w:hAnsi="Times New Roman"/>
          <w:sz w:val="22"/>
          <w:szCs w:val="22"/>
        </w:rPr>
        <w:t xml:space="preserve"> </w:t>
      </w:r>
      <w:r w:rsidRPr="006E50E2">
        <w:rPr>
          <w:rFonts w:ascii="Times New Roman" w:hAnsi="Times New Roman"/>
          <w:sz w:val="22"/>
          <w:szCs w:val="22"/>
        </w:rPr>
        <w:t>(z toho</w:t>
      </w:r>
      <w:r w:rsidR="00AD13E4">
        <w:rPr>
          <w:rFonts w:ascii="Times New Roman" w:hAnsi="Times New Roman"/>
          <w:sz w:val="22"/>
          <w:szCs w:val="22"/>
        </w:rPr>
        <w:t xml:space="preserve"> </w:t>
      </w:r>
      <w:r>
        <w:rPr>
          <w:rFonts w:ascii="Times New Roman" w:hAnsi="Times New Roman"/>
          <w:sz w:val="22"/>
          <w:szCs w:val="22"/>
        </w:rPr>
        <w:t xml:space="preserve">najmä </w:t>
      </w:r>
      <w:r w:rsidRPr="006E50E2">
        <w:rPr>
          <w:rFonts w:ascii="Times New Roman" w:hAnsi="Times New Roman"/>
          <w:sz w:val="22"/>
          <w:szCs w:val="22"/>
        </w:rPr>
        <w:t xml:space="preserve">kapitola </w:t>
      </w:r>
      <w:r>
        <w:rPr>
          <w:rFonts w:ascii="Times New Roman" w:hAnsi="Times New Roman"/>
          <w:sz w:val="22"/>
          <w:szCs w:val="22"/>
        </w:rPr>
        <w:t xml:space="preserve">Ministerstva spravodlivosti SR 9 589 tis. eur, </w:t>
      </w:r>
      <w:r w:rsidRPr="006E50E2">
        <w:rPr>
          <w:rFonts w:ascii="Times New Roman" w:hAnsi="Times New Roman"/>
          <w:sz w:val="22"/>
          <w:szCs w:val="22"/>
        </w:rPr>
        <w:t xml:space="preserve">Ministerstva vnútra SR </w:t>
      </w:r>
      <w:r>
        <w:rPr>
          <w:rFonts w:ascii="Times New Roman" w:hAnsi="Times New Roman"/>
          <w:sz w:val="22"/>
          <w:szCs w:val="22"/>
        </w:rPr>
        <w:t>8 717</w:t>
      </w:r>
      <w:r w:rsidRPr="006E50E2">
        <w:rPr>
          <w:rFonts w:ascii="Times New Roman" w:hAnsi="Times New Roman"/>
          <w:sz w:val="22"/>
          <w:szCs w:val="22"/>
        </w:rPr>
        <w:t xml:space="preserve"> tis. eur, Ministerstva práce, sociálnych vecí a rodiny SR </w:t>
      </w:r>
      <w:r>
        <w:rPr>
          <w:rFonts w:ascii="Times New Roman" w:hAnsi="Times New Roman"/>
          <w:sz w:val="22"/>
          <w:szCs w:val="22"/>
        </w:rPr>
        <w:t>8 328</w:t>
      </w:r>
      <w:r w:rsidRPr="006E50E2">
        <w:rPr>
          <w:rFonts w:ascii="Times New Roman" w:hAnsi="Times New Roman"/>
          <w:sz w:val="22"/>
          <w:szCs w:val="22"/>
        </w:rPr>
        <w:t> tis. eur).</w:t>
      </w:r>
      <w:r w:rsidR="00AD13E4">
        <w:rPr>
          <w:rFonts w:ascii="Times New Roman" w:hAnsi="Times New Roman"/>
          <w:sz w:val="22"/>
          <w:szCs w:val="22"/>
        </w:rPr>
        <w:t xml:space="preserve"> </w:t>
      </w:r>
      <w:r>
        <w:rPr>
          <w:rFonts w:ascii="Times New Roman" w:hAnsi="Times New Roman"/>
          <w:sz w:val="22"/>
          <w:szCs w:val="22"/>
        </w:rPr>
        <w:t xml:space="preserve">Z výdavkov na </w:t>
      </w:r>
      <w:r w:rsidRPr="00F644EA">
        <w:rPr>
          <w:rFonts w:ascii="Times New Roman" w:hAnsi="Times New Roman"/>
          <w:i/>
          <w:sz w:val="22"/>
          <w:szCs w:val="22"/>
        </w:rPr>
        <w:t>komunikačnú</w:t>
      </w:r>
      <w:r w:rsidR="00AD13E4">
        <w:rPr>
          <w:rFonts w:ascii="Times New Roman" w:hAnsi="Times New Roman"/>
          <w:i/>
          <w:sz w:val="22"/>
          <w:szCs w:val="22"/>
        </w:rPr>
        <w:t xml:space="preserve"> </w:t>
      </w:r>
      <w:r w:rsidRPr="00F644EA">
        <w:rPr>
          <w:rFonts w:ascii="Times New Roman" w:hAnsi="Times New Roman"/>
          <w:i/>
          <w:sz w:val="22"/>
          <w:szCs w:val="22"/>
        </w:rPr>
        <w:t>infraštruktúru</w:t>
      </w:r>
      <w:r w:rsidR="00AD13E4">
        <w:rPr>
          <w:rFonts w:ascii="Times New Roman" w:hAnsi="Times New Roman"/>
          <w:sz w:val="22"/>
          <w:szCs w:val="22"/>
        </w:rPr>
        <w:t xml:space="preserve"> </w:t>
      </w:r>
      <w:r>
        <w:rPr>
          <w:rFonts w:ascii="Times New Roman" w:hAnsi="Times New Roman"/>
          <w:sz w:val="22"/>
          <w:szCs w:val="22"/>
        </w:rPr>
        <w:t>46 </w:t>
      </w:r>
      <w:r w:rsidRPr="002E59F1">
        <w:rPr>
          <w:rFonts w:ascii="Times New Roman" w:hAnsi="Times New Roman"/>
          <w:sz w:val="22"/>
          <w:szCs w:val="22"/>
        </w:rPr>
        <w:t>923</w:t>
      </w:r>
      <w:r w:rsidR="00AD13E4">
        <w:rPr>
          <w:rFonts w:ascii="Times New Roman" w:hAnsi="Times New Roman"/>
          <w:sz w:val="22"/>
          <w:szCs w:val="22"/>
        </w:rPr>
        <w:t xml:space="preserve"> </w:t>
      </w:r>
      <w:r w:rsidRPr="002E59F1">
        <w:rPr>
          <w:rFonts w:ascii="Times New Roman" w:hAnsi="Times New Roman"/>
          <w:sz w:val="22"/>
          <w:szCs w:val="22"/>
        </w:rPr>
        <w:t>tis. sa v prevažnej miere</w:t>
      </w:r>
      <w:r w:rsidR="00AD13E4">
        <w:rPr>
          <w:rFonts w:ascii="Times New Roman" w:hAnsi="Times New Roman"/>
          <w:sz w:val="22"/>
          <w:szCs w:val="22"/>
        </w:rPr>
        <w:t xml:space="preserve"> </w:t>
      </w:r>
      <w:r w:rsidRPr="002E59F1">
        <w:rPr>
          <w:rFonts w:ascii="Times New Roman" w:hAnsi="Times New Roman"/>
          <w:sz w:val="22"/>
          <w:szCs w:val="22"/>
        </w:rPr>
        <w:t>uhrádzali služby týkajúce sa</w:t>
      </w:r>
      <w:r w:rsidR="00AD13E4">
        <w:rPr>
          <w:rFonts w:ascii="Times New Roman" w:hAnsi="Times New Roman"/>
          <w:sz w:val="22"/>
          <w:szCs w:val="22"/>
        </w:rPr>
        <w:t xml:space="preserve"> </w:t>
      </w:r>
      <w:r w:rsidRPr="002E59F1">
        <w:rPr>
          <w:rFonts w:ascii="Times New Roman" w:hAnsi="Times New Roman"/>
          <w:sz w:val="22"/>
          <w:szCs w:val="22"/>
        </w:rPr>
        <w:t>diaľkových</w:t>
      </w:r>
      <w:r w:rsidR="00AD13E4">
        <w:rPr>
          <w:rFonts w:ascii="Times New Roman" w:hAnsi="Times New Roman"/>
          <w:sz w:val="22"/>
          <w:szCs w:val="22"/>
        </w:rPr>
        <w:t xml:space="preserve"> </w:t>
      </w:r>
      <w:r w:rsidRPr="002E59F1">
        <w:rPr>
          <w:rFonts w:ascii="Times New Roman" w:hAnsi="Times New Roman"/>
          <w:sz w:val="22"/>
          <w:szCs w:val="22"/>
        </w:rPr>
        <w:t>telekomunikačných okruhov, dátových</w:t>
      </w:r>
      <w:r w:rsidR="00AD13E4">
        <w:rPr>
          <w:rFonts w:ascii="Times New Roman" w:hAnsi="Times New Roman"/>
          <w:sz w:val="22"/>
          <w:szCs w:val="22"/>
        </w:rPr>
        <w:t xml:space="preserve"> </w:t>
      </w:r>
      <w:r w:rsidRPr="002E59F1">
        <w:rPr>
          <w:rFonts w:ascii="Times New Roman" w:hAnsi="Times New Roman"/>
          <w:sz w:val="22"/>
          <w:szCs w:val="22"/>
        </w:rPr>
        <w:t>sietí, pevných</w:t>
      </w:r>
      <w:r w:rsidR="00AD13E4">
        <w:rPr>
          <w:rFonts w:ascii="Times New Roman" w:hAnsi="Times New Roman"/>
          <w:sz w:val="22"/>
          <w:szCs w:val="22"/>
        </w:rPr>
        <w:t xml:space="preserve"> </w:t>
      </w:r>
      <w:r w:rsidR="001670FD">
        <w:rPr>
          <w:rFonts w:ascii="Times New Roman" w:hAnsi="Times New Roman"/>
          <w:sz w:val="22"/>
          <w:szCs w:val="22"/>
        </w:rPr>
        <w:t>sietí</w:t>
      </w:r>
      <w:r w:rsidRPr="002E59F1">
        <w:rPr>
          <w:rFonts w:ascii="Times New Roman" w:hAnsi="Times New Roman"/>
          <w:sz w:val="22"/>
          <w:szCs w:val="22"/>
        </w:rPr>
        <w:t>, server</w:t>
      </w:r>
      <w:r>
        <w:rPr>
          <w:rFonts w:ascii="Times New Roman" w:hAnsi="Times New Roman"/>
          <w:sz w:val="22"/>
          <w:szCs w:val="22"/>
        </w:rPr>
        <w:t xml:space="preserve"> </w:t>
      </w:r>
      <w:r w:rsidRPr="002E59F1">
        <w:rPr>
          <w:rFonts w:ascii="Times New Roman" w:hAnsi="Times New Roman"/>
          <w:sz w:val="22"/>
          <w:szCs w:val="22"/>
        </w:rPr>
        <w:t>housingu, online</w:t>
      </w:r>
      <w:r>
        <w:rPr>
          <w:rFonts w:ascii="Times New Roman" w:hAnsi="Times New Roman"/>
          <w:sz w:val="22"/>
          <w:szCs w:val="22"/>
        </w:rPr>
        <w:t xml:space="preserve"> podpory</w:t>
      </w:r>
      <w:r w:rsidR="00AD13E4">
        <w:rPr>
          <w:rFonts w:ascii="Times New Roman" w:hAnsi="Times New Roman"/>
          <w:sz w:val="22"/>
          <w:szCs w:val="22"/>
        </w:rPr>
        <w:t xml:space="preserve"> </w:t>
      </w:r>
      <w:r w:rsidRPr="006E50E2">
        <w:rPr>
          <w:rFonts w:ascii="Times New Roman" w:hAnsi="Times New Roman"/>
          <w:sz w:val="22"/>
          <w:szCs w:val="22"/>
        </w:rPr>
        <w:t>a pod.</w:t>
      </w:r>
      <w:r w:rsidR="00AD13E4">
        <w:rPr>
          <w:rFonts w:ascii="Times New Roman" w:hAnsi="Times New Roman"/>
          <w:sz w:val="22"/>
          <w:szCs w:val="22"/>
        </w:rPr>
        <w:t xml:space="preserve"> </w:t>
      </w:r>
      <w:r>
        <w:rPr>
          <w:rFonts w:ascii="Times New Roman" w:hAnsi="Times New Roman"/>
          <w:sz w:val="22"/>
          <w:szCs w:val="22"/>
        </w:rPr>
        <w:t>a to predovšetkým v kapitole</w:t>
      </w:r>
      <w:r w:rsidR="002C38E1">
        <w:rPr>
          <w:rFonts w:ascii="Times New Roman" w:hAnsi="Times New Roman"/>
          <w:sz w:val="22"/>
          <w:szCs w:val="22"/>
        </w:rPr>
        <w:t xml:space="preserve"> Ministerstva vnútra SR (12 975 tis. </w:t>
      </w:r>
      <w:r>
        <w:rPr>
          <w:rFonts w:ascii="Times New Roman" w:hAnsi="Times New Roman"/>
          <w:sz w:val="22"/>
          <w:szCs w:val="22"/>
        </w:rPr>
        <w:t>eur) a v kapitole Ministerstva financií SR (11 948 tis. eur).</w:t>
      </w:r>
      <w:r w:rsidR="00AD13E4">
        <w:rPr>
          <w:rFonts w:ascii="Times New Roman" w:hAnsi="Times New Roman"/>
          <w:sz w:val="22"/>
          <w:szCs w:val="22"/>
        </w:rPr>
        <w:t xml:space="preserve"> </w:t>
      </w:r>
      <w:r>
        <w:rPr>
          <w:rFonts w:ascii="Times New Roman" w:hAnsi="Times New Roman"/>
          <w:sz w:val="22"/>
          <w:szCs w:val="22"/>
        </w:rPr>
        <w:t xml:space="preserve">Platby za </w:t>
      </w:r>
      <w:r w:rsidRPr="00244750">
        <w:rPr>
          <w:rFonts w:ascii="Times New Roman" w:hAnsi="Times New Roman"/>
          <w:i/>
          <w:sz w:val="22"/>
          <w:szCs w:val="22"/>
        </w:rPr>
        <w:t xml:space="preserve">vodné, stočné </w:t>
      </w:r>
      <w:r>
        <w:rPr>
          <w:rFonts w:ascii="Times New Roman" w:hAnsi="Times New Roman"/>
          <w:sz w:val="22"/>
          <w:szCs w:val="22"/>
        </w:rPr>
        <w:t xml:space="preserve">predstavovali 11 736 tis. eur. </w:t>
      </w:r>
    </w:p>
    <w:p w:rsidR="001161F0" w:rsidP="00B548CC">
      <w:pPr>
        <w:suppressAutoHyphens/>
        <w:bidi w:val="0"/>
        <w:spacing w:after="120" w:line="336" w:lineRule="auto"/>
        <w:jc w:val="both"/>
        <w:rPr>
          <w:rFonts w:ascii="Times New Roman" w:hAnsi="Times New Roman"/>
          <w:sz w:val="22"/>
          <w:szCs w:val="22"/>
        </w:rPr>
      </w:pPr>
      <w:r w:rsidR="00B548CC">
        <w:rPr>
          <w:rFonts w:ascii="Times New Roman" w:hAnsi="Times New Roman"/>
          <w:sz w:val="22"/>
          <w:szCs w:val="22"/>
        </w:rPr>
        <w:t>V položke</w:t>
      </w:r>
      <w:r w:rsidR="00AD13E4">
        <w:rPr>
          <w:rFonts w:ascii="Times New Roman" w:hAnsi="Times New Roman"/>
          <w:sz w:val="22"/>
          <w:szCs w:val="22"/>
        </w:rPr>
        <w:t xml:space="preserve"> </w:t>
      </w:r>
      <w:r w:rsidRPr="00203CF1" w:rsidR="00B548CC">
        <w:rPr>
          <w:rFonts w:ascii="Times New Roman" w:hAnsi="Times New Roman"/>
          <w:b/>
          <w:i/>
          <w:sz w:val="22"/>
          <w:szCs w:val="22"/>
        </w:rPr>
        <w:t>materiál</w:t>
      </w:r>
      <w:r w:rsidR="00AD13E4">
        <w:rPr>
          <w:rFonts w:ascii="Times New Roman" w:hAnsi="Times New Roman"/>
          <w:sz w:val="22"/>
          <w:szCs w:val="22"/>
        </w:rPr>
        <w:t xml:space="preserve"> </w:t>
      </w:r>
      <w:r w:rsidR="00B548CC">
        <w:rPr>
          <w:rFonts w:ascii="Times New Roman" w:hAnsi="Times New Roman"/>
          <w:sz w:val="22"/>
          <w:szCs w:val="22"/>
        </w:rPr>
        <w:t>bolo najviac</w:t>
      </w:r>
      <w:r w:rsidR="00AD13E4">
        <w:rPr>
          <w:rFonts w:ascii="Times New Roman" w:hAnsi="Times New Roman"/>
          <w:sz w:val="22"/>
          <w:szCs w:val="22"/>
        </w:rPr>
        <w:t xml:space="preserve"> </w:t>
      </w:r>
      <w:r w:rsidR="00B548CC">
        <w:rPr>
          <w:rFonts w:ascii="Times New Roman" w:hAnsi="Times New Roman"/>
          <w:sz w:val="22"/>
          <w:szCs w:val="22"/>
        </w:rPr>
        <w:t>rozpočtových zdrojov</w:t>
      </w:r>
      <w:r w:rsidR="00AD13E4">
        <w:rPr>
          <w:rFonts w:ascii="Times New Roman" w:hAnsi="Times New Roman"/>
          <w:sz w:val="22"/>
          <w:szCs w:val="22"/>
        </w:rPr>
        <w:t xml:space="preserve"> </w:t>
      </w:r>
      <w:r w:rsidR="00B548CC">
        <w:rPr>
          <w:rFonts w:ascii="Times New Roman" w:hAnsi="Times New Roman"/>
          <w:sz w:val="22"/>
          <w:szCs w:val="22"/>
        </w:rPr>
        <w:t>použitých</w:t>
      </w:r>
      <w:r w:rsidR="00AD13E4">
        <w:rPr>
          <w:rFonts w:ascii="Times New Roman" w:hAnsi="Times New Roman"/>
          <w:sz w:val="22"/>
          <w:szCs w:val="22"/>
        </w:rPr>
        <w:t xml:space="preserve"> </w:t>
      </w:r>
      <w:r w:rsidR="00B548CC">
        <w:rPr>
          <w:rFonts w:ascii="Times New Roman" w:hAnsi="Times New Roman"/>
          <w:sz w:val="22"/>
          <w:szCs w:val="22"/>
        </w:rPr>
        <w:t xml:space="preserve">na </w:t>
      </w:r>
      <w:r w:rsidRPr="00CE676B" w:rsidR="00B548CC">
        <w:rPr>
          <w:rFonts w:ascii="Times New Roman" w:hAnsi="Times New Roman"/>
          <w:i/>
          <w:sz w:val="22"/>
          <w:szCs w:val="22"/>
        </w:rPr>
        <w:t>všeobecný</w:t>
      </w:r>
      <w:r w:rsidR="00AD13E4">
        <w:rPr>
          <w:rFonts w:ascii="Times New Roman" w:hAnsi="Times New Roman"/>
          <w:i/>
          <w:sz w:val="22"/>
          <w:szCs w:val="22"/>
        </w:rPr>
        <w:t xml:space="preserve"> </w:t>
      </w:r>
      <w:r w:rsidRPr="00CE676B" w:rsidR="00B548CC">
        <w:rPr>
          <w:rFonts w:ascii="Times New Roman" w:hAnsi="Times New Roman"/>
          <w:i/>
          <w:sz w:val="22"/>
          <w:szCs w:val="22"/>
        </w:rPr>
        <w:t>materiál</w:t>
      </w:r>
      <w:r w:rsidR="00AD13E4">
        <w:rPr>
          <w:rFonts w:ascii="Times New Roman" w:hAnsi="Times New Roman"/>
          <w:sz w:val="22"/>
          <w:szCs w:val="22"/>
        </w:rPr>
        <w:t xml:space="preserve"> </w:t>
      </w:r>
      <w:r w:rsidR="00B548CC">
        <w:rPr>
          <w:rFonts w:ascii="Times New Roman" w:hAnsi="Times New Roman"/>
          <w:sz w:val="22"/>
          <w:szCs w:val="22"/>
        </w:rPr>
        <w:t>52</w:t>
      </w:r>
      <w:r w:rsidR="002C38E1">
        <w:rPr>
          <w:rFonts w:ascii="Times New Roman" w:hAnsi="Times New Roman"/>
          <w:sz w:val="22"/>
          <w:szCs w:val="22"/>
        </w:rPr>
        <w:t> </w:t>
      </w:r>
      <w:r w:rsidR="00B548CC">
        <w:rPr>
          <w:rFonts w:ascii="Times New Roman" w:hAnsi="Times New Roman"/>
          <w:sz w:val="22"/>
          <w:szCs w:val="22"/>
        </w:rPr>
        <w:t>359</w:t>
      </w:r>
      <w:r w:rsidR="002C38E1">
        <w:rPr>
          <w:rFonts w:ascii="Times New Roman" w:hAnsi="Times New Roman"/>
          <w:sz w:val="22"/>
          <w:szCs w:val="22"/>
        </w:rPr>
        <w:t> tis. </w:t>
      </w:r>
      <w:r w:rsidRPr="006E50E2" w:rsidR="00B548CC">
        <w:rPr>
          <w:rFonts w:ascii="Times New Roman" w:hAnsi="Times New Roman"/>
          <w:sz w:val="22"/>
          <w:szCs w:val="22"/>
        </w:rPr>
        <w:t xml:space="preserve">eur (z toho </w:t>
      </w:r>
      <w:r w:rsidR="00B548CC">
        <w:rPr>
          <w:rFonts w:ascii="Times New Roman" w:hAnsi="Times New Roman"/>
          <w:sz w:val="22"/>
          <w:szCs w:val="22"/>
        </w:rPr>
        <w:t>najmä</w:t>
      </w:r>
      <w:r w:rsidR="00AD13E4">
        <w:rPr>
          <w:rFonts w:ascii="Times New Roman" w:hAnsi="Times New Roman"/>
          <w:sz w:val="22"/>
          <w:szCs w:val="22"/>
        </w:rPr>
        <w:t xml:space="preserve"> </w:t>
      </w:r>
      <w:r w:rsidR="00B548CC">
        <w:rPr>
          <w:rFonts w:ascii="Times New Roman" w:hAnsi="Times New Roman"/>
          <w:sz w:val="22"/>
          <w:szCs w:val="22"/>
        </w:rPr>
        <w:t>kapitola Ministerstva vnútra SR 21 448 tis. eur</w:t>
      </w:r>
      <w:r w:rsidR="00AD13E4">
        <w:rPr>
          <w:rFonts w:ascii="Times New Roman" w:hAnsi="Times New Roman"/>
          <w:sz w:val="22"/>
          <w:szCs w:val="22"/>
        </w:rPr>
        <w:t xml:space="preserve"> </w:t>
      </w:r>
      <w:r w:rsidR="00B548CC">
        <w:rPr>
          <w:rFonts w:ascii="Times New Roman" w:hAnsi="Times New Roman"/>
          <w:sz w:val="22"/>
          <w:szCs w:val="22"/>
        </w:rPr>
        <w:t>okrem bežných</w:t>
      </w:r>
      <w:r w:rsidR="00AD13E4">
        <w:rPr>
          <w:rFonts w:ascii="Times New Roman" w:hAnsi="Times New Roman"/>
          <w:sz w:val="22"/>
          <w:szCs w:val="22"/>
        </w:rPr>
        <w:t xml:space="preserve"> </w:t>
      </w:r>
      <w:r w:rsidR="00B548CC">
        <w:rPr>
          <w:rFonts w:ascii="Times New Roman" w:hAnsi="Times New Roman"/>
          <w:sz w:val="22"/>
          <w:szCs w:val="22"/>
        </w:rPr>
        <w:t>kancelárskych potrieb</w:t>
      </w:r>
      <w:r w:rsidR="00AD13E4">
        <w:rPr>
          <w:rFonts w:ascii="Times New Roman" w:hAnsi="Times New Roman"/>
          <w:sz w:val="22"/>
          <w:szCs w:val="22"/>
        </w:rPr>
        <w:t xml:space="preserve"> </w:t>
      </w:r>
      <w:r w:rsidR="00B548CC">
        <w:rPr>
          <w:rFonts w:ascii="Times New Roman" w:hAnsi="Times New Roman"/>
          <w:sz w:val="22"/>
          <w:szCs w:val="22"/>
        </w:rPr>
        <w:t>napr. aj na nákup tabuliek</w:t>
      </w:r>
      <w:r w:rsidR="00AD13E4">
        <w:rPr>
          <w:rFonts w:ascii="Times New Roman" w:hAnsi="Times New Roman"/>
          <w:sz w:val="22"/>
          <w:szCs w:val="22"/>
        </w:rPr>
        <w:t xml:space="preserve"> </w:t>
      </w:r>
      <w:r w:rsidR="00B548CC">
        <w:rPr>
          <w:rFonts w:ascii="Times New Roman" w:hAnsi="Times New Roman"/>
          <w:sz w:val="22"/>
          <w:szCs w:val="22"/>
        </w:rPr>
        <w:t>EČ vozidiel,</w:t>
      </w:r>
      <w:r w:rsidR="00AD13E4">
        <w:rPr>
          <w:rFonts w:ascii="Times New Roman" w:hAnsi="Times New Roman"/>
          <w:sz w:val="22"/>
          <w:szCs w:val="22"/>
        </w:rPr>
        <w:t xml:space="preserve"> </w:t>
      </w:r>
      <w:r w:rsidR="00B548CC">
        <w:rPr>
          <w:rFonts w:ascii="Times New Roman" w:hAnsi="Times New Roman"/>
          <w:sz w:val="22"/>
          <w:szCs w:val="22"/>
        </w:rPr>
        <w:t>chemikálií pre expertíznu činnosť, očkovacích</w:t>
      </w:r>
      <w:r w:rsidR="00AD13E4">
        <w:rPr>
          <w:rFonts w:ascii="Times New Roman" w:hAnsi="Times New Roman"/>
          <w:sz w:val="22"/>
          <w:szCs w:val="22"/>
        </w:rPr>
        <w:t xml:space="preserve"> </w:t>
      </w:r>
      <w:r w:rsidR="00B548CC">
        <w:rPr>
          <w:rFonts w:ascii="Times New Roman" w:hAnsi="Times New Roman"/>
          <w:sz w:val="22"/>
          <w:szCs w:val="22"/>
        </w:rPr>
        <w:t>sér, náustkov</w:t>
      </w:r>
      <w:r w:rsidR="00AD13E4">
        <w:rPr>
          <w:rFonts w:ascii="Times New Roman" w:hAnsi="Times New Roman"/>
          <w:sz w:val="22"/>
          <w:szCs w:val="22"/>
        </w:rPr>
        <w:t xml:space="preserve"> </w:t>
      </w:r>
      <w:r w:rsidR="00B548CC">
        <w:rPr>
          <w:rFonts w:ascii="Times New Roman" w:hAnsi="Times New Roman"/>
          <w:sz w:val="22"/>
          <w:szCs w:val="22"/>
        </w:rPr>
        <w:t>k alkotesterom).</w:t>
      </w:r>
      <w:r w:rsidR="00AD13E4">
        <w:rPr>
          <w:rFonts w:ascii="Times New Roman" w:hAnsi="Times New Roman"/>
          <w:sz w:val="22"/>
          <w:szCs w:val="22"/>
        </w:rPr>
        <w:t xml:space="preserve"> </w:t>
      </w:r>
      <w:r w:rsidR="00B548CC">
        <w:rPr>
          <w:rFonts w:ascii="Times New Roman" w:hAnsi="Times New Roman"/>
          <w:sz w:val="22"/>
          <w:szCs w:val="22"/>
        </w:rPr>
        <w:t>Významné boli aj náklady</w:t>
      </w:r>
      <w:r w:rsidR="00AD13E4">
        <w:rPr>
          <w:rFonts w:ascii="Times New Roman" w:hAnsi="Times New Roman"/>
          <w:sz w:val="22"/>
          <w:szCs w:val="22"/>
        </w:rPr>
        <w:t xml:space="preserve"> </w:t>
      </w:r>
      <w:r w:rsidR="00B548CC">
        <w:rPr>
          <w:rFonts w:ascii="Times New Roman" w:hAnsi="Times New Roman"/>
          <w:sz w:val="22"/>
          <w:szCs w:val="22"/>
        </w:rPr>
        <w:t>na</w:t>
      </w:r>
      <w:r w:rsidR="00AD13E4">
        <w:rPr>
          <w:rFonts w:ascii="Times New Roman" w:hAnsi="Times New Roman"/>
          <w:sz w:val="22"/>
          <w:szCs w:val="22"/>
        </w:rPr>
        <w:t xml:space="preserve"> </w:t>
      </w:r>
      <w:r w:rsidRPr="00CE676B" w:rsidR="00B548CC">
        <w:rPr>
          <w:rFonts w:ascii="Times New Roman" w:hAnsi="Times New Roman"/>
          <w:i/>
          <w:sz w:val="22"/>
          <w:szCs w:val="22"/>
        </w:rPr>
        <w:t>pracovné odevy, obuv a pracovné pomôcky</w:t>
      </w:r>
      <w:r w:rsidR="00AD13E4">
        <w:rPr>
          <w:rFonts w:ascii="Times New Roman" w:hAnsi="Times New Roman"/>
          <w:sz w:val="22"/>
          <w:szCs w:val="22"/>
        </w:rPr>
        <w:t xml:space="preserve"> </w:t>
      </w:r>
      <w:r w:rsidR="00B548CC">
        <w:rPr>
          <w:rFonts w:ascii="Times New Roman" w:hAnsi="Times New Roman"/>
          <w:sz w:val="22"/>
          <w:szCs w:val="22"/>
        </w:rPr>
        <w:t>20 248 tis. eur</w:t>
      </w:r>
      <w:r w:rsidR="00AD13E4">
        <w:rPr>
          <w:rFonts w:ascii="Times New Roman" w:hAnsi="Times New Roman"/>
          <w:sz w:val="22"/>
          <w:szCs w:val="22"/>
        </w:rPr>
        <w:t xml:space="preserve"> </w:t>
      </w:r>
      <w:r w:rsidR="00B548CC">
        <w:rPr>
          <w:rFonts w:ascii="Times New Roman" w:hAnsi="Times New Roman"/>
          <w:sz w:val="22"/>
          <w:szCs w:val="22"/>
        </w:rPr>
        <w:t>realizované</w:t>
      </w:r>
      <w:r w:rsidR="00AD13E4">
        <w:rPr>
          <w:rFonts w:ascii="Times New Roman" w:hAnsi="Times New Roman"/>
          <w:sz w:val="22"/>
          <w:szCs w:val="22"/>
        </w:rPr>
        <w:t xml:space="preserve"> </w:t>
      </w:r>
      <w:r w:rsidR="00B548CC">
        <w:rPr>
          <w:rFonts w:ascii="Times New Roman" w:hAnsi="Times New Roman"/>
          <w:sz w:val="22"/>
          <w:szCs w:val="22"/>
        </w:rPr>
        <w:t>predovšetkým</w:t>
      </w:r>
      <w:r w:rsidR="00AD13E4">
        <w:rPr>
          <w:rFonts w:ascii="Times New Roman" w:hAnsi="Times New Roman"/>
          <w:sz w:val="22"/>
          <w:szCs w:val="22"/>
        </w:rPr>
        <w:t xml:space="preserve"> </w:t>
      </w:r>
      <w:r w:rsidR="00B548CC">
        <w:rPr>
          <w:rFonts w:ascii="Times New Roman" w:hAnsi="Times New Roman"/>
          <w:sz w:val="22"/>
          <w:szCs w:val="22"/>
        </w:rPr>
        <w:t>v rezortoch</w:t>
      </w:r>
      <w:r w:rsidR="00AD13E4">
        <w:rPr>
          <w:rFonts w:ascii="Times New Roman" w:hAnsi="Times New Roman"/>
          <w:sz w:val="22"/>
          <w:szCs w:val="22"/>
        </w:rPr>
        <w:t xml:space="preserve"> </w:t>
      </w:r>
      <w:r w:rsidR="00B548CC">
        <w:rPr>
          <w:rFonts w:ascii="Times New Roman" w:hAnsi="Times New Roman"/>
          <w:sz w:val="22"/>
          <w:szCs w:val="22"/>
        </w:rPr>
        <w:t>Ministerstva vnútra SR 9 784 tis. eur a</w:t>
      </w:r>
      <w:r w:rsidR="00AD13E4">
        <w:rPr>
          <w:rFonts w:ascii="Times New Roman" w:hAnsi="Times New Roman"/>
          <w:sz w:val="22"/>
          <w:szCs w:val="22"/>
        </w:rPr>
        <w:t xml:space="preserve"> </w:t>
      </w:r>
      <w:r w:rsidR="00B548CC">
        <w:rPr>
          <w:rFonts w:ascii="Times New Roman" w:hAnsi="Times New Roman"/>
          <w:sz w:val="22"/>
          <w:szCs w:val="22"/>
        </w:rPr>
        <w:t xml:space="preserve">Ministerstva obrany </w:t>
      </w:r>
      <w:r w:rsidR="001670FD">
        <w:rPr>
          <w:rFonts w:ascii="Times New Roman" w:hAnsi="Times New Roman"/>
          <w:sz w:val="22"/>
          <w:szCs w:val="22"/>
        </w:rPr>
        <w:t xml:space="preserve">SR </w:t>
      </w:r>
      <w:r w:rsidR="00B548CC">
        <w:rPr>
          <w:rFonts w:ascii="Times New Roman" w:hAnsi="Times New Roman"/>
          <w:sz w:val="22"/>
          <w:szCs w:val="22"/>
        </w:rPr>
        <w:t>6 352 tis. eur.</w:t>
      </w:r>
      <w:r w:rsidR="00AD13E4">
        <w:rPr>
          <w:rFonts w:ascii="Times New Roman" w:hAnsi="Times New Roman"/>
          <w:sz w:val="22"/>
          <w:szCs w:val="22"/>
        </w:rPr>
        <w:t xml:space="preserve"> </w:t>
      </w:r>
      <w:r w:rsidR="00B548CC">
        <w:rPr>
          <w:rFonts w:ascii="Times New Roman" w:hAnsi="Times New Roman"/>
          <w:sz w:val="22"/>
          <w:szCs w:val="22"/>
        </w:rPr>
        <w:t xml:space="preserve">Výdavky spojené s obstaraním </w:t>
      </w:r>
      <w:r w:rsidRPr="003F5EAA" w:rsidR="00B548CC">
        <w:rPr>
          <w:rFonts w:ascii="Times New Roman" w:hAnsi="Times New Roman"/>
          <w:i/>
          <w:sz w:val="22"/>
          <w:szCs w:val="22"/>
        </w:rPr>
        <w:t>výpočtovej techniky</w:t>
      </w:r>
      <w:r w:rsidR="00AD13E4">
        <w:rPr>
          <w:rFonts w:ascii="Times New Roman" w:hAnsi="Times New Roman"/>
          <w:sz w:val="22"/>
          <w:szCs w:val="22"/>
        </w:rPr>
        <w:t xml:space="preserve"> </w:t>
      </w:r>
      <w:r w:rsidR="00B548CC">
        <w:rPr>
          <w:rFonts w:ascii="Times New Roman" w:hAnsi="Times New Roman"/>
          <w:sz w:val="22"/>
          <w:szCs w:val="22"/>
        </w:rPr>
        <w:t>si vyžiadali</w:t>
      </w:r>
      <w:r w:rsidR="00AD13E4">
        <w:rPr>
          <w:rFonts w:ascii="Times New Roman" w:hAnsi="Times New Roman"/>
          <w:sz w:val="22"/>
          <w:szCs w:val="22"/>
        </w:rPr>
        <w:t xml:space="preserve"> </w:t>
      </w:r>
      <w:r w:rsidR="00B548CC">
        <w:rPr>
          <w:rFonts w:ascii="Times New Roman" w:hAnsi="Times New Roman"/>
          <w:sz w:val="22"/>
          <w:szCs w:val="22"/>
        </w:rPr>
        <w:t xml:space="preserve">19 863 tis. </w:t>
      </w:r>
      <w:r w:rsidRPr="000F236A" w:rsidR="00B548CC">
        <w:rPr>
          <w:rFonts w:ascii="Times New Roman" w:hAnsi="Times New Roman"/>
          <w:sz w:val="22"/>
          <w:szCs w:val="22"/>
        </w:rPr>
        <w:t>eur</w:t>
      </w:r>
      <w:r w:rsidR="001670FD">
        <w:rPr>
          <w:rFonts w:ascii="Times New Roman" w:hAnsi="Times New Roman"/>
          <w:sz w:val="22"/>
          <w:szCs w:val="22"/>
        </w:rPr>
        <w:t xml:space="preserve">, </w:t>
      </w:r>
      <w:r w:rsidRPr="000F236A" w:rsidR="00B548CC">
        <w:rPr>
          <w:rFonts w:ascii="Times New Roman" w:hAnsi="Times New Roman"/>
          <w:sz w:val="22"/>
          <w:szCs w:val="22"/>
        </w:rPr>
        <w:t>z toho najviac</w:t>
      </w:r>
      <w:r w:rsidR="00AD13E4">
        <w:rPr>
          <w:rFonts w:ascii="Times New Roman" w:hAnsi="Times New Roman"/>
          <w:sz w:val="22"/>
          <w:szCs w:val="22"/>
        </w:rPr>
        <w:t xml:space="preserve"> </w:t>
      </w:r>
      <w:r w:rsidRPr="000F236A" w:rsidR="00B548CC">
        <w:rPr>
          <w:rFonts w:ascii="Times New Roman" w:hAnsi="Times New Roman"/>
          <w:sz w:val="22"/>
          <w:szCs w:val="22"/>
        </w:rPr>
        <w:t>kapitola Ministerstva spravodlivosti</w:t>
      </w:r>
      <w:r w:rsidR="002C38E1">
        <w:rPr>
          <w:rFonts w:ascii="Times New Roman" w:hAnsi="Times New Roman"/>
          <w:sz w:val="22"/>
          <w:szCs w:val="22"/>
        </w:rPr>
        <w:t xml:space="preserve"> </w:t>
      </w:r>
      <w:r w:rsidR="001670FD">
        <w:rPr>
          <w:rFonts w:ascii="Times New Roman" w:hAnsi="Times New Roman"/>
          <w:sz w:val="22"/>
          <w:szCs w:val="22"/>
        </w:rPr>
        <w:t xml:space="preserve">SR </w:t>
      </w:r>
      <w:r w:rsidR="002C38E1">
        <w:rPr>
          <w:rFonts w:ascii="Times New Roman" w:hAnsi="Times New Roman"/>
          <w:sz w:val="22"/>
          <w:szCs w:val="22"/>
        </w:rPr>
        <w:t>6 805 </w:t>
      </w:r>
      <w:r w:rsidRPr="009372BA" w:rsidR="00B548CC">
        <w:rPr>
          <w:rFonts w:ascii="Times New Roman" w:hAnsi="Times New Roman"/>
          <w:sz w:val="22"/>
          <w:szCs w:val="22"/>
        </w:rPr>
        <w:t>tis.</w:t>
      </w:r>
      <w:r w:rsidR="002C38E1">
        <w:rPr>
          <w:rFonts w:ascii="Times New Roman" w:hAnsi="Times New Roman"/>
          <w:sz w:val="22"/>
          <w:szCs w:val="22"/>
        </w:rPr>
        <w:t> </w:t>
      </w:r>
      <w:r w:rsidR="00B548CC">
        <w:rPr>
          <w:rFonts w:ascii="Times New Roman" w:hAnsi="Times New Roman"/>
          <w:sz w:val="22"/>
          <w:szCs w:val="22"/>
        </w:rPr>
        <w:t>eur najmä v súvislosti s konceptom e</w:t>
      </w:r>
      <w:r w:rsidR="00812F26">
        <w:rPr>
          <w:rFonts w:ascii="Times New Roman" w:hAnsi="Times New Roman"/>
          <w:sz w:val="22"/>
          <w:szCs w:val="22"/>
        </w:rPr>
        <w:t>-</w:t>
      </w:r>
      <w:r w:rsidR="00B548CC">
        <w:rPr>
          <w:rFonts w:ascii="Times New Roman" w:hAnsi="Times New Roman"/>
          <w:sz w:val="22"/>
          <w:szCs w:val="22"/>
        </w:rPr>
        <w:t>Justice</w:t>
      </w:r>
      <w:r w:rsidR="00AD13E4">
        <w:rPr>
          <w:rFonts w:ascii="Times New Roman" w:hAnsi="Times New Roman"/>
          <w:sz w:val="22"/>
          <w:szCs w:val="22"/>
        </w:rPr>
        <w:t xml:space="preserve"> </w:t>
      </w:r>
      <w:r w:rsidR="00B548CC">
        <w:rPr>
          <w:rFonts w:ascii="Times New Roman" w:hAnsi="Times New Roman"/>
          <w:sz w:val="22"/>
          <w:szCs w:val="22"/>
        </w:rPr>
        <w:t>na realizáciu Informačného systému aplikačnej architektúry a bezpečnostnej infraštruktúry. Na výdavky</w:t>
      </w:r>
      <w:r w:rsidR="00AD13E4">
        <w:rPr>
          <w:rFonts w:ascii="Times New Roman" w:hAnsi="Times New Roman"/>
          <w:sz w:val="22"/>
          <w:szCs w:val="22"/>
        </w:rPr>
        <w:t xml:space="preserve"> </w:t>
      </w:r>
      <w:r w:rsidR="00B548CC">
        <w:rPr>
          <w:rFonts w:ascii="Times New Roman" w:hAnsi="Times New Roman"/>
          <w:sz w:val="22"/>
          <w:szCs w:val="22"/>
        </w:rPr>
        <w:t>za</w:t>
      </w:r>
      <w:r w:rsidR="00AD13E4">
        <w:rPr>
          <w:rFonts w:ascii="Times New Roman" w:hAnsi="Times New Roman"/>
          <w:sz w:val="22"/>
          <w:szCs w:val="22"/>
        </w:rPr>
        <w:t xml:space="preserve"> </w:t>
      </w:r>
      <w:r w:rsidRPr="003F5EAA" w:rsidR="00B548CC">
        <w:rPr>
          <w:rFonts w:ascii="Times New Roman" w:hAnsi="Times New Roman"/>
          <w:i/>
          <w:sz w:val="22"/>
          <w:szCs w:val="22"/>
        </w:rPr>
        <w:t>potrav</w:t>
      </w:r>
      <w:r w:rsidR="00B548CC">
        <w:rPr>
          <w:rFonts w:ascii="Times New Roman" w:hAnsi="Times New Roman"/>
          <w:i/>
          <w:sz w:val="22"/>
          <w:szCs w:val="22"/>
        </w:rPr>
        <w:t>iny</w:t>
      </w:r>
      <w:r w:rsidR="00AD13E4">
        <w:rPr>
          <w:rFonts w:ascii="Times New Roman" w:hAnsi="Times New Roman"/>
          <w:i/>
          <w:sz w:val="22"/>
          <w:szCs w:val="22"/>
        </w:rPr>
        <w:t xml:space="preserve"> </w:t>
      </w:r>
      <w:r w:rsidR="00B548CC">
        <w:rPr>
          <w:rFonts w:ascii="Times New Roman" w:hAnsi="Times New Roman"/>
          <w:sz w:val="22"/>
          <w:szCs w:val="22"/>
        </w:rPr>
        <w:t>sa vynaložilo 18 586 tis.</w:t>
      </w:r>
      <w:r w:rsidR="00AD13E4">
        <w:rPr>
          <w:rFonts w:ascii="Times New Roman" w:hAnsi="Times New Roman"/>
          <w:sz w:val="22"/>
          <w:szCs w:val="22"/>
        </w:rPr>
        <w:t xml:space="preserve"> </w:t>
      </w:r>
      <w:r w:rsidR="00B548CC">
        <w:rPr>
          <w:rFonts w:ascii="Times New Roman" w:hAnsi="Times New Roman"/>
          <w:sz w:val="22"/>
          <w:szCs w:val="22"/>
        </w:rPr>
        <w:t>eur (predovšetkým kapitola Ministerstva spravodlivosti SR 9 368)</w:t>
      </w:r>
      <w:r w:rsidR="00AD13E4">
        <w:rPr>
          <w:rFonts w:ascii="Times New Roman" w:hAnsi="Times New Roman"/>
          <w:sz w:val="22"/>
          <w:szCs w:val="22"/>
        </w:rPr>
        <w:t xml:space="preserve"> </w:t>
      </w:r>
      <w:r w:rsidR="00B548CC">
        <w:rPr>
          <w:rFonts w:ascii="Times New Roman" w:hAnsi="Times New Roman"/>
          <w:sz w:val="22"/>
          <w:szCs w:val="22"/>
        </w:rPr>
        <w:t>a za</w:t>
      </w:r>
      <w:r w:rsidR="00AD13E4">
        <w:rPr>
          <w:rFonts w:ascii="Times New Roman" w:hAnsi="Times New Roman"/>
          <w:sz w:val="22"/>
          <w:szCs w:val="22"/>
        </w:rPr>
        <w:t xml:space="preserve"> </w:t>
      </w:r>
      <w:r w:rsidRPr="003F5EAA" w:rsidR="00B548CC">
        <w:rPr>
          <w:rFonts w:ascii="Times New Roman" w:hAnsi="Times New Roman"/>
          <w:i/>
          <w:sz w:val="22"/>
          <w:szCs w:val="22"/>
        </w:rPr>
        <w:t>tlač, knihy, učebnice a učebné pomôcky</w:t>
      </w:r>
      <w:r w:rsidR="00AD13E4">
        <w:rPr>
          <w:rFonts w:ascii="Times New Roman" w:hAnsi="Times New Roman"/>
          <w:sz w:val="22"/>
          <w:szCs w:val="22"/>
        </w:rPr>
        <w:t xml:space="preserve"> </w:t>
      </w:r>
      <w:r w:rsidR="00B548CC">
        <w:rPr>
          <w:rFonts w:ascii="Times New Roman" w:hAnsi="Times New Roman"/>
          <w:sz w:val="22"/>
          <w:szCs w:val="22"/>
        </w:rPr>
        <w:t>18 555 tis. eur (rozhodujúci podiel</w:t>
      </w:r>
      <w:r w:rsidR="00AD13E4">
        <w:rPr>
          <w:rFonts w:ascii="Times New Roman" w:hAnsi="Times New Roman"/>
          <w:sz w:val="22"/>
          <w:szCs w:val="22"/>
        </w:rPr>
        <w:t xml:space="preserve"> </w:t>
      </w:r>
      <w:r w:rsidR="002C38E1">
        <w:rPr>
          <w:rFonts w:ascii="Times New Roman" w:hAnsi="Times New Roman"/>
          <w:sz w:val="22"/>
          <w:szCs w:val="22"/>
        </w:rPr>
        <w:t xml:space="preserve">Ministerstvo školstva SR </w:t>
      </w:r>
      <w:r w:rsidRPr="001161F0" w:rsidR="002C38E1">
        <w:rPr>
          <w:rFonts w:ascii="Times New Roman" w:hAnsi="Times New Roman"/>
          <w:sz w:val="22"/>
          <w:szCs w:val="22"/>
        </w:rPr>
        <w:t>15 175 </w:t>
      </w:r>
      <w:r w:rsidRPr="001161F0" w:rsidR="00B548CC">
        <w:rPr>
          <w:rFonts w:ascii="Times New Roman" w:hAnsi="Times New Roman"/>
          <w:sz w:val="22"/>
          <w:szCs w:val="22"/>
        </w:rPr>
        <w:t>tis. eur).</w:t>
      </w:r>
      <w:r w:rsidRPr="001161F0" w:rsidR="009251B7">
        <w:rPr>
          <w:rFonts w:ascii="Times New Roman" w:hAnsi="Times New Roman"/>
          <w:sz w:val="22"/>
          <w:szCs w:val="22"/>
        </w:rPr>
        <w:t xml:space="preserve"> </w:t>
      </w:r>
    </w:p>
    <w:p w:rsidR="00B548CC" w:rsidRPr="001161F0" w:rsidP="00B548CC">
      <w:pPr>
        <w:suppressAutoHyphens/>
        <w:bidi w:val="0"/>
        <w:spacing w:after="120" w:line="336" w:lineRule="auto"/>
        <w:jc w:val="both"/>
        <w:rPr>
          <w:rFonts w:ascii="Times New Roman" w:hAnsi="Times New Roman"/>
          <w:sz w:val="22"/>
          <w:szCs w:val="22"/>
        </w:rPr>
      </w:pPr>
      <w:r w:rsidRPr="001161F0" w:rsidR="009251B7">
        <w:rPr>
          <w:rFonts w:ascii="Times New Roman" w:hAnsi="Times New Roman"/>
          <w:sz w:val="22"/>
          <w:szCs w:val="22"/>
        </w:rPr>
        <w:t>V</w:t>
      </w:r>
      <w:r w:rsidRPr="001161F0" w:rsidR="00BD5D8F">
        <w:rPr>
          <w:rFonts w:ascii="Times New Roman" w:hAnsi="Times New Roman"/>
          <w:sz w:val="22"/>
          <w:szCs w:val="22"/>
        </w:rPr>
        <w:t> tejto kateg</w:t>
      </w:r>
      <w:r w:rsidRPr="001161F0" w:rsidR="009251B7">
        <w:rPr>
          <w:rFonts w:ascii="Times New Roman" w:hAnsi="Times New Roman"/>
          <w:sz w:val="22"/>
          <w:szCs w:val="22"/>
        </w:rPr>
        <w:t xml:space="preserve">órii najvyšší nárast oproti schválenému rozpočtu bol v položkách </w:t>
      </w:r>
      <w:r w:rsidRPr="001161F0" w:rsidR="009251B7">
        <w:rPr>
          <w:rFonts w:ascii="Times New Roman" w:hAnsi="Times New Roman"/>
          <w:i/>
          <w:sz w:val="22"/>
          <w:szCs w:val="22"/>
        </w:rPr>
        <w:t>výpočtová technika</w:t>
      </w:r>
      <w:r w:rsidRPr="001161F0" w:rsidR="009251B7">
        <w:rPr>
          <w:rFonts w:ascii="Times New Roman" w:hAnsi="Times New Roman"/>
          <w:sz w:val="22"/>
          <w:szCs w:val="22"/>
        </w:rPr>
        <w:t xml:space="preserve"> 14</w:t>
      </w:r>
      <w:r w:rsidRPr="001161F0" w:rsidR="000550F8">
        <w:rPr>
          <w:rFonts w:ascii="Times New Roman" w:hAnsi="Times New Roman"/>
          <w:sz w:val="22"/>
          <w:szCs w:val="22"/>
        </w:rPr>
        <w:t> </w:t>
      </w:r>
      <w:r w:rsidRPr="001161F0" w:rsidR="009251B7">
        <w:rPr>
          <w:rFonts w:ascii="Times New Roman" w:hAnsi="Times New Roman"/>
          <w:sz w:val="22"/>
          <w:szCs w:val="22"/>
        </w:rPr>
        <w:t xml:space="preserve">647 tis. eur, </w:t>
      </w:r>
      <w:r w:rsidRPr="001161F0" w:rsidR="0057424D">
        <w:rPr>
          <w:rFonts w:ascii="Times New Roman" w:hAnsi="Times New Roman"/>
          <w:sz w:val="22"/>
          <w:szCs w:val="22"/>
        </w:rPr>
        <w:t>(</w:t>
      </w:r>
      <w:r w:rsidRPr="001161F0" w:rsidR="009251B7">
        <w:rPr>
          <w:rFonts w:ascii="Times New Roman" w:hAnsi="Times New Roman"/>
          <w:sz w:val="22"/>
          <w:szCs w:val="22"/>
        </w:rPr>
        <w:t>z toho Ministerstvo spravodlivosti 6 409 tis. eur, M</w:t>
      </w:r>
      <w:r w:rsidR="009E48F2">
        <w:rPr>
          <w:rFonts w:ascii="Times New Roman" w:hAnsi="Times New Roman"/>
          <w:sz w:val="22"/>
          <w:szCs w:val="22"/>
        </w:rPr>
        <w:t xml:space="preserve">inisterstvo financií </w:t>
      </w:r>
      <w:r w:rsidR="00BB30A2">
        <w:rPr>
          <w:rFonts w:ascii="Times New Roman" w:hAnsi="Times New Roman"/>
          <w:sz w:val="22"/>
          <w:szCs w:val="22"/>
        </w:rPr>
        <w:t xml:space="preserve">SR </w:t>
      </w:r>
      <w:r w:rsidR="009E48F2">
        <w:rPr>
          <w:rFonts w:ascii="Times New Roman" w:hAnsi="Times New Roman"/>
          <w:sz w:val="22"/>
          <w:szCs w:val="22"/>
        </w:rPr>
        <w:t>1 992 tis. </w:t>
      </w:r>
      <w:r w:rsidRPr="001161F0" w:rsidR="009251B7">
        <w:rPr>
          <w:rFonts w:ascii="Times New Roman" w:hAnsi="Times New Roman"/>
          <w:sz w:val="22"/>
          <w:szCs w:val="22"/>
        </w:rPr>
        <w:t>eur, Generálna prokuratúra SR 1 333 </w:t>
      </w:r>
      <w:r w:rsidRPr="001161F0" w:rsidR="0057424D">
        <w:rPr>
          <w:rFonts w:ascii="Times New Roman" w:hAnsi="Times New Roman"/>
          <w:sz w:val="22"/>
          <w:szCs w:val="22"/>
        </w:rPr>
        <w:t xml:space="preserve">tis eur a </w:t>
      </w:r>
      <w:r w:rsidRPr="001161F0" w:rsidR="009251B7">
        <w:rPr>
          <w:rFonts w:ascii="Times New Roman" w:hAnsi="Times New Roman"/>
          <w:sz w:val="22"/>
          <w:szCs w:val="22"/>
        </w:rPr>
        <w:t>Ministerstvo vnútra SR 1 849 tis. eur</w:t>
      </w:r>
      <w:r w:rsidRPr="001161F0" w:rsidR="0057424D">
        <w:rPr>
          <w:rFonts w:ascii="Times New Roman" w:hAnsi="Times New Roman"/>
          <w:sz w:val="22"/>
          <w:szCs w:val="22"/>
        </w:rPr>
        <w:t>)</w:t>
      </w:r>
      <w:r w:rsidRPr="001161F0" w:rsidR="000550F8">
        <w:rPr>
          <w:rFonts w:ascii="Times New Roman" w:hAnsi="Times New Roman"/>
          <w:sz w:val="22"/>
          <w:szCs w:val="22"/>
        </w:rPr>
        <w:t xml:space="preserve">, </w:t>
      </w:r>
      <w:r w:rsidRPr="001161F0" w:rsidR="000550F8">
        <w:rPr>
          <w:rFonts w:ascii="Times New Roman" w:hAnsi="Times New Roman"/>
          <w:i/>
          <w:sz w:val="22"/>
          <w:szCs w:val="22"/>
        </w:rPr>
        <w:t>prevádzkové prístroje a zariadenia</w:t>
      </w:r>
      <w:r w:rsidRPr="001161F0" w:rsidR="000550F8">
        <w:rPr>
          <w:rFonts w:ascii="Times New Roman" w:hAnsi="Times New Roman"/>
          <w:sz w:val="22"/>
          <w:szCs w:val="22"/>
        </w:rPr>
        <w:t xml:space="preserve"> </w:t>
      </w:r>
      <w:r w:rsidRPr="001161F0" w:rsidR="00A959B4">
        <w:rPr>
          <w:rFonts w:ascii="Times New Roman" w:hAnsi="Times New Roman"/>
          <w:sz w:val="22"/>
          <w:szCs w:val="22"/>
        </w:rPr>
        <w:t xml:space="preserve">12 549 tis. eur (z toho Ministerstvo školstva, vedy, výskumu a športu SR 8 144 tis. eur), </w:t>
      </w:r>
      <w:r w:rsidRPr="001161F0" w:rsidR="00A959B4">
        <w:rPr>
          <w:rFonts w:ascii="Times New Roman" w:hAnsi="Times New Roman"/>
          <w:i/>
          <w:sz w:val="22"/>
          <w:szCs w:val="22"/>
        </w:rPr>
        <w:t>knihy, učebnice, učebné pomôcky</w:t>
      </w:r>
      <w:r w:rsidRPr="001161F0" w:rsidR="00A959B4">
        <w:rPr>
          <w:rFonts w:ascii="Times New Roman" w:hAnsi="Times New Roman"/>
          <w:sz w:val="22"/>
          <w:szCs w:val="22"/>
        </w:rPr>
        <w:t xml:space="preserve"> 9 303 tis. eur (z toho Ministerstvo školstva, vedy, výskumu a športu SR 8 559 tis. eur).</w:t>
      </w:r>
    </w:p>
    <w:p w:rsidR="00B548CC" w:rsidRPr="006E50E2" w:rsidP="00B548CC">
      <w:pPr>
        <w:suppressAutoHyphens/>
        <w:bidi w:val="0"/>
        <w:spacing w:after="120" w:line="336" w:lineRule="auto"/>
        <w:jc w:val="both"/>
        <w:rPr>
          <w:rFonts w:ascii="Times New Roman" w:hAnsi="Times New Roman"/>
          <w:sz w:val="22"/>
          <w:szCs w:val="22"/>
        </w:rPr>
      </w:pPr>
      <w:r>
        <w:rPr>
          <w:rFonts w:ascii="Times New Roman" w:hAnsi="Times New Roman"/>
          <w:sz w:val="22"/>
          <w:szCs w:val="22"/>
        </w:rPr>
        <w:t>V</w:t>
      </w:r>
      <w:r w:rsidR="00AD13E4">
        <w:rPr>
          <w:rFonts w:ascii="Times New Roman" w:hAnsi="Times New Roman"/>
          <w:sz w:val="22"/>
          <w:szCs w:val="22"/>
        </w:rPr>
        <w:t xml:space="preserve"> </w:t>
      </w:r>
      <w:r>
        <w:rPr>
          <w:rFonts w:ascii="Times New Roman" w:hAnsi="Times New Roman"/>
          <w:b/>
          <w:i/>
          <w:sz w:val="22"/>
          <w:szCs w:val="22"/>
        </w:rPr>
        <w:t>dopravnom</w:t>
      </w:r>
      <w:r w:rsidR="00AD13E4">
        <w:rPr>
          <w:rFonts w:ascii="Times New Roman" w:hAnsi="Times New Roman"/>
          <w:b/>
          <w:i/>
          <w:sz w:val="22"/>
          <w:szCs w:val="22"/>
        </w:rPr>
        <w:t xml:space="preserve"> </w:t>
      </w:r>
      <w:r w:rsidRPr="00E42808">
        <w:rPr>
          <w:rFonts w:ascii="Times New Roman" w:hAnsi="Times New Roman"/>
          <w:sz w:val="22"/>
          <w:szCs w:val="22"/>
        </w:rPr>
        <w:t>s</w:t>
      </w:r>
      <w:r>
        <w:rPr>
          <w:rFonts w:ascii="Times New Roman" w:hAnsi="Times New Roman"/>
          <w:sz w:val="22"/>
          <w:szCs w:val="22"/>
        </w:rPr>
        <w:t>ú</w:t>
      </w:r>
      <w:r w:rsidR="00AD13E4">
        <w:rPr>
          <w:rFonts w:ascii="Times New Roman" w:hAnsi="Times New Roman"/>
          <w:sz w:val="22"/>
          <w:szCs w:val="22"/>
        </w:rPr>
        <w:t xml:space="preserve"> </w:t>
      </w:r>
      <w:r w:rsidRPr="007D6F28">
        <w:rPr>
          <w:rFonts w:ascii="Times New Roman" w:hAnsi="Times New Roman"/>
          <w:sz w:val="22"/>
          <w:szCs w:val="22"/>
        </w:rPr>
        <w:t>zah</w:t>
      </w:r>
      <w:r w:rsidR="001161F0">
        <w:rPr>
          <w:rFonts w:ascii="Times New Roman" w:hAnsi="Times New Roman"/>
          <w:sz w:val="22"/>
          <w:szCs w:val="22"/>
        </w:rPr>
        <w:t>r</w:t>
      </w:r>
      <w:r>
        <w:rPr>
          <w:rFonts w:ascii="Times New Roman" w:hAnsi="Times New Roman"/>
          <w:sz w:val="22"/>
          <w:szCs w:val="22"/>
        </w:rPr>
        <w:t>nuté</w:t>
      </w:r>
      <w:r w:rsidR="00AD13E4">
        <w:rPr>
          <w:rFonts w:ascii="Times New Roman" w:hAnsi="Times New Roman"/>
          <w:sz w:val="22"/>
          <w:szCs w:val="22"/>
        </w:rPr>
        <w:t xml:space="preserve"> </w:t>
      </w:r>
      <w:r>
        <w:rPr>
          <w:rFonts w:ascii="Times New Roman" w:hAnsi="Times New Roman"/>
          <w:sz w:val="22"/>
          <w:szCs w:val="22"/>
        </w:rPr>
        <w:t>výdavky na</w:t>
      </w:r>
      <w:r w:rsidR="00AD13E4">
        <w:rPr>
          <w:rFonts w:ascii="Times New Roman" w:hAnsi="Times New Roman"/>
          <w:sz w:val="22"/>
          <w:szCs w:val="22"/>
        </w:rPr>
        <w:t xml:space="preserve"> </w:t>
      </w:r>
      <w:r w:rsidRPr="006E50E2">
        <w:rPr>
          <w:rFonts w:ascii="Times New Roman" w:hAnsi="Times New Roman"/>
          <w:sz w:val="22"/>
          <w:szCs w:val="22"/>
        </w:rPr>
        <w:t>doprav</w:t>
      </w:r>
      <w:r>
        <w:rPr>
          <w:rFonts w:ascii="Times New Roman" w:hAnsi="Times New Roman"/>
          <w:sz w:val="22"/>
          <w:szCs w:val="22"/>
        </w:rPr>
        <w:t>u</w:t>
      </w:r>
      <w:r w:rsidR="00AD13E4">
        <w:rPr>
          <w:rFonts w:ascii="Times New Roman" w:hAnsi="Times New Roman"/>
          <w:sz w:val="22"/>
          <w:szCs w:val="22"/>
        </w:rPr>
        <w:t xml:space="preserve"> </w:t>
      </w:r>
      <w:r w:rsidRPr="006E50E2">
        <w:rPr>
          <w:rFonts w:ascii="Times New Roman" w:hAnsi="Times New Roman"/>
          <w:sz w:val="22"/>
          <w:szCs w:val="22"/>
        </w:rPr>
        <w:t>ľudí a tovaru za prevádzkovým účelom, vrátane služobných a prenajatých dopravných prostriedkov, ďalej výdavky na servis, údržbu a opravy služobných dopravných prostriedkov</w:t>
      </w:r>
      <w:r>
        <w:rPr>
          <w:rFonts w:ascii="Times New Roman" w:hAnsi="Times New Roman"/>
          <w:sz w:val="22"/>
          <w:szCs w:val="22"/>
        </w:rPr>
        <w:t>. Za rok 2015</w:t>
      </w:r>
      <w:r w:rsidR="00AD13E4">
        <w:rPr>
          <w:rFonts w:ascii="Times New Roman" w:hAnsi="Times New Roman"/>
          <w:sz w:val="22"/>
          <w:szCs w:val="22"/>
        </w:rPr>
        <w:t xml:space="preserve"> </w:t>
      </w:r>
      <w:r>
        <w:rPr>
          <w:rFonts w:ascii="Times New Roman" w:hAnsi="Times New Roman"/>
          <w:sz w:val="22"/>
          <w:szCs w:val="22"/>
        </w:rPr>
        <w:t>pripadlo</w:t>
      </w:r>
      <w:r w:rsidR="00AD13E4">
        <w:rPr>
          <w:rFonts w:ascii="Times New Roman" w:hAnsi="Times New Roman"/>
          <w:sz w:val="22"/>
          <w:szCs w:val="22"/>
        </w:rPr>
        <w:t xml:space="preserve"> </w:t>
      </w:r>
      <w:r>
        <w:rPr>
          <w:rFonts w:ascii="Times New Roman" w:hAnsi="Times New Roman"/>
          <w:sz w:val="22"/>
          <w:szCs w:val="22"/>
        </w:rPr>
        <w:t>najviac na</w:t>
      </w:r>
      <w:r w:rsidR="00AD13E4">
        <w:rPr>
          <w:rFonts w:ascii="Times New Roman" w:hAnsi="Times New Roman"/>
          <w:sz w:val="22"/>
          <w:szCs w:val="22"/>
        </w:rPr>
        <w:t xml:space="preserve"> </w:t>
      </w:r>
      <w:r w:rsidRPr="006E50E2">
        <w:rPr>
          <w:rFonts w:ascii="Times New Roman" w:hAnsi="Times New Roman"/>
          <w:sz w:val="22"/>
          <w:szCs w:val="22"/>
        </w:rPr>
        <w:t xml:space="preserve">platby za </w:t>
      </w:r>
      <w:r w:rsidRPr="00573E9D">
        <w:rPr>
          <w:rFonts w:ascii="Times New Roman" w:hAnsi="Times New Roman"/>
          <w:i/>
          <w:sz w:val="22"/>
          <w:szCs w:val="22"/>
        </w:rPr>
        <w:t>pohonné hmoty</w:t>
      </w:r>
      <w:r w:rsidRPr="006E50E2">
        <w:rPr>
          <w:rFonts w:ascii="Times New Roman" w:hAnsi="Times New Roman"/>
          <w:sz w:val="22"/>
          <w:szCs w:val="22"/>
        </w:rPr>
        <w:t xml:space="preserve">, </w:t>
      </w:r>
      <w:r w:rsidRPr="00573E9D">
        <w:rPr>
          <w:rFonts w:ascii="Times New Roman" w:hAnsi="Times New Roman"/>
          <w:i/>
          <w:sz w:val="22"/>
          <w:szCs w:val="22"/>
        </w:rPr>
        <w:t>mazivá a oleje</w:t>
      </w:r>
      <w:r w:rsidRPr="006E50E2">
        <w:rPr>
          <w:rFonts w:ascii="Times New Roman" w:hAnsi="Times New Roman"/>
          <w:sz w:val="22"/>
          <w:szCs w:val="22"/>
        </w:rPr>
        <w:t xml:space="preserve"> </w:t>
      </w:r>
      <w:r>
        <w:rPr>
          <w:rFonts w:ascii="Times New Roman" w:hAnsi="Times New Roman"/>
          <w:sz w:val="22"/>
          <w:szCs w:val="22"/>
        </w:rPr>
        <w:t>30 815 tis. eur</w:t>
      </w:r>
      <w:r w:rsidR="00AD13E4">
        <w:rPr>
          <w:rFonts w:ascii="Times New Roman" w:hAnsi="Times New Roman"/>
          <w:sz w:val="22"/>
          <w:szCs w:val="22"/>
        </w:rPr>
        <w:t xml:space="preserve"> </w:t>
      </w:r>
      <w:r w:rsidRPr="006E50E2">
        <w:rPr>
          <w:rFonts w:ascii="Times New Roman" w:hAnsi="Times New Roman"/>
          <w:sz w:val="22"/>
          <w:szCs w:val="22"/>
        </w:rPr>
        <w:t xml:space="preserve">a boli čerpané najmä v rozpočtovej kapitole </w:t>
      </w:r>
      <w:r>
        <w:rPr>
          <w:rFonts w:ascii="Times New Roman" w:hAnsi="Times New Roman"/>
          <w:sz w:val="22"/>
          <w:szCs w:val="22"/>
        </w:rPr>
        <w:t>Ministerstva vnútra</w:t>
      </w:r>
      <w:r w:rsidR="00AD13E4">
        <w:rPr>
          <w:rFonts w:ascii="Times New Roman" w:hAnsi="Times New Roman"/>
          <w:sz w:val="22"/>
          <w:szCs w:val="22"/>
        </w:rPr>
        <w:t xml:space="preserve"> </w:t>
      </w:r>
      <w:r w:rsidRPr="006E50E2">
        <w:rPr>
          <w:rFonts w:ascii="Times New Roman" w:hAnsi="Times New Roman"/>
          <w:sz w:val="22"/>
          <w:szCs w:val="22"/>
        </w:rPr>
        <w:t xml:space="preserve">SR </w:t>
      </w:r>
      <w:r>
        <w:rPr>
          <w:rFonts w:ascii="Times New Roman" w:hAnsi="Times New Roman"/>
          <w:sz w:val="22"/>
          <w:szCs w:val="22"/>
        </w:rPr>
        <w:t>14 861</w:t>
      </w:r>
      <w:r w:rsidRPr="006E50E2">
        <w:rPr>
          <w:rFonts w:ascii="Times New Roman" w:hAnsi="Times New Roman"/>
          <w:sz w:val="22"/>
          <w:szCs w:val="22"/>
        </w:rPr>
        <w:t xml:space="preserve"> tis. eur. </w:t>
      </w:r>
      <w:r>
        <w:rPr>
          <w:rFonts w:ascii="Times New Roman" w:hAnsi="Times New Roman"/>
          <w:sz w:val="22"/>
          <w:szCs w:val="22"/>
        </w:rPr>
        <w:t>Na zabezpečenie</w:t>
      </w:r>
      <w:r w:rsidR="00AD13E4">
        <w:rPr>
          <w:rFonts w:ascii="Times New Roman" w:hAnsi="Times New Roman"/>
          <w:sz w:val="22"/>
          <w:szCs w:val="22"/>
        </w:rPr>
        <w:t xml:space="preserve"> </w:t>
      </w:r>
      <w:r w:rsidRPr="00573E9D">
        <w:rPr>
          <w:rFonts w:ascii="Times New Roman" w:hAnsi="Times New Roman"/>
          <w:i/>
          <w:sz w:val="22"/>
          <w:szCs w:val="22"/>
        </w:rPr>
        <w:t>servis</w:t>
      </w:r>
      <w:r>
        <w:rPr>
          <w:rFonts w:ascii="Times New Roman" w:hAnsi="Times New Roman"/>
          <w:i/>
          <w:sz w:val="22"/>
          <w:szCs w:val="22"/>
        </w:rPr>
        <w:t>u</w:t>
      </w:r>
      <w:r w:rsidRPr="00573E9D">
        <w:rPr>
          <w:rFonts w:ascii="Times New Roman" w:hAnsi="Times New Roman"/>
          <w:i/>
          <w:sz w:val="22"/>
          <w:szCs w:val="22"/>
        </w:rPr>
        <w:t>, údržb</w:t>
      </w:r>
      <w:r>
        <w:rPr>
          <w:rFonts w:ascii="Times New Roman" w:hAnsi="Times New Roman"/>
          <w:i/>
          <w:sz w:val="22"/>
          <w:szCs w:val="22"/>
        </w:rPr>
        <w:t>y</w:t>
      </w:r>
      <w:r w:rsidR="00AD13E4">
        <w:rPr>
          <w:rFonts w:ascii="Times New Roman" w:hAnsi="Times New Roman"/>
          <w:i/>
          <w:sz w:val="22"/>
          <w:szCs w:val="22"/>
        </w:rPr>
        <w:t xml:space="preserve"> </w:t>
      </w:r>
      <w:r w:rsidRPr="00573E9D">
        <w:rPr>
          <w:rFonts w:ascii="Times New Roman" w:hAnsi="Times New Roman"/>
          <w:i/>
          <w:sz w:val="22"/>
          <w:szCs w:val="22"/>
        </w:rPr>
        <w:t>a</w:t>
      </w:r>
      <w:r>
        <w:rPr>
          <w:rFonts w:ascii="Times New Roman" w:hAnsi="Times New Roman"/>
          <w:i/>
          <w:sz w:val="22"/>
          <w:szCs w:val="22"/>
        </w:rPr>
        <w:t> </w:t>
      </w:r>
      <w:r w:rsidRPr="00573E9D">
        <w:rPr>
          <w:rFonts w:ascii="Times New Roman" w:hAnsi="Times New Roman"/>
          <w:i/>
          <w:sz w:val="22"/>
          <w:szCs w:val="22"/>
        </w:rPr>
        <w:t>opr</w:t>
      </w:r>
      <w:r>
        <w:rPr>
          <w:rFonts w:ascii="Times New Roman" w:hAnsi="Times New Roman"/>
          <w:i/>
          <w:sz w:val="22"/>
          <w:szCs w:val="22"/>
        </w:rPr>
        <w:t>áv</w:t>
      </w:r>
      <w:r w:rsidR="00AD13E4">
        <w:rPr>
          <w:rFonts w:ascii="Times New Roman" w:hAnsi="Times New Roman"/>
          <w:i/>
          <w:sz w:val="22"/>
          <w:szCs w:val="22"/>
        </w:rPr>
        <w:t xml:space="preserve"> </w:t>
      </w:r>
      <w:r w:rsidRPr="00573E9D">
        <w:rPr>
          <w:rFonts w:ascii="Times New Roman" w:hAnsi="Times New Roman"/>
          <w:i/>
          <w:sz w:val="22"/>
          <w:szCs w:val="22"/>
        </w:rPr>
        <w:t>služobných dopravných prostriedkov</w:t>
      </w:r>
      <w:r w:rsidR="00AD13E4">
        <w:rPr>
          <w:rFonts w:ascii="Times New Roman" w:hAnsi="Times New Roman"/>
          <w:sz w:val="22"/>
          <w:szCs w:val="22"/>
        </w:rPr>
        <w:t xml:space="preserve"> </w:t>
      </w:r>
      <w:r>
        <w:rPr>
          <w:rFonts w:ascii="Times New Roman" w:hAnsi="Times New Roman"/>
          <w:sz w:val="22"/>
          <w:szCs w:val="22"/>
        </w:rPr>
        <w:t>boli vynaložené rozpočtové prostriedky 21 255 tis. eur (z toho rozhodujúci podiel v kapitole Ministerstve vnútra SR 14 289 tis. eur),</w:t>
      </w:r>
      <w:r w:rsidR="00AD13E4">
        <w:rPr>
          <w:rFonts w:ascii="Times New Roman" w:hAnsi="Times New Roman"/>
          <w:sz w:val="22"/>
          <w:szCs w:val="22"/>
        </w:rPr>
        <w:t xml:space="preserve"> </w:t>
      </w:r>
      <w:r>
        <w:rPr>
          <w:rFonts w:ascii="Times New Roman" w:hAnsi="Times New Roman"/>
          <w:sz w:val="22"/>
          <w:szCs w:val="22"/>
        </w:rPr>
        <w:t>ďalej</w:t>
      </w:r>
      <w:r w:rsidR="00AD13E4">
        <w:rPr>
          <w:rFonts w:ascii="Times New Roman" w:hAnsi="Times New Roman"/>
          <w:sz w:val="22"/>
          <w:szCs w:val="22"/>
        </w:rPr>
        <w:t xml:space="preserve"> </w:t>
      </w:r>
      <w:r>
        <w:rPr>
          <w:rFonts w:ascii="Times New Roman" w:hAnsi="Times New Roman"/>
          <w:sz w:val="22"/>
          <w:szCs w:val="22"/>
        </w:rPr>
        <w:t>na</w:t>
      </w:r>
      <w:r w:rsidR="00AD13E4">
        <w:rPr>
          <w:rFonts w:ascii="Times New Roman" w:hAnsi="Times New Roman"/>
          <w:sz w:val="22"/>
          <w:szCs w:val="22"/>
        </w:rPr>
        <w:t xml:space="preserve"> </w:t>
      </w:r>
      <w:r w:rsidRPr="009B3BE4">
        <w:rPr>
          <w:rFonts w:ascii="Times New Roman" w:hAnsi="Times New Roman"/>
          <w:i/>
          <w:sz w:val="22"/>
          <w:szCs w:val="22"/>
        </w:rPr>
        <w:t>poistenie</w:t>
      </w:r>
      <w:r w:rsidR="00AD13E4">
        <w:rPr>
          <w:rFonts w:ascii="Times New Roman" w:hAnsi="Times New Roman"/>
          <w:i/>
          <w:sz w:val="22"/>
          <w:szCs w:val="22"/>
        </w:rPr>
        <w:t xml:space="preserve"> </w:t>
      </w:r>
      <w:r>
        <w:rPr>
          <w:rFonts w:ascii="Times New Roman" w:hAnsi="Times New Roman"/>
          <w:sz w:val="22"/>
          <w:szCs w:val="22"/>
        </w:rPr>
        <w:t>5 555 tis. eur</w:t>
      </w:r>
      <w:r w:rsidR="00AD13E4">
        <w:rPr>
          <w:rFonts w:ascii="Times New Roman" w:hAnsi="Times New Roman"/>
          <w:sz w:val="22"/>
          <w:szCs w:val="22"/>
        </w:rPr>
        <w:t xml:space="preserve"> </w:t>
      </w:r>
      <w:r>
        <w:rPr>
          <w:rFonts w:ascii="Times New Roman" w:hAnsi="Times New Roman"/>
          <w:sz w:val="22"/>
          <w:szCs w:val="22"/>
        </w:rPr>
        <w:t>a</w:t>
      </w:r>
      <w:r w:rsidR="00AD13E4">
        <w:rPr>
          <w:rFonts w:ascii="Times New Roman" w:hAnsi="Times New Roman"/>
          <w:sz w:val="22"/>
          <w:szCs w:val="22"/>
        </w:rPr>
        <w:t xml:space="preserve"> </w:t>
      </w:r>
      <w:r>
        <w:rPr>
          <w:rFonts w:ascii="Times New Roman" w:hAnsi="Times New Roman"/>
          <w:sz w:val="22"/>
          <w:szCs w:val="22"/>
        </w:rPr>
        <w:t xml:space="preserve">na </w:t>
      </w:r>
      <w:r w:rsidRPr="009B3BE4">
        <w:rPr>
          <w:rFonts w:ascii="Times New Roman" w:hAnsi="Times New Roman"/>
          <w:i/>
          <w:sz w:val="22"/>
          <w:szCs w:val="22"/>
        </w:rPr>
        <w:t>ostatné</w:t>
      </w:r>
      <w:r>
        <w:rPr>
          <w:rFonts w:ascii="Times New Roman" w:hAnsi="Times New Roman"/>
          <w:sz w:val="22"/>
          <w:szCs w:val="22"/>
        </w:rPr>
        <w:t xml:space="preserve"> dopravné výdavky 4 185 tis. eur.</w:t>
      </w:r>
      <w:r w:rsidR="00AD13E4">
        <w:rPr>
          <w:rFonts w:ascii="Times New Roman" w:hAnsi="Times New Roman"/>
          <w:sz w:val="22"/>
          <w:szCs w:val="22"/>
        </w:rPr>
        <w:t xml:space="preserve"> </w:t>
      </w:r>
    </w:p>
    <w:p w:rsidR="00B548CC" w:rsidRPr="006E50E2" w:rsidP="00B548CC">
      <w:pPr>
        <w:suppressAutoHyphens/>
        <w:bidi w:val="0"/>
        <w:spacing w:after="120" w:line="336" w:lineRule="auto"/>
        <w:jc w:val="both"/>
        <w:rPr>
          <w:rFonts w:ascii="Times New Roman" w:hAnsi="Times New Roman"/>
          <w:b/>
          <w:sz w:val="22"/>
          <w:szCs w:val="22"/>
        </w:rPr>
      </w:pPr>
      <w:r w:rsidRPr="000F236A">
        <w:rPr>
          <w:rFonts w:ascii="Times New Roman" w:hAnsi="Times New Roman"/>
          <w:b/>
          <w:i/>
          <w:sz w:val="22"/>
          <w:szCs w:val="22"/>
        </w:rPr>
        <w:t>Rutinná a štandardná údržba</w:t>
      </w:r>
      <w:r w:rsidRPr="000F236A">
        <w:rPr>
          <w:rFonts w:ascii="Times New Roman" w:hAnsi="Times New Roman"/>
          <w:sz w:val="22"/>
          <w:szCs w:val="22"/>
        </w:rPr>
        <w:t xml:space="preserve"> zahŕňa výdavky na práce a služby, ktorými sa zabezpečuje bežné fungovanie majetku, napr. budov, prevádzkového zariadenia, kancelárskeho vybavenia, softvéru a pod. Objemovo najväčšie čerpanie si vyžiadala</w:t>
      </w:r>
      <w:r w:rsidR="00AD13E4">
        <w:rPr>
          <w:rFonts w:ascii="Times New Roman" w:hAnsi="Times New Roman"/>
          <w:sz w:val="22"/>
          <w:szCs w:val="22"/>
        </w:rPr>
        <w:t xml:space="preserve"> </w:t>
      </w:r>
      <w:r w:rsidRPr="000F236A">
        <w:rPr>
          <w:rFonts w:ascii="Times New Roman" w:hAnsi="Times New Roman"/>
          <w:sz w:val="22"/>
          <w:szCs w:val="22"/>
        </w:rPr>
        <w:t>údržba</w:t>
      </w:r>
      <w:r w:rsidR="00AD13E4">
        <w:rPr>
          <w:rFonts w:ascii="Times New Roman" w:hAnsi="Times New Roman"/>
          <w:sz w:val="22"/>
          <w:szCs w:val="22"/>
        </w:rPr>
        <w:t xml:space="preserve"> </w:t>
      </w:r>
      <w:r w:rsidRPr="000F236A">
        <w:rPr>
          <w:rFonts w:ascii="Times New Roman" w:hAnsi="Times New Roman"/>
          <w:i/>
          <w:sz w:val="22"/>
          <w:szCs w:val="22"/>
        </w:rPr>
        <w:t>softvéru</w:t>
      </w:r>
      <w:r w:rsidR="002C38E1">
        <w:rPr>
          <w:rFonts w:ascii="Times New Roman" w:hAnsi="Times New Roman"/>
          <w:sz w:val="22"/>
          <w:szCs w:val="22"/>
        </w:rPr>
        <w:t xml:space="preserve"> 87 240 tis. eur,</w:t>
      </w:r>
      <w:r w:rsidR="00AD13E4">
        <w:rPr>
          <w:rFonts w:ascii="Times New Roman" w:hAnsi="Times New Roman"/>
          <w:sz w:val="22"/>
          <w:szCs w:val="22"/>
        </w:rPr>
        <w:t xml:space="preserve"> </w:t>
      </w:r>
      <w:r w:rsidRPr="000F236A">
        <w:rPr>
          <w:rFonts w:ascii="Times New Roman" w:hAnsi="Times New Roman"/>
          <w:sz w:val="22"/>
          <w:szCs w:val="22"/>
        </w:rPr>
        <w:t>predovšetkým</w:t>
      </w:r>
      <w:r w:rsidR="00AD13E4">
        <w:rPr>
          <w:rFonts w:ascii="Times New Roman" w:hAnsi="Times New Roman"/>
          <w:sz w:val="22"/>
          <w:szCs w:val="22"/>
        </w:rPr>
        <w:t xml:space="preserve"> </w:t>
      </w:r>
      <w:r w:rsidRPr="000F236A">
        <w:rPr>
          <w:rFonts w:ascii="Times New Roman" w:hAnsi="Times New Roman"/>
          <w:sz w:val="22"/>
          <w:szCs w:val="22"/>
        </w:rPr>
        <w:t>v nadväznosti na informatizáciu spoločnosti, informačnú bezpečnosť, poradenskú činnosť, analýzy, zavádzanie a</w:t>
      </w:r>
      <w:r w:rsidR="00AD13E4">
        <w:rPr>
          <w:rFonts w:ascii="Times New Roman" w:hAnsi="Times New Roman"/>
          <w:sz w:val="22"/>
          <w:szCs w:val="22"/>
        </w:rPr>
        <w:t xml:space="preserve"> </w:t>
      </w:r>
      <w:r w:rsidRPr="000F236A">
        <w:rPr>
          <w:rFonts w:ascii="Times New Roman" w:hAnsi="Times New Roman"/>
          <w:sz w:val="22"/>
          <w:szCs w:val="22"/>
        </w:rPr>
        <w:t xml:space="preserve">update systémov. </w:t>
      </w:r>
      <w:r w:rsidR="001161F0">
        <w:rPr>
          <w:rFonts w:ascii="Times New Roman" w:hAnsi="Times New Roman"/>
          <w:sz w:val="22"/>
          <w:szCs w:val="22"/>
        </w:rPr>
        <w:t xml:space="preserve">Táto položka zároveň tvorila rozhodujúcu sumu na medziročnom zvýšení týchto výdavkov. </w:t>
      </w:r>
      <w:r w:rsidR="001670FD">
        <w:rPr>
          <w:rFonts w:ascii="Times New Roman" w:hAnsi="Times New Roman"/>
          <w:sz w:val="22"/>
          <w:szCs w:val="22"/>
        </w:rPr>
        <w:t>R</w:t>
      </w:r>
      <w:r w:rsidRPr="000F236A">
        <w:rPr>
          <w:rFonts w:ascii="Times New Roman" w:hAnsi="Times New Roman"/>
          <w:sz w:val="22"/>
          <w:szCs w:val="22"/>
        </w:rPr>
        <w:t>ozhodujúci podiel</w:t>
      </w:r>
      <w:r w:rsidR="00AD13E4">
        <w:rPr>
          <w:rFonts w:ascii="Times New Roman" w:hAnsi="Times New Roman"/>
          <w:sz w:val="22"/>
          <w:szCs w:val="22"/>
        </w:rPr>
        <w:t xml:space="preserve"> </w:t>
      </w:r>
      <w:r w:rsidR="001670FD">
        <w:rPr>
          <w:rFonts w:ascii="Times New Roman" w:hAnsi="Times New Roman"/>
          <w:sz w:val="22"/>
          <w:szCs w:val="22"/>
        </w:rPr>
        <w:t xml:space="preserve">mala </w:t>
      </w:r>
      <w:r w:rsidRPr="000F236A">
        <w:rPr>
          <w:rFonts w:ascii="Times New Roman" w:hAnsi="Times New Roman"/>
          <w:sz w:val="22"/>
          <w:szCs w:val="22"/>
        </w:rPr>
        <w:t xml:space="preserve">kapitola Ministerstva financií SR </w:t>
      </w:r>
      <w:r w:rsidR="00223EFD">
        <w:rPr>
          <w:rFonts w:ascii="Times New Roman" w:hAnsi="Times New Roman"/>
          <w:sz w:val="22"/>
          <w:szCs w:val="22"/>
        </w:rPr>
        <w:t>so </w:t>
      </w:r>
      <w:r w:rsidR="001670FD">
        <w:rPr>
          <w:rFonts w:ascii="Times New Roman" w:hAnsi="Times New Roman"/>
          <w:sz w:val="22"/>
          <w:szCs w:val="22"/>
        </w:rPr>
        <w:t xml:space="preserve">sumou </w:t>
      </w:r>
      <w:r w:rsidRPr="000F236A">
        <w:rPr>
          <w:rFonts w:ascii="Times New Roman" w:hAnsi="Times New Roman"/>
          <w:sz w:val="22"/>
          <w:szCs w:val="22"/>
        </w:rPr>
        <w:t>53</w:t>
      </w:r>
      <w:r>
        <w:rPr>
          <w:rFonts w:ascii="Times New Roman" w:hAnsi="Times New Roman"/>
          <w:sz w:val="22"/>
          <w:szCs w:val="22"/>
        </w:rPr>
        <w:t> </w:t>
      </w:r>
      <w:r w:rsidRPr="000F236A">
        <w:rPr>
          <w:rFonts w:ascii="Times New Roman" w:hAnsi="Times New Roman"/>
          <w:sz w:val="22"/>
          <w:szCs w:val="22"/>
        </w:rPr>
        <w:t>483</w:t>
      </w:r>
      <w:r>
        <w:rPr>
          <w:rFonts w:ascii="Times New Roman" w:hAnsi="Times New Roman"/>
          <w:sz w:val="22"/>
          <w:szCs w:val="22"/>
        </w:rPr>
        <w:t xml:space="preserve"> tis. eur</w:t>
      </w:r>
      <w:r w:rsidR="001161F0">
        <w:rPr>
          <w:rFonts w:ascii="Times New Roman" w:hAnsi="Times New Roman"/>
          <w:sz w:val="22"/>
          <w:szCs w:val="22"/>
        </w:rPr>
        <w:t xml:space="preserve">. </w:t>
      </w:r>
      <w:r w:rsidRPr="000F236A">
        <w:rPr>
          <w:rFonts w:ascii="Times New Roman" w:hAnsi="Times New Roman"/>
          <w:sz w:val="22"/>
          <w:szCs w:val="22"/>
        </w:rPr>
        <w:t>Na financovanie</w:t>
      </w:r>
      <w:r w:rsidR="00AD13E4">
        <w:rPr>
          <w:rFonts w:ascii="Times New Roman" w:hAnsi="Times New Roman"/>
          <w:sz w:val="22"/>
          <w:szCs w:val="22"/>
        </w:rPr>
        <w:t xml:space="preserve"> </w:t>
      </w:r>
      <w:r w:rsidRPr="000F236A">
        <w:rPr>
          <w:rFonts w:ascii="Times New Roman" w:hAnsi="Times New Roman"/>
          <w:sz w:val="22"/>
          <w:szCs w:val="22"/>
        </w:rPr>
        <w:t>údržby</w:t>
      </w:r>
      <w:r w:rsidR="00AD13E4">
        <w:rPr>
          <w:rFonts w:ascii="Times New Roman" w:hAnsi="Times New Roman"/>
          <w:sz w:val="22"/>
          <w:szCs w:val="22"/>
        </w:rPr>
        <w:t xml:space="preserve"> </w:t>
      </w:r>
      <w:r w:rsidRPr="000F236A">
        <w:rPr>
          <w:rFonts w:ascii="Times New Roman" w:hAnsi="Times New Roman"/>
          <w:i/>
          <w:sz w:val="22"/>
          <w:szCs w:val="22"/>
        </w:rPr>
        <w:t>budov a objektov</w:t>
      </w:r>
      <w:r w:rsidR="00AD13E4">
        <w:rPr>
          <w:rFonts w:ascii="Times New Roman" w:hAnsi="Times New Roman"/>
          <w:sz w:val="22"/>
          <w:szCs w:val="22"/>
        </w:rPr>
        <w:t xml:space="preserve"> </w:t>
      </w:r>
      <w:r w:rsidRPr="000F236A">
        <w:rPr>
          <w:rFonts w:ascii="Times New Roman" w:hAnsi="Times New Roman"/>
          <w:sz w:val="22"/>
          <w:szCs w:val="22"/>
        </w:rPr>
        <w:t>sa použilo</w:t>
      </w:r>
      <w:r w:rsidR="00AD13E4">
        <w:rPr>
          <w:rFonts w:ascii="Times New Roman" w:hAnsi="Times New Roman"/>
          <w:sz w:val="22"/>
          <w:szCs w:val="22"/>
        </w:rPr>
        <w:t xml:space="preserve"> </w:t>
      </w:r>
      <w:r w:rsidRPr="000F236A">
        <w:rPr>
          <w:rFonts w:ascii="Times New Roman" w:hAnsi="Times New Roman"/>
          <w:sz w:val="22"/>
          <w:szCs w:val="22"/>
        </w:rPr>
        <w:t xml:space="preserve">66 876 </w:t>
      </w:r>
      <w:r w:rsidR="001670FD">
        <w:rPr>
          <w:rFonts w:ascii="Times New Roman" w:hAnsi="Times New Roman"/>
          <w:sz w:val="22"/>
          <w:szCs w:val="22"/>
        </w:rPr>
        <w:t xml:space="preserve">tis. eur, </w:t>
      </w:r>
      <w:r w:rsidRPr="000F236A">
        <w:rPr>
          <w:rFonts w:ascii="Times New Roman" w:hAnsi="Times New Roman"/>
          <w:sz w:val="22"/>
          <w:szCs w:val="22"/>
        </w:rPr>
        <w:t>z toho najviac</w:t>
      </w:r>
      <w:r w:rsidR="00AD13E4">
        <w:rPr>
          <w:rFonts w:ascii="Times New Roman" w:hAnsi="Times New Roman"/>
          <w:sz w:val="22"/>
          <w:szCs w:val="22"/>
        </w:rPr>
        <w:t xml:space="preserve"> </w:t>
      </w:r>
      <w:r w:rsidRPr="000F236A">
        <w:rPr>
          <w:rFonts w:ascii="Times New Roman" w:hAnsi="Times New Roman"/>
          <w:sz w:val="22"/>
          <w:szCs w:val="22"/>
        </w:rPr>
        <w:t>v kapitole</w:t>
      </w:r>
      <w:r w:rsidR="00AD13E4">
        <w:rPr>
          <w:rFonts w:ascii="Times New Roman" w:hAnsi="Times New Roman"/>
          <w:sz w:val="22"/>
          <w:szCs w:val="22"/>
        </w:rPr>
        <w:t xml:space="preserve"> </w:t>
      </w:r>
      <w:r w:rsidRPr="000F236A">
        <w:rPr>
          <w:rFonts w:ascii="Times New Roman" w:hAnsi="Times New Roman"/>
          <w:sz w:val="22"/>
          <w:szCs w:val="22"/>
        </w:rPr>
        <w:t>Ministerstva dopravy, výstavby a regionálneho rozvoja SR 37 142 tis. eur na</w:t>
      </w:r>
      <w:r w:rsidR="00AD13E4">
        <w:rPr>
          <w:rFonts w:ascii="Times New Roman" w:hAnsi="Times New Roman"/>
          <w:sz w:val="22"/>
          <w:szCs w:val="22"/>
        </w:rPr>
        <w:t xml:space="preserve"> </w:t>
      </w:r>
      <w:r w:rsidRPr="000F236A">
        <w:rPr>
          <w:rFonts w:ascii="Times New Roman" w:hAnsi="Times New Roman"/>
          <w:sz w:val="22"/>
          <w:szCs w:val="22"/>
        </w:rPr>
        <w:t>údržb</w:t>
      </w:r>
      <w:r>
        <w:rPr>
          <w:rFonts w:ascii="Times New Roman" w:hAnsi="Times New Roman"/>
          <w:sz w:val="22"/>
          <w:szCs w:val="22"/>
        </w:rPr>
        <w:t>u</w:t>
      </w:r>
      <w:r w:rsidRPr="000F236A">
        <w:rPr>
          <w:rFonts w:ascii="Times New Roman" w:hAnsi="Times New Roman"/>
          <w:sz w:val="22"/>
          <w:szCs w:val="22"/>
        </w:rPr>
        <w:t>,</w:t>
      </w:r>
      <w:r w:rsidR="00AD13E4">
        <w:rPr>
          <w:rFonts w:ascii="Times New Roman" w:hAnsi="Times New Roman"/>
          <w:sz w:val="22"/>
          <w:szCs w:val="22"/>
        </w:rPr>
        <w:t xml:space="preserve"> </w:t>
      </w:r>
      <w:r w:rsidRPr="000F236A">
        <w:rPr>
          <w:rFonts w:ascii="Times New Roman" w:hAnsi="Times New Roman"/>
          <w:sz w:val="22"/>
          <w:szCs w:val="22"/>
        </w:rPr>
        <w:t>modernizáci</w:t>
      </w:r>
      <w:r>
        <w:rPr>
          <w:rFonts w:ascii="Times New Roman" w:hAnsi="Times New Roman"/>
          <w:sz w:val="22"/>
          <w:szCs w:val="22"/>
        </w:rPr>
        <w:t>u</w:t>
      </w:r>
      <w:r w:rsidRPr="000F236A">
        <w:rPr>
          <w:rFonts w:ascii="Times New Roman" w:hAnsi="Times New Roman"/>
          <w:sz w:val="22"/>
          <w:szCs w:val="22"/>
        </w:rPr>
        <w:t xml:space="preserve"> a budovanie ciest I. triedy. Vyššie výdavky boli spojené aj</w:t>
      </w:r>
      <w:r w:rsidR="00AD13E4">
        <w:rPr>
          <w:rFonts w:ascii="Times New Roman" w:hAnsi="Times New Roman"/>
          <w:sz w:val="22"/>
          <w:szCs w:val="22"/>
        </w:rPr>
        <w:t xml:space="preserve"> </w:t>
      </w:r>
      <w:r w:rsidRPr="000F236A">
        <w:rPr>
          <w:rFonts w:ascii="Times New Roman" w:hAnsi="Times New Roman"/>
          <w:sz w:val="22"/>
          <w:szCs w:val="22"/>
        </w:rPr>
        <w:t>s</w:t>
      </w:r>
      <w:r w:rsidR="00AD13E4">
        <w:rPr>
          <w:rFonts w:ascii="Times New Roman" w:hAnsi="Times New Roman"/>
          <w:sz w:val="22"/>
          <w:szCs w:val="22"/>
        </w:rPr>
        <w:t xml:space="preserve"> </w:t>
      </w:r>
      <w:r w:rsidRPr="000F236A">
        <w:rPr>
          <w:rFonts w:ascii="Times New Roman" w:hAnsi="Times New Roman"/>
          <w:sz w:val="22"/>
          <w:szCs w:val="22"/>
        </w:rPr>
        <w:t>údržbou</w:t>
      </w:r>
      <w:r w:rsidR="00AD13E4">
        <w:rPr>
          <w:rFonts w:ascii="Times New Roman" w:hAnsi="Times New Roman"/>
          <w:sz w:val="22"/>
          <w:szCs w:val="22"/>
        </w:rPr>
        <w:t xml:space="preserve"> </w:t>
      </w:r>
      <w:r w:rsidRPr="000F236A">
        <w:rPr>
          <w:rFonts w:ascii="Times New Roman" w:hAnsi="Times New Roman"/>
          <w:i/>
          <w:sz w:val="22"/>
          <w:szCs w:val="22"/>
        </w:rPr>
        <w:t>špeciálnych strojov a prístrojov</w:t>
      </w:r>
      <w:r w:rsidR="00AD13E4">
        <w:rPr>
          <w:rFonts w:ascii="Times New Roman" w:hAnsi="Times New Roman"/>
          <w:i/>
          <w:sz w:val="22"/>
          <w:szCs w:val="22"/>
        </w:rPr>
        <w:t xml:space="preserve"> </w:t>
      </w:r>
      <w:r w:rsidRPr="000F236A">
        <w:rPr>
          <w:rFonts w:ascii="Times New Roman" w:hAnsi="Times New Roman"/>
          <w:sz w:val="22"/>
          <w:szCs w:val="22"/>
        </w:rPr>
        <w:t>40 098 tis. eur</w:t>
      </w:r>
      <w:r w:rsidR="001670FD">
        <w:rPr>
          <w:rFonts w:ascii="Times New Roman" w:hAnsi="Times New Roman"/>
          <w:sz w:val="22"/>
          <w:szCs w:val="22"/>
        </w:rPr>
        <w:t xml:space="preserve">, </w:t>
      </w:r>
      <w:r w:rsidRPr="000F236A">
        <w:rPr>
          <w:rFonts w:ascii="Times New Roman" w:hAnsi="Times New Roman"/>
          <w:sz w:val="22"/>
          <w:szCs w:val="22"/>
        </w:rPr>
        <w:t>z toho najvyššie výdavk</w:t>
      </w:r>
      <w:r w:rsidR="00812F26">
        <w:rPr>
          <w:rFonts w:ascii="Times New Roman" w:hAnsi="Times New Roman"/>
          <w:sz w:val="22"/>
          <w:szCs w:val="22"/>
        </w:rPr>
        <w:t xml:space="preserve">y </w:t>
      </w:r>
      <w:r w:rsidR="002250E3">
        <w:rPr>
          <w:rFonts w:ascii="Times New Roman" w:hAnsi="Times New Roman"/>
          <w:sz w:val="22"/>
          <w:szCs w:val="22"/>
        </w:rPr>
        <w:t xml:space="preserve">malo </w:t>
      </w:r>
      <w:r w:rsidR="00812F26">
        <w:rPr>
          <w:rFonts w:ascii="Times New Roman" w:hAnsi="Times New Roman"/>
          <w:sz w:val="22"/>
          <w:szCs w:val="22"/>
        </w:rPr>
        <w:t>Ministerstvo obrany SR 34 270 </w:t>
      </w:r>
      <w:r w:rsidRPr="000F236A">
        <w:rPr>
          <w:rFonts w:ascii="Times New Roman" w:hAnsi="Times New Roman"/>
          <w:sz w:val="22"/>
          <w:szCs w:val="22"/>
        </w:rPr>
        <w:t>tis.</w:t>
      </w:r>
      <w:r w:rsidR="00812F26">
        <w:rPr>
          <w:rFonts w:ascii="Times New Roman" w:hAnsi="Times New Roman"/>
          <w:sz w:val="22"/>
          <w:szCs w:val="22"/>
        </w:rPr>
        <w:t> </w:t>
      </w:r>
      <w:r>
        <w:rPr>
          <w:rFonts w:ascii="Times New Roman" w:hAnsi="Times New Roman"/>
          <w:sz w:val="22"/>
          <w:szCs w:val="22"/>
        </w:rPr>
        <w:t>eur</w:t>
      </w:r>
      <w:r w:rsidRPr="000F236A">
        <w:rPr>
          <w:rFonts w:ascii="Times New Roman" w:hAnsi="Times New Roman"/>
          <w:sz w:val="22"/>
          <w:szCs w:val="22"/>
        </w:rPr>
        <w:t xml:space="preserve"> </w:t>
      </w:r>
      <w:r w:rsidR="001670FD">
        <w:rPr>
          <w:rFonts w:ascii="Times New Roman" w:hAnsi="Times New Roman"/>
          <w:sz w:val="22"/>
          <w:szCs w:val="22"/>
        </w:rPr>
        <w:t>na</w:t>
      </w:r>
      <w:r w:rsidR="00AD13E4">
        <w:rPr>
          <w:rFonts w:ascii="Times New Roman" w:hAnsi="Times New Roman"/>
          <w:sz w:val="22"/>
          <w:szCs w:val="22"/>
        </w:rPr>
        <w:t xml:space="preserve"> </w:t>
      </w:r>
      <w:r w:rsidRPr="000F236A">
        <w:rPr>
          <w:rFonts w:ascii="Times New Roman" w:hAnsi="Times New Roman"/>
          <w:sz w:val="22"/>
          <w:szCs w:val="22"/>
        </w:rPr>
        <w:t>zabezpečenie prevádzkyschopnosti lietadiel MiG 29. Na</w:t>
      </w:r>
      <w:r w:rsidR="00AD13E4">
        <w:rPr>
          <w:rFonts w:ascii="Times New Roman" w:hAnsi="Times New Roman"/>
          <w:sz w:val="22"/>
          <w:szCs w:val="22"/>
        </w:rPr>
        <w:t xml:space="preserve"> </w:t>
      </w:r>
      <w:r w:rsidRPr="000F236A">
        <w:rPr>
          <w:rFonts w:ascii="Times New Roman" w:hAnsi="Times New Roman"/>
          <w:i/>
          <w:sz w:val="22"/>
          <w:szCs w:val="22"/>
        </w:rPr>
        <w:t>údržbu ostatného majetku</w:t>
      </w:r>
      <w:r w:rsidR="00AD13E4">
        <w:rPr>
          <w:rFonts w:ascii="Times New Roman" w:hAnsi="Times New Roman"/>
          <w:sz w:val="22"/>
          <w:szCs w:val="22"/>
        </w:rPr>
        <w:t xml:space="preserve"> </w:t>
      </w:r>
      <w:r w:rsidRPr="000F236A">
        <w:rPr>
          <w:rFonts w:ascii="Times New Roman" w:hAnsi="Times New Roman"/>
          <w:sz w:val="22"/>
          <w:szCs w:val="22"/>
        </w:rPr>
        <w:t>vyčerpali kapitoly ŠR spolu</w:t>
      </w:r>
      <w:r w:rsidR="00AD13E4">
        <w:rPr>
          <w:rFonts w:ascii="Times New Roman" w:hAnsi="Times New Roman"/>
          <w:sz w:val="22"/>
          <w:szCs w:val="22"/>
        </w:rPr>
        <w:t xml:space="preserve"> </w:t>
      </w:r>
      <w:r w:rsidRPr="000F236A">
        <w:rPr>
          <w:rFonts w:ascii="Times New Roman" w:hAnsi="Times New Roman"/>
          <w:sz w:val="22"/>
          <w:szCs w:val="22"/>
        </w:rPr>
        <w:t xml:space="preserve">38 811 tis. eur. </w:t>
      </w:r>
      <w:r w:rsidR="0077613B">
        <w:rPr>
          <w:rFonts w:ascii="Times New Roman" w:hAnsi="Times New Roman"/>
          <w:sz w:val="22"/>
          <w:szCs w:val="22"/>
        </w:rPr>
        <w:t xml:space="preserve">najvyšší nárast v porovnaní so schválených rozpočtom bol zaznamenaný v položkách </w:t>
      </w:r>
      <w:r w:rsidRPr="0077613B" w:rsidR="0077613B">
        <w:rPr>
          <w:rFonts w:ascii="Times New Roman" w:hAnsi="Times New Roman"/>
          <w:i/>
          <w:sz w:val="22"/>
          <w:szCs w:val="22"/>
        </w:rPr>
        <w:t>údržba softvéru</w:t>
      </w:r>
      <w:r w:rsidR="0077613B">
        <w:rPr>
          <w:rFonts w:ascii="Times New Roman" w:hAnsi="Times New Roman"/>
          <w:sz w:val="22"/>
          <w:szCs w:val="22"/>
        </w:rPr>
        <w:t xml:space="preserve"> 52 378 tis. eur (z toho Ministerstvo financií SR 41 018 tis. eur, Ministerstvo práce, sociálnych ve</w:t>
      </w:r>
      <w:r w:rsidR="00812F26">
        <w:rPr>
          <w:rFonts w:ascii="Times New Roman" w:hAnsi="Times New Roman"/>
          <w:sz w:val="22"/>
          <w:szCs w:val="22"/>
        </w:rPr>
        <w:t>cí a rodiny SR 3 960 tis. eur, M</w:t>
      </w:r>
      <w:r w:rsidR="0077613B">
        <w:rPr>
          <w:rFonts w:ascii="Times New Roman" w:hAnsi="Times New Roman"/>
          <w:sz w:val="22"/>
          <w:szCs w:val="22"/>
        </w:rPr>
        <w:t>inisterstvo pôdohospodárstva a rozvoja vidieka SR 3 3367 tis. eur) a </w:t>
      </w:r>
      <w:r w:rsidRPr="004770D8" w:rsidR="0077613B">
        <w:rPr>
          <w:rFonts w:ascii="Times New Roman" w:hAnsi="Times New Roman"/>
          <w:i/>
          <w:sz w:val="22"/>
          <w:szCs w:val="22"/>
        </w:rPr>
        <w:t>údržba budov a objektov</w:t>
      </w:r>
      <w:r w:rsidR="0077613B">
        <w:rPr>
          <w:rFonts w:ascii="Times New Roman" w:hAnsi="Times New Roman"/>
          <w:sz w:val="22"/>
          <w:szCs w:val="22"/>
        </w:rPr>
        <w:t xml:space="preserve"> 26 424 tis. eur 26 424 tis. eur (z toho </w:t>
      </w:r>
      <w:r w:rsidR="0062526E">
        <w:rPr>
          <w:rFonts w:ascii="Times New Roman" w:hAnsi="Times New Roman"/>
          <w:sz w:val="22"/>
          <w:szCs w:val="22"/>
        </w:rPr>
        <w:t xml:space="preserve">Ministerstvo vnútra SR 11 916 tis. eur, </w:t>
      </w:r>
      <w:r w:rsidR="00D17F7D">
        <w:rPr>
          <w:rFonts w:ascii="Times New Roman" w:hAnsi="Times New Roman"/>
          <w:sz w:val="22"/>
          <w:szCs w:val="22"/>
        </w:rPr>
        <w:t>Ministerstvo dopravy, výstavby a regionálneho rozvoja SR 9 391 tis. eur)</w:t>
      </w:r>
      <w:r w:rsidR="0062526E">
        <w:rPr>
          <w:rFonts w:ascii="Times New Roman" w:hAnsi="Times New Roman"/>
          <w:sz w:val="22"/>
          <w:szCs w:val="22"/>
        </w:rPr>
        <w:t>.</w:t>
      </w:r>
    </w:p>
    <w:p w:rsidR="00B548CC" w:rsidRPr="006E50E2" w:rsidP="00B548CC">
      <w:pPr>
        <w:suppressAutoHyphens/>
        <w:bidi w:val="0"/>
        <w:spacing w:after="120" w:line="336" w:lineRule="auto"/>
        <w:jc w:val="both"/>
        <w:rPr>
          <w:rFonts w:ascii="Times New Roman" w:hAnsi="Times New Roman"/>
          <w:b/>
          <w:i/>
          <w:sz w:val="22"/>
          <w:szCs w:val="22"/>
        </w:rPr>
      </w:pPr>
      <w:r w:rsidRPr="006E50E2">
        <w:rPr>
          <w:rFonts w:ascii="Times New Roman" w:hAnsi="Times New Roman"/>
          <w:sz w:val="22"/>
          <w:szCs w:val="22"/>
        </w:rPr>
        <w:t>Z položky</w:t>
      </w:r>
      <w:r w:rsidRPr="006E50E2">
        <w:rPr>
          <w:rFonts w:ascii="Times New Roman" w:hAnsi="Times New Roman"/>
          <w:b/>
          <w:i/>
          <w:sz w:val="22"/>
          <w:szCs w:val="22"/>
        </w:rPr>
        <w:t xml:space="preserve"> nájomné</w:t>
      </w:r>
      <w:r w:rsidR="00AD13E4">
        <w:rPr>
          <w:rFonts w:ascii="Times New Roman" w:hAnsi="Times New Roman"/>
          <w:sz w:val="22"/>
          <w:szCs w:val="22"/>
        </w:rPr>
        <w:t xml:space="preserve"> </w:t>
      </w:r>
      <w:r>
        <w:rPr>
          <w:rFonts w:ascii="Times New Roman" w:hAnsi="Times New Roman"/>
          <w:sz w:val="22"/>
          <w:szCs w:val="22"/>
        </w:rPr>
        <w:t>bolo</w:t>
      </w:r>
      <w:r w:rsidR="00AD13E4">
        <w:rPr>
          <w:rFonts w:ascii="Times New Roman" w:hAnsi="Times New Roman"/>
          <w:sz w:val="22"/>
          <w:szCs w:val="22"/>
        </w:rPr>
        <w:t xml:space="preserve"> </w:t>
      </w:r>
      <w:r w:rsidRPr="006E50E2">
        <w:rPr>
          <w:rFonts w:ascii="Times New Roman" w:hAnsi="Times New Roman"/>
          <w:sz w:val="22"/>
          <w:szCs w:val="22"/>
        </w:rPr>
        <w:t xml:space="preserve">na úhrady za </w:t>
      </w:r>
      <w:r w:rsidRPr="00874336">
        <w:rPr>
          <w:rFonts w:ascii="Times New Roman" w:hAnsi="Times New Roman"/>
          <w:i/>
          <w:sz w:val="22"/>
          <w:szCs w:val="22"/>
        </w:rPr>
        <w:t>prenájom budov, objektov alebo ich častí</w:t>
      </w:r>
      <w:r>
        <w:rPr>
          <w:rFonts w:ascii="Times New Roman" w:hAnsi="Times New Roman"/>
          <w:sz w:val="22"/>
          <w:szCs w:val="22"/>
        </w:rPr>
        <w:t xml:space="preserve"> vynaložených 161 614 tis. eur</w:t>
      </w:r>
      <w:r w:rsidRPr="006E50E2">
        <w:rPr>
          <w:rFonts w:ascii="Times New Roman" w:hAnsi="Times New Roman"/>
          <w:sz w:val="22"/>
          <w:szCs w:val="22"/>
        </w:rPr>
        <w:t xml:space="preserve">, </w:t>
      </w:r>
      <w:r>
        <w:rPr>
          <w:rFonts w:ascii="Times New Roman" w:hAnsi="Times New Roman"/>
          <w:sz w:val="22"/>
          <w:szCs w:val="22"/>
        </w:rPr>
        <w:t>na čom sa v rozhodujúcej miere podieľala</w:t>
      </w:r>
      <w:r w:rsidR="00AD13E4">
        <w:rPr>
          <w:rFonts w:ascii="Times New Roman" w:hAnsi="Times New Roman"/>
          <w:sz w:val="22"/>
          <w:szCs w:val="22"/>
        </w:rPr>
        <w:t xml:space="preserve"> </w:t>
      </w:r>
      <w:r>
        <w:rPr>
          <w:rFonts w:ascii="Times New Roman" w:hAnsi="Times New Roman"/>
          <w:sz w:val="22"/>
          <w:szCs w:val="22"/>
        </w:rPr>
        <w:t>čiastkou 124 123 tis. eur kapitola</w:t>
      </w:r>
      <w:r w:rsidR="00AD13E4">
        <w:rPr>
          <w:rFonts w:ascii="Times New Roman" w:hAnsi="Times New Roman"/>
          <w:sz w:val="22"/>
          <w:szCs w:val="22"/>
        </w:rPr>
        <w:t xml:space="preserve"> </w:t>
      </w:r>
      <w:r w:rsidRPr="006E50E2">
        <w:rPr>
          <w:rFonts w:ascii="Times New Roman" w:hAnsi="Times New Roman"/>
          <w:sz w:val="22"/>
          <w:szCs w:val="22"/>
        </w:rPr>
        <w:t>Ministerstva dopravy, výstavby a regionálneho rozvoja SR</w:t>
      </w:r>
      <w:r>
        <w:rPr>
          <w:rFonts w:ascii="Times New Roman" w:hAnsi="Times New Roman"/>
          <w:sz w:val="22"/>
          <w:szCs w:val="22"/>
        </w:rPr>
        <w:t xml:space="preserve"> predovšetkým v súvislosti </w:t>
      </w:r>
      <w:r w:rsidRPr="00177330">
        <w:rPr>
          <w:rFonts w:ascii="Times New Roman" w:hAnsi="Times New Roman"/>
          <w:sz w:val="22"/>
          <w:szCs w:val="22"/>
        </w:rPr>
        <w:t>s platbami</w:t>
      </w:r>
      <w:r w:rsidR="00AD13E4">
        <w:rPr>
          <w:rFonts w:ascii="Times New Roman" w:hAnsi="Times New Roman"/>
          <w:sz w:val="22"/>
          <w:szCs w:val="22"/>
        </w:rPr>
        <w:t xml:space="preserve"> </w:t>
      </w:r>
      <w:r w:rsidRPr="00177330">
        <w:rPr>
          <w:rFonts w:ascii="Times New Roman" w:hAnsi="Times New Roman"/>
          <w:sz w:val="22"/>
          <w:szCs w:val="22"/>
        </w:rPr>
        <w:t>spoločnosti Granvia, a. s. (123 776</w:t>
      </w:r>
      <w:r w:rsidR="00AD13E4">
        <w:rPr>
          <w:rFonts w:ascii="Times New Roman" w:hAnsi="Times New Roman"/>
          <w:sz w:val="22"/>
          <w:szCs w:val="22"/>
        </w:rPr>
        <w:t xml:space="preserve"> </w:t>
      </w:r>
      <w:r w:rsidRPr="00177330">
        <w:rPr>
          <w:rFonts w:ascii="Times New Roman" w:hAnsi="Times New Roman"/>
          <w:sz w:val="22"/>
          <w:szCs w:val="22"/>
        </w:rPr>
        <w:t>tis. eur) za dostupnosť infraštruktúry v rámci</w:t>
      </w:r>
      <w:r w:rsidR="00AD13E4">
        <w:rPr>
          <w:rFonts w:ascii="Times New Roman" w:hAnsi="Times New Roman"/>
          <w:sz w:val="22"/>
          <w:szCs w:val="22"/>
        </w:rPr>
        <w:t xml:space="preserve"> </w:t>
      </w:r>
      <w:r>
        <w:rPr>
          <w:rFonts w:ascii="Times New Roman" w:hAnsi="Times New Roman"/>
          <w:sz w:val="22"/>
          <w:szCs w:val="22"/>
        </w:rPr>
        <w:t xml:space="preserve">2. balíka </w:t>
      </w:r>
      <w:r w:rsidRPr="005603DA">
        <w:rPr>
          <w:rFonts w:ascii="Times New Roman" w:hAnsi="Times New Roman"/>
          <w:sz w:val="22"/>
          <w:szCs w:val="22"/>
        </w:rPr>
        <w:t>PPP projektu (R1).</w:t>
      </w:r>
    </w:p>
    <w:p w:rsidR="00B548CC" w:rsidP="00B548CC">
      <w:pPr>
        <w:suppressAutoHyphens/>
        <w:bidi w:val="0"/>
        <w:spacing w:line="336" w:lineRule="auto"/>
        <w:jc w:val="both"/>
        <w:rPr>
          <w:rFonts w:ascii="Times New Roman" w:hAnsi="Times New Roman"/>
          <w:sz w:val="22"/>
          <w:szCs w:val="22"/>
        </w:rPr>
      </w:pPr>
      <w:r>
        <w:rPr>
          <w:rFonts w:ascii="Times New Roman" w:hAnsi="Times New Roman"/>
          <w:sz w:val="22"/>
          <w:szCs w:val="22"/>
        </w:rPr>
        <w:t>V oblasti</w:t>
      </w:r>
      <w:r w:rsidR="00AD13E4">
        <w:rPr>
          <w:rFonts w:ascii="Times New Roman" w:hAnsi="Times New Roman"/>
          <w:sz w:val="22"/>
          <w:szCs w:val="22"/>
        </w:rPr>
        <w:t xml:space="preserve"> </w:t>
      </w:r>
      <w:r w:rsidRPr="006E50E2">
        <w:rPr>
          <w:rFonts w:ascii="Times New Roman" w:hAnsi="Times New Roman"/>
          <w:b/>
          <w:i/>
          <w:sz w:val="22"/>
          <w:szCs w:val="22"/>
        </w:rPr>
        <w:t xml:space="preserve">služieb </w:t>
      </w:r>
      <w:r w:rsidRPr="006E50E2">
        <w:rPr>
          <w:rFonts w:ascii="Times New Roman" w:hAnsi="Times New Roman"/>
          <w:sz w:val="22"/>
          <w:szCs w:val="22"/>
        </w:rPr>
        <w:t xml:space="preserve">boli </w:t>
      </w:r>
      <w:r>
        <w:rPr>
          <w:rFonts w:ascii="Times New Roman" w:hAnsi="Times New Roman"/>
          <w:sz w:val="22"/>
          <w:szCs w:val="22"/>
        </w:rPr>
        <w:t>najvyššie výdavky 269 455 tis. eur</w:t>
      </w:r>
      <w:r w:rsidR="00AD13E4">
        <w:rPr>
          <w:rFonts w:ascii="Times New Roman" w:hAnsi="Times New Roman"/>
          <w:sz w:val="22"/>
          <w:szCs w:val="22"/>
        </w:rPr>
        <w:t xml:space="preserve"> </w:t>
      </w:r>
      <w:r>
        <w:rPr>
          <w:rFonts w:ascii="Times New Roman" w:hAnsi="Times New Roman"/>
          <w:sz w:val="22"/>
          <w:szCs w:val="22"/>
        </w:rPr>
        <w:t>orientované</w:t>
      </w:r>
      <w:r w:rsidR="00AD13E4">
        <w:rPr>
          <w:rFonts w:ascii="Times New Roman" w:hAnsi="Times New Roman"/>
          <w:sz w:val="22"/>
          <w:szCs w:val="22"/>
        </w:rPr>
        <w:t xml:space="preserve"> </w:t>
      </w:r>
      <w:r>
        <w:rPr>
          <w:rFonts w:ascii="Times New Roman" w:hAnsi="Times New Roman"/>
          <w:sz w:val="22"/>
          <w:szCs w:val="22"/>
        </w:rPr>
        <w:t>na</w:t>
      </w:r>
      <w:r w:rsidR="00AD13E4">
        <w:rPr>
          <w:rFonts w:ascii="Times New Roman" w:hAnsi="Times New Roman"/>
          <w:sz w:val="22"/>
          <w:szCs w:val="22"/>
        </w:rPr>
        <w:t xml:space="preserve"> </w:t>
      </w:r>
      <w:r w:rsidRPr="006E50E2">
        <w:rPr>
          <w:rFonts w:ascii="Times New Roman" w:hAnsi="Times New Roman"/>
          <w:i/>
          <w:sz w:val="22"/>
          <w:szCs w:val="22"/>
        </w:rPr>
        <w:t>špeciáln</w:t>
      </w:r>
      <w:r>
        <w:rPr>
          <w:rFonts w:ascii="Times New Roman" w:hAnsi="Times New Roman"/>
          <w:i/>
          <w:sz w:val="22"/>
          <w:szCs w:val="22"/>
        </w:rPr>
        <w:t>e</w:t>
      </w:r>
      <w:r w:rsidR="00AD13E4">
        <w:rPr>
          <w:rFonts w:ascii="Times New Roman" w:hAnsi="Times New Roman"/>
          <w:i/>
          <w:sz w:val="22"/>
          <w:szCs w:val="22"/>
        </w:rPr>
        <w:t xml:space="preserve"> </w:t>
      </w:r>
      <w:r w:rsidRPr="006E50E2">
        <w:rPr>
          <w:rFonts w:ascii="Times New Roman" w:hAnsi="Times New Roman"/>
          <w:i/>
          <w:sz w:val="22"/>
          <w:szCs w:val="22"/>
        </w:rPr>
        <w:t>služ</w:t>
      </w:r>
      <w:r>
        <w:rPr>
          <w:rFonts w:ascii="Times New Roman" w:hAnsi="Times New Roman"/>
          <w:i/>
          <w:sz w:val="22"/>
          <w:szCs w:val="22"/>
        </w:rPr>
        <w:t>by</w:t>
      </w:r>
      <w:r>
        <w:rPr>
          <w:rFonts w:ascii="Times New Roman" w:hAnsi="Times New Roman"/>
          <w:sz w:val="22"/>
          <w:szCs w:val="22"/>
        </w:rPr>
        <w:t>, v čom sú</w:t>
      </w:r>
      <w:r w:rsidR="00AD13E4">
        <w:rPr>
          <w:rFonts w:ascii="Times New Roman" w:hAnsi="Times New Roman"/>
          <w:sz w:val="22"/>
          <w:szCs w:val="22"/>
        </w:rPr>
        <w:t xml:space="preserve"> </w:t>
      </w:r>
      <w:r>
        <w:rPr>
          <w:rFonts w:ascii="Times New Roman" w:hAnsi="Times New Roman"/>
          <w:sz w:val="22"/>
          <w:szCs w:val="22"/>
        </w:rPr>
        <w:t>premietnuté dodávateľské služby</w:t>
      </w:r>
      <w:r w:rsidR="00AD13E4">
        <w:rPr>
          <w:rFonts w:ascii="Times New Roman" w:hAnsi="Times New Roman"/>
          <w:sz w:val="22"/>
          <w:szCs w:val="22"/>
        </w:rPr>
        <w:t xml:space="preserve"> </w:t>
      </w:r>
      <w:r w:rsidRPr="006E50E2">
        <w:rPr>
          <w:rFonts w:ascii="Times New Roman" w:hAnsi="Times New Roman"/>
          <w:sz w:val="22"/>
          <w:szCs w:val="22"/>
        </w:rPr>
        <w:t xml:space="preserve">súvisiace napr. s ochranou objektov, výkonmi informačných technológií, projektovými prácami, </w:t>
      </w:r>
      <w:r>
        <w:rPr>
          <w:rFonts w:ascii="Times New Roman" w:hAnsi="Times New Roman"/>
          <w:sz w:val="22"/>
          <w:szCs w:val="22"/>
        </w:rPr>
        <w:t xml:space="preserve">geologickými projektmi, </w:t>
      </w:r>
      <w:r w:rsidRPr="006E50E2">
        <w:rPr>
          <w:rFonts w:ascii="Times New Roman" w:hAnsi="Times New Roman"/>
          <w:sz w:val="22"/>
          <w:szCs w:val="22"/>
        </w:rPr>
        <w:t>právnymi, audítorskými</w:t>
      </w:r>
      <w:r>
        <w:rPr>
          <w:rFonts w:ascii="Times New Roman" w:hAnsi="Times New Roman"/>
          <w:sz w:val="22"/>
          <w:szCs w:val="22"/>
        </w:rPr>
        <w:t>, komerčnými</w:t>
      </w:r>
      <w:r w:rsidR="00AD13E4">
        <w:rPr>
          <w:rFonts w:ascii="Times New Roman" w:hAnsi="Times New Roman"/>
          <w:sz w:val="22"/>
          <w:szCs w:val="22"/>
        </w:rPr>
        <w:t xml:space="preserve"> </w:t>
      </w:r>
      <w:r w:rsidRPr="006E50E2">
        <w:rPr>
          <w:rFonts w:ascii="Times New Roman" w:hAnsi="Times New Roman"/>
          <w:sz w:val="22"/>
          <w:szCs w:val="22"/>
        </w:rPr>
        <w:t>a poradenskými službami</w:t>
      </w:r>
      <w:r>
        <w:rPr>
          <w:rFonts w:ascii="Times New Roman" w:hAnsi="Times New Roman"/>
          <w:sz w:val="22"/>
          <w:szCs w:val="22"/>
        </w:rPr>
        <w:t>,</w:t>
      </w:r>
      <w:r w:rsidR="00AD13E4">
        <w:rPr>
          <w:rFonts w:ascii="Times New Roman" w:hAnsi="Times New Roman"/>
          <w:sz w:val="22"/>
          <w:szCs w:val="22"/>
        </w:rPr>
        <w:t xml:space="preserve"> </w:t>
      </w:r>
      <w:r>
        <w:rPr>
          <w:rFonts w:ascii="Times New Roman" w:hAnsi="Times New Roman"/>
          <w:sz w:val="22"/>
          <w:szCs w:val="22"/>
        </w:rPr>
        <w:t>servisnou</w:t>
      </w:r>
      <w:r w:rsidR="00AD13E4">
        <w:rPr>
          <w:rFonts w:ascii="Times New Roman" w:hAnsi="Times New Roman"/>
          <w:sz w:val="22"/>
          <w:szCs w:val="22"/>
        </w:rPr>
        <w:t xml:space="preserve"> </w:t>
      </w:r>
      <w:r>
        <w:rPr>
          <w:rFonts w:ascii="Times New Roman" w:hAnsi="Times New Roman"/>
          <w:sz w:val="22"/>
          <w:szCs w:val="22"/>
        </w:rPr>
        <w:t>podporou, registrami</w:t>
      </w:r>
      <w:r w:rsidR="00AD13E4">
        <w:rPr>
          <w:rFonts w:ascii="Times New Roman" w:hAnsi="Times New Roman"/>
          <w:sz w:val="22"/>
          <w:szCs w:val="22"/>
        </w:rPr>
        <w:t xml:space="preserve"> </w:t>
      </w:r>
      <w:r>
        <w:rPr>
          <w:rFonts w:ascii="Times New Roman" w:hAnsi="Times New Roman"/>
          <w:sz w:val="22"/>
          <w:szCs w:val="22"/>
        </w:rPr>
        <w:t>obnovenej evidencie pozemkov a pod. Najviac prostriedkov na tento účel vyčerpali</w:t>
      </w:r>
      <w:r w:rsidR="00AD13E4">
        <w:rPr>
          <w:rFonts w:ascii="Times New Roman" w:hAnsi="Times New Roman"/>
          <w:sz w:val="22"/>
          <w:szCs w:val="22"/>
        </w:rPr>
        <w:t xml:space="preserve"> </w:t>
      </w:r>
      <w:r w:rsidRPr="0087150E">
        <w:rPr>
          <w:rFonts w:ascii="Times New Roman" w:hAnsi="Times New Roman"/>
          <w:sz w:val="22"/>
          <w:szCs w:val="22"/>
        </w:rPr>
        <w:t xml:space="preserve">Ministerstvo obrany SR </w:t>
      </w:r>
      <w:r w:rsidR="001670FD">
        <w:rPr>
          <w:rFonts w:ascii="Times New Roman" w:hAnsi="Times New Roman"/>
          <w:sz w:val="22"/>
          <w:szCs w:val="22"/>
        </w:rPr>
        <w:t xml:space="preserve">52 907 tis. eur, </w:t>
      </w:r>
      <w:r w:rsidRPr="0087150E">
        <w:rPr>
          <w:rFonts w:ascii="Times New Roman" w:hAnsi="Times New Roman"/>
          <w:sz w:val="22"/>
          <w:szCs w:val="22"/>
        </w:rPr>
        <w:t>najmä na zabezpečenie obrany štátu a sanáciu enviro</w:t>
      </w:r>
      <w:r w:rsidR="0052093A">
        <w:rPr>
          <w:rFonts w:ascii="Times New Roman" w:hAnsi="Times New Roman"/>
          <w:sz w:val="22"/>
          <w:szCs w:val="22"/>
        </w:rPr>
        <w:t>n</w:t>
      </w:r>
      <w:r w:rsidRPr="0087150E">
        <w:rPr>
          <w:rFonts w:ascii="Times New Roman" w:hAnsi="Times New Roman"/>
          <w:sz w:val="22"/>
          <w:szCs w:val="22"/>
        </w:rPr>
        <w:t>mentáln</w:t>
      </w:r>
      <w:r w:rsidR="001670FD">
        <w:rPr>
          <w:rFonts w:ascii="Times New Roman" w:hAnsi="Times New Roman"/>
          <w:sz w:val="22"/>
          <w:szCs w:val="22"/>
        </w:rPr>
        <w:t>ych záťaží po sovietskej armáde</w:t>
      </w:r>
      <w:r w:rsidRPr="0087150E">
        <w:rPr>
          <w:rFonts w:ascii="Times New Roman" w:hAnsi="Times New Roman"/>
          <w:sz w:val="22"/>
          <w:szCs w:val="22"/>
        </w:rPr>
        <w:t>,</w:t>
      </w:r>
      <w:r w:rsidR="00AD13E4">
        <w:rPr>
          <w:rFonts w:ascii="Times New Roman" w:hAnsi="Times New Roman"/>
          <w:sz w:val="22"/>
          <w:szCs w:val="22"/>
        </w:rPr>
        <w:t xml:space="preserve"> </w:t>
      </w:r>
      <w:r w:rsidR="001670FD">
        <w:rPr>
          <w:rFonts w:ascii="Times New Roman" w:hAnsi="Times New Roman"/>
          <w:sz w:val="22"/>
          <w:szCs w:val="22"/>
        </w:rPr>
        <w:t xml:space="preserve">výdavky </w:t>
      </w:r>
      <w:r w:rsidRPr="00F33330">
        <w:rPr>
          <w:rFonts w:ascii="Times New Roman" w:hAnsi="Times New Roman"/>
          <w:sz w:val="22"/>
          <w:szCs w:val="22"/>
        </w:rPr>
        <w:t>Ministerstv</w:t>
      </w:r>
      <w:r w:rsidR="001670FD">
        <w:rPr>
          <w:rFonts w:ascii="Times New Roman" w:hAnsi="Times New Roman"/>
          <w:sz w:val="22"/>
          <w:szCs w:val="22"/>
        </w:rPr>
        <w:t>a</w:t>
      </w:r>
      <w:r w:rsidRPr="00F33330">
        <w:rPr>
          <w:rFonts w:ascii="Times New Roman" w:hAnsi="Times New Roman"/>
          <w:sz w:val="22"/>
          <w:szCs w:val="22"/>
        </w:rPr>
        <w:t xml:space="preserve"> životného prostredia</w:t>
      </w:r>
      <w:r w:rsidR="00AD13E4">
        <w:rPr>
          <w:rFonts w:ascii="Times New Roman" w:hAnsi="Times New Roman"/>
          <w:sz w:val="22"/>
          <w:szCs w:val="22"/>
        </w:rPr>
        <w:t xml:space="preserve"> </w:t>
      </w:r>
      <w:r w:rsidR="001670FD">
        <w:rPr>
          <w:rFonts w:ascii="Times New Roman" w:hAnsi="Times New Roman"/>
          <w:sz w:val="22"/>
          <w:szCs w:val="22"/>
        </w:rPr>
        <w:t xml:space="preserve">SR </w:t>
      </w:r>
      <w:r w:rsidRPr="00F33330">
        <w:rPr>
          <w:rFonts w:ascii="Times New Roman" w:hAnsi="Times New Roman"/>
          <w:sz w:val="22"/>
          <w:szCs w:val="22"/>
        </w:rPr>
        <w:t>48 955 tis</w:t>
      </w:r>
      <w:r w:rsidRPr="006E50E2">
        <w:rPr>
          <w:rFonts w:ascii="Times New Roman" w:hAnsi="Times New Roman"/>
          <w:sz w:val="22"/>
          <w:szCs w:val="22"/>
        </w:rPr>
        <w:t>. eur</w:t>
      </w:r>
      <w:r w:rsidR="001670FD">
        <w:rPr>
          <w:rFonts w:ascii="Times New Roman" w:hAnsi="Times New Roman"/>
          <w:sz w:val="22"/>
          <w:szCs w:val="22"/>
        </w:rPr>
        <w:t xml:space="preserve"> sa </w:t>
      </w:r>
      <w:r>
        <w:rPr>
          <w:rFonts w:ascii="Times New Roman" w:hAnsi="Times New Roman"/>
          <w:sz w:val="22"/>
          <w:szCs w:val="22"/>
        </w:rPr>
        <w:t>týkali v rozhodujúcej miere</w:t>
      </w:r>
      <w:r w:rsidR="00AD13E4">
        <w:rPr>
          <w:rFonts w:ascii="Times New Roman" w:hAnsi="Times New Roman"/>
          <w:sz w:val="22"/>
          <w:szCs w:val="22"/>
        </w:rPr>
        <w:t xml:space="preserve"> </w:t>
      </w:r>
      <w:r>
        <w:rPr>
          <w:rFonts w:ascii="Times New Roman" w:hAnsi="Times New Roman"/>
          <w:sz w:val="22"/>
          <w:szCs w:val="22"/>
        </w:rPr>
        <w:t>financovania geologických projektov,</w:t>
      </w:r>
      <w:r w:rsidR="00AD13E4">
        <w:rPr>
          <w:rFonts w:ascii="Times New Roman" w:hAnsi="Times New Roman"/>
          <w:sz w:val="22"/>
          <w:szCs w:val="22"/>
        </w:rPr>
        <w:t xml:space="preserve"> </w:t>
      </w:r>
      <w:r>
        <w:rPr>
          <w:rFonts w:ascii="Times New Roman" w:hAnsi="Times New Roman"/>
          <w:sz w:val="22"/>
          <w:szCs w:val="22"/>
        </w:rPr>
        <w:t>ďalej Ministerstvo financií SR 44 277 tis. eur</w:t>
      </w:r>
      <w:r w:rsidR="00AD13E4">
        <w:rPr>
          <w:rFonts w:ascii="Times New Roman" w:hAnsi="Times New Roman"/>
          <w:sz w:val="22"/>
          <w:szCs w:val="22"/>
        </w:rPr>
        <w:t xml:space="preserve"> </w:t>
      </w:r>
      <w:r>
        <w:rPr>
          <w:rFonts w:ascii="Times New Roman" w:hAnsi="Times New Roman"/>
          <w:sz w:val="22"/>
          <w:szCs w:val="22"/>
        </w:rPr>
        <w:t>a</w:t>
      </w:r>
      <w:r w:rsidR="00AD13E4">
        <w:rPr>
          <w:rFonts w:ascii="Times New Roman" w:hAnsi="Times New Roman"/>
          <w:sz w:val="22"/>
          <w:szCs w:val="22"/>
        </w:rPr>
        <w:t xml:space="preserve"> </w:t>
      </w:r>
      <w:r>
        <w:rPr>
          <w:rFonts w:ascii="Times New Roman" w:hAnsi="Times New Roman"/>
          <w:sz w:val="22"/>
          <w:szCs w:val="22"/>
        </w:rPr>
        <w:t>Ministerstvo pôdohospodárstva a rozvoja vidieka SR 30 837 tis. eur.</w:t>
      </w:r>
      <w:r w:rsidR="00AD13E4">
        <w:rPr>
          <w:rFonts w:ascii="Times New Roman" w:hAnsi="Times New Roman"/>
          <w:sz w:val="22"/>
          <w:szCs w:val="22"/>
        </w:rPr>
        <w:t xml:space="preserve"> </w:t>
      </w:r>
      <w:r>
        <w:rPr>
          <w:rFonts w:ascii="Times New Roman" w:hAnsi="Times New Roman"/>
          <w:sz w:val="22"/>
          <w:szCs w:val="22"/>
        </w:rPr>
        <w:t>Vyššie náklady si vyžiadali</w:t>
      </w:r>
      <w:r w:rsidR="00AD13E4">
        <w:rPr>
          <w:rFonts w:ascii="Times New Roman" w:hAnsi="Times New Roman"/>
          <w:sz w:val="22"/>
          <w:szCs w:val="22"/>
        </w:rPr>
        <w:t xml:space="preserve"> </w:t>
      </w:r>
      <w:r>
        <w:rPr>
          <w:rFonts w:ascii="Times New Roman" w:hAnsi="Times New Roman"/>
          <w:sz w:val="22"/>
          <w:szCs w:val="22"/>
        </w:rPr>
        <w:t>aj</w:t>
      </w:r>
      <w:r w:rsidR="00AD13E4">
        <w:rPr>
          <w:rFonts w:ascii="Times New Roman" w:hAnsi="Times New Roman"/>
          <w:sz w:val="22"/>
          <w:szCs w:val="22"/>
        </w:rPr>
        <w:t xml:space="preserve"> </w:t>
      </w:r>
      <w:r w:rsidRPr="004B16CD">
        <w:rPr>
          <w:rFonts w:ascii="Times New Roman" w:hAnsi="Times New Roman"/>
          <w:i/>
          <w:sz w:val="22"/>
          <w:szCs w:val="22"/>
        </w:rPr>
        <w:t>všeobecné služby</w:t>
      </w:r>
      <w:r w:rsidR="002C38E1">
        <w:rPr>
          <w:rFonts w:ascii="Times New Roman" w:hAnsi="Times New Roman"/>
          <w:sz w:val="22"/>
          <w:szCs w:val="22"/>
        </w:rPr>
        <w:t xml:space="preserve"> 75 827 </w:t>
      </w:r>
      <w:r>
        <w:rPr>
          <w:rFonts w:ascii="Times New Roman" w:hAnsi="Times New Roman"/>
          <w:sz w:val="22"/>
          <w:szCs w:val="22"/>
        </w:rPr>
        <w:t>tis.</w:t>
      </w:r>
      <w:r w:rsidR="002C38E1">
        <w:rPr>
          <w:rFonts w:ascii="Times New Roman" w:hAnsi="Times New Roman"/>
          <w:sz w:val="22"/>
          <w:szCs w:val="22"/>
        </w:rPr>
        <w:t> </w:t>
      </w:r>
      <w:r>
        <w:rPr>
          <w:rFonts w:ascii="Times New Roman" w:hAnsi="Times New Roman"/>
          <w:sz w:val="22"/>
          <w:szCs w:val="22"/>
        </w:rPr>
        <w:t>eur, ďalej</w:t>
      </w:r>
      <w:r w:rsidR="00AD13E4">
        <w:rPr>
          <w:rFonts w:ascii="Times New Roman" w:hAnsi="Times New Roman"/>
          <w:sz w:val="22"/>
          <w:szCs w:val="22"/>
        </w:rPr>
        <w:t xml:space="preserve"> </w:t>
      </w:r>
      <w:r w:rsidRPr="004B16CD">
        <w:rPr>
          <w:rFonts w:ascii="Times New Roman" w:hAnsi="Times New Roman"/>
          <w:i/>
          <w:sz w:val="22"/>
          <w:szCs w:val="22"/>
        </w:rPr>
        <w:t>stravné</w:t>
      </w:r>
      <w:r>
        <w:rPr>
          <w:rFonts w:ascii="Times New Roman" w:hAnsi="Times New Roman"/>
          <w:sz w:val="22"/>
          <w:szCs w:val="22"/>
        </w:rPr>
        <w:t xml:space="preserve"> za zamestnancov podľa platných predpisov 55 177 tis. eur a</w:t>
      </w:r>
      <w:r w:rsidR="00AD13E4">
        <w:rPr>
          <w:rFonts w:ascii="Times New Roman" w:hAnsi="Times New Roman"/>
          <w:sz w:val="22"/>
          <w:szCs w:val="22"/>
        </w:rPr>
        <w:t xml:space="preserve"> </w:t>
      </w:r>
      <w:r w:rsidRPr="0010040C">
        <w:rPr>
          <w:rFonts w:ascii="Times New Roman" w:hAnsi="Times New Roman"/>
          <w:sz w:val="22"/>
          <w:szCs w:val="22"/>
        </w:rPr>
        <w:t>výdavky kapitoly Slovenská informačná služba</w:t>
      </w:r>
      <w:r w:rsidR="00AD13E4">
        <w:rPr>
          <w:rFonts w:ascii="Times New Roman" w:hAnsi="Times New Roman"/>
          <w:i/>
          <w:sz w:val="22"/>
          <w:szCs w:val="22"/>
        </w:rPr>
        <w:t xml:space="preserve"> </w:t>
      </w:r>
      <w:r>
        <w:rPr>
          <w:rFonts w:ascii="Times New Roman" w:hAnsi="Times New Roman"/>
          <w:sz w:val="22"/>
          <w:szCs w:val="22"/>
        </w:rPr>
        <w:t>44 530 tis. eur.</w:t>
      </w:r>
    </w:p>
    <w:p w:rsidR="001670FD" w:rsidP="00B548CC">
      <w:pPr>
        <w:suppressAutoHyphens/>
        <w:bidi w:val="0"/>
        <w:spacing w:line="336" w:lineRule="auto"/>
        <w:jc w:val="both"/>
        <w:rPr>
          <w:rFonts w:ascii="Times New Roman" w:hAnsi="Times New Roman"/>
          <w:sz w:val="22"/>
          <w:szCs w:val="22"/>
        </w:rPr>
      </w:pPr>
      <w:r w:rsidRPr="00B93658" w:rsidR="00B548CC">
        <w:rPr>
          <w:rFonts w:ascii="Times New Roman" w:hAnsi="Times New Roman"/>
          <w:sz w:val="22"/>
          <w:szCs w:val="22"/>
        </w:rPr>
        <w:t xml:space="preserve">Na </w:t>
      </w:r>
      <w:r w:rsidR="00B548CC">
        <w:rPr>
          <w:rFonts w:ascii="Times New Roman" w:hAnsi="Times New Roman"/>
          <w:i/>
          <w:sz w:val="22"/>
          <w:szCs w:val="22"/>
        </w:rPr>
        <w:t>n</w:t>
      </w:r>
      <w:r w:rsidRPr="004B16CD" w:rsidR="00B548CC">
        <w:rPr>
          <w:rFonts w:ascii="Times New Roman" w:hAnsi="Times New Roman"/>
          <w:i/>
          <w:sz w:val="22"/>
          <w:szCs w:val="22"/>
        </w:rPr>
        <w:t>ezrovnalosti</w:t>
      </w:r>
      <w:r w:rsidR="00AD13E4">
        <w:rPr>
          <w:rFonts w:ascii="Times New Roman" w:hAnsi="Times New Roman"/>
          <w:i/>
          <w:sz w:val="22"/>
          <w:szCs w:val="22"/>
        </w:rPr>
        <w:t xml:space="preserve"> </w:t>
      </w:r>
      <w:r w:rsidR="00B548CC">
        <w:rPr>
          <w:rFonts w:ascii="Times New Roman" w:hAnsi="Times New Roman"/>
          <w:i/>
          <w:sz w:val="22"/>
          <w:szCs w:val="22"/>
        </w:rPr>
        <w:t>a</w:t>
      </w:r>
      <w:r w:rsidR="00AD13E4">
        <w:rPr>
          <w:rFonts w:ascii="Times New Roman" w:hAnsi="Times New Roman"/>
          <w:i/>
          <w:sz w:val="22"/>
          <w:szCs w:val="22"/>
        </w:rPr>
        <w:t xml:space="preserve"> </w:t>
      </w:r>
      <w:r w:rsidR="00B548CC">
        <w:rPr>
          <w:rFonts w:ascii="Times New Roman" w:hAnsi="Times New Roman"/>
          <w:i/>
          <w:sz w:val="22"/>
          <w:szCs w:val="22"/>
        </w:rPr>
        <w:t>iné</w:t>
      </w:r>
      <w:r w:rsidR="00AD13E4">
        <w:rPr>
          <w:rFonts w:ascii="Times New Roman" w:hAnsi="Times New Roman"/>
          <w:i/>
          <w:sz w:val="22"/>
          <w:szCs w:val="22"/>
        </w:rPr>
        <w:t xml:space="preserve"> </w:t>
      </w:r>
      <w:r w:rsidR="00B548CC">
        <w:rPr>
          <w:rFonts w:ascii="Times New Roman" w:hAnsi="Times New Roman"/>
          <w:i/>
          <w:sz w:val="22"/>
          <w:szCs w:val="22"/>
        </w:rPr>
        <w:t>vratky</w:t>
      </w:r>
      <w:r w:rsidR="00AD13E4">
        <w:rPr>
          <w:rFonts w:ascii="Times New Roman" w:hAnsi="Times New Roman"/>
          <w:i/>
          <w:sz w:val="22"/>
          <w:szCs w:val="22"/>
        </w:rPr>
        <w:t xml:space="preserve"> </w:t>
      </w:r>
      <w:r w:rsidRPr="004B16CD" w:rsidR="00B548CC">
        <w:rPr>
          <w:rFonts w:ascii="Times New Roman" w:hAnsi="Times New Roman"/>
          <w:i/>
          <w:sz w:val="22"/>
          <w:szCs w:val="22"/>
        </w:rPr>
        <w:t>za</w:t>
      </w:r>
      <w:r w:rsidR="00AD13E4">
        <w:rPr>
          <w:rFonts w:ascii="Times New Roman" w:hAnsi="Times New Roman"/>
          <w:i/>
          <w:sz w:val="22"/>
          <w:szCs w:val="22"/>
        </w:rPr>
        <w:t xml:space="preserve"> </w:t>
      </w:r>
      <w:r w:rsidRPr="004B16CD" w:rsidR="00B548CC">
        <w:rPr>
          <w:rFonts w:ascii="Times New Roman" w:hAnsi="Times New Roman"/>
          <w:i/>
          <w:sz w:val="22"/>
          <w:szCs w:val="22"/>
        </w:rPr>
        <w:t>prostriedky EÚ zaradené do štátneho rozpočtu</w:t>
      </w:r>
      <w:r w:rsidR="00AD13E4">
        <w:rPr>
          <w:rFonts w:ascii="Times New Roman" w:hAnsi="Times New Roman"/>
          <w:i/>
          <w:sz w:val="22"/>
          <w:szCs w:val="22"/>
        </w:rPr>
        <w:t xml:space="preserve"> </w:t>
      </w:r>
      <w:r w:rsidR="00B548CC">
        <w:rPr>
          <w:rFonts w:ascii="Times New Roman" w:hAnsi="Times New Roman"/>
          <w:sz w:val="22"/>
          <w:szCs w:val="22"/>
        </w:rPr>
        <w:t>sa použilo 53</w:t>
      </w:r>
      <w:r w:rsidR="002C38E1">
        <w:rPr>
          <w:rFonts w:ascii="Times New Roman" w:hAnsi="Times New Roman"/>
          <w:sz w:val="22"/>
          <w:szCs w:val="22"/>
        </w:rPr>
        <w:t> </w:t>
      </w:r>
      <w:r w:rsidR="00B548CC">
        <w:rPr>
          <w:rFonts w:ascii="Times New Roman" w:hAnsi="Times New Roman"/>
          <w:sz w:val="22"/>
          <w:szCs w:val="22"/>
        </w:rPr>
        <w:t>051</w:t>
      </w:r>
      <w:r w:rsidR="002C38E1">
        <w:rPr>
          <w:rFonts w:ascii="Times New Roman" w:hAnsi="Times New Roman"/>
          <w:sz w:val="22"/>
          <w:szCs w:val="22"/>
        </w:rPr>
        <w:t> </w:t>
      </w:r>
      <w:r>
        <w:rPr>
          <w:rFonts w:ascii="Times New Roman" w:hAnsi="Times New Roman"/>
          <w:sz w:val="22"/>
          <w:szCs w:val="22"/>
        </w:rPr>
        <w:t xml:space="preserve">tis. eur, </w:t>
      </w:r>
      <w:r w:rsidR="00B548CC">
        <w:rPr>
          <w:rFonts w:ascii="Times New Roman" w:hAnsi="Times New Roman"/>
          <w:sz w:val="22"/>
          <w:szCs w:val="22"/>
        </w:rPr>
        <w:t>z toho</w:t>
      </w:r>
      <w:r w:rsidR="00AD13E4">
        <w:rPr>
          <w:rFonts w:ascii="Times New Roman" w:hAnsi="Times New Roman"/>
          <w:sz w:val="22"/>
          <w:szCs w:val="22"/>
        </w:rPr>
        <w:t xml:space="preserve"> </w:t>
      </w:r>
      <w:r w:rsidR="00B548CC">
        <w:rPr>
          <w:rFonts w:ascii="Times New Roman" w:hAnsi="Times New Roman"/>
          <w:sz w:val="22"/>
          <w:szCs w:val="22"/>
        </w:rPr>
        <w:t>44</w:t>
      </w:r>
      <w:r w:rsidR="00AD13E4">
        <w:rPr>
          <w:rFonts w:ascii="Times New Roman" w:hAnsi="Times New Roman"/>
          <w:sz w:val="22"/>
          <w:szCs w:val="22"/>
        </w:rPr>
        <w:t xml:space="preserve"> </w:t>
      </w:r>
      <w:r w:rsidR="00B548CC">
        <w:rPr>
          <w:rFonts w:ascii="Times New Roman" w:hAnsi="Times New Roman"/>
          <w:sz w:val="22"/>
          <w:szCs w:val="22"/>
        </w:rPr>
        <w:t>672 tis. eur</w:t>
      </w:r>
      <w:r w:rsidR="00AD13E4">
        <w:rPr>
          <w:rFonts w:ascii="Times New Roman" w:hAnsi="Times New Roman"/>
          <w:sz w:val="22"/>
          <w:szCs w:val="22"/>
        </w:rPr>
        <w:t xml:space="preserve"> </w:t>
      </w:r>
      <w:r w:rsidR="00B548CC">
        <w:rPr>
          <w:rFonts w:ascii="Times New Roman" w:hAnsi="Times New Roman"/>
          <w:sz w:val="22"/>
          <w:szCs w:val="22"/>
        </w:rPr>
        <w:t>z kapitoly Všeobecná pokladničná správa - hlavne na OP výskum a vývoj a OP životné prostredie.</w:t>
      </w:r>
    </w:p>
    <w:p w:rsidR="00B548CC" w:rsidRPr="006E50E2" w:rsidP="00B548CC">
      <w:pPr>
        <w:suppressAutoHyphens/>
        <w:bidi w:val="0"/>
        <w:spacing w:line="336" w:lineRule="auto"/>
        <w:jc w:val="both"/>
        <w:rPr>
          <w:rFonts w:ascii="Times New Roman" w:hAnsi="Times New Roman"/>
          <w:sz w:val="22"/>
          <w:szCs w:val="22"/>
        </w:rPr>
      </w:pPr>
      <w:r w:rsidR="001670FD">
        <w:rPr>
          <w:rFonts w:ascii="Times New Roman" w:hAnsi="Times New Roman"/>
          <w:sz w:val="22"/>
          <w:szCs w:val="22"/>
        </w:rPr>
        <w:t>Schválený rozpočet a následné plnenie</w:t>
      </w:r>
      <w:r w:rsidR="00327847">
        <w:rPr>
          <w:rFonts w:ascii="Times New Roman" w:hAnsi="Times New Roman"/>
          <w:sz w:val="22"/>
          <w:szCs w:val="22"/>
        </w:rPr>
        <w:t xml:space="preserve"> </w:t>
      </w:r>
      <w:r w:rsidR="001670FD">
        <w:rPr>
          <w:rFonts w:ascii="Times New Roman" w:hAnsi="Times New Roman"/>
          <w:sz w:val="22"/>
          <w:szCs w:val="22"/>
        </w:rPr>
        <w:t xml:space="preserve">výdavkov v kategórii </w:t>
      </w:r>
      <w:r w:rsidR="00327847">
        <w:rPr>
          <w:rFonts w:ascii="Times New Roman" w:hAnsi="Times New Roman"/>
          <w:sz w:val="22"/>
          <w:szCs w:val="22"/>
        </w:rPr>
        <w:t>služby sú ovplyvnené</w:t>
      </w:r>
      <w:r w:rsidR="00AD13E4">
        <w:rPr>
          <w:rFonts w:ascii="Times New Roman" w:hAnsi="Times New Roman"/>
          <w:sz w:val="22"/>
          <w:szCs w:val="22"/>
        </w:rPr>
        <w:t xml:space="preserve"> </w:t>
      </w:r>
      <w:r w:rsidR="00327847">
        <w:rPr>
          <w:rFonts w:ascii="Times New Roman" w:hAnsi="Times New Roman"/>
          <w:sz w:val="22"/>
          <w:szCs w:val="22"/>
        </w:rPr>
        <w:t>očakávanými platbami prostriedkov z rozpočtu EÚ ako je uvedené na začiatku opisu tovarov a služieb.</w:t>
      </w:r>
    </w:p>
    <w:p w:rsidR="00B548CC" w:rsidRPr="006E50E2" w:rsidP="00B548CC">
      <w:pPr>
        <w:pStyle w:val="ListParagraph"/>
        <w:numPr>
          <w:numId w:val="16"/>
        </w:numPr>
        <w:tabs>
          <w:tab w:val="left" w:pos="284"/>
        </w:tabs>
        <w:suppressAutoHyphens/>
        <w:bidi w:val="0"/>
        <w:spacing w:before="120" w:after="120" w:line="360" w:lineRule="auto"/>
        <w:ind w:left="0" w:firstLine="0"/>
        <w:jc w:val="both"/>
        <w:rPr>
          <w:rFonts w:ascii="Times New Roman" w:hAnsi="Times New Roman"/>
          <w:b/>
        </w:rPr>
      </w:pPr>
      <w:r w:rsidRPr="006E50E2">
        <w:rPr>
          <w:rFonts w:ascii="Times New Roman" w:hAnsi="Times New Roman"/>
          <w:b/>
        </w:rPr>
        <w:t>Bežné transfery</w:t>
      </w:r>
    </w:p>
    <w:p w:rsidR="00712106" w:rsidP="00B548CC">
      <w:pPr>
        <w:bidi w:val="0"/>
        <w:spacing w:after="120" w:line="336" w:lineRule="auto"/>
        <w:jc w:val="both"/>
        <w:rPr>
          <w:rFonts w:ascii="Times New Roman" w:hAnsi="Times New Roman"/>
          <w:sz w:val="22"/>
          <w:szCs w:val="22"/>
        </w:rPr>
      </w:pPr>
      <w:r w:rsidR="00B548CC">
        <w:rPr>
          <w:rFonts w:ascii="Times New Roman" w:hAnsi="Times New Roman"/>
          <w:sz w:val="22"/>
          <w:szCs w:val="22"/>
        </w:rPr>
        <w:t>Najväčšiu časť bežných výdavkov</w:t>
      </w:r>
      <w:r w:rsidR="00AD13E4">
        <w:rPr>
          <w:rFonts w:ascii="Times New Roman" w:hAnsi="Times New Roman"/>
          <w:sz w:val="22"/>
          <w:szCs w:val="22"/>
        </w:rPr>
        <w:t xml:space="preserve"> </w:t>
      </w:r>
      <w:r w:rsidR="00B548CC">
        <w:rPr>
          <w:rFonts w:ascii="Times New Roman" w:hAnsi="Times New Roman"/>
          <w:sz w:val="22"/>
          <w:szCs w:val="22"/>
        </w:rPr>
        <w:t>tvoria</w:t>
      </w:r>
      <w:r w:rsidR="00AD13E4">
        <w:rPr>
          <w:rFonts w:ascii="Times New Roman" w:hAnsi="Times New Roman"/>
          <w:sz w:val="22"/>
          <w:szCs w:val="22"/>
        </w:rPr>
        <w:t xml:space="preserve"> </w:t>
      </w:r>
      <w:r w:rsidR="00B548CC">
        <w:rPr>
          <w:rFonts w:ascii="Times New Roman" w:hAnsi="Times New Roman"/>
          <w:sz w:val="22"/>
          <w:szCs w:val="22"/>
        </w:rPr>
        <w:t>transfery.</w:t>
      </w:r>
      <w:r w:rsidR="00AD13E4">
        <w:rPr>
          <w:rFonts w:ascii="Times New Roman" w:hAnsi="Times New Roman"/>
          <w:sz w:val="22"/>
          <w:szCs w:val="22"/>
        </w:rPr>
        <w:t xml:space="preserve"> </w:t>
      </w:r>
      <w:r w:rsidR="00B548CC">
        <w:rPr>
          <w:rFonts w:ascii="Times New Roman" w:hAnsi="Times New Roman"/>
          <w:sz w:val="22"/>
          <w:szCs w:val="22"/>
        </w:rPr>
        <w:t>Tieto výdavky</w:t>
      </w:r>
      <w:r w:rsidR="00AD13E4">
        <w:rPr>
          <w:rFonts w:ascii="Times New Roman" w:hAnsi="Times New Roman"/>
          <w:sz w:val="22"/>
          <w:szCs w:val="22"/>
        </w:rPr>
        <w:t xml:space="preserve"> </w:t>
      </w:r>
      <w:r w:rsidR="00B548CC">
        <w:rPr>
          <w:rFonts w:ascii="Times New Roman" w:hAnsi="Times New Roman"/>
          <w:sz w:val="22"/>
          <w:szCs w:val="22"/>
        </w:rPr>
        <w:t>s</w:t>
      </w:r>
      <w:r w:rsidRPr="006E50E2" w:rsidR="00B548CC">
        <w:rPr>
          <w:rFonts w:ascii="Times New Roman" w:hAnsi="Times New Roman"/>
          <w:sz w:val="22"/>
          <w:szCs w:val="22"/>
        </w:rPr>
        <w:t>ú</w:t>
      </w:r>
      <w:r w:rsidR="00AD13E4">
        <w:rPr>
          <w:rFonts w:ascii="Times New Roman" w:hAnsi="Times New Roman"/>
          <w:sz w:val="22"/>
          <w:szCs w:val="22"/>
        </w:rPr>
        <w:t xml:space="preserve"> </w:t>
      </w:r>
      <w:r w:rsidRPr="006E50E2" w:rsidR="00B548CC">
        <w:rPr>
          <w:rFonts w:ascii="Times New Roman" w:hAnsi="Times New Roman"/>
          <w:sz w:val="22"/>
          <w:szCs w:val="22"/>
        </w:rPr>
        <w:t xml:space="preserve">uskutočňované bez toho, aby za ne ich príjemcovia poskytovali nejaké protislužby alebo tovary. Transferová platba všeobecného charakteru určená pre rôzne alebo neurčené ciele sa považuje vždy za bežný transfer. </w:t>
      </w:r>
    </w:p>
    <w:p w:rsidR="00B548CC" w:rsidRPr="006E50E2" w:rsidP="00B548CC">
      <w:pPr>
        <w:bidi w:val="0"/>
        <w:spacing w:after="120" w:line="336" w:lineRule="auto"/>
        <w:jc w:val="both"/>
        <w:rPr>
          <w:rFonts w:ascii="Times New Roman" w:hAnsi="Times New Roman"/>
          <w:sz w:val="22"/>
          <w:szCs w:val="22"/>
        </w:rPr>
      </w:pPr>
      <w:r w:rsidRPr="006E50E2">
        <w:rPr>
          <w:rFonts w:ascii="Times New Roman" w:hAnsi="Times New Roman"/>
          <w:sz w:val="22"/>
          <w:szCs w:val="22"/>
        </w:rPr>
        <w:t>Triedia sa podľa príjemcu alebo druhu poskytovanej platby. Tr</w:t>
      </w:r>
      <w:r w:rsidR="00812F26">
        <w:rPr>
          <w:rFonts w:ascii="Times New Roman" w:hAnsi="Times New Roman"/>
          <w:sz w:val="22"/>
          <w:szCs w:val="22"/>
        </w:rPr>
        <w:t>ansfer môže byť len finančný vo </w:t>
      </w:r>
      <w:r w:rsidRPr="006E50E2">
        <w:rPr>
          <w:rFonts w:ascii="Times New Roman" w:hAnsi="Times New Roman"/>
          <w:sz w:val="22"/>
          <w:szCs w:val="22"/>
        </w:rPr>
        <w:t>forme príspevkov, dotácií a iných finančných vzťahov.</w:t>
      </w:r>
    </w:p>
    <w:p w:rsidR="00B548CC" w:rsidRPr="006E50E2" w:rsidP="00B548CC">
      <w:pPr>
        <w:bidi w:val="0"/>
        <w:spacing w:after="120" w:line="336" w:lineRule="auto"/>
        <w:jc w:val="both"/>
        <w:rPr>
          <w:rFonts w:ascii="Times New Roman" w:hAnsi="Times New Roman"/>
          <w:sz w:val="22"/>
          <w:szCs w:val="22"/>
        </w:rPr>
      </w:pPr>
      <w:r>
        <w:rPr>
          <w:rFonts w:ascii="Times New Roman" w:hAnsi="Times New Roman"/>
          <w:sz w:val="22"/>
          <w:szCs w:val="22"/>
        </w:rPr>
        <w:t>Rozpočet</w:t>
      </w:r>
      <w:r w:rsidR="00AD13E4">
        <w:rPr>
          <w:rFonts w:ascii="Times New Roman" w:hAnsi="Times New Roman"/>
          <w:sz w:val="22"/>
          <w:szCs w:val="22"/>
        </w:rPr>
        <w:t xml:space="preserve"> </w:t>
      </w:r>
      <w:r>
        <w:rPr>
          <w:rFonts w:ascii="Times New Roman" w:hAnsi="Times New Roman"/>
          <w:sz w:val="22"/>
          <w:szCs w:val="22"/>
        </w:rPr>
        <w:t>v danej</w:t>
      </w:r>
      <w:r w:rsidR="00AD13E4">
        <w:rPr>
          <w:rFonts w:ascii="Times New Roman" w:hAnsi="Times New Roman"/>
          <w:sz w:val="22"/>
          <w:szCs w:val="22"/>
        </w:rPr>
        <w:t xml:space="preserve"> </w:t>
      </w:r>
      <w:r>
        <w:rPr>
          <w:rFonts w:ascii="Times New Roman" w:hAnsi="Times New Roman"/>
          <w:sz w:val="22"/>
          <w:szCs w:val="22"/>
        </w:rPr>
        <w:t>výdavkovej kategórii bol schválený vo výške 10 398 782 tis. eur, čo zodpovedalo</w:t>
      </w:r>
      <w:r w:rsidR="00AD13E4">
        <w:rPr>
          <w:rFonts w:ascii="Times New Roman" w:hAnsi="Times New Roman"/>
          <w:sz w:val="22"/>
          <w:szCs w:val="22"/>
        </w:rPr>
        <w:t xml:space="preserve"> </w:t>
      </w:r>
      <w:r w:rsidRPr="006E50E2">
        <w:rPr>
          <w:rFonts w:ascii="Times New Roman" w:hAnsi="Times New Roman"/>
          <w:sz w:val="22"/>
          <w:szCs w:val="22"/>
        </w:rPr>
        <w:t>69,</w:t>
      </w:r>
      <w:r>
        <w:rPr>
          <w:rFonts w:ascii="Times New Roman" w:hAnsi="Times New Roman"/>
          <w:sz w:val="22"/>
          <w:szCs w:val="22"/>
        </w:rPr>
        <w:t>6</w:t>
      </w:r>
      <w:r w:rsidRPr="006E50E2">
        <w:rPr>
          <w:rFonts w:ascii="Times New Roman" w:hAnsi="Times New Roman"/>
          <w:sz w:val="22"/>
          <w:szCs w:val="22"/>
        </w:rPr>
        <w:t xml:space="preserve"> % podiel</w:t>
      </w:r>
      <w:r>
        <w:rPr>
          <w:rFonts w:ascii="Times New Roman" w:hAnsi="Times New Roman"/>
          <w:sz w:val="22"/>
          <w:szCs w:val="22"/>
        </w:rPr>
        <w:t>u</w:t>
      </w:r>
      <w:r w:rsidR="00AD13E4">
        <w:rPr>
          <w:rFonts w:ascii="Times New Roman" w:hAnsi="Times New Roman"/>
          <w:sz w:val="22"/>
          <w:szCs w:val="22"/>
        </w:rPr>
        <w:t xml:space="preserve"> </w:t>
      </w:r>
      <w:r w:rsidRPr="006E50E2">
        <w:rPr>
          <w:rFonts w:ascii="Times New Roman" w:hAnsi="Times New Roman"/>
          <w:sz w:val="22"/>
          <w:szCs w:val="22"/>
        </w:rPr>
        <w:t xml:space="preserve">z celkových bežných výdavkov. </w:t>
      </w:r>
      <w:r>
        <w:rPr>
          <w:rFonts w:ascii="Times New Roman" w:hAnsi="Times New Roman"/>
          <w:sz w:val="22"/>
          <w:szCs w:val="22"/>
        </w:rPr>
        <w:t>Skutočn</w:t>
      </w:r>
      <w:r w:rsidR="002250E3">
        <w:rPr>
          <w:rFonts w:ascii="Times New Roman" w:hAnsi="Times New Roman"/>
          <w:sz w:val="22"/>
          <w:szCs w:val="22"/>
        </w:rPr>
        <w:t>é</w:t>
      </w:r>
      <w:r>
        <w:rPr>
          <w:rFonts w:ascii="Times New Roman" w:hAnsi="Times New Roman"/>
          <w:sz w:val="22"/>
          <w:szCs w:val="22"/>
        </w:rPr>
        <w:t xml:space="preserve"> výdavky dosiahli 9 625 831 tis. eur</w:t>
      </w:r>
      <w:r w:rsidRPr="006E50E2">
        <w:rPr>
          <w:rFonts w:ascii="Times New Roman" w:hAnsi="Times New Roman"/>
          <w:sz w:val="22"/>
          <w:szCs w:val="22"/>
        </w:rPr>
        <w:t>, (201</w:t>
      </w:r>
      <w:r>
        <w:rPr>
          <w:rFonts w:ascii="Times New Roman" w:hAnsi="Times New Roman"/>
          <w:sz w:val="22"/>
          <w:szCs w:val="22"/>
        </w:rPr>
        <w:t>4</w:t>
      </w:r>
      <w:r w:rsidRPr="006E50E2">
        <w:rPr>
          <w:rFonts w:ascii="Times New Roman" w:hAnsi="Times New Roman"/>
          <w:sz w:val="22"/>
          <w:szCs w:val="22"/>
        </w:rPr>
        <w:t xml:space="preserve">: </w:t>
      </w:r>
      <w:r>
        <w:rPr>
          <w:rFonts w:ascii="Times New Roman" w:hAnsi="Times New Roman"/>
          <w:sz w:val="22"/>
          <w:szCs w:val="22"/>
        </w:rPr>
        <w:t>9 791 940</w:t>
      </w:r>
      <w:r w:rsidRPr="006E50E2">
        <w:rPr>
          <w:rFonts w:ascii="Times New Roman" w:hAnsi="Times New Roman"/>
          <w:sz w:val="22"/>
          <w:szCs w:val="22"/>
        </w:rPr>
        <w:t xml:space="preserve"> tis. eur)</w:t>
      </w:r>
      <w:r w:rsidR="00327847">
        <w:rPr>
          <w:rFonts w:ascii="Times New Roman" w:hAnsi="Times New Roman"/>
          <w:sz w:val="22"/>
          <w:szCs w:val="22"/>
        </w:rPr>
        <w:t xml:space="preserve"> a boli nižšie oproti rozpočtu o 772 951 tis. eur. </w:t>
      </w:r>
      <w:r>
        <w:rPr>
          <w:rFonts w:ascii="Times New Roman" w:hAnsi="Times New Roman"/>
          <w:sz w:val="22"/>
          <w:szCs w:val="22"/>
        </w:rPr>
        <w:t>Ich čerpanie</w:t>
      </w:r>
      <w:r w:rsidR="00AD13E4">
        <w:rPr>
          <w:rFonts w:ascii="Times New Roman" w:hAnsi="Times New Roman"/>
          <w:sz w:val="22"/>
          <w:szCs w:val="22"/>
        </w:rPr>
        <w:t xml:space="preserve"> </w:t>
      </w:r>
      <w:r>
        <w:rPr>
          <w:rFonts w:ascii="Times New Roman" w:hAnsi="Times New Roman"/>
          <w:sz w:val="22"/>
          <w:szCs w:val="22"/>
        </w:rPr>
        <w:t>bolo nasledovné</w:t>
      </w:r>
      <w:r w:rsidRPr="006E50E2">
        <w:rPr>
          <w:rFonts w:ascii="Times New Roman" w:hAnsi="Times New Roman"/>
          <w:sz w:val="22"/>
          <w:szCs w:val="22"/>
        </w:rPr>
        <w:t xml:space="preserve">: </w:t>
      </w:r>
    </w:p>
    <w:p w:rsidR="00B548CC" w:rsidRPr="006E50E2" w:rsidP="00B548CC">
      <w:pPr>
        <w:bidi w:val="0"/>
        <w:spacing w:after="120" w:line="336" w:lineRule="auto"/>
        <w:jc w:val="both"/>
        <w:rPr>
          <w:rFonts w:ascii="Times New Roman" w:hAnsi="Times New Roman"/>
          <w:b/>
          <w:sz w:val="22"/>
          <w:szCs w:val="22"/>
        </w:rPr>
      </w:pPr>
      <w:r w:rsidRPr="006E50E2">
        <w:rPr>
          <w:rFonts w:ascii="Times New Roman" w:hAnsi="Times New Roman"/>
          <w:sz w:val="22"/>
          <w:szCs w:val="22"/>
        </w:rPr>
        <w:t>V </w:t>
      </w:r>
      <w:r>
        <w:rPr>
          <w:rFonts w:ascii="Times New Roman" w:hAnsi="Times New Roman"/>
          <w:sz w:val="22"/>
          <w:szCs w:val="22"/>
        </w:rPr>
        <w:t>položke</w:t>
      </w:r>
      <w:r w:rsidRPr="006E50E2">
        <w:rPr>
          <w:rFonts w:ascii="Times New Roman" w:hAnsi="Times New Roman"/>
          <w:b/>
          <w:sz w:val="22"/>
          <w:szCs w:val="22"/>
        </w:rPr>
        <w:t xml:space="preserve"> </w:t>
      </w:r>
      <w:r w:rsidRPr="006E50E2">
        <w:rPr>
          <w:rFonts w:ascii="Times New Roman" w:hAnsi="Times New Roman"/>
          <w:b/>
          <w:i/>
          <w:sz w:val="22"/>
          <w:szCs w:val="22"/>
        </w:rPr>
        <w:t>transferov v rámci verejnej správy</w:t>
      </w:r>
      <w:r w:rsidR="00AD13E4">
        <w:rPr>
          <w:rFonts w:ascii="Times New Roman" w:hAnsi="Times New Roman"/>
          <w:b/>
          <w:i/>
          <w:sz w:val="22"/>
          <w:szCs w:val="22"/>
        </w:rPr>
        <w:t xml:space="preserve"> </w:t>
      </w:r>
      <w:r w:rsidRPr="009C2747">
        <w:rPr>
          <w:rFonts w:ascii="Times New Roman" w:hAnsi="Times New Roman"/>
          <w:sz w:val="22"/>
          <w:szCs w:val="22"/>
        </w:rPr>
        <w:t>boli</w:t>
      </w:r>
      <w:r w:rsidR="00AD13E4">
        <w:rPr>
          <w:rFonts w:ascii="Times New Roman" w:hAnsi="Times New Roman"/>
          <w:sz w:val="22"/>
          <w:szCs w:val="22"/>
        </w:rPr>
        <w:t xml:space="preserve"> </w:t>
      </w:r>
      <w:r>
        <w:rPr>
          <w:rFonts w:ascii="Times New Roman" w:hAnsi="Times New Roman"/>
          <w:sz w:val="22"/>
          <w:szCs w:val="22"/>
        </w:rPr>
        <w:t>vynaložené</w:t>
      </w:r>
      <w:r w:rsidR="00AD13E4">
        <w:rPr>
          <w:rFonts w:ascii="Times New Roman" w:hAnsi="Times New Roman"/>
          <w:sz w:val="22"/>
          <w:szCs w:val="22"/>
        </w:rPr>
        <w:t xml:space="preserve"> </w:t>
      </w:r>
      <w:r>
        <w:rPr>
          <w:rFonts w:ascii="Times New Roman" w:hAnsi="Times New Roman"/>
          <w:sz w:val="22"/>
          <w:szCs w:val="22"/>
        </w:rPr>
        <w:t>finančné prostriedky vo výške</w:t>
      </w:r>
      <w:r w:rsidR="00AD13E4">
        <w:rPr>
          <w:rFonts w:ascii="Times New Roman" w:hAnsi="Times New Roman"/>
          <w:sz w:val="22"/>
          <w:szCs w:val="22"/>
        </w:rPr>
        <w:t xml:space="preserve"> </w:t>
      </w:r>
      <w:r>
        <w:rPr>
          <w:rFonts w:ascii="Times New Roman" w:hAnsi="Times New Roman"/>
          <w:sz w:val="22"/>
          <w:szCs w:val="22"/>
        </w:rPr>
        <w:t>4 405 975</w:t>
      </w:r>
      <w:r w:rsidR="00AD13E4">
        <w:rPr>
          <w:rFonts w:ascii="Times New Roman" w:hAnsi="Times New Roman"/>
          <w:sz w:val="22"/>
          <w:szCs w:val="22"/>
        </w:rPr>
        <w:t xml:space="preserve"> </w:t>
      </w:r>
      <w:r w:rsidRPr="006E50E2">
        <w:rPr>
          <w:rFonts w:ascii="Times New Roman" w:hAnsi="Times New Roman"/>
          <w:sz w:val="22"/>
          <w:szCs w:val="22"/>
        </w:rPr>
        <w:t>tis. eur (201</w:t>
      </w:r>
      <w:r>
        <w:rPr>
          <w:rFonts w:ascii="Times New Roman" w:hAnsi="Times New Roman"/>
          <w:sz w:val="22"/>
          <w:szCs w:val="22"/>
        </w:rPr>
        <w:t>4</w:t>
      </w:r>
      <w:r w:rsidRPr="006E50E2">
        <w:rPr>
          <w:rFonts w:ascii="Times New Roman" w:hAnsi="Times New Roman"/>
          <w:sz w:val="22"/>
          <w:szCs w:val="22"/>
        </w:rPr>
        <w:t xml:space="preserve">: </w:t>
      </w:r>
      <w:r>
        <w:rPr>
          <w:rFonts w:ascii="Times New Roman" w:hAnsi="Times New Roman"/>
          <w:sz w:val="22"/>
          <w:szCs w:val="22"/>
        </w:rPr>
        <w:t>4 699 535</w:t>
      </w:r>
      <w:r w:rsidRPr="006E50E2">
        <w:rPr>
          <w:rFonts w:ascii="Times New Roman" w:hAnsi="Times New Roman"/>
          <w:sz w:val="22"/>
          <w:szCs w:val="22"/>
        </w:rPr>
        <w:t xml:space="preserve"> tis. eur)</w:t>
      </w:r>
      <w:r>
        <w:rPr>
          <w:rFonts w:ascii="Times New Roman" w:hAnsi="Times New Roman"/>
          <w:sz w:val="22"/>
          <w:szCs w:val="22"/>
        </w:rPr>
        <w:t xml:space="preserve"> pre tieto okruhy príjemcov</w:t>
      </w:r>
      <w:r w:rsidRPr="006E50E2">
        <w:rPr>
          <w:rFonts w:ascii="Times New Roman" w:hAnsi="Times New Roman"/>
          <w:sz w:val="22"/>
          <w:szCs w:val="22"/>
        </w:rPr>
        <w:t>:</w:t>
      </w:r>
    </w:p>
    <w:p w:rsidR="00B548CC" w:rsidRPr="006E50E2" w:rsidP="00B548CC">
      <w:pPr>
        <w:pStyle w:val="ListParagraph"/>
        <w:bidi w:val="0"/>
        <w:spacing w:after="120" w:line="336" w:lineRule="auto"/>
        <w:ind w:left="0"/>
        <w:jc w:val="both"/>
        <w:rPr>
          <w:rFonts w:ascii="Times New Roman" w:hAnsi="Times New Roman"/>
          <w:color w:val="000000"/>
        </w:rPr>
      </w:pPr>
      <w:r w:rsidRPr="00942590">
        <w:rPr>
          <w:rFonts w:ascii="Times New Roman" w:hAnsi="Times New Roman"/>
          <w:b/>
        </w:rPr>
        <w:t>Príspevkovým organizáciám</w:t>
      </w:r>
      <w:r w:rsidRPr="006E50E2">
        <w:rPr>
          <w:rFonts w:ascii="Times New Roman" w:hAnsi="Times New Roman"/>
        </w:rPr>
        <w:t xml:space="preserve"> zaradeným </w:t>
      </w:r>
      <w:r>
        <w:rPr>
          <w:rFonts w:ascii="Times New Roman" w:hAnsi="Times New Roman"/>
        </w:rPr>
        <w:t xml:space="preserve">štatistickým úradom </w:t>
      </w:r>
      <w:r w:rsidRPr="006E50E2">
        <w:rPr>
          <w:rFonts w:ascii="Times New Roman" w:hAnsi="Times New Roman"/>
        </w:rPr>
        <w:t xml:space="preserve">do verejnej správy </w:t>
      </w:r>
      <w:r>
        <w:rPr>
          <w:rFonts w:ascii="Times New Roman" w:hAnsi="Times New Roman"/>
        </w:rPr>
        <w:t>sa poukázali rozpočtové prostriedky</w:t>
      </w:r>
      <w:r w:rsidR="00AD13E4">
        <w:rPr>
          <w:rFonts w:ascii="Times New Roman" w:hAnsi="Times New Roman"/>
        </w:rPr>
        <w:t xml:space="preserve"> </w:t>
      </w:r>
      <w:r w:rsidRPr="006E50E2">
        <w:rPr>
          <w:rFonts w:ascii="Times New Roman" w:hAnsi="Times New Roman"/>
        </w:rPr>
        <w:t xml:space="preserve">vo výške </w:t>
      </w:r>
      <w:r>
        <w:rPr>
          <w:rFonts w:ascii="Times New Roman" w:hAnsi="Times New Roman"/>
        </w:rPr>
        <w:t>315 873</w:t>
      </w:r>
      <w:r w:rsidR="00AD13E4">
        <w:rPr>
          <w:rFonts w:ascii="Times New Roman" w:hAnsi="Times New Roman"/>
        </w:rPr>
        <w:t xml:space="preserve"> </w:t>
      </w:r>
      <w:r w:rsidRPr="006E50E2">
        <w:rPr>
          <w:rFonts w:ascii="Times New Roman" w:hAnsi="Times New Roman"/>
        </w:rPr>
        <w:t>tis. eur (201</w:t>
      </w:r>
      <w:r>
        <w:rPr>
          <w:rFonts w:ascii="Times New Roman" w:hAnsi="Times New Roman"/>
        </w:rPr>
        <w:t>4</w:t>
      </w:r>
      <w:r w:rsidRPr="006E50E2">
        <w:rPr>
          <w:rFonts w:ascii="Times New Roman" w:hAnsi="Times New Roman"/>
        </w:rPr>
        <w:t xml:space="preserve">: </w:t>
      </w:r>
      <w:r>
        <w:rPr>
          <w:rFonts w:ascii="Times New Roman" w:hAnsi="Times New Roman"/>
        </w:rPr>
        <w:t>291 201</w:t>
      </w:r>
      <w:r w:rsidRPr="006E50E2">
        <w:rPr>
          <w:rFonts w:ascii="Times New Roman" w:hAnsi="Times New Roman"/>
        </w:rPr>
        <w:t xml:space="preserve"> tis. eur), </w:t>
      </w:r>
      <w:r>
        <w:rPr>
          <w:rFonts w:ascii="Times New Roman" w:hAnsi="Times New Roman"/>
        </w:rPr>
        <w:t>na čom sa podieľali</w:t>
      </w:r>
      <w:r w:rsidR="00AD13E4">
        <w:rPr>
          <w:rFonts w:ascii="Times New Roman" w:hAnsi="Times New Roman"/>
        </w:rPr>
        <w:t xml:space="preserve"> </w:t>
      </w:r>
      <w:r w:rsidRPr="006E50E2">
        <w:rPr>
          <w:rFonts w:ascii="Times New Roman" w:hAnsi="Times New Roman"/>
        </w:rPr>
        <w:t>najmä</w:t>
      </w:r>
      <w:r w:rsidR="00AD13E4">
        <w:rPr>
          <w:rFonts w:ascii="Times New Roman" w:hAnsi="Times New Roman"/>
        </w:rPr>
        <w:t xml:space="preserve"> </w:t>
      </w:r>
      <w:r w:rsidRPr="006E50E2">
        <w:rPr>
          <w:rFonts w:ascii="Times New Roman" w:hAnsi="Times New Roman"/>
        </w:rPr>
        <w:t>kapitol</w:t>
      </w:r>
      <w:r>
        <w:rPr>
          <w:rFonts w:ascii="Times New Roman" w:hAnsi="Times New Roman"/>
        </w:rPr>
        <w:t>y</w:t>
      </w:r>
      <w:r w:rsidR="00AD13E4">
        <w:rPr>
          <w:rFonts w:ascii="Times New Roman" w:hAnsi="Times New Roman"/>
        </w:rPr>
        <w:t xml:space="preserve"> </w:t>
      </w:r>
      <w:r w:rsidRPr="006E50E2">
        <w:rPr>
          <w:rFonts w:ascii="Times New Roman" w:hAnsi="Times New Roman"/>
        </w:rPr>
        <w:t>M</w:t>
      </w:r>
      <w:r w:rsidRPr="006E50E2">
        <w:rPr>
          <w:rFonts w:ascii="Times New Roman" w:hAnsi="Times New Roman"/>
          <w:color w:val="000000"/>
        </w:rPr>
        <w:t>inisterstva kultúry SR (</w:t>
      </w:r>
      <w:r>
        <w:rPr>
          <w:rFonts w:ascii="Times New Roman" w:hAnsi="Times New Roman"/>
          <w:color w:val="000000"/>
        </w:rPr>
        <w:t>65 077</w:t>
      </w:r>
      <w:r w:rsidR="00AD13E4">
        <w:rPr>
          <w:rFonts w:ascii="Times New Roman" w:hAnsi="Times New Roman"/>
          <w:color w:val="000000"/>
        </w:rPr>
        <w:t xml:space="preserve"> </w:t>
      </w:r>
      <w:r w:rsidRPr="006E50E2">
        <w:rPr>
          <w:rFonts w:ascii="Times New Roman" w:hAnsi="Times New Roman"/>
          <w:color w:val="000000"/>
        </w:rPr>
        <w:t>tis. eur),</w:t>
      </w:r>
      <w:r w:rsidR="00AD13E4">
        <w:rPr>
          <w:rFonts w:ascii="Times New Roman" w:hAnsi="Times New Roman"/>
          <w:color w:val="000000"/>
        </w:rPr>
        <w:t xml:space="preserve"> </w:t>
      </w:r>
      <w:r w:rsidRPr="006E50E2">
        <w:rPr>
          <w:rFonts w:ascii="Times New Roman" w:hAnsi="Times New Roman"/>
          <w:color w:val="000000"/>
        </w:rPr>
        <w:t>Ministerstva školstva, vedy, výskumu a športu SR (</w:t>
      </w:r>
      <w:r>
        <w:rPr>
          <w:rFonts w:ascii="Times New Roman" w:hAnsi="Times New Roman"/>
          <w:color w:val="000000"/>
        </w:rPr>
        <w:t>58 076</w:t>
      </w:r>
      <w:r w:rsidRPr="006E50E2">
        <w:rPr>
          <w:rFonts w:ascii="Times New Roman" w:hAnsi="Times New Roman"/>
          <w:color w:val="000000"/>
        </w:rPr>
        <w:t xml:space="preserve"> tis. eur)</w:t>
      </w:r>
      <w:r>
        <w:rPr>
          <w:rFonts w:ascii="Times New Roman" w:hAnsi="Times New Roman"/>
          <w:color w:val="000000"/>
        </w:rPr>
        <w:t xml:space="preserve"> a</w:t>
      </w:r>
      <w:r w:rsidR="00AD13E4">
        <w:rPr>
          <w:rFonts w:ascii="Times New Roman" w:hAnsi="Times New Roman"/>
          <w:color w:val="000000"/>
        </w:rPr>
        <w:t xml:space="preserve"> </w:t>
      </w:r>
      <w:r w:rsidRPr="006E50E2">
        <w:rPr>
          <w:rFonts w:ascii="Times New Roman" w:hAnsi="Times New Roman"/>
          <w:color w:val="000000"/>
        </w:rPr>
        <w:t>Ministerstva životného prostredia SR (</w:t>
      </w:r>
      <w:r>
        <w:rPr>
          <w:rFonts w:ascii="Times New Roman" w:hAnsi="Times New Roman"/>
          <w:color w:val="000000"/>
        </w:rPr>
        <w:t>50 345</w:t>
      </w:r>
      <w:r w:rsidRPr="006E50E2">
        <w:rPr>
          <w:rFonts w:ascii="Times New Roman" w:hAnsi="Times New Roman"/>
          <w:color w:val="000000"/>
        </w:rPr>
        <w:t xml:space="preserve"> tis. eur)</w:t>
      </w:r>
      <w:r>
        <w:rPr>
          <w:rFonts w:ascii="Times New Roman" w:hAnsi="Times New Roman"/>
          <w:color w:val="000000"/>
        </w:rPr>
        <w:t>.</w:t>
      </w:r>
      <w:r w:rsidR="00AD13E4">
        <w:rPr>
          <w:rFonts w:ascii="Times New Roman" w:hAnsi="Times New Roman"/>
          <w:color w:val="000000"/>
        </w:rPr>
        <w:t xml:space="preserve"> </w:t>
      </w:r>
    </w:p>
    <w:p w:rsidR="0008386B" w:rsidP="00B548CC">
      <w:pPr>
        <w:pStyle w:val="ListParagraph"/>
        <w:bidi w:val="0"/>
        <w:spacing w:after="120" w:line="336" w:lineRule="auto"/>
        <w:ind w:left="0"/>
        <w:jc w:val="both"/>
        <w:rPr>
          <w:rFonts w:ascii="Times New Roman" w:hAnsi="Times New Roman"/>
        </w:rPr>
      </w:pPr>
      <w:r w:rsidRPr="00F6299A" w:rsidR="00B548CC">
        <w:rPr>
          <w:rFonts w:ascii="Times New Roman" w:hAnsi="Times New Roman"/>
        </w:rPr>
        <w:t>Na transfery</w:t>
      </w:r>
      <w:r w:rsidR="00AD13E4">
        <w:rPr>
          <w:rFonts w:ascii="Times New Roman" w:hAnsi="Times New Roman"/>
        </w:rPr>
        <w:t xml:space="preserve"> </w:t>
      </w:r>
      <w:r w:rsidRPr="00F6299A" w:rsidR="00B548CC">
        <w:rPr>
          <w:rFonts w:ascii="Times New Roman" w:hAnsi="Times New Roman"/>
          <w:b/>
        </w:rPr>
        <w:t>štátnym účelovým fondom</w:t>
      </w:r>
      <w:r w:rsidR="00AD13E4">
        <w:rPr>
          <w:rFonts w:ascii="Times New Roman" w:hAnsi="Times New Roman"/>
        </w:rPr>
        <w:t xml:space="preserve"> </w:t>
      </w:r>
      <w:r w:rsidRPr="00F6299A" w:rsidR="00B548CC">
        <w:rPr>
          <w:rFonts w:ascii="Times New Roman" w:hAnsi="Times New Roman"/>
        </w:rPr>
        <w:t xml:space="preserve">sa </w:t>
      </w:r>
      <w:r w:rsidR="00B548CC">
        <w:rPr>
          <w:rFonts w:ascii="Times New Roman" w:hAnsi="Times New Roman"/>
        </w:rPr>
        <w:t>vyčerpalo</w:t>
      </w:r>
      <w:r w:rsidR="00AD13E4">
        <w:rPr>
          <w:rFonts w:ascii="Times New Roman" w:hAnsi="Times New Roman"/>
        </w:rPr>
        <w:t xml:space="preserve"> </w:t>
      </w:r>
      <w:r w:rsidRPr="00F6299A" w:rsidR="00B548CC">
        <w:rPr>
          <w:rFonts w:ascii="Times New Roman" w:hAnsi="Times New Roman"/>
        </w:rPr>
        <w:t>332 682 tis. eur (2014: 125 256 tis. eur). Medziročný</w:t>
      </w:r>
      <w:r w:rsidR="00AD13E4">
        <w:rPr>
          <w:rFonts w:ascii="Times New Roman" w:hAnsi="Times New Roman"/>
        </w:rPr>
        <w:t xml:space="preserve"> </w:t>
      </w:r>
      <w:r w:rsidRPr="00F6299A" w:rsidR="00B548CC">
        <w:rPr>
          <w:rFonts w:ascii="Times New Roman" w:hAnsi="Times New Roman"/>
        </w:rPr>
        <w:t>nárast</w:t>
      </w:r>
      <w:r w:rsidR="00AD13E4">
        <w:rPr>
          <w:rFonts w:ascii="Times New Roman" w:hAnsi="Times New Roman"/>
        </w:rPr>
        <w:t xml:space="preserve"> </w:t>
      </w:r>
      <w:r w:rsidRPr="00F6299A" w:rsidR="00B548CC">
        <w:rPr>
          <w:rFonts w:ascii="Times New Roman" w:hAnsi="Times New Roman"/>
        </w:rPr>
        <w:t>a</w:t>
      </w:r>
      <w:r w:rsidR="00AD13E4">
        <w:rPr>
          <w:rFonts w:ascii="Times New Roman" w:hAnsi="Times New Roman"/>
        </w:rPr>
        <w:t xml:space="preserve"> </w:t>
      </w:r>
      <w:r w:rsidRPr="00F6299A" w:rsidR="00B548CC">
        <w:rPr>
          <w:rFonts w:ascii="Times New Roman" w:hAnsi="Times New Roman"/>
        </w:rPr>
        <w:t>navýšenie oproti schválenému rozpočtu</w:t>
      </w:r>
      <w:r w:rsidR="00AD13E4">
        <w:rPr>
          <w:rFonts w:ascii="Times New Roman" w:hAnsi="Times New Roman"/>
        </w:rPr>
        <w:t xml:space="preserve"> </w:t>
      </w:r>
      <w:r w:rsidRPr="00F6299A" w:rsidR="00B548CC">
        <w:rPr>
          <w:rFonts w:ascii="Times New Roman" w:hAnsi="Times New Roman"/>
        </w:rPr>
        <w:t>2015</w:t>
      </w:r>
      <w:r w:rsidR="00AD13E4">
        <w:rPr>
          <w:rFonts w:ascii="Times New Roman" w:hAnsi="Times New Roman"/>
        </w:rPr>
        <w:t xml:space="preserve"> </w:t>
      </w:r>
      <w:r w:rsidRPr="00F6299A" w:rsidR="00B548CC">
        <w:rPr>
          <w:rFonts w:ascii="Times New Roman" w:hAnsi="Times New Roman"/>
        </w:rPr>
        <w:t>ovplyvnila skutočnosť, že</w:t>
      </w:r>
      <w:r w:rsidR="00AD13E4">
        <w:rPr>
          <w:rFonts w:ascii="Times New Roman" w:hAnsi="Times New Roman"/>
        </w:rPr>
        <w:t xml:space="preserve"> </w:t>
      </w:r>
      <w:r w:rsidRPr="00F6299A" w:rsidR="00B548CC">
        <w:rPr>
          <w:rFonts w:ascii="Times New Roman" w:hAnsi="Times New Roman"/>
        </w:rPr>
        <w:t>v rámci čerpania prostriedkov z iniciatívy</w:t>
      </w:r>
      <w:r w:rsidR="00AD13E4">
        <w:rPr>
          <w:rFonts w:ascii="Times New Roman" w:hAnsi="Times New Roman"/>
        </w:rPr>
        <w:t xml:space="preserve"> </w:t>
      </w:r>
      <w:r w:rsidRPr="00F6299A" w:rsidR="00B548CC">
        <w:rPr>
          <w:rFonts w:ascii="Times New Roman" w:hAnsi="Times New Roman"/>
        </w:rPr>
        <w:t>JESSICA</w:t>
      </w:r>
      <w:r>
        <w:rPr>
          <w:rStyle w:val="FootnoteReference"/>
          <w:rFonts w:ascii="Times New Roman" w:hAnsi="Times New Roman"/>
          <w:rtl w:val="0"/>
        </w:rPr>
        <w:footnoteReference w:id="3"/>
      </w:r>
      <w:r w:rsidR="00AD13E4">
        <w:rPr>
          <w:rFonts w:ascii="Times New Roman" w:hAnsi="Times New Roman"/>
        </w:rPr>
        <w:t xml:space="preserve"> </w:t>
      </w:r>
      <w:r w:rsidRPr="00F6299A" w:rsidR="00B548CC">
        <w:rPr>
          <w:rFonts w:ascii="Times New Roman" w:hAnsi="Times New Roman"/>
        </w:rPr>
        <w:t>boli voľné zdroje</w:t>
      </w:r>
      <w:r w:rsidR="00AD13E4">
        <w:rPr>
          <w:rFonts w:ascii="Times New Roman" w:hAnsi="Times New Roman"/>
        </w:rPr>
        <w:t xml:space="preserve"> </w:t>
      </w:r>
      <w:r w:rsidRPr="00F6299A" w:rsidR="00B548CC">
        <w:rPr>
          <w:rFonts w:ascii="Times New Roman" w:hAnsi="Times New Roman"/>
        </w:rPr>
        <w:t>174 174</w:t>
      </w:r>
      <w:r w:rsidR="00AD13E4">
        <w:rPr>
          <w:rFonts w:ascii="Times New Roman" w:hAnsi="Times New Roman"/>
        </w:rPr>
        <w:t xml:space="preserve"> </w:t>
      </w:r>
      <w:r w:rsidRPr="00F6299A" w:rsidR="00B548CC">
        <w:rPr>
          <w:rFonts w:ascii="Times New Roman" w:hAnsi="Times New Roman"/>
        </w:rPr>
        <w:t>tis. eur poskytnuté Ministerstvom pôdohospodárstva a rozvoja vidieka SR</w:t>
      </w:r>
      <w:r w:rsidR="00AD13E4">
        <w:rPr>
          <w:rFonts w:ascii="Times New Roman" w:hAnsi="Times New Roman"/>
        </w:rPr>
        <w:t xml:space="preserve"> </w:t>
      </w:r>
      <w:r w:rsidRPr="00F6299A" w:rsidR="00B548CC">
        <w:rPr>
          <w:rFonts w:ascii="Times New Roman" w:hAnsi="Times New Roman"/>
        </w:rPr>
        <w:t>na financovanie komplexnej obnovy</w:t>
      </w:r>
      <w:r w:rsidR="00AD13E4">
        <w:rPr>
          <w:rFonts w:ascii="Times New Roman" w:hAnsi="Times New Roman"/>
        </w:rPr>
        <w:t xml:space="preserve"> </w:t>
      </w:r>
      <w:r w:rsidRPr="00F6299A" w:rsidR="00B548CC">
        <w:rPr>
          <w:rFonts w:ascii="Times New Roman" w:hAnsi="Times New Roman"/>
        </w:rPr>
        <w:t>bytových</w:t>
      </w:r>
      <w:r w:rsidR="00AD13E4">
        <w:rPr>
          <w:rFonts w:ascii="Times New Roman" w:hAnsi="Times New Roman"/>
        </w:rPr>
        <w:t xml:space="preserve"> </w:t>
      </w:r>
      <w:r w:rsidRPr="00F6299A" w:rsidR="00B548CC">
        <w:rPr>
          <w:rFonts w:ascii="Times New Roman" w:hAnsi="Times New Roman"/>
        </w:rPr>
        <w:t>domov</w:t>
      </w:r>
      <w:r w:rsidR="00AD13E4">
        <w:rPr>
          <w:rFonts w:ascii="Times New Roman" w:hAnsi="Times New Roman"/>
        </w:rPr>
        <w:t xml:space="preserve"> </w:t>
      </w:r>
      <w:r w:rsidRPr="00761C6A" w:rsidR="00B548CC">
        <w:rPr>
          <w:rFonts w:ascii="Times New Roman" w:hAnsi="Times New Roman"/>
          <w:i/>
        </w:rPr>
        <w:t>Štátnemu fondu rozvoja bývania</w:t>
      </w:r>
      <w:r w:rsidRPr="00F6299A" w:rsidR="00B548CC">
        <w:rPr>
          <w:rFonts w:ascii="Times New Roman" w:hAnsi="Times New Roman"/>
        </w:rPr>
        <w:t>.</w:t>
      </w:r>
      <w:r w:rsidR="00AD13E4">
        <w:rPr>
          <w:rFonts w:ascii="Times New Roman" w:hAnsi="Times New Roman"/>
        </w:rPr>
        <w:t xml:space="preserve"> </w:t>
      </w:r>
      <w:r w:rsidR="00B548CC">
        <w:rPr>
          <w:rFonts w:ascii="Times New Roman" w:hAnsi="Times New Roman"/>
        </w:rPr>
        <w:t>Transfer</w:t>
      </w:r>
      <w:r w:rsidR="00AD13E4">
        <w:rPr>
          <w:rFonts w:ascii="Times New Roman" w:hAnsi="Times New Roman"/>
        </w:rPr>
        <w:t xml:space="preserve"> </w:t>
      </w:r>
      <w:r w:rsidR="00B548CC">
        <w:rPr>
          <w:rFonts w:ascii="Times New Roman" w:hAnsi="Times New Roman"/>
        </w:rPr>
        <w:t>32 027 tis. eur</w:t>
      </w:r>
      <w:r w:rsidR="00AD13E4">
        <w:rPr>
          <w:rFonts w:ascii="Times New Roman" w:hAnsi="Times New Roman"/>
        </w:rPr>
        <w:t xml:space="preserve"> </w:t>
      </w:r>
      <w:r w:rsidR="00B548CC">
        <w:rPr>
          <w:rFonts w:ascii="Times New Roman" w:hAnsi="Times New Roman"/>
        </w:rPr>
        <w:t>pre</w:t>
      </w:r>
      <w:r w:rsidR="00AD13E4">
        <w:rPr>
          <w:rFonts w:ascii="Times New Roman" w:hAnsi="Times New Roman"/>
        </w:rPr>
        <w:t xml:space="preserve"> </w:t>
      </w:r>
      <w:r w:rsidR="00B548CC">
        <w:rPr>
          <w:rFonts w:ascii="Times New Roman" w:hAnsi="Times New Roman"/>
        </w:rPr>
        <w:t>Štátny</w:t>
      </w:r>
      <w:r w:rsidR="00AD13E4">
        <w:rPr>
          <w:rFonts w:ascii="Times New Roman" w:hAnsi="Times New Roman"/>
        </w:rPr>
        <w:t xml:space="preserve"> </w:t>
      </w:r>
      <w:r w:rsidR="00B548CC">
        <w:rPr>
          <w:rFonts w:ascii="Times New Roman" w:hAnsi="Times New Roman"/>
        </w:rPr>
        <w:t>fond rozvoja bývania</w:t>
      </w:r>
      <w:r w:rsidR="00AD13E4">
        <w:rPr>
          <w:rFonts w:ascii="Times New Roman" w:hAnsi="Times New Roman"/>
        </w:rPr>
        <w:t xml:space="preserve"> </w:t>
      </w:r>
      <w:r w:rsidR="00B548CC">
        <w:rPr>
          <w:rFonts w:ascii="Times New Roman" w:hAnsi="Times New Roman"/>
        </w:rPr>
        <w:t>bol</w:t>
      </w:r>
      <w:r w:rsidR="00AD13E4">
        <w:rPr>
          <w:rFonts w:ascii="Times New Roman" w:hAnsi="Times New Roman"/>
        </w:rPr>
        <w:t xml:space="preserve"> </w:t>
      </w:r>
      <w:r w:rsidR="00B548CC">
        <w:rPr>
          <w:rFonts w:ascii="Times New Roman" w:hAnsi="Times New Roman"/>
        </w:rPr>
        <w:t>realizovaný</w:t>
      </w:r>
      <w:r w:rsidR="00AD13E4">
        <w:rPr>
          <w:rFonts w:ascii="Times New Roman" w:hAnsi="Times New Roman"/>
        </w:rPr>
        <w:t xml:space="preserve"> </w:t>
      </w:r>
      <w:r w:rsidR="00B548CC">
        <w:rPr>
          <w:rFonts w:ascii="Times New Roman" w:hAnsi="Times New Roman"/>
        </w:rPr>
        <w:t>aj</w:t>
      </w:r>
      <w:r w:rsidR="00AD13E4">
        <w:rPr>
          <w:rFonts w:ascii="Times New Roman" w:hAnsi="Times New Roman"/>
        </w:rPr>
        <w:t xml:space="preserve"> </w:t>
      </w:r>
      <w:r w:rsidR="00B548CC">
        <w:rPr>
          <w:rFonts w:ascii="Times New Roman" w:hAnsi="Times New Roman"/>
        </w:rPr>
        <w:t>kapitolou</w:t>
      </w:r>
      <w:r w:rsidR="00AD13E4">
        <w:rPr>
          <w:rFonts w:ascii="Times New Roman" w:hAnsi="Times New Roman"/>
        </w:rPr>
        <w:t xml:space="preserve"> </w:t>
      </w:r>
      <w:r w:rsidRPr="00F6299A" w:rsidR="00B548CC">
        <w:rPr>
          <w:rFonts w:ascii="Times New Roman" w:hAnsi="Times New Roman"/>
        </w:rPr>
        <w:t>Ministerstva dopravy, výstavby a regionálneho rozvoja</w:t>
      </w:r>
      <w:r w:rsidR="00AD13E4">
        <w:rPr>
          <w:rFonts w:ascii="Times New Roman" w:hAnsi="Times New Roman"/>
        </w:rPr>
        <w:t xml:space="preserve"> </w:t>
      </w:r>
      <w:r w:rsidRPr="00F6299A" w:rsidR="00B548CC">
        <w:rPr>
          <w:rFonts w:ascii="Times New Roman" w:hAnsi="Times New Roman"/>
        </w:rPr>
        <w:t>SR</w:t>
      </w:r>
      <w:r>
        <w:rPr>
          <w:rFonts w:ascii="Times New Roman" w:hAnsi="Times New Roman"/>
        </w:rPr>
        <w:t xml:space="preserve"> a kapitolou Ministerstva hospodárstva SR sumou 50 150 tis eur. </w:t>
      </w:r>
      <w:r w:rsidRPr="00F6299A" w:rsidR="00B548CC">
        <w:rPr>
          <w:rFonts w:ascii="Times New Roman" w:hAnsi="Times New Roman"/>
        </w:rPr>
        <w:t>Ministerstvo</w:t>
      </w:r>
      <w:r w:rsidR="00AD13E4">
        <w:rPr>
          <w:rFonts w:ascii="Times New Roman" w:hAnsi="Times New Roman"/>
        </w:rPr>
        <w:t xml:space="preserve"> </w:t>
      </w:r>
      <w:r w:rsidRPr="00F6299A" w:rsidR="00B548CC">
        <w:rPr>
          <w:rFonts w:ascii="Times New Roman" w:hAnsi="Times New Roman"/>
        </w:rPr>
        <w:t>hospodárstva SR</w:t>
      </w:r>
      <w:r w:rsidR="00AD13E4">
        <w:rPr>
          <w:rFonts w:ascii="Times New Roman" w:hAnsi="Times New Roman"/>
        </w:rPr>
        <w:t xml:space="preserve"> </w:t>
      </w:r>
      <w:r w:rsidR="00B548CC">
        <w:rPr>
          <w:rFonts w:ascii="Times New Roman" w:hAnsi="Times New Roman"/>
        </w:rPr>
        <w:t>poukázalo</w:t>
      </w:r>
      <w:r w:rsidR="00AD13E4">
        <w:rPr>
          <w:rFonts w:ascii="Times New Roman" w:hAnsi="Times New Roman"/>
        </w:rPr>
        <w:t xml:space="preserve"> </w:t>
      </w:r>
      <w:r w:rsidRPr="00F6299A">
        <w:rPr>
          <w:rFonts w:ascii="Times New Roman" w:hAnsi="Times New Roman"/>
        </w:rPr>
        <w:t>z odvodov od prevádzkovateľov prenosových a distribučných sústav</w:t>
      </w:r>
      <w:r>
        <w:rPr>
          <w:rFonts w:ascii="Times New Roman" w:hAnsi="Times New Roman"/>
        </w:rPr>
        <w:t xml:space="preserve"> sumu 67</w:t>
      </w:r>
      <w:r w:rsidR="00106BCF">
        <w:rPr>
          <w:rFonts w:ascii="Times New Roman" w:hAnsi="Times New Roman"/>
        </w:rPr>
        <w:t> </w:t>
      </w:r>
      <w:r>
        <w:rPr>
          <w:rFonts w:ascii="Times New Roman" w:hAnsi="Times New Roman"/>
        </w:rPr>
        <w:t>334</w:t>
      </w:r>
      <w:r w:rsidR="00106BCF">
        <w:rPr>
          <w:rFonts w:ascii="Times New Roman" w:hAnsi="Times New Roman"/>
        </w:rPr>
        <w:t> tis. </w:t>
      </w:r>
      <w:r w:rsidRPr="00F6299A" w:rsidR="00B548CC">
        <w:rPr>
          <w:rFonts w:ascii="Times New Roman" w:hAnsi="Times New Roman"/>
        </w:rPr>
        <w:t>eur</w:t>
      </w:r>
      <w:r w:rsidR="00AD13E4">
        <w:rPr>
          <w:rFonts w:ascii="Times New Roman" w:hAnsi="Times New Roman"/>
        </w:rPr>
        <w:t xml:space="preserve"> </w:t>
      </w:r>
      <w:r w:rsidRPr="00F6299A" w:rsidR="00B548CC">
        <w:rPr>
          <w:rFonts w:ascii="Times New Roman" w:hAnsi="Times New Roman"/>
        </w:rPr>
        <w:t xml:space="preserve">pre </w:t>
      </w:r>
      <w:r w:rsidRPr="00761C6A" w:rsidR="00B548CC">
        <w:rPr>
          <w:rFonts w:ascii="Times New Roman" w:hAnsi="Times New Roman"/>
          <w:i/>
        </w:rPr>
        <w:t>Národný jadrový fond</w:t>
      </w:r>
      <w:r w:rsidR="00AD13E4">
        <w:rPr>
          <w:rFonts w:ascii="Times New Roman" w:hAnsi="Times New Roman"/>
        </w:rPr>
        <w:t xml:space="preserve"> </w:t>
      </w:r>
      <w:r w:rsidRPr="00F6299A" w:rsidR="00B548CC">
        <w:rPr>
          <w:rFonts w:ascii="Times New Roman" w:hAnsi="Times New Roman"/>
        </w:rPr>
        <w:t>na úhradu nákladov vynaložených na nakladanie s jadrovým materiálom</w:t>
      </w:r>
      <w:r>
        <w:rPr>
          <w:rFonts w:ascii="Times New Roman" w:hAnsi="Times New Roman"/>
        </w:rPr>
        <w:t>.</w:t>
      </w:r>
      <w:r w:rsidRPr="00F6299A" w:rsidR="00B548CC">
        <w:rPr>
          <w:rFonts w:ascii="Times New Roman" w:hAnsi="Times New Roman"/>
        </w:rPr>
        <w:t xml:space="preserve"> </w:t>
      </w:r>
    </w:p>
    <w:p w:rsidR="00B548CC" w:rsidRPr="006E50E2" w:rsidP="00B548CC">
      <w:pPr>
        <w:pStyle w:val="ListParagraph"/>
        <w:bidi w:val="0"/>
        <w:spacing w:after="120" w:line="336" w:lineRule="auto"/>
        <w:ind w:left="0"/>
        <w:jc w:val="both"/>
        <w:rPr>
          <w:rFonts w:ascii="Times New Roman" w:hAnsi="Times New Roman"/>
        </w:rPr>
      </w:pPr>
      <w:r>
        <w:rPr>
          <w:rFonts w:ascii="Times New Roman" w:hAnsi="Times New Roman"/>
        </w:rPr>
        <w:t>Výdavky na transfery</w:t>
      </w:r>
      <w:r w:rsidR="00AD13E4">
        <w:rPr>
          <w:rFonts w:ascii="Times New Roman" w:hAnsi="Times New Roman"/>
        </w:rPr>
        <w:t xml:space="preserve"> </w:t>
      </w:r>
      <w:r w:rsidRPr="006E50E2">
        <w:rPr>
          <w:rFonts w:ascii="Times New Roman" w:hAnsi="Times New Roman"/>
          <w:b/>
        </w:rPr>
        <w:t>Sociálnej</w:t>
      </w:r>
      <w:r w:rsidR="00AD13E4">
        <w:rPr>
          <w:rFonts w:ascii="Times New Roman" w:hAnsi="Times New Roman"/>
          <w:b/>
        </w:rPr>
        <w:t xml:space="preserve"> </w:t>
      </w:r>
      <w:r w:rsidRPr="006E50E2">
        <w:rPr>
          <w:rFonts w:ascii="Times New Roman" w:hAnsi="Times New Roman"/>
          <w:b/>
        </w:rPr>
        <w:t>poisťovni a zdravotným poisťovniam</w:t>
      </w:r>
      <w:r w:rsidR="00AD13E4">
        <w:rPr>
          <w:rFonts w:ascii="Times New Roman" w:hAnsi="Times New Roman"/>
        </w:rPr>
        <w:t xml:space="preserve"> </w:t>
      </w:r>
      <w:r>
        <w:rPr>
          <w:rFonts w:ascii="Times New Roman" w:hAnsi="Times New Roman"/>
        </w:rPr>
        <w:t>predstavovali</w:t>
      </w:r>
      <w:r w:rsidR="00AD13E4">
        <w:rPr>
          <w:rFonts w:ascii="Times New Roman" w:hAnsi="Times New Roman"/>
        </w:rPr>
        <w:t xml:space="preserve"> </w:t>
      </w:r>
      <w:r>
        <w:rPr>
          <w:rFonts w:ascii="Times New Roman" w:hAnsi="Times New Roman"/>
        </w:rPr>
        <w:t>453</w:t>
      </w:r>
      <w:r w:rsidR="002C38E1">
        <w:rPr>
          <w:rFonts w:ascii="Times New Roman" w:hAnsi="Times New Roman"/>
        </w:rPr>
        <w:t> </w:t>
      </w:r>
      <w:r>
        <w:rPr>
          <w:rFonts w:ascii="Times New Roman" w:hAnsi="Times New Roman"/>
        </w:rPr>
        <w:t>015</w:t>
      </w:r>
      <w:r w:rsidR="002C38E1">
        <w:rPr>
          <w:rFonts w:ascii="Times New Roman" w:hAnsi="Times New Roman"/>
        </w:rPr>
        <w:t> </w:t>
      </w:r>
      <w:r>
        <w:rPr>
          <w:rFonts w:ascii="Times New Roman" w:hAnsi="Times New Roman"/>
        </w:rPr>
        <w:t>tis.</w:t>
      </w:r>
      <w:r w:rsidR="002C38E1">
        <w:rPr>
          <w:rFonts w:ascii="Times New Roman" w:hAnsi="Times New Roman"/>
        </w:rPr>
        <w:t> </w:t>
      </w:r>
      <w:r>
        <w:rPr>
          <w:rFonts w:ascii="Times New Roman" w:hAnsi="Times New Roman"/>
        </w:rPr>
        <w:t>eur (2014: 900 914 tis. eur), na</w:t>
      </w:r>
      <w:r w:rsidR="00AD13E4">
        <w:rPr>
          <w:rFonts w:ascii="Times New Roman" w:hAnsi="Times New Roman"/>
        </w:rPr>
        <w:t xml:space="preserve"> </w:t>
      </w:r>
      <w:r>
        <w:rPr>
          <w:rFonts w:ascii="Times New Roman" w:hAnsi="Times New Roman"/>
        </w:rPr>
        <w:t>ich zabezpečení sa podieľala</w:t>
      </w:r>
      <w:r w:rsidR="00AD13E4">
        <w:rPr>
          <w:rFonts w:ascii="Times New Roman" w:hAnsi="Times New Roman"/>
        </w:rPr>
        <w:t xml:space="preserve"> </w:t>
      </w:r>
      <w:r>
        <w:rPr>
          <w:rFonts w:ascii="Times New Roman" w:hAnsi="Times New Roman"/>
        </w:rPr>
        <w:t>predovšetkým</w:t>
      </w:r>
      <w:r w:rsidR="00AD13E4">
        <w:rPr>
          <w:rFonts w:ascii="Times New Roman" w:hAnsi="Times New Roman"/>
        </w:rPr>
        <w:t xml:space="preserve"> </w:t>
      </w:r>
      <w:r w:rsidRPr="006E50E2">
        <w:rPr>
          <w:rFonts w:ascii="Times New Roman" w:hAnsi="Times New Roman"/>
        </w:rPr>
        <w:t>Všeobecn</w:t>
      </w:r>
      <w:r>
        <w:rPr>
          <w:rFonts w:ascii="Times New Roman" w:hAnsi="Times New Roman"/>
        </w:rPr>
        <w:t>á</w:t>
      </w:r>
      <w:r w:rsidR="00AD13E4">
        <w:rPr>
          <w:rFonts w:ascii="Times New Roman" w:hAnsi="Times New Roman"/>
        </w:rPr>
        <w:t xml:space="preserve"> </w:t>
      </w:r>
      <w:r w:rsidRPr="006E50E2">
        <w:rPr>
          <w:rFonts w:ascii="Times New Roman" w:hAnsi="Times New Roman"/>
        </w:rPr>
        <w:t>pokladničn</w:t>
      </w:r>
      <w:r>
        <w:rPr>
          <w:rFonts w:ascii="Times New Roman" w:hAnsi="Times New Roman"/>
        </w:rPr>
        <w:t>á</w:t>
      </w:r>
      <w:r w:rsidR="00AD13E4">
        <w:rPr>
          <w:rFonts w:ascii="Times New Roman" w:hAnsi="Times New Roman"/>
        </w:rPr>
        <w:t xml:space="preserve"> </w:t>
      </w:r>
      <w:r w:rsidRPr="006E50E2">
        <w:rPr>
          <w:rFonts w:ascii="Times New Roman" w:hAnsi="Times New Roman"/>
        </w:rPr>
        <w:t>správ</w:t>
      </w:r>
      <w:r>
        <w:rPr>
          <w:rFonts w:ascii="Times New Roman" w:hAnsi="Times New Roman"/>
        </w:rPr>
        <w:t>a čiastkou</w:t>
      </w:r>
      <w:r w:rsidR="00AD13E4">
        <w:rPr>
          <w:rFonts w:ascii="Times New Roman" w:hAnsi="Times New Roman"/>
        </w:rPr>
        <w:t xml:space="preserve"> </w:t>
      </w:r>
      <w:r>
        <w:rPr>
          <w:rFonts w:ascii="Times New Roman" w:hAnsi="Times New Roman"/>
        </w:rPr>
        <w:t>452 983</w:t>
      </w:r>
      <w:r w:rsidR="00AD13E4">
        <w:rPr>
          <w:rFonts w:ascii="Times New Roman" w:hAnsi="Times New Roman"/>
        </w:rPr>
        <w:t xml:space="preserve"> </w:t>
      </w:r>
      <w:r w:rsidRPr="006E50E2">
        <w:rPr>
          <w:rFonts w:ascii="Times New Roman" w:hAnsi="Times New Roman"/>
        </w:rPr>
        <w:t>tis. eur</w:t>
      </w:r>
      <w:r>
        <w:rPr>
          <w:rFonts w:ascii="Times New Roman" w:hAnsi="Times New Roman"/>
        </w:rPr>
        <w:t xml:space="preserve"> v súvislosti s krytím deficitov základného fondu starobného poistenia.</w:t>
      </w:r>
    </w:p>
    <w:p w:rsidR="00712106" w:rsidP="00B548CC">
      <w:pPr>
        <w:pStyle w:val="ListParagraph"/>
        <w:bidi w:val="0"/>
        <w:spacing w:after="120" w:line="336" w:lineRule="auto"/>
        <w:ind w:left="0"/>
        <w:jc w:val="both"/>
        <w:rPr>
          <w:rFonts w:ascii="Times New Roman" w:hAnsi="Times New Roman"/>
        </w:rPr>
      </w:pPr>
      <w:r w:rsidR="00B548CC">
        <w:rPr>
          <w:rFonts w:ascii="Times New Roman" w:hAnsi="Times New Roman"/>
        </w:rPr>
        <w:t>Významnú položku predstavujú</w:t>
      </w:r>
      <w:r w:rsidR="00AD13E4">
        <w:rPr>
          <w:rFonts w:ascii="Times New Roman" w:hAnsi="Times New Roman"/>
        </w:rPr>
        <w:t xml:space="preserve"> </w:t>
      </w:r>
      <w:r>
        <w:rPr>
          <w:rFonts w:ascii="Times New Roman" w:hAnsi="Times New Roman"/>
        </w:rPr>
        <w:t xml:space="preserve">transferové platby </w:t>
      </w:r>
      <w:r w:rsidRPr="00EB1FB0">
        <w:rPr>
          <w:rFonts w:ascii="Times New Roman" w:hAnsi="Times New Roman"/>
          <w:b/>
        </w:rPr>
        <w:t>na vyrovnanie mimorozpočtového účtu štátneho dlhu</w:t>
      </w:r>
      <w:r w:rsidR="00B548CC">
        <w:rPr>
          <w:rFonts w:ascii="Times New Roman" w:hAnsi="Times New Roman"/>
          <w:b/>
        </w:rPr>
        <w:t xml:space="preserve">, </w:t>
      </w:r>
      <w:r w:rsidRPr="006E472F" w:rsidR="00B548CC">
        <w:rPr>
          <w:rFonts w:ascii="Times New Roman" w:hAnsi="Times New Roman"/>
        </w:rPr>
        <w:t>ktoré</w:t>
      </w:r>
      <w:r w:rsidR="00AD13E4">
        <w:rPr>
          <w:rFonts w:ascii="Times New Roman" w:hAnsi="Times New Roman"/>
          <w:b/>
        </w:rPr>
        <w:t xml:space="preserve"> </w:t>
      </w:r>
      <w:r w:rsidR="00B548CC">
        <w:rPr>
          <w:rFonts w:ascii="Times New Roman" w:hAnsi="Times New Roman"/>
        </w:rPr>
        <w:t>boli uhradené v o</w:t>
      </w:r>
      <w:r>
        <w:rPr>
          <w:rFonts w:ascii="Times New Roman" w:hAnsi="Times New Roman"/>
        </w:rPr>
        <w:t>bjeme 1 159 664 tis. eur z kapitoly Všeobecná pokladničná správa. Ide o</w:t>
      </w:r>
      <w:r w:rsidRPr="00EB1FB0" w:rsidR="00B548CC">
        <w:rPr>
          <w:rFonts w:ascii="Times New Roman" w:hAnsi="Times New Roman"/>
        </w:rPr>
        <w:t xml:space="preserve"> účet s povoleným debetným zostatkom, prostredníctvom ktorého Agentúra pre riadenie dlhu a likvidity od roku 2012 realizuje transakcie súvisiace s uhrádzanými úrokmi a poplatkami, a na ktorý ARDAL</w:t>
      </w:r>
      <w:r w:rsidR="00AD13E4">
        <w:rPr>
          <w:rFonts w:ascii="Times New Roman" w:hAnsi="Times New Roman"/>
        </w:rPr>
        <w:t xml:space="preserve"> </w:t>
      </w:r>
      <w:r w:rsidRPr="00EB1FB0" w:rsidR="00B548CC">
        <w:rPr>
          <w:rFonts w:ascii="Times New Roman" w:hAnsi="Times New Roman"/>
        </w:rPr>
        <w:t xml:space="preserve">priebežne prevádza a smeruje prijaté úroky a poplatky súvisiace s finančnými operáciami vykonávanými v mene a na účet Ministerstva financií SR. Vzniknuté saldo prijatých a uhrádzaných úrokov a poplatkov je mesačne vyrovnané z výdavkového rozpočtového účtu kapitoly VPS a ku koncu roka má nulový zostatok. </w:t>
      </w:r>
    </w:p>
    <w:p w:rsidR="00B548CC" w:rsidP="00B548CC">
      <w:pPr>
        <w:pStyle w:val="ListParagraph"/>
        <w:bidi w:val="0"/>
        <w:spacing w:after="120" w:line="336" w:lineRule="auto"/>
        <w:ind w:left="0"/>
        <w:jc w:val="both"/>
        <w:rPr>
          <w:rFonts w:ascii="Times New Roman" w:hAnsi="Times New Roman"/>
        </w:rPr>
      </w:pPr>
      <w:r>
        <w:rPr>
          <w:rFonts w:ascii="Times New Roman" w:hAnsi="Times New Roman"/>
        </w:rPr>
        <w:t>Zo zdrojov</w:t>
      </w:r>
      <w:r w:rsidR="00AD13E4">
        <w:rPr>
          <w:rFonts w:ascii="Times New Roman" w:hAnsi="Times New Roman"/>
        </w:rPr>
        <w:t xml:space="preserve"> </w:t>
      </w:r>
      <w:r>
        <w:rPr>
          <w:rFonts w:ascii="Times New Roman" w:hAnsi="Times New Roman"/>
        </w:rPr>
        <w:t>kapitoly</w:t>
      </w:r>
      <w:r w:rsidR="00AD13E4">
        <w:rPr>
          <w:rFonts w:ascii="Times New Roman" w:hAnsi="Times New Roman"/>
        </w:rPr>
        <w:t xml:space="preserve"> </w:t>
      </w:r>
      <w:r w:rsidRPr="00FE47C8">
        <w:rPr>
          <w:rFonts w:ascii="Times New Roman" w:hAnsi="Times New Roman"/>
        </w:rPr>
        <w:t>Všeobecn</w:t>
      </w:r>
      <w:r>
        <w:rPr>
          <w:rFonts w:ascii="Times New Roman" w:hAnsi="Times New Roman"/>
        </w:rPr>
        <w:t>ej</w:t>
      </w:r>
      <w:r w:rsidR="00AD13E4">
        <w:rPr>
          <w:rFonts w:ascii="Times New Roman" w:hAnsi="Times New Roman"/>
        </w:rPr>
        <w:t xml:space="preserve"> </w:t>
      </w:r>
      <w:r w:rsidRPr="00FE47C8">
        <w:rPr>
          <w:rFonts w:ascii="Times New Roman" w:hAnsi="Times New Roman"/>
        </w:rPr>
        <w:t>pokladničn</w:t>
      </w:r>
      <w:r>
        <w:rPr>
          <w:rFonts w:ascii="Times New Roman" w:hAnsi="Times New Roman"/>
        </w:rPr>
        <w:t>ej</w:t>
      </w:r>
      <w:r w:rsidR="00AD13E4">
        <w:rPr>
          <w:rFonts w:ascii="Times New Roman" w:hAnsi="Times New Roman"/>
        </w:rPr>
        <w:t xml:space="preserve"> </w:t>
      </w:r>
      <w:r w:rsidRPr="00FE47C8">
        <w:rPr>
          <w:rFonts w:ascii="Times New Roman" w:hAnsi="Times New Roman"/>
        </w:rPr>
        <w:t>správ</w:t>
      </w:r>
      <w:r>
        <w:rPr>
          <w:rFonts w:ascii="Times New Roman" w:hAnsi="Times New Roman"/>
        </w:rPr>
        <w:t>y</w:t>
      </w:r>
      <w:r w:rsidR="00AD13E4">
        <w:rPr>
          <w:rFonts w:ascii="Times New Roman" w:hAnsi="Times New Roman"/>
        </w:rPr>
        <w:t xml:space="preserve"> </w:t>
      </w:r>
      <w:r>
        <w:rPr>
          <w:rFonts w:ascii="Times New Roman" w:hAnsi="Times New Roman"/>
        </w:rPr>
        <w:t>boli čerpané</w:t>
      </w:r>
      <w:r w:rsidR="00AD13E4">
        <w:rPr>
          <w:rFonts w:ascii="Times New Roman" w:hAnsi="Times New Roman"/>
        </w:rPr>
        <w:t xml:space="preserve"> </w:t>
      </w:r>
      <w:r>
        <w:rPr>
          <w:rFonts w:ascii="Times New Roman" w:hAnsi="Times New Roman"/>
        </w:rPr>
        <w:t>aj výdavky</w:t>
      </w:r>
      <w:r w:rsidR="00AD13E4">
        <w:rPr>
          <w:rFonts w:ascii="Times New Roman" w:hAnsi="Times New Roman"/>
        </w:rPr>
        <w:t xml:space="preserve"> </w:t>
      </w:r>
      <w:r>
        <w:rPr>
          <w:rFonts w:ascii="Times New Roman" w:hAnsi="Times New Roman"/>
        </w:rPr>
        <w:t>na</w:t>
      </w:r>
      <w:r w:rsidR="00AD13E4">
        <w:rPr>
          <w:rFonts w:ascii="Times New Roman" w:hAnsi="Times New Roman"/>
        </w:rPr>
        <w:t xml:space="preserve"> </w:t>
      </w:r>
      <w:r w:rsidRPr="00FE47C8">
        <w:rPr>
          <w:rFonts w:ascii="Times New Roman" w:hAnsi="Times New Roman"/>
          <w:b/>
        </w:rPr>
        <w:t>financovanie nezrovnalostí</w:t>
      </w:r>
      <w:r w:rsidR="00AD13E4">
        <w:rPr>
          <w:rFonts w:ascii="Times New Roman" w:hAnsi="Times New Roman"/>
        </w:rPr>
        <w:t xml:space="preserve"> </w:t>
      </w:r>
      <w:r w:rsidRPr="00FE47C8">
        <w:rPr>
          <w:rFonts w:ascii="Times New Roman" w:hAnsi="Times New Roman"/>
        </w:rPr>
        <w:t>Nórskeho finančného mechanizmu</w:t>
      </w:r>
      <w:r>
        <w:rPr>
          <w:rFonts w:ascii="Times New Roman" w:hAnsi="Times New Roman"/>
        </w:rPr>
        <w:t xml:space="preserve"> 2 759 tis. eur</w:t>
      </w:r>
      <w:r w:rsidRPr="00FE47C8">
        <w:rPr>
          <w:rFonts w:ascii="Times New Roman" w:hAnsi="Times New Roman"/>
        </w:rPr>
        <w:t>, Operačného programu cezhraničnej spolupráce SR-ČR 1 809 tis. eur a</w:t>
      </w:r>
      <w:r w:rsidR="00AD13E4">
        <w:rPr>
          <w:rFonts w:ascii="Times New Roman" w:hAnsi="Times New Roman"/>
        </w:rPr>
        <w:t xml:space="preserve"> </w:t>
      </w:r>
      <w:r w:rsidRPr="00FE47C8">
        <w:rPr>
          <w:rFonts w:ascii="Times New Roman" w:hAnsi="Times New Roman"/>
        </w:rPr>
        <w:t>Finančného mechanizmu EHP 1 007 tis. eur.</w:t>
      </w:r>
    </w:p>
    <w:p w:rsidR="00B548CC" w:rsidRPr="006E50E2" w:rsidP="00B548CC">
      <w:pPr>
        <w:pStyle w:val="ListParagraph"/>
        <w:bidi w:val="0"/>
        <w:spacing w:after="120" w:line="336" w:lineRule="auto"/>
        <w:ind w:left="0"/>
        <w:jc w:val="both"/>
        <w:rPr>
          <w:rFonts w:ascii="Times New Roman" w:hAnsi="Times New Roman"/>
        </w:rPr>
      </w:pPr>
      <w:r>
        <w:rPr>
          <w:rFonts w:ascii="Times New Roman" w:hAnsi="Times New Roman"/>
        </w:rPr>
        <w:t xml:space="preserve">Transfery </w:t>
      </w:r>
      <w:r w:rsidRPr="006E50E2">
        <w:rPr>
          <w:rFonts w:ascii="Times New Roman" w:hAnsi="Times New Roman"/>
          <w:b/>
        </w:rPr>
        <w:t>verejným vysokým školám</w:t>
      </w:r>
      <w:r w:rsidRPr="006E50E2">
        <w:rPr>
          <w:rFonts w:ascii="Times New Roman" w:hAnsi="Times New Roman"/>
        </w:rPr>
        <w:t xml:space="preserve"> </w:t>
      </w:r>
      <w:r>
        <w:rPr>
          <w:rFonts w:ascii="Times New Roman" w:hAnsi="Times New Roman"/>
        </w:rPr>
        <w:t xml:space="preserve">boli poskytnuté </w:t>
      </w:r>
      <w:r w:rsidRPr="006E50E2">
        <w:rPr>
          <w:rFonts w:ascii="Times New Roman" w:hAnsi="Times New Roman"/>
        </w:rPr>
        <w:t xml:space="preserve">v sume </w:t>
      </w:r>
      <w:r>
        <w:rPr>
          <w:rFonts w:ascii="Times New Roman" w:hAnsi="Times New Roman"/>
        </w:rPr>
        <w:t>498 154</w:t>
      </w:r>
      <w:r w:rsidRPr="006E50E2">
        <w:rPr>
          <w:rFonts w:ascii="Times New Roman" w:hAnsi="Times New Roman"/>
        </w:rPr>
        <w:t xml:space="preserve"> tis. eur (201</w:t>
      </w:r>
      <w:r>
        <w:rPr>
          <w:rFonts w:ascii="Times New Roman" w:hAnsi="Times New Roman"/>
        </w:rPr>
        <w:t>4</w:t>
      </w:r>
      <w:r w:rsidR="002C38E1">
        <w:rPr>
          <w:rFonts w:ascii="Times New Roman" w:hAnsi="Times New Roman"/>
        </w:rPr>
        <w:t>: </w:t>
      </w:r>
      <w:r>
        <w:rPr>
          <w:rFonts w:ascii="Times New Roman" w:hAnsi="Times New Roman"/>
        </w:rPr>
        <w:t>484</w:t>
      </w:r>
      <w:r w:rsidR="002C38E1">
        <w:rPr>
          <w:rFonts w:ascii="Times New Roman" w:hAnsi="Times New Roman"/>
        </w:rPr>
        <w:t> </w:t>
      </w:r>
      <w:r>
        <w:rPr>
          <w:rFonts w:ascii="Times New Roman" w:hAnsi="Times New Roman"/>
        </w:rPr>
        <w:t>607</w:t>
      </w:r>
      <w:r w:rsidR="002C38E1">
        <w:rPr>
          <w:rFonts w:ascii="Times New Roman" w:hAnsi="Times New Roman"/>
        </w:rPr>
        <w:t> </w:t>
      </w:r>
      <w:r w:rsidRPr="006E50E2">
        <w:rPr>
          <w:rFonts w:ascii="Times New Roman" w:hAnsi="Times New Roman"/>
        </w:rPr>
        <w:t>tis.</w:t>
      </w:r>
      <w:r w:rsidR="002C38E1">
        <w:rPr>
          <w:rFonts w:ascii="Times New Roman" w:hAnsi="Times New Roman"/>
        </w:rPr>
        <w:t> </w:t>
      </w:r>
      <w:r w:rsidRPr="006E50E2">
        <w:rPr>
          <w:rFonts w:ascii="Times New Roman" w:hAnsi="Times New Roman"/>
        </w:rPr>
        <w:t>eur)</w:t>
      </w:r>
      <w:r>
        <w:rPr>
          <w:rFonts w:ascii="Times New Roman" w:hAnsi="Times New Roman"/>
        </w:rPr>
        <w:t>. Ich financovanie bolo realizované</w:t>
      </w:r>
      <w:r w:rsidR="00AD13E4">
        <w:rPr>
          <w:rFonts w:ascii="Times New Roman" w:hAnsi="Times New Roman"/>
        </w:rPr>
        <w:t xml:space="preserve"> </w:t>
      </w:r>
      <w:r w:rsidRPr="006E50E2">
        <w:rPr>
          <w:rFonts w:ascii="Times New Roman" w:hAnsi="Times New Roman"/>
        </w:rPr>
        <w:t xml:space="preserve">predovšetkým </w:t>
      </w:r>
      <w:r>
        <w:rPr>
          <w:rFonts w:ascii="Times New Roman" w:hAnsi="Times New Roman"/>
        </w:rPr>
        <w:t>rezortom</w:t>
      </w:r>
      <w:r w:rsidR="00AD13E4">
        <w:rPr>
          <w:rFonts w:ascii="Times New Roman" w:hAnsi="Times New Roman"/>
        </w:rPr>
        <w:t xml:space="preserve"> </w:t>
      </w:r>
      <w:r w:rsidRPr="006E50E2">
        <w:rPr>
          <w:rFonts w:ascii="Times New Roman" w:hAnsi="Times New Roman"/>
        </w:rPr>
        <w:t>Ministerstva školstva, vedy, výskumu a športu SR (</w:t>
      </w:r>
      <w:r>
        <w:rPr>
          <w:rFonts w:ascii="Times New Roman" w:hAnsi="Times New Roman"/>
        </w:rPr>
        <w:t>495 289</w:t>
      </w:r>
      <w:r w:rsidR="00AD13E4">
        <w:rPr>
          <w:rFonts w:ascii="Times New Roman" w:hAnsi="Times New Roman"/>
        </w:rPr>
        <w:t xml:space="preserve"> </w:t>
      </w:r>
      <w:r w:rsidRPr="006E50E2">
        <w:rPr>
          <w:rFonts w:ascii="Times New Roman" w:hAnsi="Times New Roman"/>
        </w:rPr>
        <w:t>tis. eur)</w:t>
      </w:r>
      <w:r w:rsidR="00AD13E4">
        <w:rPr>
          <w:rFonts w:ascii="Times New Roman" w:hAnsi="Times New Roman"/>
        </w:rPr>
        <w:t xml:space="preserve"> </w:t>
      </w:r>
      <w:r w:rsidRPr="009A640C">
        <w:rPr>
          <w:rFonts w:ascii="Times New Roman" w:hAnsi="Times New Roman"/>
        </w:rPr>
        <w:t>na podporu</w:t>
      </w:r>
      <w:r w:rsidR="00AD13E4">
        <w:rPr>
          <w:rFonts w:ascii="Times New Roman" w:hAnsi="Times New Roman"/>
        </w:rPr>
        <w:t xml:space="preserve"> </w:t>
      </w:r>
      <w:r w:rsidRPr="009A640C">
        <w:rPr>
          <w:rFonts w:ascii="Times New Roman" w:hAnsi="Times New Roman"/>
        </w:rPr>
        <w:t>a</w:t>
      </w:r>
      <w:r w:rsidR="00AD13E4">
        <w:rPr>
          <w:rFonts w:ascii="Times New Roman" w:hAnsi="Times New Roman"/>
        </w:rPr>
        <w:t xml:space="preserve"> </w:t>
      </w:r>
      <w:r w:rsidRPr="009A640C">
        <w:rPr>
          <w:rFonts w:ascii="Times New Roman" w:hAnsi="Times New Roman"/>
        </w:rPr>
        <w:t xml:space="preserve">rozvoj vysokoškolského vzdelávania, zabezpečenie prevádzky </w:t>
      </w:r>
      <w:r w:rsidR="000F1C22">
        <w:rPr>
          <w:rFonts w:ascii="Times New Roman" w:hAnsi="Times New Roman"/>
        </w:rPr>
        <w:t>vysokých škôl</w:t>
      </w:r>
      <w:r w:rsidRPr="009A640C">
        <w:rPr>
          <w:rFonts w:ascii="Times New Roman" w:hAnsi="Times New Roman"/>
        </w:rPr>
        <w:t>, základný výskum, ubytovacie zariadenia, stravovanie a</w:t>
      </w:r>
      <w:r w:rsidR="00AD13E4">
        <w:rPr>
          <w:rFonts w:ascii="Times New Roman" w:hAnsi="Times New Roman"/>
        </w:rPr>
        <w:t xml:space="preserve"> </w:t>
      </w:r>
      <w:r w:rsidRPr="009A640C">
        <w:rPr>
          <w:rFonts w:ascii="Times New Roman" w:hAnsi="Times New Roman"/>
        </w:rPr>
        <w:t>sociálnu podporu študentov. Najvyššie platby boli poskytnuté Univerzite Komenského v Bratislave (107 959</w:t>
      </w:r>
      <w:r w:rsidR="00AD13E4">
        <w:rPr>
          <w:rFonts w:ascii="Times New Roman" w:hAnsi="Times New Roman"/>
        </w:rPr>
        <w:t xml:space="preserve"> </w:t>
      </w:r>
      <w:r w:rsidRPr="009A640C">
        <w:rPr>
          <w:rFonts w:ascii="Times New Roman" w:hAnsi="Times New Roman"/>
        </w:rPr>
        <w:t>tis. eur), Slovenskej technickej univerzite v Bratislave (68</w:t>
      </w:r>
      <w:r w:rsidR="00223EFD">
        <w:rPr>
          <w:rFonts w:ascii="Times New Roman" w:hAnsi="Times New Roman"/>
        </w:rPr>
        <w:t> </w:t>
      </w:r>
      <w:r w:rsidRPr="009A640C">
        <w:rPr>
          <w:rFonts w:ascii="Times New Roman" w:hAnsi="Times New Roman"/>
        </w:rPr>
        <w:t>096</w:t>
      </w:r>
      <w:r w:rsidR="00223EFD">
        <w:rPr>
          <w:rFonts w:ascii="Times New Roman" w:hAnsi="Times New Roman"/>
        </w:rPr>
        <w:t> </w:t>
      </w:r>
      <w:r w:rsidRPr="009A640C">
        <w:rPr>
          <w:rFonts w:ascii="Times New Roman" w:hAnsi="Times New Roman"/>
        </w:rPr>
        <w:t>tis. eur), Technickej univerzite v Košiciach (47 846 tis.</w:t>
      </w:r>
      <w:r w:rsidR="00223EFD">
        <w:rPr>
          <w:rFonts w:ascii="Times New Roman" w:hAnsi="Times New Roman"/>
        </w:rPr>
        <w:t xml:space="preserve"> eur), Žilinskej univerzite (40 </w:t>
      </w:r>
      <w:r w:rsidRPr="009A640C">
        <w:rPr>
          <w:rFonts w:ascii="Times New Roman" w:hAnsi="Times New Roman"/>
        </w:rPr>
        <w:t>83</w:t>
      </w:r>
      <w:r w:rsidR="002C38E1">
        <w:rPr>
          <w:rFonts w:ascii="Times New Roman" w:hAnsi="Times New Roman"/>
        </w:rPr>
        <w:t>1 tis. eur) a</w:t>
      </w:r>
      <w:r w:rsidR="000F1C22">
        <w:rPr>
          <w:rFonts w:ascii="Times New Roman" w:hAnsi="Times New Roman"/>
        </w:rPr>
        <w:t> </w:t>
      </w:r>
      <w:r w:rsidR="002C38E1">
        <w:rPr>
          <w:rFonts w:ascii="Times New Roman" w:hAnsi="Times New Roman"/>
        </w:rPr>
        <w:t>U</w:t>
      </w:r>
      <w:r w:rsidR="000F1C22">
        <w:rPr>
          <w:rFonts w:ascii="Times New Roman" w:hAnsi="Times New Roman"/>
        </w:rPr>
        <w:t xml:space="preserve">niverzite P. J. Šafárika </w:t>
      </w:r>
      <w:r w:rsidR="002C38E1">
        <w:rPr>
          <w:rFonts w:ascii="Times New Roman" w:hAnsi="Times New Roman"/>
        </w:rPr>
        <w:t>(30 314 tis. </w:t>
      </w:r>
      <w:r w:rsidRPr="009A640C">
        <w:rPr>
          <w:rFonts w:ascii="Times New Roman" w:hAnsi="Times New Roman"/>
        </w:rPr>
        <w:t>eur).</w:t>
      </w:r>
    </w:p>
    <w:p w:rsidR="00B548CC" w:rsidRPr="006E50E2" w:rsidP="00B548CC">
      <w:pPr>
        <w:pStyle w:val="ListParagraph"/>
        <w:bidi w:val="0"/>
        <w:spacing w:after="120" w:line="336" w:lineRule="auto"/>
        <w:ind w:left="0"/>
        <w:jc w:val="both"/>
        <w:rPr>
          <w:rFonts w:ascii="Times New Roman" w:hAnsi="Times New Roman"/>
        </w:rPr>
      </w:pPr>
      <w:r>
        <w:rPr>
          <w:rFonts w:ascii="Times New Roman" w:hAnsi="Times New Roman"/>
        </w:rPr>
        <w:t>Na</w:t>
      </w:r>
      <w:r w:rsidR="00AD13E4">
        <w:rPr>
          <w:rFonts w:ascii="Times New Roman" w:hAnsi="Times New Roman"/>
        </w:rPr>
        <w:t xml:space="preserve"> </w:t>
      </w:r>
      <w:r w:rsidRPr="006E50E2">
        <w:rPr>
          <w:rFonts w:ascii="Times New Roman" w:hAnsi="Times New Roman"/>
        </w:rPr>
        <w:t>transfer</w:t>
      </w:r>
      <w:r>
        <w:rPr>
          <w:rFonts w:ascii="Times New Roman" w:hAnsi="Times New Roman"/>
        </w:rPr>
        <w:t>y</w:t>
      </w:r>
      <w:r w:rsidR="00AD13E4">
        <w:rPr>
          <w:rFonts w:ascii="Times New Roman" w:hAnsi="Times New Roman"/>
        </w:rPr>
        <w:t xml:space="preserve"> </w:t>
      </w:r>
      <w:r w:rsidRPr="006E50E2">
        <w:rPr>
          <w:rFonts w:ascii="Times New Roman" w:hAnsi="Times New Roman"/>
          <w:b/>
        </w:rPr>
        <w:t>obciam</w:t>
      </w:r>
      <w:r w:rsidR="00AD13E4">
        <w:rPr>
          <w:rFonts w:ascii="Times New Roman" w:hAnsi="Times New Roman"/>
          <w:b/>
        </w:rPr>
        <w:t xml:space="preserve"> </w:t>
      </w:r>
      <w:r w:rsidRPr="006E50E2">
        <w:rPr>
          <w:rFonts w:ascii="Times New Roman" w:hAnsi="Times New Roman"/>
          <w:b/>
        </w:rPr>
        <w:t>na</w:t>
      </w:r>
      <w:r w:rsidR="00AD13E4">
        <w:rPr>
          <w:rFonts w:ascii="Times New Roman" w:hAnsi="Times New Roman"/>
          <w:b/>
        </w:rPr>
        <w:t xml:space="preserve"> </w:t>
      </w:r>
      <w:r w:rsidRPr="006E50E2">
        <w:rPr>
          <w:rFonts w:ascii="Times New Roman" w:hAnsi="Times New Roman"/>
          <w:b/>
        </w:rPr>
        <w:t>úhradu nákladov</w:t>
      </w:r>
      <w:r w:rsidRPr="006E50E2">
        <w:rPr>
          <w:rFonts w:ascii="Times New Roman" w:hAnsi="Times New Roman"/>
        </w:rPr>
        <w:t xml:space="preserve"> </w:t>
      </w:r>
      <w:r w:rsidRPr="006E50E2">
        <w:rPr>
          <w:rFonts w:ascii="Times New Roman" w:hAnsi="Times New Roman"/>
          <w:b/>
        </w:rPr>
        <w:t xml:space="preserve">preneseného výkonu štátnej správy </w:t>
      </w:r>
      <w:r w:rsidRPr="002D6C96">
        <w:rPr>
          <w:rFonts w:ascii="Times New Roman" w:hAnsi="Times New Roman"/>
        </w:rPr>
        <w:t xml:space="preserve">sa </w:t>
      </w:r>
      <w:r>
        <w:rPr>
          <w:rFonts w:ascii="Times New Roman" w:hAnsi="Times New Roman"/>
        </w:rPr>
        <w:t>vyčerpalo</w:t>
      </w:r>
      <w:r w:rsidR="00AD13E4">
        <w:rPr>
          <w:rFonts w:ascii="Times New Roman" w:hAnsi="Times New Roman"/>
        </w:rPr>
        <w:t xml:space="preserve"> </w:t>
      </w:r>
      <w:r w:rsidR="002C38E1">
        <w:rPr>
          <w:rFonts w:ascii="Times New Roman" w:hAnsi="Times New Roman"/>
        </w:rPr>
        <w:t>756 </w:t>
      </w:r>
      <w:r>
        <w:rPr>
          <w:rFonts w:ascii="Times New Roman" w:hAnsi="Times New Roman"/>
        </w:rPr>
        <w:t>305</w:t>
      </w:r>
      <w:r w:rsidRPr="006E50E2">
        <w:rPr>
          <w:rFonts w:ascii="Times New Roman" w:hAnsi="Times New Roman"/>
        </w:rPr>
        <w:t xml:space="preserve"> tis. eur (201</w:t>
      </w:r>
      <w:r>
        <w:rPr>
          <w:rFonts w:ascii="Times New Roman" w:hAnsi="Times New Roman"/>
        </w:rPr>
        <w:t>4</w:t>
      </w:r>
      <w:r w:rsidRPr="006E50E2">
        <w:rPr>
          <w:rFonts w:ascii="Times New Roman" w:hAnsi="Times New Roman"/>
        </w:rPr>
        <w:t xml:space="preserve">: </w:t>
      </w:r>
      <w:r>
        <w:rPr>
          <w:rFonts w:ascii="Times New Roman" w:hAnsi="Times New Roman"/>
        </w:rPr>
        <w:t>719 679 tis</w:t>
      </w:r>
      <w:r w:rsidRPr="006E50E2">
        <w:rPr>
          <w:rFonts w:ascii="Times New Roman" w:hAnsi="Times New Roman"/>
        </w:rPr>
        <w:t>. eur)</w:t>
      </w:r>
      <w:r>
        <w:rPr>
          <w:rFonts w:ascii="Times New Roman" w:hAnsi="Times New Roman"/>
        </w:rPr>
        <w:t>, finančné</w:t>
      </w:r>
      <w:r w:rsidR="00AD13E4">
        <w:rPr>
          <w:rFonts w:ascii="Times New Roman" w:hAnsi="Times New Roman"/>
        </w:rPr>
        <w:t xml:space="preserve"> </w:t>
      </w:r>
      <w:r>
        <w:rPr>
          <w:rFonts w:ascii="Times New Roman" w:hAnsi="Times New Roman"/>
        </w:rPr>
        <w:t>toky</w:t>
      </w:r>
      <w:r w:rsidR="00AD13E4">
        <w:rPr>
          <w:rFonts w:ascii="Times New Roman" w:hAnsi="Times New Roman"/>
        </w:rPr>
        <w:t xml:space="preserve"> </w:t>
      </w:r>
      <w:r>
        <w:rPr>
          <w:rFonts w:ascii="Times New Roman" w:hAnsi="Times New Roman"/>
        </w:rPr>
        <w:t xml:space="preserve">boli </w:t>
      </w:r>
      <w:r w:rsidRPr="006E50E2">
        <w:rPr>
          <w:rFonts w:ascii="Times New Roman" w:hAnsi="Times New Roman"/>
        </w:rPr>
        <w:t xml:space="preserve">v rozhodujúcej miere </w:t>
      </w:r>
      <w:r>
        <w:rPr>
          <w:rFonts w:ascii="Times New Roman" w:hAnsi="Times New Roman"/>
        </w:rPr>
        <w:t>749 876</w:t>
      </w:r>
      <w:r w:rsidRPr="006E50E2">
        <w:rPr>
          <w:rFonts w:ascii="Times New Roman" w:hAnsi="Times New Roman"/>
        </w:rPr>
        <w:t xml:space="preserve"> tis. eur</w:t>
      </w:r>
      <w:r w:rsidR="00AD13E4">
        <w:rPr>
          <w:rFonts w:ascii="Times New Roman" w:hAnsi="Times New Roman"/>
        </w:rPr>
        <w:t xml:space="preserve"> </w:t>
      </w:r>
      <w:r>
        <w:rPr>
          <w:rFonts w:ascii="Times New Roman" w:hAnsi="Times New Roman"/>
        </w:rPr>
        <w:t>poskytnuté</w:t>
      </w:r>
      <w:r w:rsidR="00AD13E4">
        <w:rPr>
          <w:rFonts w:ascii="Times New Roman" w:hAnsi="Times New Roman"/>
        </w:rPr>
        <w:t xml:space="preserve"> </w:t>
      </w:r>
      <w:r>
        <w:rPr>
          <w:rFonts w:ascii="Times New Roman" w:hAnsi="Times New Roman"/>
        </w:rPr>
        <w:t>kapitolou</w:t>
      </w:r>
      <w:r w:rsidR="00AD13E4">
        <w:rPr>
          <w:rFonts w:ascii="Times New Roman" w:hAnsi="Times New Roman"/>
        </w:rPr>
        <w:t xml:space="preserve"> </w:t>
      </w:r>
      <w:r w:rsidRPr="006E50E2">
        <w:rPr>
          <w:rFonts w:ascii="Times New Roman" w:hAnsi="Times New Roman"/>
        </w:rPr>
        <w:t>Ministerstva vnútra SR</w:t>
      </w:r>
      <w:r w:rsidR="00AD13E4">
        <w:rPr>
          <w:rFonts w:ascii="Times New Roman" w:hAnsi="Times New Roman"/>
        </w:rPr>
        <w:t xml:space="preserve"> </w:t>
      </w:r>
      <w:r>
        <w:rPr>
          <w:rFonts w:ascii="Times New Roman" w:hAnsi="Times New Roman"/>
        </w:rPr>
        <w:t>a to na činnosť základných škôl,</w:t>
      </w:r>
      <w:r w:rsidR="00AD13E4">
        <w:rPr>
          <w:rFonts w:ascii="Times New Roman" w:hAnsi="Times New Roman"/>
        </w:rPr>
        <w:t xml:space="preserve"> </w:t>
      </w:r>
      <w:r w:rsidRPr="006E50E2">
        <w:rPr>
          <w:rFonts w:ascii="Times New Roman" w:hAnsi="Times New Roman"/>
        </w:rPr>
        <w:t>matričných úradov, evidenci</w:t>
      </w:r>
      <w:r>
        <w:rPr>
          <w:rFonts w:ascii="Times New Roman" w:hAnsi="Times New Roman"/>
        </w:rPr>
        <w:t>u</w:t>
      </w:r>
      <w:r w:rsidRPr="006E50E2">
        <w:rPr>
          <w:rFonts w:ascii="Times New Roman" w:hAnsi="Times New Roman"/>
        </w:rPr>
        <w:t xml:space="preserve"> a regist</w:t>
      </w:r>
      <w:r>
        <w:rPr>
          <w:rFonts w:ascii="Times New Roman" w:hAnsi="Times New Roman"/>
        </w:rPr>
        <w:t>e</w:t>
      </w:r>
      <w:r w:rsidRPr="006E50E2">
        <w:rPr>
          <w:rFonts w:ascii="Times New Roman" w:hAnsi="Times New Roman"/>
        </w:rPr>
        <w:t>r obyvateľov.</w:t>
      </w:r>
      <w:r>
        <w:rPr>
          <w:rFonts w:ascii="Times New Roman" w:hAnsi="Times New Roman"/>
        </w:rPr>
        <w:t xml:space="preserve"> Prostredníctvom Ministerstva vnútra SR</w:t>
      </w:r>
      <w:r w:rsidR="00AD13E4">
        <w:rPr>
          <w:rFonts w:ascii="Times New Roman" w:hAnsi="Times New Roman"/>
        </w:rPr>
        <w:t xml:space="preserve"> </w:t>
      </w:r>
      <w:r>
        <w:rPr>
          <w:rFonts w:ascii="Times New Roman" w:hAnsi="Times New Roman"/>
        </w:rPr>
        <w:t xml:space="preserve">boli </w:t>
      </w:r>
      <w:r w:rsidR="000F1C22">
        <w:rPr>
          <w:rFonts w:ascii="Times New Roman" w:hAnsi="Times New Roman"/>
        </w:rPr>
        <w:t>do</w:t>
      </w:r>
      <w:r>
        <w:rPr>
          <w:rFonts w:ascii="Times New Roman" w:hAnsi="Times New Roman"/>
        </w:rPr>
        <w:t>financované školy v zriaďovateľskej pôsobnosti obcí a školy neštátnych zriaďovateľov (cirkevné a súkromné)</w:t>
      </w:r>
      <w:r w:rsidR="002250E3">
        <w:rPr>
          <w:rFonts w:ascii="Times New Roman" w:hAnsi="Times New Roman"/>
        </w:rPr>
        <w:t>.</w:t>
      </w:r>
      <w:r>
        <w:rPr>
          <w:rFonts w:ascii="Times New Roman" w:hAnsi="Times New Roman"/>
        </w:rPr>
        <w:t xml:space="preserve"> </w:t>
      </w:r>
      <w:r w:rsidR="002250E3">
        <w:rPr>
          <w:rFonts w:ascii="Times New Roman" w:hAnsi="Times New Roman"/>
        </w:rPr>
        <w:t>T</w:t>
      </w:r>
      <w:r>
        <w:rPr>
          <w:rFonts w:ascii="Times New Roman" w:hAnsi="Times New Roman"/>
        </w:rPr>
        <w:t>áto oblasť</w:t>
      </w:r>
      <w:r w:rsidR="00AD13E4">
        <w:rPr>
          <w:rFonts w:ascii="Times New Roman" w:hAnsi="Times New Roman"/>
        </w:rPr>
        <w:t xml:space="preserve"> </w:t>
      </w:r>
      <w:r w:rsidRPr="006E50E2">
        <w:rPr>
          <w:rFonts w:ascii="Times New Roman" w:hAnsi="Times New Roman"/>
        </w:rPr>
        <w:t xml:space="preserve">bežných výdavkov </w:t>
      </w:r>
      <w:r>
        <w:rPr>
          <w:rFonts w:ascii="Times New Roman" w:hAnsi="Times New Roman"/>
        </w:rPr>
        <w:t>zahŕňa</w:t>
      </w:r>
      <w:r w:rsidR="00AD13E4">
        <w:rPr>
          <w:rFonts w:ascii="Times New Roman" w:hAnsi="Times New Roman"/>
        </w:rPr>
        <w:t xml:space="preserve"> </w:t>
      </w:r>
      <w:r w:rsidRPr="006E50E2">
        <w:rPr>
          <w:rFonts w:ascii="Times New Roman" w:hAnsi="Times New Roman"/>
        </w:rPr>
        <w:t xml:space="preserve">okrem osobných výdavkov a prevádzky škôl aj nenormatívne výdavky - bezplatná výchova detí od 5 rokov v materských školách, vzdelávacie poukazy, výdavky na </w:t>
      </w:r>
      <w:r>
        <w:rPr>
          <w:rFonts w:ascii="Times New Roman" w:hAnsi="Times New Roman"/>
        </w:rPr>
        <w:t xml:space="preserve">zvýšený počet </w:t>
      </w:r>
      <w:r w:rsidRPr="006E50E2">
        <w:rPr>
          <w:rFonts w:ascii="Times New Roman" w:hAnsi="Times New Roman"/>
        </w:rPr>
        <w:t>asistentov učiteľa, dopravné žiakom, výdavky na učebnice</w:t>
      </w:r>
      <w:r>
        <w:rPr>
          <w:rFonts w:ascii="Times New Roman" w:hAnsi="Times New Roman"/>
        </w:rPr>
        <w:t xml:space="preserve">, výdavky pre žiakov zo znevýhodneného prostredia, prevádzku </w:t>
      </w:r>
      <w:r w:rsidR="000F1C22">
        <w:rPr>
          <w:rFonts w:ascii="Times New Roman" w:hAnsi="Times New Roman"/>
        </w:rPr>
        <w:t xml:space="preserve">projektu </w:t>
      </w:r>
      <w:r>
        <w:rPr>
          <w:rFonts w:ascii="Times New Roman" w:hAnsi="Times New Roman"/>
        </w:rPr>
        <w:t>Infovek</w:t>
      </w:r>
      <w:r w:rsidRPr="006E50E2">
        <w:rPr>
          <w:rFonts w:ascii="Times New Roman" w:hAnsi="Times New Roman"/>
        </w:rPr>
        <w:t xml:space="preserve"> a pod. </w:t>
      </w:r>
    </w:p>
    <w:p w:rsidR="00B548CC" w:rsidRPr="006E50E2" w:rsidP="00B548CC">
      <w:pPr>
        <w:pStyle w:val="ListParagraph"/>
        <w:bidi w:val="0"/>
        <w:spacing w:after="120" w:line="336" w:lineRule="auto"/>
        <w:ind w:left="0"/>
        <w:jc w:val="both"/>
        <w:rPr>
          <w:rFonts w:ascii="Times New Roman" w:hAnsi="Times New Roman"/>
        </w:rPr>
      </w:pPr>
      <w:r>
        <w:rPr>
          <w:rFonts w:ascii="Times New Roman" w:hAnsi="Times New Roman"/>
        </w:rPr>
        <w:t>Ostatné</w:t>
      </w:r>
      <w:r w:rsidR="00AD13E4">
        <w:rPr>
          <w:rFonts w:ascii="Times New Roman" w:hAnsi="Times New Roman"/>
        </w:rPr>
        <w:t xml:space="preserve"> </w:t>
      </w:r>
      <w:r w:rsidRPr="006E50E2">
        <w:rPr>
          <w:rFonts w:ascii="Times New Roman" w:hAnsi="Times New Roman"/>
        </w:rPr>
        <w:t>transfery</w:t>
      </w:r>
      <w:r w:rsidR="00AD13E4">
        <w:rPr>
          <w:rFonts w:ascii="Times New Roman" w:hAnsi="Times New Roman"/>
        </w:rPr>
        <w:t xml:space="preserve"> </w:t>
      </w:r>
      <w:r w:rsidRPr="006E50E2">
        <w:rPr>
          <w:rFonts w:ascii="Times New Roman" w:hAnsi="Times New Roman"/>
          <w:b/>
        </w:rPr>
        <w:t xml:space="preserve">obciam okrem transferu na úhradu nákladov preneseného výkonu štátnej správy </w:t>
      </w:r>
      <w:r>
        <w:rPr>
          <w:rFonts w:ascii="Times New Roman" w:hAnsi="Times New Roman"/>
        </w:rPr>
        <w:t>dosiahli</w:t>
      </w:r>
      <w:r w:rsidR="00AD13E4">
        <w:rPr>
          <w:rFonts w:ascii="Times New Roman" w:hAnsi="Times New Roman"/>
        </w:rPr>
        <w:t xml:space="preserve"> </w:t>
      </w:r>
      <w:r>
        <w:rPr>
          <w:rFonts w:ascii="Times New Roman" w:hAnsi="Times New Roman"/>
        </w:rPr>
        <w:t>99 330</w:t>
      </w:r>
      <w:r w:rsidR="00AD13E4">
        <w:rPr>
          <w:rFonts w:ascii="Times New Roman" w:hAnsi="Times New Roman"/>
        </w:rPr>
        <w:t xml:space="preserve"> </w:t>
      </w:r>
      <w:r w:rsidRPr="006E50E2">
        <w:rPr>
          <w:rFonts w:ascii="Times New Roman" w:hAnsi="Times New Roman"/>
        </w:rPr>
        <w:t>tis. eur (201</w:t>
      </w:r>
      <w:r>
        <w:rPr>
          <w:rFonts w:ascii="Times New Roman" w:hAnsi="Times New Roman"/>
        </w:rPr>
        <w:t>4</w:t>
      </w:r>
      <w:r w:rsidRPr="006E50E2">
        <w:rPr>
          <w:rFonts w:ascii="Times New Roman" w:hAnsi="Times New Roman"/>
        </w:rPr>
        <w:t xml:space="preserve">: </w:t>
      </w:r>
      <w:r>
        <w:rPr>
          <w:rFonts w:ascii="Times New Roman" w:hAnsi="Times New Roman"/>
        </w:rPr>
        <w:t>114</w:t>
      </w:r>
      <w:r w:rsidR="00AD13E4">
        <w:rPr>
          <w:rFonts w:ascii="Times New Roman" w:hAnsi="Times New Roman"/>
        </w:rPr>
        <w:t xml:space="preserve"> </w:t>
      </w:r>
      <w:r>
        <w:rPr>
          <w:rFonts w:ascii="Times New Roman" w:hAnsi="Times New Roman"/>
        </w:rPr>
        <w:t>361</w:t>
      </w:r>
      <w:r w:rsidRPr="006E50E2">
        <w:rPr>
          <w:rFonts w:ascii="Times New Roman" w:hAnsi="Times New Roman"/>
        </w:rPr>
        <w:t xml:space="preserve"> tis. eur)</w:t>
      </w:r>
      <w:r>
        <w:rPr>
          <w:rFonts w:ascii="Times New Roman" w:hAnsi="Times New Roman"/>
        </w:rPr>
        <w:t>, na čom sa podieľala</w:t>
      </w:r>
      <w:r w:rsidR="00AD13E4">
        <w:rPr>
          <w:rFonts w:ascii="Times New Roman" w:hAnsi="Times New Roman"/>
        </w:rPr>
        <w:t xml:space="preserve"> </w:t>
      </w:r>
      <w:r>
        <w:rPr>
          <w:rFonts w:ascii="Times New Roman" w:hAnsi="Times New Roman"/>
        </w:rPr>
        <w:t>v rozhodujúcej miere kap</w:t>
      </w:r>
      <w:r w:rsidRPr="006E50E2">
        <w:rPr>
          <w:rFonts w:ascii="Times New Roman" w:hAnsi="Times New Roman"/>
        </w:rPr>
        <w:t>itola Ministerstva práce, sociálnych vecí a rodiny SR (</w:t>
      </w:r>
      <w:r>
        <w:rPr>
          <w:rFonts w:ascii="Times New Roman" w:hAnsi="Times New Roman"/>
        </w:rPr>
        <w:t>68 373</w:t>
      </w:r>
      <w:r w:rsidRPr="006E50E2">
        <w:rPr>
          <w:rFonts w:ascii="Times New Roman" w:hAnsi="Times New Roman"/>
        </w:rPr>
        <w:t xml:space="preserve"> tis. eur). </w:t>
      </w:r>
      <w:r>
        <w:rPr>
          <w:rFonts w:ascii="Times New Roman" w:hAnsi="Times New Roman"/>
        </w:rPr>
        <w:t>Výdavky boli smerované, tak ako v minulom období,</w:t>
      </w:r>
      <w:r w:rsidR="00AD13E4">
        <w:rPr>
          <w:rFonts w:ascii="Times New Roman" w:hAnsi="Times New Roman"/>
        </w:rPr>
        <w:t xml:space="preserve"> </w:t>
      </w:r>
      <w:r>
        <w:rPr>
          <w:rFonts w:ascii="Times New Roman" w:hAnsi="Times New Roman"/>
        </w:rPr>
        <w:t>predovšetkým</w:t>
      </w:r>
      <w:r w:rsidR="00AD13E4">
        <w:rPr>
          <w:rFonts w:ascii="Times New Roman" w:hAnsi="Times New Roman"/>
        </w:rPr>
        <w:t xml:space="preserve"> </w:t>
      </w:r>
      <w:r w:rsidRPr="006E50E2">
        <w:rPr>
          <w:rFonts w:ascii="Times New Roman" w:hAnsi="Times New Roman"/>
        </w:rPr>
        <w:t>na spolufinancovanie sociálnych služieb</w:t>
      </w:r>
      <w:r>
        <w:rPr>
          <w:rFonts w:ascii="Times New Roman" w:hAnsi="Times New Roman"/>
        </w:rPr>
        <w:t xml:space="preserve"> pre verejných poskytovateľov týchto služieb</w:t>
      </w:r>
      <w:r w:rsidR="00AD13E4">
        <w:rPr>
          <w:rFonts w:ascii="Times New Roman" w:hAnsi="Times New Roman"/>
        </w:rPr>
        <w:t xml:space="preserve"> </w:t>
      </w:r>
      <w:r w:rsidRPr="00842531">
        <w:rPr>
          <w:rFonts w:ascii="Times New Roman" w:hAnsi="Times New Roman"/>
        </w:rPr>
        <w:t xml:space="preserve">(39 559 tis. eur), na nenávratné finančné príspevky v rámci OP zamestnanosť a sociálna inklúzia (16 157 </w:t>
      </w:r>
      <w:r>
        <w:rPr>
          <w:rFonts w:ascii="Times New Roman" w:hAnsi="Times New Roman"/>
        </w:rPr>
        <w:t>tis. eur) a</w:t>
      </w:r>
      <w:r w:rsidR="00AD13E4">
        <w:rPr>
          <w:rFonts w:ascii="Times New Roman" w:hAnsi="Times New Roman"/>
        </w:rPr>
        <w:t xml:space="preserve"> </w:t>
      </w:r>
      <w:r w:rsidRPr="00842531">
        <w:rPr>
          <w:rFonts w:ascii="Times New Roman" w:hAnsi="Times New Roman"/>
        </w:rPr>
        <w:t>na zabezpečenie výkonu osobitného príjemcu</w:t>
      </w:r>
      <w:r w:rsidR="000F1C22">
        <w:rPr>
          <w:rFonts w:ascii="Times New Roman" w:hAnsi="Times New Roman"/>
        </w:rPr>
        <w:t>,</w:t>
      </w:r>
      <w:r w:rsidR="00AD13E4">
        <w:rPr>
          <w:rFonts w:ascii="Times New Roman" w:hAnsi="Times New Roman"/>
        </w:rPr>
        <w:t xml:space="preserve"> </w:t>
      </w:r>
      <w:r w:rsidRPr="00842531">
        <w:rPr>
          <w:rFonts w:ascii="Times New Roman" w:hAnsi="Times New Roman"/>
        </w:rPr>
        <w:t>podporu výchovy k stravovacím návykom a plnenie školských povinností detí ohrozených sociálnym vylúčením v súlade so zákonom č. 544/2010 Z. z.</w:t>
      </w:r>
      <w:r w:rsidR="00AD13E4">
        <w:rPr>
          <w:rFonts w:ascii="Times New Roman" w:hAnsi="Times New Roman"/>
        </w:rPr>
        <w:t xml:space="preserve"> </w:t>
      </w:r>
      <w:r>
        <w:rPr>
          <w:rFonts w:ascii="Times New Roman" w:hAnsi="Times New Roman"/>
        </w:rPr>
        <w:t>(12 513 tis. eur).</w:t>
      </w:r>
      <w:r w:rsidR="00AD13E4">
        <w:rPr>
          <w:rFonts w:ascii="Times New Roman" w:hAnsi="Times New Roman"/>
        </w:rPr>
        <w:t xml:space="preserve"> </w:t>
      </w:r>
      <w:r>
        <w:rPr>
          <w:rFonts w:ascii="Times New Roman" w:hAnsi="Times New Roman"/>
        </w:rPr>
        <w:t>Transferové platby</w:t>
      </w:r>
      <w:r w:rsidR="00AD13E4">
        <w:rPr>
          <w:rFonts w:ascii="Times New Roman" w:hAnsi="Times New Roman"/>
        </w:rPr>
        <w:t xml:space="preserve"> </w:t>
      </w:r>
      <w:r>
        <w:rPr>
          <w:rFonts w:ascii="Times New Roman" w:hAnsi="Times New Roman"/>
        </w:rPr>
        <w:t>obciam</w:t>
      </w:r>
      <w:r w:rsidR="00AD13E4">
        <w:rPr>
          <w:rFonts w:ascii="Times New Roman" w:hAnsi="Times New Roman"/>
        </w:rPr>
        <w:t xml:space="preserve"> </w:t>
      </w:r>
      <w:r>
        <w:rPr>
          <w:rFonts w:ascii="Times New Roman" w:hAnsi="Times New Roman"/>
        </w:rPr>
        <w:t>boli</w:t>
      </w:r>
      <w:r w:rsidR="00AD13E4">
        <w:rPr>
          <w:rFonts w:ascii="Times New Roman" w:hAnsi="Times New Roman"/>
        </w:rPr>
        <w:t xml:space="preserve"> </w:t>
      </w:r>
      <w:r>
        <w:rPr>
          <w:rFonts w:ascii="Times New Roman" w:hAnsi="Times New Roman"/>
        </w:rPr>
        <w:t>realizované aj</w:t>
      </w:r>
      <w:r w:rsidR="00AD13E4">
        <w:rPr>
          <w:rFonts w:ascii="Times New Roman" w:hAnsi="Times New Roman"/>
        </w:rPr>
        <w:t xml:space="preserve"> </w:t>
      </w:r>
      <w:r>
        <w:rPr>
          <w:rFonts w:ascii="Times New Roman" w:hAnsi="Times New Roman"/>
        </w:rPr>
        <w:t>Ministerstvom</w:t>
      </w:r>
      <w:r w:rsidR="00AD13E4">
        <w:rPr>
          <w:rFonts w:ascii="Times New Roman" w:hAnsi="Times New Roman"/>
        </w:rPr>
        <w:t xml:space="preserve"> </w:t>
      </w:r>
      <w:r w:rsidRPr="00B62AD4">
        <w:rPr>
          <w:rFonts w:ascii="Times New Roman" w:hAnsi="Times New Roman"/>
        </w:rPr>
        <w:t>vnútra SR (8 526 tis. eur), Ministerstv</w:t>
      </w:r>
      <w:r>
        <w:rPr>
          <w:rFonts w:ascii="Times New Roman" w:hAnsi="Times New Roman"/>
        </w:rPr>
        <w:t>om</w:t>
      </w:r>
      <w:r w:rsidRPr="00B62AD4">
        <w:rPr>
          <w:rFonts w:ascii="Times New Roman" w:hAnsi="Times New Roman"/>
        </w:rPr>
        <w:t xml:space="preserve"> pôdohospodárstva</w:t>
      </w:r>
      <w:r>
        <w:rPr>
          <w:rFonts w:ascii="Times New Roman" w:hAnsi="Times New Roman"/>
        </w:rPr>
        <w:t xml:space="preserve"> a rozvoja vidieka SR</w:t>
      </w:r>
      <w:r w:rsidR="00AD13E4">
        <w:rPr>
          <w:rFonts w:ascii="Times New Roman" w:hAnsi="Times New Roman"/>
        </w:rPr>
        <w:t xml:space="preserve"> </w:t>
      </w:r>
      <w:r w:rsidRPr="00B62AD4">
        <w:rPr>
          <w:rFonts w:ascii="Times New Roman" w:hAnsi="Times New Roman"/>
        </w:rPr>
        <w:t>(7 861 tis. eur)</w:t>
      </w:r>
      <w:r>
        <w:rPr>
          <w:rFonts w:ascii="Times New Roman" w:hAnsi="Times New Roman"/>
        </w:rPr>
        <w:t>,</w:t>
      </w:r>
      <w:r w:rsidR="00AD13E4">
        <w:rPr>
          <w:rFonts w:ascii="Times New Roman" w:hAnsi="Times New Roman"/>
        </w:rPr>
        <w:t xml:space="preserve"> </w:t>
      </w:r>
      <w:r>
        <w:rPr>
          <w:rFonts w:ascii="Times New Roman" w:hAnsi="Times New Roman"/>
        </w:rPr>
        <w:t>z iných</w:t>
      </w:r>
      <w:r w:rsidR="00AD13E4">
        <w:rPr>
          <w:rFonts w:ascii="Times New Roman" w:hAnsi="Times New Roman"/>
        </w:rPr>
        <w:t xml:space="preserve"> </w:t>
      </w:r>
      <w:r>
        <w:rPr>
          <w:rFonts w:ascii="Times New Roman" w:hAnsi="Times New Roman"/>
        </w:rPr>
        <w:t>kapitol</w:t>
      </w:r>
      <w:r w:rsidR="001B5BF8">
        <w:rPr>
          <w:rFonts w:ascii="Times New Roman" w:hAnsi="Times New Roman"/>
        </w:rPr>
        <w:t xml:space="preserve"> </w:t>
      </w:r>
      <w:r w:rsidR="002C38E1">
        <w:rPr>
          <w:rFonts w:ascii="Times New Roman" w:hAnsi="Times New Roman"/>
        </w:rPr>
        <w:t>(14 570 tis. </w:t>
      </w:r>
      <w:r>
        <w:rPr>
          <w:rFonts w:ascii="Times New Roman" w:hAnsi="Times New Roman"/>
        </w:rPr>
        <w:t>eur).</w:t>
      </w:r>
    </w:p>
    <w:p w:rsidR="00B548CC" w:rsidRPr="006E50E2" w:rsidP="00B548CC">
      <w:pPr>
        <w:pStyle w:val="ListParagraph"/>
        <w:bidi w:val="0"/>
        <w:spacing w:after="120" w:line="336" w:lineRule="auto"/>
        <w:ind w:left="0"/>
        <w:jc w:val="both"/>
        <w:rPr>
          <w:rFonts w:ascii="Times New Roman" w:hAnsi="Times New Roman"/>
        </w:rPr>
      </w:pPr>
      <w:r>
        <w:rPr>
          <w:rFonts w:ascii="Times New Roman" w:hAnsi="Times New Roman"/>
        </w:rPr>
        <w:t>Rezortom</w:t>
      </w:r>
      <w:r w:rsidR="00AD13E4">
        <w:rPr>
          <w:rFonts w:ascii="Times New Roman" w:hAnsi="Times New Roman"/>
        </w:rPr>
        <w:t xml:space="preserve"> </w:t>
      </w:r>
      <w:r>
        <w:rPr>
          <w:rFonts w:ascii="Times New Roman" w:hAnsi="Times New Roman"/>
        </w:rPr>
        <w:t>Ministerstva školstva, vedy, výskumu a športu SR</w:t>
      </w:r>
      <w:r w:rsidR="00AD13E4">
        <w:rPr>
          <w:rFonts w:ascii="Times New Roman" w:hAnsi="Times New Roman"/>
        </w:rPr>
        <w:t xml:space="preserve"> </w:t>
      </w:r>
      <w:r>
        <w:rPr>
          <w:rFonts w:ascii="Times New Roman" w:hAnsi="Times New Roman"/>
        </w:rPr>
        <w:t>bolo</w:t>
      </w:r>
      <w:r w:rsidR="00AD13E4">
        <w:rPr>
          <w:rFonts w:ascii="Times New Roman" w:hAnsi="Times New Roman"/>
        </w:rPr>
        <w:t xml:space="preserve"> </w:t>
      </w:r>
      <w:r>
        <w:rPr>
          <w:rFonts w:ascii="Times New Roman" w:hAnsi="Times New Roman"/>
        </w:rPr>
        <w:t>financované</w:t>
      </w:r>
      <w:r w:rsidR="00AD13E4">
        <w:rPr>
          <w:rFonts w:ascii="Times New Roman" w:hAnsi="Times New Roman"/>
        </w:rPr>
        <w:t xml:space="preserve"> </w:t>
      </w:r>
      <w:r>
        <w:rPr>
          <w:rFonts w:ascii="Times New Roman" w:hAnsi="Times New Roman"/>
        </w:rPr>
        <w:t>regionálne školstvo</w:t>
      </w:r>
      <w:r w:rsidR="00712106">
        <w:rPr>
          <w:rFonts w:ascii="Times New Roman" w:hAnsi="Times New Roman"/>
        </w:rPr>
        <w:t>,</w:t>
      </w:r>
      <w:r>
        <w:rPr>
          <w:rFonts w:ascii="Times New Roman" w:hAnsi="Times New Roman"/>
        </w:rPr>
        <w:t xml:space="preserve"> stredné školy v zriaďovateľskej pôsobnosti </w:t>
      </w:r>
      <w:r w:rsidRPr="00A17DAB">
        <w:rPr>
          <w:rFonts w:ascii="Times New Roman" w:hAnsi="Times New Roman"/>
          <w:b/>
        </w:rPr>
        <w:t>vyšších územných celkov, ktorým</w:t>
      </w:r>
      <w:r>
        <w:rPr>
          <w:rFonts w:ascii="Times New Roman" w:hAnsi="Times New Roman"/>
        </w:rPr>
        <w:t xml:space="preserve"> </w:t>
      </w:r>
      <w:r w:rsidRPr="006E50E2">
        <w:rPr>
          <w:rFonts w:ascii="Times New Roman" w:hAnsi="Times New Roman"/>
          <w:b/>
        </w:rPr>
        <w:t>na úhradu nákladov preneseného výkonu štátnej správy</w:t>
      </w:r>
      <w:r w:rsidR="00AD13E4">
        <w:rPr>
          <w:rFonts w:ascii="Times New Roman" w:hAnsi="Times New Roman"/>
          <w:b/>
          <w:i/>
        </w:rPr>
        <w:t xml:space="preserve"> </w:t>
      </w:r>
      <w:r>
        <w:rPr>
          <w:rFonts w:ascii="Times New Roman" w:hAnsi="Times New Roman"/>
        </w:rPr>
        <w:t>boli poskytnuté transfery</w:t>
      </w:r>
      <w:r w:rsidR="00AD13E4">
        <w:rPr>
          <w:rFonts w:ascii="Times New Roman" w:hAnsi="Times New Roman"/>
        </w:rPr>
        <w:t xml:space="preserve"> </w:t>
      </w:r>
      <w:r w:rsidRPr="006E50E2">
        <w:rPr>
          <w:rFonts w:ascii="Times New Roman" w:hAnsi="Times New Roman"/>
        </w:rPr>
        <w:t xml:space="preserve">vo výške </w:t>
      </w:r>
      <w:r>
        <w:rPr>
          <w:rFonts w:ascii="Times New Roman" w:hAnsi="Times New Roman"/>
        </w:rPr>
        <w:t>400 881</w:t>
      </w:r>
      <w:r w:rsidR="00AD13E4">
        <w:rPr>
          <w:rFonts w:ascii="Times New Roman" w:hAnsi="Times New Roman"/>
        </w:rPr>
        <w:t xml:space="preserve"> </w:t>
      </w:r>
      <w:r w:rsidRPr="006E50E2">
        <w:rPr>
          <w:rFonts w:ascii="Times New Roman" w:hAnsi="Times New Roman"/>
        </w:rPr>
        <w:t>tis. eur (201</w:t>
      </w:r>
      <w:r>
        <w:rPr>
          <w:rFonts w:ascii="Times New Roman" w:hAnsi="Times New Roman"/>
        </w:rPr>
        <w:t>4</w:t>
      </w:r>
      <w:r w:rsidRPr="006E50E2">
        <w:rPr>
          <w:rFonts w:ascii="Times New Roman" w:hAnsi="Times New Roman"/>
        </w:rPr>
        <w:t>: </w:t>
      </w:r>
      <w:r>
        <w:rPr>
          <w:rFonts w:ascii="Times New Roman" w:hAnsi="Times New Roman"/>
        </w:rPr>
        <w:t>392 407</w:t>
      </w:r>
      <w:r w:rsidR="00AD13E4">
        <w:rPr>
          <w:rFonts w:ascii="Times New Roman" w:hAnsi="Times New Roman"/>
        </w:rPr>
        <w:t xml:space="preserve"> </w:t>
      </w:r>
      <w:r w:rsidRPr="006E50E2">
        <w:rPr>
          <w:rFonts w:ascii="Times New Roman" w:hAnsi="Times New Roman"/>
        </w:rPr>
        <w:t>tis. eur)</w:t>
      </w:r>
      <w:r>
        <w:rPr>
          <w:rFonts w:ascii="Times New Roman" w:hAnsi="Times New Roman"/>
        </w:rPr>
        <w:t xml:space="preserve"> nasledovne</w:t>
      </w:r>
      <w:r w:rsidRPr="00F20FAB">
        <w:rPr>
          <w:rFonts w:ascii="Times New Roman" w:hAnsi="Times New Roman"/>
        </w:rPr>
        <w:t>:</w:t>
      </w:r>
      <w:r w:rsidR="00AD13E4">
        <w:rPr>
          <w:rFonts w:ascii="Times New Roman" w:hAnsi="Times New Roman"/>
        </w:rPr>
        <w:t xml:space="preserve"> </w:t>
      </w:r>
      <w:r w:rsidRPr="00F20FAB">
        <w:rPr>
          <w:rFonts w:ascii="Times New Roman" w:hAnsi="Times New Roman"/>
        </w:rPr>
        <w:t>Bratislavský 38 992 tis. eur, Trnavský 38 123 tis. eur, Trenčiansky 44 249</w:t>
      </w:r>
      <w:r w:rsidR="00AD13E4">
        <w:rPr>
          <w:rFonts w:ascii="Times New Roman" w:hAnsi="Times New Roman"/>
        </w:rPr>
        <w:t xml:space="preserve"> </w:t>
      </w:r>
      <w:r w:rsidRPr="00F20FAB">
        <w:rPr>
          <w:rFonts w:ascii="Times New Roman" w:hAnsi="Times New Roman"/>
        </w:rPr>
        <w:t>tis. eur, Nitriansky 49 088</w:t>
      </w:r>
      <w:r w:rsidR="00AD13E4">
        <w:rPr>
          <w:rFonts w:ascii="Times New Roman" w:hAnsi="Times New Roman"/>
        </w:rPr>
        <w:t xml:space="preserve"> </w:t>
      </w:r>
      <w:r w:rsidRPr="00F20FAB">
        <w:rPr>
          <w:rFonts w:ascii="Times New Roman" w:hAnsi="Times New Roman"/>
        </w:rPr>
        <w:t>tis. eur, Žilinský 58 606 tis. eur,</w:t>
      </w:r>
      <w:r w:rsidR="00AD13E4">
        <w:rPr>
          <w:rFonts w:ascii="Times New Roman" w:hAnsi="Times New Roman"/>
        </w:rPr>
        <w:t xml:space="preserve"> </w:t>
      </w:r>
      <w:r w:rsidR="002C38E1">
        <w:rPr>
          <w:rFonts w:ascii="Times New Roman" w:hAnsi="Times New Roman"/>
        </w:rPr>
        <w:t>Banskobystrický 44 </w:t>
      </w:r>
      <w:r w:rsidRPr="00F20FAB">
        <w:rPr>
          <w:rFonts w:ascii="Times New Roman" w:hAnsi="Times New Roman"/>
        </w:rPr>
        <w:t>092 tis. eur, Prešovský 62 835 tis. eur a Košický 64 896</w:t>
      </w:r>
      <w:r w:rsidR="00AD13E4">
        <w:rPr>
          <w:rFonts w:ascii="Times New Roman" w:hAnsi="Times New Roman"/>
        </w:rPr>
        <w:t xml:space="preserve"> </w:t>
      </w:r>
      <w:r w:rsidRPr="00F20FAB">
        <w:rPr>
          <w:rFonts w:ascii="Times New Roman" w:hAnsi="Times New Roman"/>
        </w:rPr>
        <w:t>tis. eur.</w:t>
      </w:r>
    </w:p>
    <w:p w:rsidR="00B548CC" w:rsidRPr="006E50E2" w:rsidP="007C7737">
      <w:pPr>
        <w:pStyle w:val="ListParagraph"/>
        <w:bidi w:val="0"/>
        <w:spacing w:after="120" w:line="336" w:lineRule="auto"/>
        <w:ind w:left="0"/>
        <w:contextualSpacing w:val="0"/>
        <w:jc w:val="both"/>
        <w:rPr>
          <w:rFonts w:ascii="Times New Roman" w:hAnsi="Times New Roman"/>
        </w:rPr>
      </w:pPr>
      <w:r w:rsidRPr="00CE7218">
        <w:rPr>
          <w:rFonts w:ascii="Times New Roman" w:hAnsi="Times New Roman"/>
        </w:rPr>
        <w:t xml:space="preserve">Na </w:t>
      </w:r>
      <w:r>
        <w:rPr>
          <w:rFonts w:ascii="Times New Roman" w:hAnsi="Times New Roman"/>
        </w:rPr>
        <w:t>transferových platbách</w:t>
      </w:r>
      <w:r w:rsidR="00AD13E4">
        <w:rPr>
          <w:rFonts w:ascii="Times New Roman" w:hAnsi="Times New Roman"/>
        </w:rPr>
        <w:t xml:space="preserve"> </w:t>
      </w:r>
      <w:r w:rsidRPr="00CE7218">
        <w:rPr>
          <w:rFonts w:ascii="Times New Roman" w:hAnsi="Times New Roman"/>
          <w:b/>
        </w:rPr>
        <w:t>vyšším územným celkom okrem transferu na úhradu nákladov preneseného výkonu štátnej správy</w:t>
      </w:r>
      <w:r w:rsidR="00AD13E4">
        <w:rPr>
          <w:rFonts w:ascii="Times New Roman" w:hAnsi="Times New Roman"/>
          <w:b/>
        </w:rPr>
        <w:t xml:space="preserve"> </w:t>
      </w:r>
      <w:r w:rsidRPr="00CE7218">
        <w:rPr>
          <w:rFonts w:ascii="Times New Roman" w:hAnsi="Times New Roman"/>
        </w:rPr>
        <w:t>v objeme</w:t>
      </w:r>
      <w:r w:rsidR="00AD13E4">
        <w:rPr>
          <w:rFonts w:ascii="Times New Roman" w:hAnsi="Times New Roman"/>
          <w:b/>
        </w:rPr>
        <w:t xml:space="preserve"> </w:t>
      </w:r>
      <w:r w:rsidRPr="00CE7218">
        <w:rPr>
          <w:rFonts w:ascii="Times New Roman" w:hAnsi="Times New Roman"/>
        </w:rPr>
        <w:t>32 691 tis. eur (2014: 25 929 tis. eur) sa v rozhodujúcej miere podieľali</w:t>
      </w:r>
      <w:r w:rsidR="00AD13E4">
        <w:rPr>
          <w:rFonts w:ascii="Times New Roman" w:hAnsi="Times New Roman"/>
        </w:rPr>
        <w:t xml:space="preserve"> </w:t>
      </w:r>
      <w:r w:rsidRPr="00CE7218">
        <w:rPr>
          <w:rFonts w:ascii="Times New Roman" w:hAnsi="Times New Roman"/>
        </w:rPr>
        <w:t>Ministerstva školstvo, vedy, výskumu a športu SR (15 541 tis. eur napr. na zabezpečenie medzinárodnej spolupráce pre vrcholové riadenie programov, usmerňovanie a transformáci</w:t>
      </w:r>
      <w:r w:rsidR="002250E3">
        <w:rPr>
          <w:rFonts w:ascii="Times New Roman" w:hAnsi="Times New Roman"/>
        </w:rPr>
        <w:t>a</w:t>
      </w:r>
      <w:r w:rsidRPr="00CE7218">
        <w:rPr>
          <w:rFonts w:ascii="Times New Roman" w:hAnsi="Times New Roman"/>
        </w:rPr>
        <w:t xml:space="preserve"> regionálneho školstva, podpora vzdelávania osôb s osobitnými vzdelávacími potrebami),</w:t>
      </w:r>
      <w:r w:rsidR="00AD13E4">
        <w:rPr>
          <w:rFonts w:ascii="Times New Roman" w:hAnsi="Times New Roman"/>
        </w:rPr>
        <w:t xml:space="preserve"> </w:t>
      </w:r>
      <w:r w:rsidRPr="00CE7218">
        <w:rPr>
          <w:rFonts w:ascii="Times New Roman" w:hAnsi="Times New Roman"/>
        </w:rPr>
        <w:t>Všeobecná pokladničná správa (5 452 tis. eur napr. na úhradu výdavkov na vykonávanie povodňových</w:t>
      </w:r>
      <w:r w:rsidR="00AD13E4">
        <w:rPr>
          <w:rFonts w:ascii="Times New Roman" w:hAnsi="Times New Roman"/>
        </w:rPr>
        <w:t xml:space="preserve"> </w:t>
      </w:r>
      <w:r w:rsidRPr="00CE7218">
        <w:rPr>
          <w:rFonts w:ascii="Times New Roman" w:hAnsi="Times New Roman"/>
        </w:rPr>
        <w:t>zabezpečovacích prác pri ochrane dopravnej infraštruktúry)</w:t>
      </w:r>
      <w:r w:rsidR="00AD13E4">
        <w:rPr>
          <w:rFonts w:ascii="Times New Roman" w:hAnsi="Times New Roman"/>
        </w:rPr>
        <w:t xml:space="preserve"> </w:t>
      </w:r>
      <w:r w:rsidRPr="00CE7218">
        <w:rPr>
          <w:rFonts w:ascii="Times New Roman" w:hAnsi="Times New Roman"/>
        </w:rPr>
        <w:t>a</w:t>
      </w:r>
      <w:r w:rsidR="00AD13E4">
        <w:rPr>
          <w:rFonts w:ascii="Times New Roman" w:hAnsi="Times New Roman"/>
        </w:rPr>
        <w:t xml:space="preserve"> </w:t>
      </w:r>
      <w:r w:rsidRPr="00CE7218">
        <w:rPr>
          <w:rFonts w:ascii="Times New Roman" w:hAnsi="Times New Roman"/>
        </w:rPr>
        <w:t>Ministerstvo pôdohospodárstva a rozvoja vidieka SR (4 958 tis. eur).</w:t>
      </w:r>
    </w:p>
    <w:p w:rsidR="00B548CC" w:rsidRPr="006E50E2" w:rsidP="007C7737">
      <w:pPr>
        <w:pStyle w:val="ListParagraph"/>
        <w:bidi w:val="0"/>
        <w:spacing w:after="120" w:line="336" w:lineRule="auto"/>
        <w:ind w:left="0"/>
        <w:contextualSpacing w:val="0"/>
        <w:jc w:val="both"/>
        <w:rPr>
          <w:rFonts w:ascii="Times New Roman" w:hAnsi="Times New Roman"/>
        </w:rPr>
      </w:pPr>
      <w:r w:rsidRPr="005D11A4">
        <w:rPr>
          <w:rFonts w:ascii="Times New Roman" w:hAnsi="Times New Roman"/>
          <w:b/>
        </w:rPr>
        <w:t>Ostatným subjektom verejnej správy</w:t>
      </w:r>
      <w:r w:rsidRPr="005D11A4">
        <w:rPr>
          <w:rFonts w:ascii="Times New Roman" w:hAnsi="Times New Roman"/>
        </w:rPr>
        <w:t xml:space="preserve"> boli poskytnuté rozpočtové prostriedky</w:t>
      </w:r>
      <w:r w:rsidR="00AD13E4">
        <w:rPr>
          <w:rFonts w:ascii="Times New Roman" w:hAnsi="Times New Roman"/>
        </w:rPr>
        <w:t xml:space="preserve"> </w:t>
      </w:r>
      <w:r w:rsidRPr="005D11A4">
        <w:rPr>
          <w:rFonts w:ascii="Times New Roman" w:hAnsi="Times New Roman"/>
        </w:rPr>
        <w:t>v celkovej výške 335 046</w:t>
      </w:r>
      <w:r w:rsidR="00AD13E4">
        <w:rPr>
          <w:rFonts w:ascii="Times New Roman" w:hAnsi="Times New Roman"/>
        </w:rPr>
        <w:t xml:space="preserve"> </w:t>
      </w:r>
      <w:r w:rsidRPr="005D11A4">
        <w:rPr>
          <w:rFonts w:ascii="Times New Roman" w:hAnsi="Times New Roman"/>
        </w:rPr>
        <w:t>tis. eur (2014: 341 391 tis. eur)</w:t>
      </w:r>
      <w:r>
        <w:rPr>
          <w:rFonts w:ascii="Times New Roman" w:hAnsi="Times New Roman"/>
        </w:rPr>
        <w:t>. Hradené boli</w:t>
      </w:r>
      <w:r w:rsidR="00AD13E4">
        <w:rPr>
          <w:rFonts w:ascii="Times New Roman" w:hAnsi="Times New Roman"/>
        </w:rPr>
        <w:t xml:space="preserve"> </w:t>
      </w:r>
      <w:r w:rsidRPr="005D11A4">
        <w:rPr>
          <w:rFonts w:ascii="Times New Roman" w:hAnsi="Times New Roman"/>
        </w:rPr>
        <w:t>predovšetkým</w:t>
      </w:r>
      <w:r w:rsidR="00AD13E4">
        <w:rPr>
          <w:rFonts w:ascii="Times New Roman" w:hAnsi="Times New Roman"/>
        </w:rPr>
        <w:t xml:space="preserve"> </w:t>
      </w:r>
      <w:r w:rsidRPr="005D11A4">
        <w:rPr>
          <w:rFonts w:ascii="Times New Roman" w:hAnsi="Times New Roman"/>
        </w:rPr>
        <w:t>kapitol</w:t>
      </w:r>
      <w:r>
        <w:rPr>
          <w:rFonts w:ascii="Times New Roman" w:hAnsi="Times New Roman"/>
        </w:rPr>
        <w:t>ou</w:t>
      </w:r>
      <w:r w:rsidR="00AD13E4">
        <w:rPr>
          <w:rFonts w:ascii="Times New Roman" w:hAnsi="Times New Roman"/>
        </w:rPr>
        <w:t xml:space="preserve"> </w:t>
      </w:r>
      <w:r w:rsidRPr="005D11A4">
        <w:rPr>
          <w:rFonts w:ascii="Times New Roman" w:hAnsi="Times New Roman"/>
        </w:rPr>
        <w:t>Ministerstva dopravy, výstavby a regionálneho rozvoja SR</w:t>
      </w:r>
      <w:r w:rsidR="00AD13E4">
        <w:rPr>
          <w:rFonts w:ascii="Times New Roman" w:hAnsi="Times New Roman"/>
        </w:rPr>
        <w:t xml:space="preserve"> </w:t>
      </w:r>
      <w:r>
        <w:rPr>
          <w:rFonts w:ascii="Times New Roman" w:hAnsi="Times New Roman"/>
        </w:rPr>
        <w:t>(</w:t>
      </w:r>
      <w:r w:rsidRPr="005D11A4">
        <w:rPr>
          <w:rFonts w:ascii="Times New Roman" w:hAnsi="Times New Roman"/>
        </w:rPr>
        <w:t>291 115 tis. eur</w:t>
      </w:r>
      <w:r>
        <w:rPr>
          <w:rFonts w:ascii="Times New Roman" w:hAnsi="Times New Roman"/>
        </w:rPr>
        <w:t>), z čoho</w:t>
      </w:r>
      <w:r w:rsidR="00AD13E4">
        <w:rPr>
          <w:rFonts w:ascii="Times New Roman" w:hAnsi="Times New Roman"/>
        </w:rPr>
        <w:t xml:space="preserve"> </w:t>
      </w:r>
      <w:r w:rsidR="007C7737">
        <w:rPr>
          <w:rFonts w:ascii="Times New Roman" w:hAnsi="Times New Roman"/>
        </w:rPr>
        <w:t xml:space="preserve">Železnice SR </w:t>
      </w:r>
      <w:r>
        <w:rPr>
          <w:rFonts w:ascii="Times New Roman" w:hAnsi="Times New Roman"/>
        </w:rPr>
        <w:t>obdržali</w:t>
      </w:r>
      <w:r w:rsidR="00AD13E4">
        <w:rPr>
          <w:rFonts w:ascii="Times New Roman" w:hAnsi="Times New Roman"/>
        </w:rPr>
        <w:t xml:space="preserve"> </w:t>
      </w:r>
      <w:r w:rsidR="007C7737">
        <w:rPr>
          <w:rFonts w:ascii="Times New Roman" w:hAnsi="Times New Roman"/>
        </w:rPr>
        <w:t xml:space="preserve">272 484 tis. eur  </w:t>
      </w:r>
      <w:r>
        <w:rPr>
          <w:rFonts w:ascii="Times New Roman" w:hAnsi="Times New Roman"/>
        </w:rPr>
        <w:t>na</w:t>
      </w:r>
      <w:r w:rsidR="00AD13E4">
        <w:rPr>
          <w:rFonts w:ascii="Times New Roman" w:hAnsi="Times New Roman"/>
        </w:rPr>
        <w:t xml:space="preserve"> </w:t>
      </w:r>
      <w:r w:rsidRPr="005D11A4">
        <w:rPr>
          <w:rFonts w:ascii="Times New Roman" w:hAnsi="Times New Roman"/>
        </w:rPr>
        <w:t>zabezpečenie zmluvy o prevádzkovaní železničnej infraštruktúry</w:t>
      </w:r>
      <w:r w:rsidR="00AD13E4">
        <w:rPr>
          <w:rFonts w:ascii="Times New Roman" w:hAnsi="Times New Roman"/>
        </w:rPr>
        <w:t xml:space="preserve"> </w:t>
      </w:r>
      <w:r w:rsidR="002250E3">
        <w:rPr>
          <w:rFonts w:ascii="Times New Roman" w:hAnsi="Times New Roman"/>
        </w:rPr>
        <w:t xml:space="preserve">a </w:t>
      </w:r>
      <w:r w:rsidRPr="005D11A4">
        <w:rPr>
          <w:rFonts w:ascii="Times New Roman" w:hAnsi="Times New Roman"/>
        </w:rPr>
        <w:t>Národn</w:t>
      </w:r>
      <w:r>
        <w:rPr>
          <w:rFonts w:ascii="Times New Roman" w:hAnsi="Times New Roman"/>
        </w:rPr>
        <w:t>á</w:t>
      </w:r>
      <w:r w:rsidRPr="005D11A4">
        <w:rPr>
          <w:rFonts w:ascii="Times New Roman" w:hAnsi="Times New Roman"/>
        </w:rPr>
        <w:t xml:space="preserve"> diaľničn</w:t>
      </w:r>
      <w:r>
        <w:rPr>
          <w:rFonts w:ascii="Times New Roman" w:hAnsi="Times New Roman"/>
        </w:rPr>
        <w:t>á</w:t>
      </w:r>
      <w:r w:rsidR="00AD13E4">
        <w:rPr>
          <w:rFonts w:ascii="Times New Roman" w:hAnsi="Times New Roman"/>
        </w:rPr>
        <w:t xml:space="preserve"> </w:t>
      </w:r>
      <w:r w:rsidRPr="005D11A4">
        <w:rPr>
          <w:rFonts w:ascii="Times New Roman" w:hAnsi="Times New Roman"/>
        </w:rPr>
        <w:t>spoločnosť, a. s.</w:t>
      </w:r>
      <w:r w:rsidR="00AD13E4">
        <w:rPr>
          <w:rFonts w:ascii="Times New Roman" w:hAnsi="Times New Roman"/>
        </w:rPr>
        <w:t xml:space="preserve"> </w:t>
      </w:r>
      <w:r w:rsidRPr="005D11A4">
        <w:rPr>
          <w:rFonts w:ascii="Times New Roman" w:hAnsi="Times New Roman"/>
        </w:rPr>
        <w:t>18 218 tis. eur</w:t>
      </w:r>
      <w:r w:rsidR="00AD13E4">
        <w:rPr>
          <w:rFonts w:ascii="Times New Roman" w:hAnsi="Times New Roman"/>
        </w:rPr>
        <w:t xml:space="preserve"> </w:t>
      </w:r>
      <w:r w:rsidRPr="005D11A4">
        <w:rPr>
          <w:rFonts w:ascii="Times New Roman" w:hAnsi="Times New Roman"/>
        </w:rPr>
        <w:t>na</w:t>
      </w:r>
      <w:r>
        <w:rPr>
          <w:rFonts w:ascii="Times New Roman" w:hAnsi="Times New Roman"/>
        </w:rPr>
        <w:t xml:space="preserve"> opravy diaľnic a rýchlostných ciest</w:t>
      </w:r>
      <w:r w:rsidRPr="006E50E2">
        <w:rPr>
          <w:rFonts w:ascii="Times New Roman" w:hAnsi="Times New Roman"/>
        </w:rPr>
        <w:t xml:space="preserve">. </w:t>
      </w:r>
      <w:r>
        <w:rPr>
          <w:rFonts w:ascii="Times New Roman" w:hAnsi="Times New Roman"/>
        </w:rPr>
        <w:t>Od roku 2014 sa transfery týmto subjektom vykazujú v súvislosti s ich zaradením do verejnej správy na tejto rozpočtovej položke</w:t>
      </w:r>
      <w:r w:rsidR="00AD13E4">
        <w:rPr>
          <w:rFonts w:ascii="Times New Roman" w:hAnsi="Times New Roman"/>
        </w:rPr>
        <w:t xml:space="preserve"> </w:t>
      </w:r>
      <w:r>
        <w:rPr>
          <w:rFonts w:ascii="Times New Roman" w:hAnsi="Times New Roman"/>
        </w:rPr>
        <w:t>(do roku 2013 boli zahrnuté v transferoch právnickým osobám založeným štátom, obcou alebo vyšším územným celkom).</w:t>
      </w:r>
      <w:r w:rsidR="00AD13E4">
        <w:rPr>
          <w:rFonts w:ascii="Times New Roman" w:hAnsi="Times New Roman"/>
        </w:rPr>
        <w:t xml:space="preserve"> </w:t>
      </w:r>
    </w:p>
    <w:p w:rsidR="00B548CC" w:rsidRPr="006E50E2" w:rsidP="007C7737">
      <w:pPr>
        <w:bidi w:val="0"/>
        <w:spacing w:after="120" w:line="336" w:lineRule="auto"/>
        <w:jc w:val="both"/>
        <w:rPr>
          <w:rFonts w:ascii="Times New Roman" w:hAnsi="Times New Roman"/>
          <w:sz w:val="22"/>
          <w:szCs w:val="22"/>
        </w:rPr>
      </w:pPr>
      <w:r w:rsidRPr="006260A5">
        <w:rPr>
          <w:rFonts w:ascii="Times New Roman" w:hAnsi="Times New Roman"/>
          <w:sz w:val="22"/>
          <w:szCs w:val="22"/>
        </w:rPr>
        <w:t>Pre položku</w:t>
      </w:r>
      <w:r w:rsidR="00AD13E4">
        <w:rPr>
          <w:rFonts w:ascii="Times New Roman" w:hAnsi="Times New Roman"/>
          <w:b/>
          <w:i/>
          <w:sz w:val="22"/>
          <w:szCs w:val="22"/>
        </w:rPr>
        <w:t xml:space="preserve"> </w:t>
      </w:r>
      <w:r>
        <w:rPr>
          <w:rFonts w:ascii="Times New Roman" w:hAnsi="Times New Roman"/>
          <w:b/>
          <w:i/>
          <w:sz w:val="22"/>
          <w:szCs w:val="22"/>
        </w:rPr>
        <w:t>transfery</w:t>
      </w:r>
      <w:r w:rsidR="00AD13E4">
        <w:rPr>
          <w:rFonts w:ascii="Times New Roman" w:hAnsi="Times New Roman"/>
          <w:b/>
          <w:i/>
          <w:sz w:val="22"/>
          <w:szCs w:val="22"/>
        </w:rPr>
        <w:t xml:space="preserve"> </w:t>
      </w:r>
      <w:r w:rsidRPr="006E50E2">
        <w:rPr>
          <w:rFonts w:ascii="Times New Roman" w:hAnsi="Times New Roman"/>
          <w:b/>
          <w:i/>
          <w:sz w:val="22"/>
          <w:szCs w:val="22"/>
        </w:rPr>
        <w:t>jednotlivcom a neziskovým právnickým osobám</w:t>
      </w:r>
      <w:r w:rsidR="00AD13E4">
        <w:rPr>
          <w:rFonts w:ascii="Times New Roman" w:hAnsi="Times New Roman"/>
          <w:b/>
          <w:sz w:val="22"/>
          <w:szCs w:val="22"/>
        </w:rPr>
        <w:t xml:space="preserve"> </w:t>
      </w:r>
      <w:r w:rsidRPr="00A02B02">
        <w:rPr>
          <w:rFonts w:ascii="Times New Roman" w:hAnsi="Times New Roman"/>
          <w:sz w:val="22"/>
          <w:szCs w:val="22"/>
        </w:rPr>
        <w:t xml:space="preserve">bolo </w:t>
      </w:r>
      <w:r w:rsidR="00712106">
        <w:rPr>
          <w:rFonts w:ascii="Times New Roman" w:hAnsi="Times New Roman"/>
          <w:sz w:val="22"/>
          <w:szCs w:val="22"/>
        </w:rPr>
        <w:t>rozpočtovaných</w:t>
      </w:r>
      <w:r w:rsidR="00AD13E4">
        <w:rPr>
          <w:rFonts w:ascii="Times New Roman" w:hAnsi="Times New Roman"/>
          <w:sz w:val="22"/>
          <w:szCs w:val="22"/>
        </w:rPr>
        <w:t xml:space="preserve"> </w:t>
      </w:r>
      <w:r>
        <w:rPr>
          <w:rFonts w:ascii="Times New Roman" w:hAnsi="Times New Roman"/>
          <w:sz w:val="22"/>
          <w:szCs w:val="22"/>
        </w:rPr>
        <w:t>3 917 505 tis. eur</w:t>
      </w:r>
      <w:r w:rsidR="00AD13E4">
        <w:rPr>
          <w:rFonts w:ascii="Times New Roman" w:hAnsi="Times New Roman"/>
          <w:sz w:val="22"/>
          <w:szCs w:val="22"/>
        </w:rPr>
        <w:t xml:space="preserve"> </w:t>
      </w:r>
      <w:r>
        <w:rPr>
          <w:rFonts w:ascii="Times New Roman" w:hAnsi="Times New Roman"/>
          <w:sz w:val="22"/>
          <w:szCs w:val="22"/>
        </w:rPr>
        <w:t>a to</w:t>
      </w:r>
      <w:r w:rsidR="00AD13E4">
        <w:rPr>
          <w:rFonts w:ascii="Times New Roman" w:hAnsi="Times New Roman"/>
          <w:sz w:val="22"/>
          <w:szCs w:val="22"/>
        </w:rPr>
        <w:t xml:space="preserve"> </w:t>
      </w:r>
      <w:r>
        <w:rPr>
          <w:rFonts w:ascii="Times New Roman" w:hAnsi="Times New Roman"/>
          <w:sz w:val="22"/>
          <w:szCs w:val="22"/>
        </w:rPr>
        <w:t>napr.</w:t>
      </w:r>
      <w:r w:rsidR="00AD13E4">
        <w:rPr>
          <w:rFonts w:ascii="Times New Roman" w:hAnsi="Times New Roman"/>
          <w:sz w:val="22"/>
          <w:szCs w:val="22"/>
        </w:rPr>
        <w:t xml:space="preserve"> </w:t>
      </w:r>
      <w:r>
        <w:rPr>
          <w:rFonts w:ascii="Times New Roman" w:hAnsi="Times New Roman"/>
          <w:sz w:val="22"/>
          <w:szCs w:val="22"/>
        </w:rPr>
        <w:t>na</w:t>
      </w:r>
      <w:r w:rsidR="00AD13E4">
        <w:rPr>
          <w:rFonts w:ascii="Times New Roman" w:hAnsi="Times New Roman"/>
          <w:sz w:val="22"/>
          <w:szCs w:val="22"/>
        </w:rPr>
        <w:t xml:space="preserve"> </w:t>
      </w:r>
      <w:r>
        <w:rPr>
          <w:rFonts w:ascii="Times New Roman" w:hAnsi="Times New Roman"/>
          <w:sz w:val="22"/>
          <w:szCs w:val="22"/>
        </w:rPr>
        <w:t>platby vo forme príspevkov, dávok, dôchodkov, odstupného, členského,</w:t>
      </w:r>
      <w:r w:rsidR="00AD13E4">
        <w:rPr>
          <w:rFonts w:ascii="Times New Roman" w:hAnsi="Times New Roman"/>
          <w:sz w:val="22"/>
          <w:szCs w:val="22"/>
        </w:rPr>
        <w:t xml:space="preserve"> </w:t>
      </w:r>
      <w:r>
        <w:rPr>
          <w:rFonts w:ascii="Times New Roman" w:hAnsi="Times New Roman"/>
          <w:sz w:val="22"/>
          <w:szCs w:val="22"/>
        </w:rPr>
        <w:t>štipendií. Ich</w:t>
      </w:r>
      <w:r w:rsidR="00AD13E4">
        <w:rPr>
          <w:rFonts w:ascii="Times New Roman" w:hAnsi="Times New Roman"/>
          <w:sz w:val="22"/>
          <w:szCs w:val="22"/>
        </w:rPr>
        <w:t xml:space="preserve"> </w:t>
      </w:r>
      <w:r>
        <w:rPr>
          <w:rFonts w:ascii="Times New Roman" w:hAnsi="Times New Roman"/>
          <w:sz w:val="22"/>
          <w:szCs w:val="22"/>
        </w:rPr>
        <w:t>skutočné čerpanie</w:t>
      </w:r>
      <w:r w:rsidR="00AD13E4">
        <w:rPr>
          <w:rFonts w:ascii="Times New Roman" w:hAnsi="Times New Roman"/>
          <w:sz w:val="22"/>
          <w:szCs w:val="22"/>
        </w:rPr>
        <w:t xml:space="preserve"> </w:t>
      </w:r>
      <w:r>
        <w:rPr>
          <w:rFonts w:ascii="Times New Roman" w:hAnsi="Times New Roman"/>
          <w:sz w:val="22"/>
          <w:szCs w:val="22"/>
        </w:rPr>
        <w:t>sa na celkovej výške bežných transferov podieľalo 38,4 %, čo v absolútnom vyjadrení</w:t>
      </w:r>
      <w:r w:rsidR="00AD13E4">
        <w:rPr>
          <w:rFonts w:ascii="Times New Roman" w:hAnsi="Times New Roman"/>
          <w:sz w:val="22"/>
          <w:szCs w:val="22"/>
        </w:rPr>
        <w:t xml:space="preserve"> </w:t>
      </w:r>
      <w:r>
        <w:rPr>
          <w:rFonts w:ascii="Times New Roman" w:hAnsi="Times New Roman"/>
          <w:sz w:val="22"/>
          <w:szCs w:val="22"/>
        </w:rPr>
        <w:t>predstavovalo</w:t>
      </w:r>
      <w:r w:rsidR="00AD13E4">
        <w:rPr>
          <w:rFonts w:ascii="Times New Roman" w:hAnsi="Times New Roman"/>
          <w:sz w:val="22"/>
          <w:szCs w:val="22"/>
        </w:rPr>
        <w:t xml:space="preserve"> </w:t>
      </w:r>
      <w:r>
        <w:rPr>
          <w:rFonts w:ascii="Times New Roman" w:hAnsi="Times New Roman"/>
          <w:sz w:val="22"/>
          <w:szCs w:val="22"/>
        </w:rPr>
        <w:t>3 691 591 tis. eur</w:t>
      </w:r>
      <w:r w:rsidR="00AD13E4">
        <w:rPr>
          <w:rFonts w:ascii="Times New Roman" w:hAnsi="Times New Roman"/>
          <w:sz w:val="22"/>
          <w:szCs w:val="22"/>
        </w:rPr>
        <w:t xml:space="preserve"> </w:t>
      </w:r>
      <w:r w:rsidRPr="006E50E2">
        <w:rPr>
          <w:rFonts w:ascii="Times New Roman" w:hAnsi="Times New Roman"/>
          <w:sz w:val="22"/>
          <w:szCs w:val="22"/>
        </w:rPr>
        <w:t>(201</w:t>
      </w:r>
      <w:r>
        <w:rPr>
          <w:rFonts w:ascii="Times New Roman" w:hAnsi="Times New Roman"/>
          <w:sz w:val="22"/>
          <w:szCs w:val="22"/>
        </w:rPr>
        <w:t>4</w:t>
      </w:r>
      <w:r w:rsidR="00223EFD">
        <w:rPr>
          <w:rFonts w:ascii="Times New Roman" w:hAnsi="Times New Roman"/>
          <w:sz w:val="22"/>
          <w:szCs w:val="22"/>
        </w:rPr>
        <w:t>: 3 510 </w:t>
      </w:r>
      <w:r>
        <w:rPr>
          <w:rFonts w:ascii="Times New Roman" w:hAnsi="Times New Roman"/>
          <w:sz w:val="22"/>
          <w:szCs w:val="22"/>
        </w:rPr>
        <w:t>557</w:t>
      </w:r>
      <w:r w:rsidR="00223EFD">
        <w:rPr>
          <w:rFonts w:ascii="Times New Roman" w:hAnsi="Times New Roman"/>
          <w:sz w:val="22"/>
          <w:szCs w:val="22"/>
        </w:rPr>
        <w:t> tis. </w:t>
      </w:r>
      <w:r w:rsidRPr="006E50E2">
        <w:rPr>
          <w:rFonts w:ascii="Times New Roman" w:hAnsi="Times New Roman"/>
          <w:sz w:val="22"/>
          <w:szCs w:val="22"/>
        </w:rPr>
        <w:t>eur)</w:t>
      </w:r>
      <w:r>
        <w:rPr>
          <w:rFonts w:ascii="Times New Roman" w:hAnsi="Times New Roman"/>
          <w:sz w:val="22"/>
          <w:szCs w:val="22"/>
        </w:rPr>
        <w:t>. Predmetné transfery</w:t>
      </w:r>
      <w:r w:rsidR="00AD13E4">
        <w:rPr>
          <w:rFonts w:ascii="Times New Roman" w:hAnsi="Times New Roman"/>
          <w:sz w:val="22"/>
          <w:szCs w:val="22"/>
        </w:rPr>
        <w:t xml:space="preserve"> </w:t>
      </w:r>
      <w:r>
        <w:rPr>
          <w:rFonts w:ascii="Times New Roman" w:hAnsi="Times New Roman"/>
          <w:sz w:val="22"/>
          <w:szCs w:val="22"/>
        </w:rPr>
        <w:t>boli</w:t>
      </w:r>
      <w:r w:rsidR="00AD13E4">
        <w:rPr>
          <w:rFonts w:ascii="Times New Roman" w:hAnsi="Times New Roman"/>
          <w:sz w:val="22"/>
          <w:szCs w:val="22"/>
        </w:rPr>
        <w:t xml:space="preserve"> </w:t>
      </w:r>
      <w:r>
        <w:rPr>
          <w:rFonts w:ascii="Times New Roman" w:hAnsi="Times New Roman"/>
          <w:sz w:val="22"/>
          <w:szCs w:val="22"/>
        </w:rPr>
        <w:t>smerované</w:t>
      </w:r>
      <w:r w:rsidR="00AD13E4">
        <w:rPr>
          <w:rFonts w:ascii="Times New Roman" w:hAnsi="Times New Roman"/>
          <w:sz w:val="22"/>
          <w:szCs w:val="22"/>
        </w:rPr>
        <w:t xml:space="preserve"> </w:t>
      </w:r>
      <w:r>
        <w:rPr>
          <w:rFonts w:ascii="Times New Roman" w:hAnsi="Times New Roman"/>
          <w:sz w:val="22"/>
          <w:szCs w:val="22"/>
        </w:rPr>
        <w:t>na tieto účely:</w:t>
      </w:r>
      <w:r w:rsidR="00AD13E4">
        <w:rPr>
          <w:rFonts w:ascii="Times New Roman" w:hAnsi="Times New Roman"/>
          <w:sz w:val="22"/>
          <w:szCs w:val="22"/>
        </w:rPr>
        <w:t xml:space="preserve"> </w:t>
      </w:r>
    </w:p>
    <w:tbl>
      <w:tblPr>
        <w:tblStyle w:val="TableNormal"/>
        <w:tblW w:w="8946" w:type="dxa"/>
        <w:tblInd w:w="55" w:type="dxa"/>
        <w:tblLayout w:type="fixed"/>
        <w:tblCellMar>
          <w:left w:w="70" w:type="dxa"/>
          <w:right w:w="70" w:type="dxa"/>
        </w:tblCellMar>
        <w:tblLook w:val="04A0"/>
      </w:tblPr>
      <w:tblGrid>
        <w:gridCol w:w="3136"/>
        <w:gridCol w:w="1114"/>
        <w:gridCol w:w="868"/>
        <w:gridCol w:w="993"/>
        <w:gridCol w:w="1134"/>
        <w:gridCol w:w="850"/>
        <w:gridCol w:w="851"/>
      </w:tblGrid>
      <w:tr>
        <w:tblPrEx>
          <w:tblW w:w="8946" w:type="dxa"/>
          <w:tblInd w:w="55" w:type="dxa"/>
          <w:tblLayout w:type="fixed"/>
          <w:tblCellMar>
            <w:left w:w="70" w:type="dxa"/>
            <w:right w:w="70" w:type="dxa"/>
          </w:tblCellMar>
          <w:tblLook w:val="04A0"/>
        </w:tblPrEx>
        <w:trPr>
          <w:trHeight w:val="330"/>
        </w:trPr>
        <w:tc>
          <w:tcPr>
            <w:tcW w:w="8946" w:type="dxa"/>
            <w:gridSpan w:val="7"/>
            <w:tcBorders>
              <w:top w:val="nil"/>
              <w:left w:val="nil"/>
              <w:bottom w:val="nil"/>
              <w:right w:val="nil"/>
            </w:tcBorders>
            <w:shd w:val="clear" w:color="000000" w:fill="000000"/>
            <w:textDirection w:val="lrTb"/>
            <w:vAlign w:val="center"/>
            <w:hideMark/>
          </w:tcPr>
          <w:p w:rsidR="00B548CC" w:rsidRPr="005E44A9" w:rsidP="00E765DE">
            <w:pPr>
              <w:bidi w:val="0"/>
              <w:rPr>
                <w:rFonts w:ascii="Times New Roman" w:hAnsi="Times New Roman"/>
                <w:b/>
                <w:bCs/>
                <w:color w:val="FFFFFF"/>
                <w:sz w:val="18"/>
                <w:szCs w:val="18"/>
              </w:rPr>
            </w:pPr>
            <w:r w:rsidRPr="005E44A9">
              <w:rPr>
                <w:rFonts w:ascii="Times New Roman" w:hAnsi="Times New Roman"/>
                <w:b/>
                <w:bCs/>
                <w:color w:val="FFFFFF"/>
                <w:sz w:val="18"/>
                <w:szCs w:val="18"/>
              </w:rPr>
              <w:t xml:space="preserve">Transfery jednotlivcom </w:t>
            </w:r>
            <w:r w:rsidR="00CF6C2F">
              <w:rPr>
                <w:rFonts w:ascii="Times New Roman" w:hAnsi="Times New Roman"/>
                <w:b/>
                <w:bCs/>
                <w:color w:val="FFFFFF"/>
                <w:sz w:val="18"/>
                <w:szCs w:val="18"/>
              </w:rPr>
              <w:t xml:space="preserve">a neziskovým právnickým osobám                                                                                </w:t>
            </w:r>
            <w:r w:rsidRPr="005E44A9">
              <w:rPr>
                <w:rFonts w:ascii="Times New Roman" w:hAnsi="Times New Roman"/>
                <w:b/>
                <w:bCs/>
                <w:color w:val="FFFFFF"/>
                <w:sz w:val="18"/>
                <w:szCs w:val="18"/>
              </w:rPr>
              <w:t xml:space="preserve">v tis. eur </w:t>
            </w:r>
          </w:p>
        </w:tc>
      </w:tr>
      <w:tr>
        <w:tblPrEx>
          <w:tblW w:w="8946" w:type="dxa"/>
          <w:tblInd w:w="55" w:type="dxa"/>
          <w:tblLayout w:type="fixed"/>
          <w:tblCellMar>
            <w:left w:w="70" w:type="dxa"/>
            <w:right w:w="70" w:type="dxa"/>
          </w:tblCellMar>
          <w:tblLook w:val="04A0"/>
        </w:tblPrEx>
        <w:trPr>
          <w:trHeight w:val="330"/>
        </w:trPr>
        <w:tc>
          <w:tcPr>
            <w:tcW w:w="3136" w:type="dxa"/>
            <w:vMerge w:val="restart"/>
            <w:tcBorders>
              <w:top w:val="nil"/>
              <w:left w:val="nil"/>
              <w:bottom w:val="nil"/>
              <w:right w:val="nil"/>
            </w:tcBorders>
            <w:shd w:val="clear" w:color="000000" w:fill="BFBFBF"/>
            <w:textDirection w:val="lrTb"/>
            <w:vAlign w:val="center"/>
            <w:hideMark/>
          </w:tcPr>
          <w:p w:rsidR="00B548CC" w:rsidRPr="005E44A9" w:rsidP="00AD13E4">
            <w:pPr>
              <w:bidi w:val="0"/>
              <w:rPr>
                <w:rFonts w:ascii="Times New Roman" w:hAnsi="Times New Roman"/>
                <w:b/>
                <w:bCs/>
                <w:color w:val="000000"/>
                <w:sz w:val="18"/>
                <w:szCs w:val="18"/>
              </w:rPr>
            </w:pPr>
            <w:r w:rsidRPr="005E44A9">
              <w:rPr>
                <w:rFonts w:ascii="Times New Roman" w:hAnsi="Times New Roman"/>
                <w:b/>
                <w:bCs/>
                <w:color w:val="000000"/>
                <w:sz w:val="18"/>
                <w:szCs w:val="18"/>
              </w:rPr>
              <w:t xml:space="preserve"> </w:t>
            </w:r>
          </w:p>
        </w:tc>
        <w:tc>
          <w:tcPr>
            <w:tcW w:w="1982" w:type="dxa"/>
            <w:gridSpan w:val="2"/>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Skutočnosť</w:t>
            </w:r>
          </w:p>
        </w:tc>
        <w:tc>
          <w:tcPr>
            <w:tcW w:w="993" w:type="dxa"/>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Rozpočet</w:t>
            </w:r>
          </w:p>
        </w:tc>
        <w:tc>
          <w:tcPr>
            <w:tcW w:w="1134" w:type="dxa"/>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Skutočnosť</w:t>
            </w:r>
          </w:p>
        </w:tc>
        <w:tc>
          <w:tcPr>
            <w:tcW w:w="1701" w:type="dxa"/>
            <w:gridSpan w:val="2"/>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Rozdiel</w:t>
            </w:r>
          </w:p>
        </w:tc>
      </w:tr>
      <w:tr>
        <w:tblPrEx>
          <w:tblW w:w="8946" w:type="dxa"/>
          <w:tblInd w:w="55" w:type="dxa"/>
          <w:tblLayout w:type="fixed"/>
          <w:tblCellMar>
            <w:left w:w="70" w:type="dxa"/>
            <w:right w:w="70" w:type="dxa"/>
          </w:tblCellMar>
          <w:tblLook w:val="04A0"/>
        </w:tblPrEx>
        <w:trPr>
          <w:trHeight w:val="330"/>
        </w:trPr>
        <w:tc>
          <w:tcPr>
            <w:tcW w:w="3136" w:type="dxa"/>
            <w:vMerge/>
            <w:tcBorders>
              <w:top w:val="nil"/>
              <w:left w:val="nil"/>
              <w:bottom w:val="nil"/>
              <w:right w:val="nil"/>
            </w:tcBorders>
            <w:textDirection w:val="lrTb"/>
            <w:vAlign w:val="center"/>
            <w:hideMark/>
          </w:tcPr>
          <w:p w:rsidR="00B548CC" w:rsidRPr="005E44A9" w:rsidP="00AD13E4">
            <w:pPr>
              <w:bidi w:val="0"/>
              <w:rPr>
                <w:rFonts w:ascii="Times New Roman" w:hAnsi="Times New Roman"/>
                <w:b/>
                <w:bCs/>
                <w:color w:val="000000"/>
                <w:sz w:val="18"/>
                <w:szCs w:val="18"/>
              </w:rPr>
            </w:pPr>
          </w:p>
        </w:tc>
        <w:tc>
          <w:tcPr>
            <w:tcW w:w="1114" w:type="dxa"/>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2013</w:t>
            </w:r>
          </w:p>
        </w:tc>
        <w:tc>
          <w:tcPr>
            <w:tcW w:w="868" w:type="dxa"/>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2014</w:t>
            </w:r>
          </w:p>
        </w:tc>
        <w:tc>
          <w:tcPr>
            <w:tcW w:w="993" w:type="dxa"/>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2015</w:t>
            </w:r>
          </w:p>
        </w:tc>
        <w:tc>
          <w:tcPr>
            <w:tcW w:w="1134" w:type="dxa"/>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2015</w:t>
            </w:r>
          </w:p>
        </w:tc>
        <w:tc>
          <w:tcPr>
            <w:tcW w:w="850" w:type="dxa"/>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v tis. eur</w:t>
            </w:r>
          </w:p>
        </w:tc>
        <w:tc>
          <w:tcPr>
            <w:tcW w:w="851" w:type="dxa"/>
            <w:tcBorders>
              <w:top w:val="nil"/>
              <w:left w:val="nil"/>
              <w:bottom w:val="nil"/>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v %</w:t>
            </w:r>
          </w:p>
        </w:tc>
      </w:tr>
      <w:tr>
        <w:tblPrEx>
          <w:tblW w:w="8946" w:type="dxa"/>
          <w:tblInd w:w="55" w:type="dxa"/>
          <w:tblLayout w:type="fixed"/>
          <w:tblCellMar>
            <w:left w:w="70" w:type="dxa"/>
            <w:right w:w="70" w:type="dxa"/>
          </w:tblCellMar>
          <w:tblLook w:val="04A0"/>
        </w:tblPrEx>
        <w:trPr>
          <w:trHeight w:val="345"/>
        </w:trPr>
        <w:tc>
          <w:tcPr>
            <w:tcW w:w="3136" w:type="dxa"/>
            <w:tcBorders>
              <w:top w:val="nil"/>
              <w:left w:val="nil"/>
              <w:bottom w:val="single" w:sz="8" w:space="0" w:color="auto"/>
              <w:right w:val="nil"/>
            </w:tcBorders>
            <w:shd w:val="clear" w:color="000000" w:fill="BFBFBF"/>
            <w:textDirection w:val="lrTb"/>
            <w:vAlign w:val="center"/>
            <w:hideMark/>
          </w:tcPr>
          <w:p w:rsidR="00B548CC" w:rsidRPr="005E44A9" w:rsidP="00AD13E4">
            <w:pPr>
              <w:bidi w:val="0"/>
              <w:rPr>
                <w:rFonts w:ascii="Times New Roman" w:hAnsi="Times New Roman"/>
                <w:color w:val="000000"/>
                <w:sz w:val="18"/>
                <w:szCs w:val="18"/>
              </w:rPr>
            </w:pPr>
            <w:r w:rsidRPr="005E44A9">
              <w:rPr>
                <w:rFonts w:ascii="Times New Roman" w:hAnsi="Times New Roman"/>
                <w:color w:val="000000"/>
                <w:sz w:val="18"/>
                <w:szCs w:val="18"/>
              </w:rPr>
              <w:t> </w:t>
            </w:r>
          </w:p>
        </w:tc>
        <w:tc>
          <w:tcPr>
            <w:tcW w:w="1114" w:type="dxa"/>
            <w:tcBorders>
              <w:top w:val="nil"/>
              <w:left w:val="nil"/>
              <w:bottom w:val="single" w:sz="8" w:space="0" w:color="auto"/>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1</w:t>
            </w:r>
          </w:p>
        </w:tc>
        <w:tc>
          <w:tcPr>
            <w:tcW w:w="868" w:type="dxa"/>
            <w:tcBorders>
              <w:top w:val="nil"/>
              <w:left w:val="nil"/>
              <w:bottom w:val="single" w:sz="8" w:space="0" w:color="auto"/>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2</w:t>
            </w:r>
          </w:p>
        </w:tc>
        <w:tc>
          <w:tcPr>
            <w:tcW w:w="993" w:type="dxa"/>
            <w:tcBorders>
              <w:top w:val="nil"/>
              <w:left w:val="nil"/>
              <w:bottom w:val="single" w:sz="8" w:space="0" w:color="auto"/>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3</w:t>
            </w:r>
          </w:p>
        </w:tc>
        <w:tc>
          <w:tcPr>
            <w:tcW w:w="1134" w:type="dxa"/>
            <w:tcBorders>
              <w:top w:val="nil"/>
              <w:left w:val="nil"/>
              <w:bottom w:val="single" w:sz="8" w:space="0" w:color="auto"/>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4</w:t>
            </w:r>
          </w:p>
        </w:tc>
        <w:tc>
          <w:tcPr>
            <w:tcW w:w="850" w:type="dxa"/>
            <w:tcBorders>
              <w:top w:val="nil"/>
              <w:left w:val="nil"/>
              <w:bottom w:val="single" w:sz="8" w:space="0" w:color="auto"/>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5=4-3</w:t>
            </w:r>
          </w:p>
        </w:tc>
        <w:tc>
          <w:tcPr>
            <w:tcW w:w="851" w:type="dxa"/>
            <w:tcBorders>
              <w:top w:val="nil"/>
              <w:left w:val="nil"/>
              <w:bottom w:val="single" w:sz="8" w:space="0" w:color="auto"/>
              <w:right w:val="nil"/>
            </w:tcBorders>
            <w:shd w:val="clear" w:color="000000" w:fill="BFBFBF"/>
            <w:noWrap/>
            <w:textDirection w:val="lrTb"/>
            <w:vAlign w:val="center"/>
            <w:hideMark/>
          </w:tcPr>
          <w:p w:rsidR="00B548CC" w:rsidRPr="005E44A9" w:rsidP="00AD13E4">
            <w:pPr>
              <w:bidi w:val="0"/>
              <w:jc w:val="center"/>
              <w:rPr>
                <w:rFonts w:ascii="Times New Roman" w:hAnsi="Times New Roman"/>
                <w:b/>
                <w:bCs/>
                <w:color w:val="000000"/>
                <w:sz w:val="18"/>
                <w:szCs w:val="18"/>
              </w:rPr>
            </w:pPr>
            <w:r w:rsidRPr="005E44A9">
              <w:rPr>
                <w:rFonts w:ascii="Times New Roman" w:hAnsi="Times New Roman"/>
                <w:b/>
                <w:bCs/>
                <w:color w:val="000000"/>
                <w:sz w:val="18"/>
                <w:szCs w:val="18"/>
              </w:rPr>
              <w:t>6=4-3</w:t>
            </w:r>
          </w:p>
        </w:tc>
      </w:tr>
      <w:tr>
        <w:tblPrEx>
          <w:tblW w:w="8946" w:type="dxa"/>
          <w:tblInd w:w="55" w:type="dxa"/>
          <w:tblLayout w:type="fixed"/>
          <w:tblCellMar>
            <w:left w:w="70" w:type="dxa"/>
            <w:right w:w="70" w:type="dxa"/>
          </w:tblCellMar>
          <w:tblLook w:val="04A0"/>
        </w:tblPrEx>
        <w:trPr>
          <w:trHeight w:val="330"/>
        </w:trPr>
        <w:tc>
          <w:tcPr>
            <w:tcW w:w="3136" w:type="dxa"/>
            <w:tcBorders>
              <w:top w:val="nil"/>
              <w:left w:val="nil"/>
              <w:bottom w:val="nil"/>
              <w:right w:val="nil"/>
            </w:tcBorders>
            <w:textDirection w:val="lrTb"/>
            <w:vAlign w:val="center"/>
            <w:hideMark/>
          </w:tcPr>
          <w:p w:rsidR="00B548CC" w:rsidRPr="005E44A9" w:rsidP="00AD13E4">
            <w:pPr>
              <w:bidi w:val="0"/>
              <w:rPr>
                <w:rFonts w:ascii="Times New Roman" w:hAnsi="Times New Roman"/>
                <w:color w:val="000000"/>
                <w:sz w:val="18"/>
                <w:szCs w:val="18"/>
              </w:rPr>
            </w:pPr>
            <w:r w:rsidRPr="005E44A9">
              <w:rPr>
                <w:rFonts w:ascii="Times New Roman" w:hAnsi="Times New Roman"/>
                <w:color w:val="000000"/>
                <w:sz w:val="18"/>
                <w:szCs w:val="18"/>
              </w:rPr>
              <w:t>Sociálne dávky</w:t>
            </w:r>
          </w:p>
        </w:tc>
        <w:tc>
          <w:tcPr>
            <w:tcW w:w="1114"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1 368 410</w:t>
            </w:r>
          </w:p>
        </w:tc>
        <w:tc>
          <w:tcPr>
            <w:tcW w:w="868"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1 359 61</w:t>
            </w:r>
            <w:r w:rsidR="007C5C03">
              <w:rPr>
                <w:rFonts w:ascii="Times New Roman" w:hAnsi="Times New Roman"/>
                <w:color w:val="000000"/>
                <w:sz w:val="18"/>
                <w:szCs w:val="18"/>
              </w:rPr>
              <w:t>7</w:t>
            </w:r>
          </w:p>
        </w:tc>
        <w:tc>
          <w:tcPr>
            <w:tcW w:w="993" w:type="dxa"/>
            <w:tcBorders>
              <w:top w:val="nil"/>
              <w:left w:val="nil"/>
              <w:bottom w:val="nil"/>
              <w:right w:val="nil"/>
            </w:tcBorders>
            <w:textDirection w:val="lrTb"/>
            <w:vAlign w:val="center"/>
            <w:hideMark/>
          </w:tcPr>
          <w:p w:rsidR="00B548CC" w:rsidRPr="005E44A9" w:rsidP="00812F26">
            <w:pPr>
              <w:bidi w:val="0"/>
              <w:jc w:val="right"/>
              <w:rPr>
                <w:rFonts w:ascii="Times New Roman" w:hAnsi="Times New Roman"/>
                <w:color w:val="000000"/>
                <w:sz w:val="18"/>
                <w:szCs w:val="18"/>
              </w:rPr>
            </w:pPr>
            <w:r w:rsidRPr="005E44A9">
              <w:rPr>
                <w:rFonts w:ascii="Times New Roman" w:hAnsi="Times New Roman"/>
                <w:color w:val="000000"/>
                <w:sz w:val="18"/>
                <w:szCs w:val="18"/>
              </w:rPr>
              <w:t>1 376 311</w:t>
            </w:r>
          </w:p>
        </w:tc>
        <w:tc>
          <w:tcPr>
            <w:tcW w:w="1134" w:type="dxa"/>
            <w:tcBorders>
              <w:top w:val="nil"/>
              <w:left w:val="nil"/>
              <w:bottom w:val="nil"/>
              <w:right w:val="nil"/>
            </w:tcBorders>
            <w:shd w:val="clear" w:color="000000" w:fill="BFBFBF"/>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1 334 336</w:t>
            </w:r>
          </w:p>
        </w:tc>
        <w:tc>
          <w:tcPr>
            <w:tcW w:w="850"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-41 975</w:t>
            </w:r>
          </w:p>
        </w:tc>
        <w:tc>
          <w:tcPr>
            <w:tcW w:w="851"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-3,0</w:t>
            </w:r>
          </w:p>
        </w:tc>
      </w:tr>
      <w:tr>
        <w:tblPrEx>
          <w:tblW w:w="8946" w:type="dxa"/>
          <w:tblInd w:w="55" w:type="dxa"/>
          <w:tblLayout w:type="fixed"/>
          <w:tblCellMar>
            <w:left w:w="70" w:type="dxa"/>
            <w:right w:w="70" w:type="dxa"/>
          </w:tblCellMar>
          <w:tblLook w:val="04A0"/>
        </w:tblPrEx>
        <w:trPr>
          <w:trHeight w:val="625"/>
        </w:trPr>
        <w:tc>
          <w:tcPr>
            <w:tcW w:w="3136" w:type="dxa"/>
            <w:tcBorders>
              <w:top w:val="nil"/>
              <w:left w:val="nil"/>
              <w:bottom w:val="nil"/>
              <w:right w:val="nil"/>
            </w:tcBorders>
            <w:textDirection w:val="lrTb"/>
            <w:vAlign w:val="center"/>
            <w:hideMark/>
          </w:tcPr>
          <w:p w:rsidR="00B548CC" w:rsidRPr="005E44A9" w:rsidP="00AD13E4">
            <w:pPr>
              <w:bidi w:val="0"/>
              <w:rPr>
                <w:rFonts w:ascii="Times New Roman" w:hAnsi="Times New Roman"/>
                <w:color w:val="000000"/>
                <w:sz w:val="18"/>
                <w:szCs w:val="18"/>
              </w:rPr>
            </w:pPr>
            <w:r w:rsidRPr="005E44A9">
              <w:rPr>
                <w:rFonts w:ascii="Times New Roman" w:hAnsi="Times New Roman"/>
                <w:color w:val="000000"/>
                <w:sz w:val="18"/>
                <w:szCs w:val="18"/>
              </w:rPr>
              <w:t>Transfery na platené poistné za skupiny osôb ustanovené zákonom</w:t>
            </w:r>
          </w:p>
        </w:tc>
        <w:tc>
          <w:tcPr>
            <w:tcW w:w="1114"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1 538 858</w:t>
            </w:r>
          </w:p>
        </w:tc>
        <w:tc>
          <w:tcPr>
            <w:tcW w:w="868"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1 444 444</w:t>
            </w:r>
          </w:p>
        </w:tc>
        <w:tc>
          <w:tcPr>
            <w:tcW w:w="993" w:type="dxa"/>
            <w:tcBorders>
              <w:top w:val="nil"/>
              <w:left w:val="nil"/>
              <w:bottom w:val="nil"/>
              <w:right w:val="nil"/>
            </w:tcBorders>
            <w:textDirection w:val="lrTb"/>
            <w:vAlign w:val="center"/>
            <w:hideMark/>
          </w:tcPr>
          <w:p w:rsidR="00B548CC" w:rsidRPr="005E44A9" w:rsidP="00812F26">
            <w:pPr>
              <w:bidi w:val="0"/>
              <w:jc w:val="right"/>
              <w:rPr>
                <w:rFonts w:ascii="Times New Roman" w:hAnsi="Times New Roman"/>
                <w:color w:val="000000"/>
                <w:sz w:val="18"/>
                <w:szCs w:val="18"/>
              </w:rPr>
            </w:pPr>
            <w:r w:rsidRPr="005E44A9">
              <w:rPr>
                <w:rFonts w:ascii="Times New Roman" w:hAnsi="Times New Roman"/>
                <w:color w:val="000000"/>
                <w:sz w:val="18"/>
                <w:szCs w:val="18"/>
              </w:rPr>
              <w:t>1 531 474</w:t>
            </w:r>
          </w:p>
        </w:tc>
        <w:tc>
          <w:tcPr>
            <w:tcW w:w="1134" w:type="dxa"/>
            <w:tcBorders>
              <w:top w:val="nil"/>
              <w:left w:val="nil"/>
              <w:bottom w:val="nil"/>
              <w:right w:val="nil"/>
            </w:tcBorders>
            <w:shd w:val="clear" w:color="000000" w:fill="BFBFBF"/>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1 579 384</w:t>
            </w:r>
          </w:p>
        </w:tc>
        <w:tc>
          <w:tcPr>
            <w:tcW w:w="850"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47 910</w:t>
            </w:r>
          </w:p>
        </w:tc>
        <w:tc>
          <w:tcPr>
            <w:tcW w:w="851"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3,1</w:t>
            </w:r>
          </w:p>
        </w:tc>
      </w:tr>
      <w:tr>
        <w:tblPrEx>
          <w:tblW w:w="8946" w:type="dxa"/>
          <w:tblInd w:w="55" w:type="dxa"/>
          <w:tblLayout w:type="fixed"/>
          <w:tblCellMar>
            <w:left w:w="70" w:type="dxa"/>
            <w:right w:w="70" w:type="dxa"/>
          </w:tblCellMar>
          <w:tblLook w:val="04A0"/>
        </w:tblPrEx>
        <w:trPr>
          <w:trHeight w:val="1200"/>
        </w:trPr>
        <w:tc>
          <w:tcPr>
            <w:tcW w:w="3136" w:type="dxa"/>
            <w:tcBorders>
              <w:top w:val="nil"/>
              <w:left w:val="nil"/>
              <w:bottom w:val="nil"/>
              <w:right w:val="nil"/>
            </w:tcBorders>
            <w:textDirection w:val="lrTb"/>
            <w:vAlign w:val="center"/>
            <w:hideMark/>
          </w:tcPr>
          <w:p w:rsidR="00B548CC" w:rsidRPr="005E44A9" w:rsidP="00AD13E4">
            <w:pPr>
              <w:bidi w:val="0"/>
              <w:rPr>
                <w:rFonts w:ascii="Times New Roman" w:hAnsi="Times New Roman"/>
                <w:color w:val="000000"/>
                <w:sz w:val="18"/>
                <w:szCs w:val="18"/>
              </w:rPr>
            </w:pPr>
            <w:r w:rsidRPr="005E44A9">
              <w:rPr>
                <w:rFonts w:ascii="Times New Roman" w:hAnsi="Times New Roman"/>
                <w:color w:val="000000"/>
                <w:sz w:val="18"/>
                <w:szCs w:val="18"/>
              </w:rPr>
              <w:t>Transfery obč. združeniam, nadáciám, neziskovým organizáciám, polit. stranám a hnutiam, odborovým organizáciám, cirkev. a súkrom. školám, cirkvám, náboženským spoločnostiam a cirkevnej charite</w:t>
            </w:r>
          </w:p>
        </w:tc>
        <w:tc>
          <w:tcPr>
            <w:tcW w:w="1114"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256 650</w:t>
            </w:r>
          </w:p>
        </w:tc>
        <w:tc>
          <w:tcPr>
            <w:tcW w:w="868"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303 915</w:t>
            </w:r>
          </w:p>
        </w:tc>
        <w:tc>
          <w:tcPr>
            <w:tcW w:w="993"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376 977</w:t>
            </w:r>
          </w:p>
        </w:tc>
        <w:tc>
          <w:tcPr>
            <w:tcW w:w="1134" w:type="dxa"/>
            <w:tcBorders>
              <w:top w:val="nil"/>
              <w:left w:val="nil"/>
              <w:bottom w:val="nil"/>
              <w:right w:val="nil"/>
            </w:tcBorders>
            <w:shd w:val="clear" w:color="000000" w:fill="BFBFBF"/>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352 183</w:t>
            </w:r>
          </w:p>
        </w:tc>
        <w:tc>
          <w:tcPr>
            <w:tcW w:w="850"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-24 794</w:t>
            </w:r>
          </w:p>
        </w:tc>
        <w:tc>
          <w:tcPr>
            <w:tcW w:w="851"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-6,6</w:t>
            </w:r>
          </w:p>
        </w:tc>
      </w:tr>
      <w:tr>
        <w:tblPrEx>
          <w:tblW w:w="8946" w:type="dxa"/>
          <w:tblInd w:w="55" w:type="dxa"/>
          <w:tblLayout w:type="fixed"/>
          <w:tblCellMar>
            <w:left w:w="70" w:type="dxa"/>
            <w:right w:w="70" w:type="dxa"/>
          </w:tblCellMar>
          <w:tblLook w:val="04A0"/>
        </w:tblPrEx>
        <w:trPr>
          <w:trHeight w:val="330"/>
        </w:trPr>
        <w:tc>
          <w:tcPr>
            <w:tcW w:w="3136" w:type="dxa"/>
            <w:tcBorders>
              <w:top w:val="nil"/>
              <w:left w:val="nil"/>
              <w:bottom w:val="nil"/>
              <w:right w:val="nil"/>
            </w:tcBorders>
            <w:textDirection w:val="lrTb"/>
            <w:vAlign w:val="center"/>
            <w:hideMark/>
          </w:tcPr>
          <w:p w:rsidR="00B548CC" w:rsidRPr="005E44A9" w:rsidP="00AD13E4">
            <w:pPr>
              <w:bidi w:val="0"/>
              <w:rPr>
                <w:rFonts w:ascii="Times New Roman" w:hAnsi="Times New Roman"/>
                <w:color w:val="000000"/>
                <w:sz w:val="18"/>
                <w:szCs w:val="18"/>
              </w:rPr>
            </w:pPr>
            <w:r w:rsidRPr="005E44A9">
              <w:rPr>
                <w:rFonts w:ascii="Times New Roman" w:hAnsi="Times New Roman"/>
                <w:color w:val="000000"/>
                <w:sz w:val="18"/>
                <w:szCs w:val="18"/>
              </w:rPr>
              <w:t>Príspevok na osobitný účet</w:t>
            </w:r>
          </w:p>
        </w:tc>
        <w:tc>
          <w:tcPr>
            <w:tcW w:w="1114"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123 493</w:t>
            </w:r>
          </w:p>
        </w:tc>
        <w:tc>
          <w:tcPr>
            <w:tcW w:w="868"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94 601</w:t>
            </w:r>
          </w:p>
        </w:tc>
        <w:tc>
          <w:tcPr>
            <w:tcW w:w="993"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115 373</w:t>
            </w:r>
          </w:p>
        </w:tc>
        <w:tc>
          <w:tcPr>
            <w:tcW w:w="1134" w:type="dxa"/>
            <w:tcBorders>
              <w:top w:val="nil"/>
              <w:left w:val="nil"/>
              <w:bottom w:val="nil"/>
              <w:right w:val="nil"/>
            </w:tcBorders>
            <w:shd w:val="clear" w:color="000000" w:fill="BFBFBF"/>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96 074</w:t>
            </w:r>
          </w:p>
        </w:tc>
        <w:tc>
          <w:tcPr>
            <w:tcW w:w="850"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-19 299</w:t>
            </w:r>
          </w:p>
        </w:tc>
        <w:tc>
          <w:tcPr>
            <w:tcW w:w="851"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-16,7</w:t>
            </w:r>
          </w:p>
        </w:tc>
      </w:tr>
      <w:tr>
        <w:tblPrEx>
          <w:tblW w:w="8946" w:type="dxa"/>
          <w:tblInd w:w="55" w:type="dxa"/>
          <w:tblLayout w:type="fixed"/>
          <w:tblCellMar>
            <w:left w:w="70" w:type="dxa"/>
            <w:right w:w="70" w:type="dxa"/>
          </w:tblCellMar>
          <w:tblLook w:val="04A0"/>
        </w:tblPrEx>
        <w:trPr>
          <w:trHeight w:val="330"/>
        </w:trPr>
        <w:tc>
          <w:tcPr>
            <w:tcW w:w="3136" w:type="dxa"/>
            <w:tcBorders>
              <w:top w:val="nil"/>
              <w:left w:val="nil"/>
              <w:bottom w:val="nil"/>
              <w:right w:val="nil"/>
            </w:tcBorders>
            <w:textDirection w:val="lrTb"/>
            <w:vAlign w:val="center"/>
            <w:hideMark/>
          </w:tcPr>
          <w:p w:rsidR="00B548CC" w:rsidRPr="005E44A9" w:rsidP="00AD13E4">
            <w:pPr>
              <w:bidi w:val="0"/>
              <w:rPr>
                <w:rFonts w:ascii="Times New Roman" w:hAnsi="Times New Roman"/>
                <w:color w:val="000000"/>
                <w:sz w:val="18"/>
                <w:szCs w:val="18"/>
              </w:rPr>
            </w:pPr>
            <w:r w:rsidRPr="005E44A9">
              <w:rPr>
                <w:rFonts w:ascii="Times New Roman" w:hAnsi="Times New Roman"/>
                <w:color w:val="000000"/>
                <w:sz w:val="18"/>
                <w:szCs w:val="18"/>
              </w:rPr>
              <w:t>Jednotlivcom</w:t>
            </w:r>
          </w:p>
        </w:tc>
        <w:tc>
          <w:tcPr>
            <w:tcW w:w="1114"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76 451</w:t>
            </w:r>
          </w:p>
        </w:tc>
        <w:tc>
          <w:tcPr>
            <w:tcW w:w="868"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83 793</w:t>
            </w:r>
          </w:p>
        </w:tc>
        <w:tc>
          <w:tcPr>
            <w:tcW w:w="993"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79 145</w:t>
            </w:r>
          </w:p>
        </w:tc>
        <w:tc>
          <w:tcPr>
            <w:tcW w:w="1134" w:type="dxa"/>
            <w:tcBorders>
              <w:top w:val="nil"/>
              <w:left w:val="nil"/>
              <w:bottom w:val="nil"/>
              <w:right w:val="nil"/>
            </w:tcBorders>
            <w:shd w:val="clear" w:color="000000" w:fill="BFBFBF"/>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88 186</w:t>
            </w:r>
          </w:p>
        </w:tc>
        <w:tc>
          <w:tcPr>
            <w:tcW w:w="850"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9 041</w:t>
            </w:r>
          </w:p>
        </w:tc>
        <w:tc>
          <w:tcPr>
            <w:tcW w:w="851"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11,4</w:t>
            </w:r>
          </w:p>
        </w:tc>
      </w:tr>
      <w:tr>
        <w:tblPrEx>
          <w:tblW w:w="8946" w:type="dxa"/>
          <w:tblInd w:w="55" w:type="dxa"/>
          <w:tblLayout w:type="fixed"/>
          <w:tblCellMar>
            <w:left w:w="70" w:type="dxa"/>
            <w:right w:w="70" w:type="dxa"/>
          </w:tblCellMar>
          <w:tblLook w:val="04A0"/>
        </w:tblPrEx>
        <w:trPr>
          <w:trHeight w:val="330"/>
        </w:trPr>
        <w:tc>
          <w:tcPr>
            <w:tcW w:w="3136" w:type="dxa"/>
            <w:tcBorders>
              <w:top w:val="nil"/>
              <w:left w:val="nil"/>
              <w:bottom w:val="nil"/>
              <w:right w:val="nil"/>
            </w:tcBorders>
            <w:textDirection w:val="lrTb"/>
            <w:vAlign w:val="center"/>
            <w:hideMark/>
          </w:tcPr>
          <w:p w:rsidR="00B548CC" w:rsidRPr="005E44A9" w:rsidP="00AD13E4">
            <w:pPr>
              <w:bidi w:val="0"/>
              <w:rPr>
                <w:rFonts w:ascii="Times New Roman" w:hAnsi="Times New Roman"/>
                <w:color w:val="000000"/>
                <w:sz w:val="18"/>
                <w:szCs w:val="18"/>
              </w:rPr>
            </w:pPr>
            <w:r w:rsidRPr="005E44A9">
              <w:rPr>
                <w:rFonts w:ascii="Times New Roman" w:hAnsi="Times New Roman"/>
                <w:color w:val="000000"/>
                <w:sz w:val="18"/>
                <w:szCs w:val="18"/>
              </w:rPr>
              <w:t>Na aktívne opatrenia trhu práce</w:t>
            </w:r>
          </w:p>
        </w:tc>
        <w:tc>
          <w:tcPr>
            <w:tcW w:w="1114"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127 042</w:t>
            </w:r>
          </w:p>
        </w:tc>
        <w:tc>
          <w:tcPr>
            <w:tcW w:w="868"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128 467</w:t>
            </w:r>
          </w:p>
        </w:tc>
        <w:tc>
          <w:tcPr>
            <w:tcW w:w="993"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219 378</w:t>
            </w:r>
          </w:p>
        </w:tc>
        <w:tc>
          <w:tcPr>
            <w:tcW w:w="1134" w:type="dxa"/>
            <w:tcBorders>
              <w:top w:val="nil"/>
              <w:left w:val="nil"/>
              <w:bottom w:val="nil"/>
              <w:right w:val="nil"/>
            </w:tcBorders>
            <w:shd w:val="clear" w:color="000000" w:fill="BFBFBF"/>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134 371</w:t>
            </w:r>
          </w:p>
        </w:tc>
        <w:tc>
          <w:tcPr>
            <w:tcW w:w="850" w:type="dxa"/>
            <w:tcBorders>
              <w:top w:val="nil"/>
              <w:left w:val="nil"/>
              <w:bottom w:val="nil"/>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-85 007</w:t>
            </w:r>
          </w:p>
        </w:tc>
        <w:tc>
          <w:tcPr>
            <w:tcW w:w="851" w:type="dxa"/>
            <w:tcBorders>
              <w:top w:val="nil"/>
              <w:left w:val="nil"/>
              <w:bottom w:val="nil"/>
              <w:right w:val="nil"/>
            </w:tcBorders>
            <w:textDirection w:val="lrTb"/>
            <w:vAlign w:val="center"/>
            <w:hideMark/>
          </w:tcPr>
          <w:p w:rsidR="00B548CC" w:rsidRPr="005E44A9" w:rsidP="00AD13E4">
            <w:pPr>
              <w:bidi w:val="0"/>
              <w:jc w:val="right"/>
              <w:rPr>
                <w:rFonts w:ascii="Times New Roman" w:hAnsi="Times New Roman"/>
                <w:color w:val="000000"/>
                <w:sz w:val="18"/>
                <w:szCs w:val="18"/>
              </w:rPr>
            </w:pPr>
            <w:r w:rsidR="00EB3FEB">
              <w:rPr>
                <w:rFonts w:ascii="Times New Roman" w:hAnsi="Times New Roman"/>
                <w:color w:val="000000"/>
                <w:sz w:val="18"/>
                <w:szCs w:val="18"/>
              </w:rPr>
              <w:t>-38,7</w:t>
            </w:r>
          </w:p>
        </w:tc>
      </w:tr>
      <w:tr>
        <w:tblPrEx>
          <w:tblW w:w="8946" w:type="dxa"/>
          <w:tblInd w:w="55" w:type="dxa"/>
          <w:tblLayout w:type="fixed"/>
          <w:tblCellMar>
            <w:left w:w="70" w:type="dxa"/>
            <w:right w:w="70" w:type="dxa"/>
          </w:tblCellMar>
          <w:tblLook w:val="04A0"/>
        </w:tblPrEx>
        <w:trPr>
          <w:trHeight w:val="330"/>
        </w:trPr>
        <w:tc>
          <w:tcPr>
            <w:tcW w:w="3136" w:type="dxa"/>
            <w:tcBorders>
              <w:top w:val="nil"/>
              <w:left w:val="nil"/>
              <w:bottom w:val="single" w:sz="4" w:space="0" w:color="auto"/>
              <w:right w:val="nil"/>
            </w:tcBorders>
            <w:textDirection w:val="lrTb"/>
            <w:vAlign w:val="center"/>
            <w:hideMark/>
          </w:tcPr>
          <w:p w:rsidR="00B548CC" w:rsidRPr="005E44A9" w:rsidP="00AD13E4">
            <w:pPr>
              <w:bidi w:val="0"/>
              <w:rPr>
                <w:rFonts w:ascii="Times New Roman" w:hAnsi="Times New Roman"/>
                <w:color w:val="000000"/>
                <w:sz w:val="18"/>
                <w:szCs w:val="18"/>
              </w:rPr>
            </w:pPr>
            <w:r w:rsidRPr="005E44A9">
              <w:rPr>
                <w:rFonts w:ascii="Times New Roman" w:hAnsi="Times New Roman"/>
                <w:color w:val="000000"/>
                <w:sz w:val="18"/>
                <w:szCs w:val="18"/>
              </w:rPr>
              <w:t>Ostatné transfery</w:t>
            </w:r>
          </w:p>
        </w:tc>
        <w:tc>
          <w:tcPr>
            <w:tcW w:w="1114" w:type="dxa"/>
            <w:tcBorders>
              <w:top w:val="nil"/>
              <w:left w:val="nil"/>
              <w:bottom w:val="single" w:sz="4" w:space="0" w:color="auto"/>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99 848</w:t>
            </w:r>
          </w:p>
        </w:tc>
        <w:tc>
          <w:tcPr>
            <w:tcW w:w="868" w:type="dxa"/>
            <w:tcBorders>
              <w:top w:val="nil"/>
              <w:left w:val="nil"/>
              <w:bottom w:val="single" w:sz="4" w:space="0" w:color="auto"/>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95 720</w:t>
            </w:r>
          </w:p>
        </w:tc>
        <w:tc>
          <w:tcPr>
            <w:tcW w:w="993" w:type="dxa"/>
            <w:tcBorders>
              <w:top w:val="nil"/>
              <w:left w:val="nil"/>
              <w:bottom w:val="single" w:sz="4" w:space="0" w:color="auto"/>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218 847</w:t>
            </w:r>
          </w:p>
        </w:tc>
        <w:tc>
          <w:tcPr>
            <w:tcW w:w="1134" w:type="dxa"/>
            <w:tcBorders>
              <w:top w:val="nil"/>
              <w:left w:val="nil"/>
              <w:bottom w:val="single" w:sz="4" w:space="0" w:color="auto"/>
              <w:right w:val="nil"/>
            </w:tcBorders>
            <w:shd w:val="clear" w:color="000000" w:fill="BFBFBF"/>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107 057</w:t>
            </w:r>
          </w:p>
        </w:tc>
        <w:tc>
          <w:tcPr>
            <w:tcW w:w="850" w:type="dxa"/>
            <w:tcBorders>
              <w:top w:val="nil"/>
              <w:left w:val="nil"/>
              <w:bottom w:val="single" w:sz="4" w:space="0" w:color="auto"/>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-111 790</w:t>
            </w:r>
          </w:p>
        </w:tc>
        <w:tc>
          <w:tcPr>
            <w:tcW w:w="851" w:type="dxa"/>
            <w:tcBorders>
              <w:top w:val="nil"/>
              <w:left w:val="nil"/>
              <w:bottom w:val="single" w:sz="4" w:space="0" w:color="auto"/>
              <w:right w:val="nil"/>
            </w:tcBorders>
            <w:textDirection w:val="lrTb"/>
            <w:vAlign w:val="center"/>
            <w:hideMark/>
          </w:tcPr>
          <w:p w:rsidR="00B548CC" w:rsidRPr="005E44A9" w:rsidP="00EB3FEB">
            <w:pPr>
              <w:bidi w:val="0"/>
              <w:jc w:val="right"/>
              <w:rPr>
                <w:rFonts w:ascii="Times New Roman" w:hAnsi="Times New Roman"/>
                <w:color w:val="000000"/>
                <w:sz w:val="18"/>
                <w:szCs w:val="18"/>
              </w:rPr>
            </w:pPr>
            <w:r w:rsidRPr="005E44A9">
              <w:rPr>
                <w:rFonts w:ascii="Times New Roman" w:hAnsi="Times New Roman"/>
                <w:color w:val="000000"/>
                <w:sz w:val="18"/>
                <w:szCs w:val="18"/>
              </w:rPr>
              <w:t>-51,1</w:t>
            </w:r>
          </w:p>
        </w:tc>
      </w:tr>
      <w:tr>
        <w:tblPrEx>
          <w:tblW w:w="8946" w:type="dxa"/>
          <w:tblInd w:w="55" w:type="dxa"/>
          <w:tblLayout w:type="fixed"/>
          <w:tblCellMar>
            <w:left w:w="70" w:type="dxa"/>
            <w:right w:w="70" w:type="dxa"/>
          </w:tblCellMar>
          <w:tblLook w:val="04A0"/>
        </w:tblPrEx>
        <w:trPr>
          <w:trHeight w:val="345"/>
        </w:trPr>
        <w:tc>
          <w:tcPr>
            <w:tcW w:w="3136" w:type="dxa"/>
            <w:tcBorders>
              <w:top w:val="single" w:sz="4" w:space="0" w:color="auto"/>
              <w:left w:val="nil"/>
              <w:bottom w:val="single" w:sz="8" w:space="0" w:color="auto"/>
              <w:right w:val="nil"/>
            </w:tcBorders>
            <w:textDirection w:val="lrTb"/>
            <w:vAlign w:val="center"/>
            <w:hideMark/>
          </w:tcPr>
          <w:p w:rsidR="00B548CC" w:rsidRPr="00812F26" w:rsidP="00AD13E4">
            <w:pPr>
              <w:bidi w:val="0"/>
              <w:rPr>
                <w:rFonts w:ascii="Times New Roman" w:hAnsi="Times New Roman"/>
                <w:b/>
                <w:bCs/>
                <w:color w:val="000000"/>
                <w:sz w:val="18"/>
                <w:szCs w:val="18"/>
              </w:rPr>
            </w:pPr>
            <w:r w:rsidRPr="00812F26">
              <w:rPr>
                <w:rFonts w:ascii="Times New Roman" w:hAnsi="Times New Roman"/>
                <w:b/>
                <w:bCs/>
                <w:color w:val="000000"/>
                <w:sz w:val="18"/>
                <w:szCs w:val="18"/>
              </w:rPr>
              <w:t>Spolu</w:t>
            </w:r>
          </w:p>
        </w:tc>
        <w:tc>
          <w:tcPr>
            <w:tcW w:w="1114" w:type="dxa"/>
            <w:tcBorders>
              <w:top w:val="single" w:sz="4" w:space="0" w:color="auto"/>
              <w:left w:val="nil"/>
              <w:bottom w:val="single" w:sz="8" w:space="0" w:color="auto"/>
              <w:right w:val="nil"/>
            </w:tcBorders>
            <w:textDirection w:val="lrTb"/>
            <w:vAlign w:val="center"/>
            <w:hideMark/>
          </w:tcPr>
          <w:p w:rsidR="00B548CC" w:rsidRPr="00812F26" w:rsidP="00EB3FEB">
            <w:pPr>
              <w:bidi w:val="0"/>
              <w:jc w:val="right"/>
              <w:rPr>
                <w:rFonts w:ascii="Times New Roman" w:hAnsi="Times New Roman"/>
                <w:b/>
                <w:bCs/>
                <w:color w:val="000000"/>
                <w:sz w:val="18"/>
                <w:szCs w:val="18"/>
              </w:rPr>
            </w:pPr>
            <w:r w:rsidRPr="00812F26">
              <w:rPr>
                <w:rFonts w:ascii="Times New Roman" w:hAnsi="Times New Roman"/>
                <w:b/>
                <w:bCs/>
                <w:color w:val="000000"/>
                <w:sz w:val="18"/>
                <w:szCs w:val="18"/>
              </w:rPr>
              <w:t>3 590 752</w:t>
            </w:r>
          </w:p>
        </w:tc>
        <w:tc>
          <w:tcPr>
            <w:tcW w:w="868" w:type="dxa"/>
            <w:tcBorders>
              <w:top w:val="single" w:sz="4" w:space="0" w:color="auto"/>
              <w:left w:val="nil"/>
              <w:bottom w:val="single" w:sz="8" w:space="0" w:color="auto"/>
              <w:right w:val="nil"/>
            </w:tcBorders>
            <w:textDirection w:val="lrTb"/>
            <w:vAlign w:val="center"/>
            <w:hideMark/>
          </w:tcPr>
          <w:p w:rsidR="00B548CC" w:rsidRPr="00812F26" w:rsidP="00EB3FEB">
            <w:pPr>
              <w:bidi w:val="0"/>
              <w:jc w:val="right"/>
              <w:rPr>
                <w:rFonts w:ascii="Times New Roman" w:hAnsi="Times New Roman"/>
                <w:b/>
                <w:bCs/>
                <w:color w:val="000000"/>
                <w:sz w:val="18"/>
                <w:szCs w:val="18"/>
              </w:rPr>
            </w:pPr>
            <w:r w:rsidRPr="00812F26">
              <w:rPr>
                <w:rFonts w:ascii="Times New Roman" w:hAnsi="Times New Roman"/>
                <w:b/>
                <w:bCs/>
                <w:color w:val="000000"/>
                <w:sz w:val="18"/>
                <w:szCs w:val="18"/>
              </w:rPr>
              <w:t>3 510 557</w:t>
            </w:r>
          </w:p>
        </w:tc>
        <w:tc>
          <w:tcPr>
            <w:tcW w:w="993" w:type="dxa"/>
            <w:tcBorders>
              <w:top w:val="single" w:sz="4" w:space="0" w:color="auto"/>
              <w:left w:val="nil"/>
              <w:bottom w:val="single" w:sz="8" w:space="0" w:color="auto"/>
              <w:right w:val="nil"/>
            </w:tcBorders>
            <w:textDirection w:val="lrTb"/>
            <w:vAlign w:val="center"/>
            <w:hideMark/>
          </w:tcPr>
          <w:p w:rsidR="00B548CC" w:rsidRPr="00812F26" w:rsidP="00EB3FEB">
            <w:pPr>
              <w:bidi w:val="0"/>
              <w:jc w:val="right"/>
              <w:rPr>
                <w:rFonts w:ascii="Times New Roman" w:hAnsi="Times New Roman"/>
                <w:b/>
                <w:bCs/>
                <w:color w:val="000000"/>
                <w:sz w:val="18"/>
                <w:szCs w:val="18"/>
              </w:rPr>
            </w:pPr>
            <w:r w:rsidRPr="00812F26">
              <w:rPr>
                <w:rFonts w:ascii="Times New Roman" w:hAnsi="Times New Roman"/>
                <w:b/>
                <w:bCs/>
                <w:color w:val="000000"/>
                <w:sz w:val="18"/>
                <w:szCs w:val="18"/>
              </w:rPr>
              <w:t>3 917 505</w:t>
            </w:r>
          </w:p>
        </w:tc>
        <w:tc>
          <w:tcPr>
            <w:tcW w:w="1134" w:type="dxa"/>
            <w:tcBorders>
              <w:top w:val="single" w:sz="4" w:space="0" w:color="auto"/>
              <w:left w:val="nil"/>
              <w:bottom w:val="single" w:sz="8" w:space="0" w:color="auto"/>
              <w:right w:val="nil"/>
            </w:tcBorders>
            <w:shd w:val="clear" w:color="000000" w:fill="BFBFBF"/>
            <w:textDirection w:val="lrTb"/>
            <w:vAlign w:val="center"/>
            <w:hideMark/>
          </w:tcPr>
          <w:p w:rsidR="00B548CC" w:rsidRPr="00812F26" w:rsidP="00EB3FEB">
            <w:pPr>
              <w:bidi w:val="0"/>
              <w:jc w:val="right"/>
              <w:rPr>
                <w:rFonts w:ascii="Times New Roman" w:hAnsi="Times New Roman"/>
                <w:b/>
                <w:bCs/>
                <w:color w:val="000000"/>
                <w:sz w:val="18"/>
                <w:szCs w:val="18"/>
              </w:rPr>
            </w:pPr>
            <w:r w:rsidRPr="00812F26">
              <w:rPr>
                <w:rFonts w:ascii="Times New Roman" w:hAnsi="Times New Roman"/>
                <w:b/>
                <w:bCs/>
                <w:color w:val="000000"/>
                <w:sz w:val="18"/>
                <w:szCs w:val="18"/>
              </w:rPr>
              <w:t>3 691 591</w:t>
            </w:r>
          </w:p>
        </w:tc>
        <w:tc>
          <w:tcPr>
            <w:tcW w:w="850" w:type="dxa"/>
            <w:tcBorders>
              <w:top w:val="single" w:sz="4" w:space="0" w:color="auto"/>
              <w:left w:val="nil"/>
              <w:bottom w:val="single" w:sz="8" w:space="0" w:color="auto"/>
              <w:right w:val="nil"/>
            </w:tcBorders>
            <w:textDirection w:val="lrTb"/>
            <w:vAlign w:val="center"/>
            <w:hideMark/>
          </w:tcPr>
          <w:p w:rsidR="00B548CC" w:rsidRPr="00812F26" w:rsidP="00EB3FEB">
            <w:pPr>
              <w:bidi w:val="0"/>
              <w:jc w:val="right"/>
              <w:rPr>
                <w:rFonts w:ascii="Times New Roman" w:hAnsi="Times New Roman"/>
                <w:b/>
                <w:bCs/>
                <w:color w:val="000000"/>
                <w:sz w:val="18"/>
                <w:szCs w:val="18"/>
              </w:rPr>
            </w:pPr>
            <w:r w:rsidRPr="00812F26">
              <w:rPr>
                <w:rFonts w:ascii="Times New Roman" w:hAnsi="Times New Roman"/>
                <w:b/>
                <w:bCs/>
                <w:color w:val="000000"/>
                <w:sz w:val="18"/>
                <w:szCs w:val="18"/>
              </w:rPr>
              <w:t>-225 914</w:t>
            </w:r>
          </w:p>
        </w:tc>
        <w:tc>
          <w:tcPr>
            <w:tcW w:w="851" w:type="dxa"/>
            <w:tcBorders>
              <w:top w:val="single" w:sz="4" w:space="0" w:color="auto"/>
              <w:left w:val="nil"/>
              <w:bottom w:val="single" w:sz="8" w:space="0" w:color="auto"/>
              <w:right w:val="nil"/>
            </w:tcBorders>
            <w:textDirection w:val="lrTb"/>
            <w:vAlign w:val="center"/>
            <w:hideMark/>
          </w:tcPr>
          <w:p w:rsidR="00B548CC" w:rsidRPr="00812F26" w:rsidP="00EB3FEB">
            <w:pPr>
              <w:bidi w:val="0"/>
              <w:jc w:val="right"/>
              <w:rPr>
                <w:rFonts w:ascii="Times New Roman" w:hAnsi="Times New Roman"/>
                <w:b/>
                <w:bCs/>
                <w:color w:val="000000"/>
                <w:sz w:val="18"/>
                <w:szCs w:val="18"/>
              </w:rPr>
            </w:pPr>
            <w:r w:rsidRPr="00812F26">
              <w:rPr>
                <w:rFonts w:ascii="Times New Roman" w:hAnsi="Times New Roman"/>
                <w:b/>
                <w:bCs/>
                <w:color w:val="000000"/>
                <w:sz w:val="18"/>
                <w:szCs w:val="18"/>
              </w:rPr>
              <w:t>-5,8</w:t>
            </w:r>
          </w:p>
        </w:tc>
      </w:tr>
    </w:tbl>
    <w:p w:rsidR="00B548CC" w:rsidRPr="0027279E" w:rsidP="00712106">
      <w:pPr>
        <w:bidi w:val="0"/>
        <w:spacing w:after="120" w:line="336" w:lineRule="auto"/>
        <w:jc w:val="right"/>
        <w:rPr>
          <w:rFonts w:ascii="Times New Roman" w:hAnsi="Times New Roman"/>
          <w:sz w:val="20"/>
          <w:szCs w:val="20"/>
        </w:rPr>
      </w:pPr>
      <w:r w:rsidRPr="0027279E" w:rsidR="0027279E">
        <w:rPr>
          <w:rFonts w:ascii="Times New Roman" w:hAnsi="Times New Roman"/>
          <w:sz w:val="20"/>
          <w:szCs w:val="20"/>
        </w:rPr>
        <w:t>Zdroj: MF SR</w:t>
      </w:r>
    </w:p>
    <w:p w:rsidR="00B548CC" w:rsidRPr="006E50E2" w:rsidP="00B548CC">
      <w:pPr>
        <w:bidi w:val="0"/>
        <w:spacing w:after="120" w:line="336" w:lineRule="auto"/>
        <w:jc w:val="both"/>
        <w:rPr>
          <w:rFonts w:ascii="Times New Roman" w:hAnsi="Times New Roman"/>
          <w:sz w:val="22"/>
        </w:rPr>
      </w:pPr>
      <w:r w:rsidR="00305EAF">
        <w:rPr>
          <w:rFonts w:ascii="Times New Roman" w:hAnsi="Times New Roman"/>
          <w:b/>
          <w:i/>
          <w:sz w:val="22"/>
        </w:rPr>
        <w:br w:type="page"/>
      </w:r>
      <w:r w:rsidRPr="006E50E2">
        <w:rPr>
          <w:rFonts w:ascii="Times New Roman" w:hAnsi="Times New Roman"/>
          <w:b/>
          <w:i/>
          <w:sz w:val="22"/>
        </w:rPr>
        <w:t>Transfery nefinančným subjektom a transfery príspevkovým organizáciám nezaradeným vo verejnej správe SR</w:t>
      </w:r>
      <w:r w:rsidRPr="006E50E2">
        <w:rPr>
          <w:rFonts w:ascii="Times New Roman" w:hAnsi="Times New Roman"/>
          <w:sz w:val="22"/>
        </w:rPr>
        <w:t xml:space="preserve"> boli </w:t>
      </w:r>
      <w:r>
        <w:rPr>
          <w:rFonts w:ascii="Times New Roman" w:hAnsi="Times New Roman"/>
          <w:sz w:val="22"/>
        </w:rPr>
        <w:t>rozpočtované</w:t>
      </w:r>
      <w:r w:rsidR="00AD13E4">
        <w:rPr>
          <w:rFonts w:ascii="Times New Roman" w:hAnsi="Times New Roman"/>
          <w:sz w:val="22"/>
        </w:rPr>
        <w:t xml:space="preserve"> </w:t>
      </w:r>
      <w:r w:rsidR="006E4CF2">
        <w:rPr>
          <w:rFonts w:ascii="Times New Roman" w:hAnsi="Times New Roman"/>
          <w:sz w:val="22"/>
        </w:rPr>
        <w:t xml:space="preserve">1 066 751 tis. eur a </w:t>
      </w:r>
      <w:r>
        <w:rPr>
          <w:rFonts w:ascii="Times New Roman" w:hAnsi="Times New Roman"/>
          <w:sz w:val="22"/>
        </w:rPr>
        <w:t>ich realizované</w:t>
      </w:r>
      <w:r w:rsidR="00AD13E4">
        <w:rPr>
          <w:rFonts w:ascii="Times New Roman" w:hAnsi="Times New Roman"/>
          <w:sz w:val="22"/>
        </w:rPr>
        <w:t xml:space="preserve"> </w:t>
      </w:r>
      <w:r>
        <w:rPr>
          <w:rFonts w:ascii="Times New Roman" w:hAnsi="Times New Roman"/>
          <w:sz w:val="22"/>
        </w:rPr>
        <w:t>čerpanie</w:t>
      </w:r>
      <w:r w:rsidR="00AD13E4">
        <w:rPr>
          <w:rFonts w:ascii="Times New Roman" w:hAnsi="Times New Roman"/>
          <w:sz w:val="22"/>
        </w:rPr>
        <w:t xml:space="preserve"> </w:t>
      </w:r>
      <w:r w:rsidRPr="006E50E2">
        <w:rPr>
          <w:rFonts w:ascii="Times New Roman" w:hAnsi="Times New Roman"/>
          <w:sz w:val="22"/>
        </w:rPr>
        <w:t>dosiahl</w:t>
      </w:r>
      <w:r>
        <w:rPr>
          <w:rFonts w:ascii="Times New Roman" w:hAnsi="Times New Roman"/>
          <w:sz w:val="22"/>
        </w:rPr>
        <w:t>o</w:t>
      </w:r>
      <w:r w:rsidR="00AD13E4">
        <w:rPr>
          <w:rFonts w:ascii="Times New Roman" w:hAnsi="Times New Roman"/>
          <w:sz w:val="22"/>
        </w:rPr>
        <w:t xml:space="preserve"> </w:t>
      </w:r>
      <w:r>
        <w:rPr>
          <w:rFonts w:ascii="Times New Roman" w:hAnsi="Times New Roman"/>
          <w:sz w:val="22"/>
        </w:rPr>
        <w:t>úroveň</w:t>
      </w:r>
      <w:r w:rsidR="00AD13E4">
        <w:rPr>
          <w:rFonts w:ascii="Times New Roman" w:hAnsi="Times New Roman"/>
          <w:sz w:val="22"/>
        </w:rPr>
        <w:t xml:space="preserve"> </w:t>
      </w:r>
      <w:r>
        <w:rPr>
          <w:rFonts w:ascii="Times New Roman" w:hAnsi="Times New Roman"/>
          <w:sz w:val="22"/>
        </w:rPr>
        <w:t>859 603</w:t>
      </w:r>
      <w:r w:rsidRPr="006E50E2">
        <w:rPr>
          <w:rFonts w:ascii="Times New Roman" w:hAnsi="Times New Roman"/>
          <w:sz w:val="22"/>
        </w:rPr>
        <w:t xml:space="preserve"> tis. eur</w:t>
      </w:r>
      <w:r>
        <w:rPr>
          <w:rFonts w:ascii="Times New Roman" w:hAnsi="Times New Roman"/>
          <w:sz w:val="22"/>
        </w:rPr>
        <w:t xml:space="preserve">, pričom použitie </w:t>
      </w:r>
      <w:r w:rsidR="00712106">
        <w:rPr>
          <w:rFonts w:ascii="Times New Roman" w:hAnsi="Times New Roman"/>
          <w:sz w:val="22"/>
        </w:rPr>
        <w:t>poskytuje nasledovný</w:t>
      </w:r>
      <w:r w:rsidR="00AD13E4">
        <w:rPr>
          <w:rFonts w:ascii="Times New Roman" w:hAnsi="Times New Roman"/>
          <w:sz w:val="22"/>
        </w:rPr>
        <w:t xml:space="preserve"> </w:t>
      </w:r>
      <w:r>
        <w:rPr>
          <w:rFonts w:ascii="Times New Roman" w:hAnsi="Times New Roman"/>
          <w:sz w:val="22"/>
        </w:rPr>
        <w:t>prehľad:</w:t>
      </w:r>
    </w:p>
    <w:tbl>
      <w:tblPr>
        <w:tblStyle w:val="TableNormal"/>
        <w:tblW w:w="5000" w:type="pct"/>
        <w:tblCellMar>
          <w:left w:w="70" w:type="dxa"/>
          <w:right w:w="70" w:type="dxa"/>
        </w:tblCellMar>
        <w:tblLook w:val="04A0"/>
      </w:tblPr>
      <w:tblGrid>
        <w:gridCol w:w="3939"/>
        <w:gridCol w:w="886"/>
        <w:gridCol w:w="746"/>
        <w:gridCol w:w="886"/>
        <w:gridCol w:w="1055"/>
        <w:gridCol w:w="829"/>
        <w:gridCol w:w="587"/>
      </w:tblGrid>
      <w:tr>
        <w:tblPrEx>
          <w:tblW w:w="5000" w:type="pct"/>
          <w:tblCellMar>
            <w:left w:w="70" w:type="dxa"/>
            <w:right w:w="70" w:type="dxa"/>
          </w:tblCellMar>
          <w:tblLook w:val="04A0"/>
        </w:tblPrEx>
        <w:trPr>
          <w:trHeight w:val="330"/>
        </w:trPr>
        <w:tc>
          <w:tcPr>
            <w:tcW w:w="5000" w:type="pct"/>
            <w:gridSpan w:val="7"/>
            <w:tcBorders>
              <w:top w:val="nil"/>
              <w:left w:val="nil"/>
              <w:bottom w:val="nil"/>
              <w:right w:val="nil"/>
            </w:tcBorders>
            <w:shd w:val="clear" w:color="000000" w:fill="000000"/>
            <w:textDirection w:val="lrTb"/>
            <w:vAlign w:val="center"/>
            <w:hideMark/>
          </w:tcPr>
          <w:p w:rsidR="00B548CC" w:rsidP="00E765DE">
            <w:pPr>
              <w:bidi w:val="0"/>
              <w:rPr>
                <w:rFonts w:ascii="Times New Roman" w:hAnsi="Times New Roman"/>
                <w:b/>
                <w:bCs/>
                <w:color w:val="FFFFFF"/>
                <w:sz w:val="18"/>
                <w:szCs w:val="18"/>
              </w:rPr>
            </w:pPr>
            <w:r w:rsidRPr="00C71817">
              <w:rPr>
                <w:rFonts w:ascii="Times New Roman" w:hAnsi="Times New Roman"/>
                <w:b/>
                <w:bCs/>
                <w:color w:val="FFFFFF"/>
                <w:sz w:val="18"/>
                <w:szCs w:val="18"/>
              </w:rPr>
              <w:t>Transfery nefinančným subjektom a transfery príspevkovým organizáciám nezaradeným vo verejnej správe SR</w:t>
            </w:r>
          </w:p>
          <w:p w:rsidR="00E765DE" w:rsidRPr="00C71817" w:rsidP="00E765DE">
            <w:pPr>
              <w:bidi w:val="0"/>
              <w:rPr>
                <w:rFonts w:ascii="Times New Roman" w:hAnsi="Times New Roman"/>
                <w:b/>
                <w:bCs/>
                <w:color w:val="FFFFFF"/>
                <w:sz w:val="18"/>
                <w:szCs w:val="18"/>
              </w:rPr>
            </w:pPr>
            <w:r>
              <w:rPr>
                <w:rFonts w:ascii="Times New Roman" w:hAnsi="Times New Roman"/>
                <w:b/>
                <w:bCs/>
                <w:color w:val="FFFFFF"/>
                <w:sz w:val="18"/>
                <w:szCs w:val="18"/>
              </w:rPr>
              <w:t xml:space="preserve">                                                                                                                                                                                   v tis. eur</w:t>
            </w:r>
          </w:p>
        </w:tc>
      </w:tr>
      <w:tr>
        <w:tblPrEx>
          <w:tblW w:w="5000" w:type="pct"/>
          <w:tblCellMar>
            <w:left w:w="70" w:type="dxa"/>
            <w:right w:w="70" w:type="dxa"/>
          </w:tblCellMar>
          <w:tblLook w:val="04A0"/>
        </w:tblPrEx>
        <w:trPr>
          <w:trHeight w:val="330"/>
        </w:trPr>
        <w:tc>
          <w:tcPr>
            <w:tcW w:w="2206" w:type="pct"/>
            <w:vMerge w:val="restart"/>
            <w:tcBorders>
              <w:top w:val="nil"/>
              <w:left w:val="nil"/>
              <w:bottom w:val="nil"/>
              <w:right w:val="nil"/>
            </w:tcBorders>
            <w:shd w:val="clear" w:color="000000" w:fill="BFBFBF"/>
            <w:textDirection w:val="lrTb"/>
            <w:vAlign w:val="center"/>
            <w:hideMark/>
          </w:tcPr>
          <w:p w:rsidR="00B548CC" w:rsidRPr="00C71817" w:rsidP="00AD13E4">
            <w:pPr>
              <w:bidi w:val="0"/>
              <w:rPr>
                <w:rFonts w:ascii="Times New Roman" w:hAnsi="Times New Roman"/>
                <w:b/>
                <w:bCs/>
                <w:color w:val="000000"/>
                <w:sz w:val="18"/>
                <w:szCs w:val="18"/>
              </w:rPr>
            </w:pPr>
            <w:r w:rsidRPr="00C71817">
              <w:rPr>
                <w:rFonts w:ascii="Times New Roman" w:hAnsi="Times New Roman"/>
                <w:b/>
                <w:bCs/>
                <w:color w:val="000000"/>
                <w:sz w:val="18"/>
                <w:szCs w:val="18"/>
              </w:rPr>
              <w:t xml:space="preserve"> </w:t>
            </w:r>
          </w:p>
        </w:tc>
        <w:tc>
          <w:tcPr>
            <w:tcW w:w="913" w:type="pct"/>
            <w:gridSpan w:val="2"/>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Skutočnosť</w:t>
            </w:r>
          </w:p>
        </w:tc>
        <w:tc>
          <w:tcPr>
            <w:tcW w:w="496" w:type="pct"/>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Rozpočet</w:t>
            </w:r>
          </w:p>
        </w:tc>
        <w:tc>
          <w:tcPr>
            <w:tcW w:w="591" w:type="pct"/>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Skutočnosť</w:t>
            </w:r>
          </w:p>
        </w:tc>
        <w:tc>
          <w:tcPr>
            <w:tcW w:w="794" w:type="pct"/>
            <w:gridSpan w:val="2"/>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Rozdiel</w:t>
            </w:r>
          </w:p>
        </w:tc>
      </w:tr>
      <w:tr>
        <w:tblPrEx>
          <w:tblW w:w="5000" w:type="pct"/>
          <w:tblCellMar>
            <w:left w:w="70" w:type="dxa"/>
            <w:right w:w="70" w:type="dxa"/>
          </w:tblCellMar>
          <w:tblLook w:val="04A0"/>
        </w:tblPrEx>
        <w:trPr>
          <w:trHeight w:val="330"/>
        </w:trPr>
        <w:tc>
          <w:tcPr>
            <w:tcW w:w="2206" w:type="pct"/>
            <w:vMerge/>
            <w:tcBorders>
              <w:top w:val="nil"/>
              <w:left w:val="nil"/>
              <w:bottom w:val="nil"/>
              <w:right w:val="nil"/>
            </w:tcBorders>
            <w:textDirection w:val="lrTb"/>
            <w:vAlign w:val="center"/>
            <w:hideMark/>
          </w:tcPr>
          <w:p w:rsidR="00B548CC" w:rsidRPr="00C71817" w:rsidP="00AD13E4">
            <w:pPr>
              <w:bidi w:val="0"/>
              <w:rPr>
                <w:rFonts w:ascii="Times New Roman" w:hAnsi="Times New Roman"/>
                <w:b/>
                <w:bCs/>
                <w:color w:val="000000"/>
                <w:sz w:val="18"/>
                <w:szCs w:val="18"/>
              </w:rPr>
            </w:pPr>
          </w:p>
        </w:tc>
        <w:tc>
          <w:tcPr>
            <w:tcW w:w="496" w:type="pct"/>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2013</w:t>
            </w:r>
          </w:p>
        </w:tc>
        <w:tc>
          <w:tcPr>
            <w:tcW w:w="418" w:type="pct"/>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2014</w:t>
            </w:r>
          </w:p>
        </w:tc>
        <w:tc>
          <w:tcPr>
            <w:tcW w:w="496" w:type="pct"/>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2015</w:t>
            </w:r>
          </w:p>
        </w:tc>
        <w:tc>
          <w:tcPr>
            <w:tcW w:w="591" w:type="pct"/>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2015</w:t>
            </w:r>
          </w:p>
        </w:tc>
        <w:tc>
          <w:tcPr>
            <w:tcW w:w="464" w:type="pct"/>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v tis. eur</w:t>
            </w:r>
          </w:p>
        </w:tc>
        <w:tc>
          <w:tcPr>
            <w:tcW w:w="330" w:type="pct"/>
            <w:tcBorders>
              <w:top w:val="nil"/>
              <w:left w:val="nil"/>
              <w:bottom w:val="nil"/>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v %</w:t>
            </w:r>
          </w:p>
        </w:tc>
      </w:tr>
      <w:tr>
        <w:tblPrEx>
          <w:tblW w:w="5000" w:type="pct"/>
          <w:tblCellMar>
            <w:left w:w="70" w:type="dxa"/>
            <w:right w:w="70" w:type="dxa"/>
          </w:tblCellMar>
          <w:tblLook w:val="04A0"/>
        </w:tblPrEx>
        <w:trPr>
          <w:trHeight w:val="345"/>
        </w:trPr>
        <w:tc>
          <w:tcPr>
            <w:tcW w:w="2206" w:type="pct"/>
            <w:tcBorders>
              <w:top w:val="nil"/>
              <w:left w:val="nil"/>
              <w:bottom w:val="single" w:sz="8" w:space="0" w:color="auto"/>
              <w:right w:val="nil"/>
            </w:tcBorders>
            <w:shd w:val="clear" w:color="000000" w:fill="BFBFBF"/>
            <w:textDirection w:val="lrTb"/>
            <w:vAlign w:val="center"/>
            <w:hideMark/>
          </w:tcPr>
          <w:p w:rsidR="00B548CC" w:rsidRPr="00C71817" w:rsidP="00AD13E4">
            <w:pPr>
              <w:bidi w:val="0"/>
              <w:rPr>
                <w:rFonts w:ascii="Times New Roman" w:hAnsi="Times New Roman"/>
                <w:color w:val="000000"/>
                <w:sz w:val="18"/>
                <w:szCs w:val="18"/>
              </w:rPr>
            </w:pPr>
            <w:r w:rsidRPr="00C71817">
              <w:rPr>
                <w:rFonts w:ascii="Times New Roman" w:hAnsi="Times New Roman"/>
                <w:color w:val="000000"/>
                <w:sz w:val="18"/>
                <w:szCs w:val="18"/>
              </w:rPr>
              <w:t> </w:t>
            </w:r>
          </w:p>
        </w:tc>
        <w:tc>
          <w:tcPr>
            <w:tcW w:w="496" w:type="pct"/>
            <w:tcBorders>
              <w:top w:val="nil"/>
              <w:left w:val="nil"/>
              <w:bottom w:val="single" w:sz="8" w:space="0" w:color="auto"/>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1</w:t>
            </w:r>
          </w:p>
        </w:tc>
        <w:tc>
          <w:tcPr>
            <w:tcW w:w="418" w:type="pct"/>
            <w:tcBorders>
              <w:top w:val="nil"/>
              <w:left w:val="nil"/>
              <w:bottom w:val="single" w:sz="8" w:space="0" w:color="auto"/>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2</w:t>
            </w:r>
          </w:p>
        </w:tc>
        <w:tc>
          <w:tcPr>
            <w:tcW w:w="496" w:type="pct"/>
            <w:tcBorders>
              <w:top w:val="nil"/>
              <w:left w:val="nil"/>
              <w:bottom w:val="single" w:sz="8" w:space="0" w:color="auto"/>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3</w:t>
            </w:r>
          </w:p>
        </w:tc>
        <w:tc>
          <w:tcPr>
            <w:tcW w:w="591" w:type="pct"/>
            <w:tcBorders>
              <w:top w:val="nil"/>
              <w:left w:val="nil"/>
              <w:bottom w:val="single" w:sz="8" w:space="0" w:color="auto"/>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4</w:t>
            </w:r>
          </w:p>
        </w:tc>
        <w:tc>
          <w:tcPr>
            <w:tcW w:w="464" w:type="pct"/>
            <w:tcBorders>
              <w:top w:val="nil"/>
              <w:left w:val="nil"/>
              <w:bottom w:val="single" w:sz="8" w:space="0" w:color="auto"/>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5=4-3</w:t>
            </w:r>
          </w:p>
        </w:tc>
        <w:tc>
          <w:tcPr>
            <w:tcW w:w="330" w:type="pct"/>
            <w:tcBorders>
              <w:top w:val="nil"/>
              <w:left w:val="nil"/>
              <w:bottom w:val="single" w:sz="8" w:space="0" w:color="auto"/>
              <w:right w:val="nil"/>
            </w:tcBorders>
            <w:shd w:val="clear" w:color="000000" w:fill="BFBFBF"/>
            <w:noWrap/>
            <w:textDirection w:val="lrTb"/>
            <w:vAlign w:val="center"/>
            <w:hideMark/>
          </w:tcPr>
          <w:p w:rsidR="00B548CC" w:rsidRPr="00C71817" w:rsidP="00AD13E4">
            <w:pPr>
              <w:bidi w:val="0"/>
              <w:jc w:val="center"/>
              <w:rPr>
                <w:rFonts w:ascii="Times New Roman" w:hAnsi="Times New Roman"/>
                <w:b/>
                <w:bCs/>
                <w:color w:val="000000"/>
                <w:sz w:val="18"/>
                <w:szCs w:val="18"/>
              </w:rPr>
            </w:pPr>
            <w:r w:rsidRPr="00C71817">
              <w:rPr>
                <w:rFonts w:ascii="Times New Roman" w:hAnsi="Times New Roman"/>
                <w:b/>
                <w:bCs/>
                <w:color w:val="000000"/>
                <w:sz w:val="18"/>
                <w:szCs w:val="18"/>
              </w:rPr>
              <w:t>6=4-3</w:t>
            </w:r>
          </w:p>
        </w:tc>
      </w:tr>
      <w:tr>
        <w:tblPrEx>
          <w:tblW w:w="5000" w:type="pct"/>
          <w:tblCellMar>
            <w:left w:w="70" w:type="dxa"/>
            <w:right w:w="70" w:type="dxa"/>
          </w:tblCellMar>
          <w:tblLook w:val="04A0"/>
        </w:tblPrEx>
        <w:trPr>
          <w:trHeight w:val="480"/>
        </w:trPr>
        <w:tc>
          <w:tcPr>
            <w:tcW w:w="2206" w:type="pct"/>
            <w:tcBorders>
              <w:top w:val="nil"/>
              <w:left w:val="nil"/>
              <w:bottom w:val="nil"/>
              <w:right w:val="nil"/>
            </w:tcBorders>
            <w:textDirection w:val="lrTb"/>
            <w:vAlign w:val="center"/>
            <w:hideMark/>
          </w:tcPr>
          <w:p w:rsidR="00B548CC" w:rsidRPr="00C71817" w:rsidP="00AD13E4">
            <w:pPr>
              <w:bidi w:val="0"/>
              <w:rPr>
                <w:rFonts w:ascii="Times New Roman" w:hAnsi="Times New Roman"/>
                <w:color w:val="000000"/>
                <w:sz w:val="18"/>
                <w:szCs w:val="18"/>
              </w:rPr>
            </w:pPr>
            <w:r w:rsidRPr="00C71817">
              <w:rPr>
                <w:rFonts w:ascii="Times New Roman" w:hAnsi="Times New Roman"/>
                <w:color w:val="000000"/>
                <w:sz w:val="18"/>
                <w:szCs w:val="18"/>
              </w:rPr>
              <w:t>Právnickej osobe založenej štátom, obcou alebo vyšším územným celkom</w:t>
            </w:r>
          </w:p>
        </w:tc>
        <w:tc>
          <w:tcPr>
            <w:tcW w:w="496"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629 355</w:t>
            </w:r>
          </w:p>
        </w:tc>
        <w:tc>
          <w:tcPr>
            <w:tcW w:w="418"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276 474</w:t>
            </w:r>
          </w:p>
        </w:tc>
        <w:tc>
          <w:tcPr>
            <w:tcW w:w="496"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227 879</w:t>
            </w:r>
          </w:p>
        </w:tc>
        <w:tc>
          <w:tcPr>
            <w:tcW w:w="591" w:type="pct"/>
            <w:tcBorders>
              <w:top w:val="nil"/>
              <w:left w:val="nil"/>
              <w:bottom w:val="nil"/>
              <w:right w:val="nil"/>
            </w:tcBorders>
            <w:shd w:val="clear" w:color="000000" w:fill="BFBFBF"/>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293 303</w:t>
            </w:r>
          </w:p>
        </w:tc>
        <w:tc>
          <w:tcPr>
            <w:tcW w:w="464"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65 424</w:t>
            </w:r>
          </w:p>
        </w:tc>
        <w:tc>
          <w:tcPr>
            <w:tcW w:w="330"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28,7</w:t>
            </w:r>
          </w:p>
        </w:tc>
      </w:tr>
      <w:tr>
        <w:tblPrEx>
          <w:tblW w:w="5000" w:type="pct"/>
          <w:tblCellMar>
            <w:left w:w="70" w:type="dxa"/>
            <w:right w:w="70" w:type="dxa"/>
          </w:tblCellMar>
          <w:tblLook w:val="04A0"/>
        </w:tblPrEx>
        <w:trPr>
          <w:trHeight w:val="330"/>
        </w:trPr>
        <w:tc>
          <w:tcPr>
            <w:tcW w:w="2206" w:type="pct"/>
            <w:tcBorders>
              <w:top w:val="nil"/>
              <w:left w:val="nil"/>
              <w:bottom w:val="nil"/>
              <w:right w:val="nil"/>
            </w:tcBorders>
            <w:textDirection w:val="lrTb"/>
            <w:vAlign w:val="center"/>
            <w:hideMark/>
          </w:tcPr>
          <w:p w:rsidR="00B548CC" w:rsidRPr="00C71817" w:rsidP="00AD13E4">
            <w:pPr>
              <w:bidi w:val="0"/>
              <w:rPr>
                <w:rFonts w:ascii="Times New Roman" w:hAnsi="Times New Roman"/>
                <w:color w:val="000000"/>
                <w:sz w:val="18"/>
                <w:szCs w:val="18"/>
              </w:rPr>
            </w:pPr>
            <w:r w:rsidRPr="00C71817">
              <w:rPr>
                <w:rFonts w:ascii="Times New Roman" w:hAnsi="Times New Roman"/>
                <w:color w:val="000000"/>
                <w:sz w:val="18"/>
                <w:szCs w:val="18"/>
              </w:rPr>
              <w:t>Ostatnej právnickej osobe</w:t>
            </w:r>
          </w:p>
        </w:tc>
        <w:tc>
          <w:tcPr>
            <w:tcW w:w="496"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488 443</w:t>
            </w:r>
          </w:p>
        </w:tc>
        <w:tc>
          <w:tcPr>
            <w:tcW w:w="418"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476 815</w:t>
            </w:r>
          </w:p>
        </w:tc>
        <w:tc>
          <w:tcPr>
            <w:tcW w:w="496"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816 317</w:t>
            </w:r>
          </w:p>
        </w:tc>
        <w:tc>
          <w:tcPr>
            <w:tcW w:w="591" w:type="pct"/>
            <w:tcBorders>
              <w:top w:val="nil"/>
              <w:left w:val="nil"/>
              <w:bottom w:val="nil"/>
              <w:right w:val="nil"/>
            </w:tcBorders>
            <w:shd w:val="clear" w:color="000000" w:fill="BFBFBF"/>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471 279</w:t>
            </w:r>
          </w:p>
        </w:tc>
        <w:tc>
          <w:tcPr>
            <w:tcW w:w="464"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-345 038</w:t>
            </w:r>
          </w:p>
        </w:tc>
        <w:tc>
          <w:tcPr>
            <w:tcW w:w="330"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-42,3</w:t>
            </w:r>
          </w:p>
        </w:tc>
      </w:tr>
      <w:tr>
        <w:tblPrEx>
          <w:tblW w:w="5000" w:type="pct"/>
          <w:tblCellMar>
            <w:left w:w="70" w:type="dxa"/>
            <w:right w:w="70" w:type="dxa"/>
          </w:tblCellMar>
          <w:tblLook w:val="04A0"/>
        </w:tblPrEx>
        <w:trPr>
          <w:trHeight w:val="330"/>
        </w:trPr>
        <w:tc>
          <w:tcPr>
            <w:tcW w:w="2206" w:type="pct"/>
            <w:tcBorders>
              <w:top w:val="nil"/>
              <w:left w:val="nil"/>
              <w:bottom w:val="nil"/>
              <w:right w:val="nil"/>
            </w:tcBorders>
            <w:textDirection w:val="lrTb"/>
            <w:vAlign w:val="center"/>
            <w:hideMark/>
          </w:tcPr>
          <w:p w:rsidR="00B548CC" w:rsidRPr="00C71817" w:rsidP="00AD13E4">
            <w:pPr>
              <w:bidi w:val="0"/>
              <w:rPr>
                <w:rFonts w:ascii="Times New Roman" w:hAnsi="Times New Roman"/>
                <w:color w:val="000000"/>
                <w:sz w:val="18"/>
                <w:szCs w:val="18"/>
              </w:rPr>
            </w:pPr>
            <w:r w:rsidRPr="00C71817">
              <w:rPr>
                <w:rFonts w:ascii="Times New Roman" w:hAnsi="Times New Roman"/>
                <w:color w:val="000000"/>
                <w:sz w:val="18"/>
                <w:szCs w:val="18"/>
              </w:rPr>
              <w:t>Fyzickej osobe podnikateľovi</w:t>
            </w:r>
          </w:p>
        </w:tc>
        <w:tc>
          <w:tcPr>
            <w:tcW w:w="496"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89 884</w:t>
            </w:r>
          </w:p>
        </w:tc>
        <w:tc>
          <w:tcPr>
            <w:tcW w:w="418"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91 129</w:t>
            </w:r>
          </w:p>
        </w:tc>
        <w:tc>
          <w:tcPr>
            <w:tcW w:w="496"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19 556</w:t>
            </w:r>
          </w:p>
        </w:tc>
        <w:tc>
          <w:tcPr>
            <w:tcW w:w="591" w:type="pct"/>
            <w:tcBorders>
              <w:top w:val="nil"/>
              <w:left w:val="nil"/>
              <w:bottom w:val="nil"/>
              <w:right w:val="nil"/>
            </w:tcBorders>
            <w:shd w:val="clear" w:color="000000" w:fill="BFBFBF"/>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85 975</w:t>
            </w:r>
          </w:p>
        </w:tc>
        <w:tc>
          <w:tcPr>
            <w:tcW w:w="464"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66 419</w:t>
            </w:r>
          </w:p>
        </w:tc>
        <w:tc>
          <w:tcPr>
            <w:tcW w:w="330" w:type="pct"/>
            <w:tcBorders>
              <w:top w:val="nil"/>
              <w:left w:val="nil"/>
              <w:bottom w:val="nil"/>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339,6</w:t>
            </w:r>
          </w:p>
        </w:tc>
      </w:tr>
      <w:tr>
        <w:tblPrEx>
          <w:tblW w:w="5000" w:type="pct"/>
          <w:tblCellMar>
            <w:left w:w="70" w:type="dxa"/>
            <w:right w:w="70" w:type="dxa"/>
          </w:tblCellMar>
          <w:tblLook w:val="04A0"/>
        </w:tblPrEx>
        <w:trPr>
          <w:trHeight w:val="330"/>
        </w:trPr>
        <w:tc>
          <w:tcPr>
            <w:tcW w:w="2206" w:type="pct"/>
            <w:tcBorders>
              <w:top w:val="nil"/>
              <w:left w:val="nil"/>
              <w:bottom w:val="single" w:sz="4" w:space="0" w:color="auto"/>
              <w:right w:val="nil"/>
            </w:tcBorders>
            <w:textDirection w:val="lrTb"/>
            <w:vAlign w:val="center"/>
            <w:hideMark/>
          </w:tcPr>
          <w:p w:rsidR="00B548CC" w:rsidRPr="00C71817" w:rsidP="00AD13E4">
            <w:pPr>
              <w:bidi w:val="0"/>
              <w:rPr>
                <w:rFonts w:ascii="Times New Roman" w:hAnsi="Times New Roman"/>
                <w:color w:val="000000"/>
                <w:sz w:val="18"/>
                <w:szCs w:val="18"/>
              </w:rPr>
            </w:pPr>
            <w:r w:rsidRPr="00C71817">
              <w:rPr>
                <w:rFonts w:ascii="Times New Roman" w:hAnsi="Times New Roman"/>
                <w:color w:val="000000"/>
                <w:sz w:val="18"/>
                <w:szCs w:val="18"/>
              </w:rPr>
              <w:t>Príspevkovej organizácii nezaradenej do VS</w:t>
            </w:r>
          </w:p>
        </w:tc>
        <w:tc>
          <w:tcPr>
            <w:tcW w:w="496" w:type="pct"/>
            <w:tcBorders>
              <w:top w:val="nil"/>
              <w:left w:val="nil"/>
              <w:bottom w:val="single" w:sz="4" w:space="0" w:color="auto"/>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9 229</w:t>
            </w:r>
          </w:p>
        </w:tc>
        <w:tc>
          <w:tcPr>
            <w:tcW w:w="418" w:type="pct"/>
            <w:tcBorders>
              <w:top w:val="nil"/>
              <w:left w:val="nil"/>
              <w:bottom w:val="single" w:sz="4" w:space="0" w:color="auto"/>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2 770</w:t>
            </w:r>
          </w:p>
        </w:tc>
        <w:tc>
          <w:tcPr>
            <w:tcW w:w="496" w:type="pct"/>
            <w:tcBorders>
              <w:top w:val="nil"/>
              <w:left w:val="nil"/>
              <w:bottom w:val="single" w:sz="4" w:space="0" w:color="auto"/>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2 999</w:t>
            </w:r>
          </w:p>
        </w:tc>
        <w:tc>
          <w:tcPr>
            <w:tcW w:w="591" w:type="pct"/>
            <w:tcBorders>
              <w:top w:val="nil"/>
              <w:left w:val="nil"/>
              <w:bottom w:val="single" w:sz="4" w:space="0" w:color="auto"/>
              <w:right w:val="nil"/>
            </w:tcBorders>
            <w:shd w:val="clear" w:color="000000" w:fill="BFBFBF"/>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9 046</w:t>
            </w:r>
          </w:p>
        </w:tc>
        <w:tc>
          <w:tcPr>
            <w:tcW w:w="464" w:type="pct"/>
            <w:tcBorders>
              <w:top w:val="nil"/>
              <w:left w:val="nil"/>
              <w:bottom w:val="single" w:sz="4" w:space="0" w:color="auto"/>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6 047</w:t>
            </w:r>
          </w:p>
        </w:tc>
        <w:tc>
          <w:tcPr>
            <w:tcW w:w="330" w:type="pct"/>
            <w:tcBorders>
              <w:top w:val="nil"/>
              <w:left w:val="nil"/>
              <w:bottom w:val="single" w:sz="4" w:space="0" w:color="auto"/>
              <w:right w:val="nil"/>
            </w:tcBorders>
            <w:textDirection w:val="lrTb"/>
            <w:vAlign w:val="center"/>
            <w:hideMark/>
          </w:tcPr>
          <w:p w:rsidR="00B548CC" w:rsidRPr="00C71817" w:rsidP="00AD13E4">
            <w:pPr>
              <w:bidi w:val="0"/>
              <w:jc w:val="right"/>
              <w:rPr>
                <w:rFonts w:ascii="Times New Roman" w:hAnsi="Times New Roman"/>
                <w:color w:val="000000"/>
                <w:sz w:val="18"/>
                <w:szCs w:val="18"/>
              </w:rPr>
            </w:pPr>
            <w:r w:rsidRPr="00C71817">
              <w:rPr>
                <w:rFonts w:ascii="Times New Roman" w:hAnsi="Times New Roman"/>
                <w:color w:val="000000"/>
                <w:sz w:val="18"/>
                <w:szCs w:val="18"/>
              </w:rPr>
              <w:t>201,6</w:t>
            </w:r>
          </w:p>
        </w:tc>
      </w:tr>
      <w:tr>
        <w:tblPrEx>
          <w:tblW w:w="5000" w:type="pct"/>
          <w:tblCellMar>
            <w:left w:w="70" w:type="dxa"/>
            <w:right w:w="70" w:type="dxa"/>
          </w:tblCellMar>
          <w:tblLook w:val="04A0"/>
        </w:tblPrEx>
        <w:trPr>
          <w:trHeight w:val="345"/>
        </w:trPr>
        <w:tc>
          <w:tcPr>
            <w:tcW w:w="2206" w:type="pct"/>
            <w:tcBorders>
              <w:top w:val="single" w:sz="4" w:space="0" w:color="auto"/>
              <w:left w:val="nil"/>
              <w:bottom w:val="single" w:sz="8" w:space="0" w:color="auto"/>
              <w:right w:val="nil"/>
            </w:tcBorders>
            <w:textDirection w:val="lrTb"/>
            <w:vAlign w:val="center"/>
            <w:hideMark/>
          </w:tcPr>
          <w:p w:rsidR="00B548CC" w:rsidRPr="00C71817" w:rsidP="00AD13E4">
            <w:pPr>
              <w:bidi w:val="0"/>
              <w:rPr>
                <w:rFonts w:ascii="Times New Roman" w:hAnsi="Times New Roman"/>
                <w:b/>
                <w:bCs/>
                <w:color w:val="000000"/>
                <w:sz w:val="18"/>
                <w:szCs w:val="18"/>
              </w:rPr>
            </w:pPr>
            <w:r w:rsidRPr="00C71817">
              <w:rPr>
                <w:rFonts w:ascii="Times New Roman" w:hAnsi="Times New Roman"/>
                <w:b/>
                <w:bCs/>
                <w:color w:val="000000"/>
                <w:sz w:val="18"/>
                <w:szCs w:val="18"/>
              </w:rPr>
              <w:t>Spolu</w:t>
            </w:r>
          </w:p>
        </w:tc>
        <w:tc>
          <w:tcPr>
            <w:tcW w:w="496" w:type="pct"/>
            <w:tcBorders>
              <w:top w:val="single" w:sz="4" w:space="0" w:color="auto"/>
              <w:left w:val="nil"/>
              <w:bottom w:val="single" w:sz="8" w:space="0" w:color="auto"/>
              <w:right w:val="nil"/>
            </w:tcBorders>
            <w:noWrap/>
            <w:textDirection w:val="lrTb"/>
            <w:vAlign w:val="center"/>
            <w:hideMark/>
          </w:tcPr>
          <w:p w:rsidR="00B548CC" w:rsidRPr="00C71817" w:rsidP="00AD13E4">
            <w:pPr>
              <w:bidi w:val="0"/>
              <w:jc w:val="right"/>
              <w:rPr>
                <w:rFonts w:ascii="Times New Roman" w:hAnsi="Times New Roman"/>
                <w:b/>
                <w:bCs/>
                <w:color w:val="000000"/>
                <w:sz w:val="18"/>
                <w:szCs w:val="18"/>
              </w:rPr>
            </w:pPr>
            <w:r w:rsidRPr="00C71817">
              <w:rPr>
                <w:rFonts w:ascii="Times New Roman" w:hAnsi="Times New Roman"/>
                <w:b/>
                <w:bCs/>
                <w:color w:val="000000"/>
                <w:sz w:val="18"/>
                <w:szCs w:val="18"/>
              </w:rPr>
              <w:t>1 216 911</w:t>
            </w:r>
          </w:p>
        </w:tc>
        <w:tc>
          <w:tcPr>
            <w:tcW w:w="418" w:type="pct"/>
            <w:tcBorders>
              <w:top w:val="single" w:sz="4" w:space="0" w:color="auto"/>
              <w:left w:val="nil"/>
              <w:bottom w:val="single" w:sz="8" w:space="0" w:color="auto"/>
              <w:right w:val="nil"/>
            </w:tcBorders>
            <w:noWrap/>
            <w:textDirection w:val="lrTb"/>
            <w:vAlign w:val="center"/>
            <w:hideMark/>
          </w:tcPr>
          <w:p w:rsidR="00B548CC" w:rsidRPr="00C71817" w:rsidP="00AD13E4">
            <w:pPr>
              <w:bidi w:val="0"/>
              <w:jc w:val="right"/>
              <w:rPr>
                <w:rFonts w:ascii="Times New Roman" w:hAnsi="Times New Roman"/>
                <w:b/>
                <w:bCs/>
                <w:color w:val="000000"/>
                <w:sz w:val="18"/>
                <w:szCs w:val="18"/>
              </w:rPr>
            </w:pPr>
            <w:r w:rsidRPr="00C71817">
              <w:rPr>
                <w:rFonts w:ascii="Times New Roman" w:hAnsi="Times New Roman"/>
                <w:b/>
                <w:bCs/>
                <w:color w:val="000000"/>
                <w:sz w:val="18"/>
                <w:szCs w:val="18"/>
              </w:rPr>
              <w:t>847 188</w:t>
            </w:r>
          </w:p>
        </w:tc>
        <w:tc>
          <w:tcPr>
            <w:tcW w:w="496" w:type="pct"/>
            <w:tcBorders>
              <w:top w:val="single" w:sz="4" w:space="0" w:color="auto"/>
              <w:left w:val="nil"/>
              <w:bottom w:val="single" w:sz="8" w:space="0" w:color="auto"/>
              <w:right w:val="nil"/>
            </w:tcBorders>
            <w:noWrap/>
            <w:textDirection w:val="lrTb"/>
            <w:vAlign w:val="center"/>
            <w:hideMark/>
          </w:tcPr>
          <w:p w:rsidR="00B548CC" w:rsidRPr="00C71817" w:rsidP="00AD13E4">
            <w:pPr>
              <w:bidi w:val="0"/>
              <w:jc w:val="right"/>
              <w:rPr>
                <w:rFonts w:ascii="Times New Roman" w:hAnsi="Times New Roman"/>
                <w:b/>
                <w:bCs/>
                <w:color w:val="000000"/>
                <w:sz w:val="18"/>
                <w:szCs w:val="18"/>
              </w:rPr>
            </w:pPr>
            <w:r w:rsidRPr="00C71817">
              <w:rPr>
                <w:rFonts w:ascii="Times New Roman" w:hAnsi="Times New Roman"/>
                <w:b/>
                <w:bCs/>
                <w:color w:val="000000"/>
                <w:sz w:val="18"/>
                <w:szCs w:val="18"/>
              </w:rPr>
              <w:t>1 066 751</w:t>
            </w:r>
          </w:p>
        </w:tc>
        <w:tc>
          <w:tcPr>
            <w:tcW w:w="591" w:type="pct"/>
            <w:tcBorders>
              <w:top w:val="single" w:sz="4" w:space="0" w:color="auto"/>
              <w:left w:val="nil"/>
              <w:bottom w:val="single" w:sz="8" w:space="0" w:color="auto"/>
              <w:right w:val="nil"/>
            </w:tcBorders>
            <w:shd w:val="clear" w:color="000000" w:fill="BFBFBF"/>
            <w:noWrap/>
            <w:textDirection w:val="lrTb"/>
            <w:vAlign w:val="center"/>
            <w:hideMark/>
          </w:tcPr>
          <w:p w:rsidR="00B548CC" w:rsidRPr="00C71817" w:rsidP="00AD13E4">
            <w:pPr>
              <w:bidi w:val="0"/>
              <w:jc w:val="right"/>
              <w:rPr>
                <w:rFonts w:ascii="Times New Roman" w:hAnsi="Times New Roman"/>
                <w:b/>
                <w:bCs/>
                <w:color w:val="000000"/>
                <w:sz w:val="18"/>
                <w:szCs w:val="18"/>
              </w:rPr>
            </w:pPr>
            <w:r w:rsidRPr="00C71817">
              <w:rPr>
                <w:rFonts w:ascii="Times New Roman" w:hAnsi="Times New Roman"/>
                <w:b/>
                <w:bCs/>
                <w:color w:val="000000"/>
                <w:sz w:val="18"/>
                <w:szCs w:val="18"/>
              </w:rPr>
              <w:t>859 603</w:t>
            </w:r>
          </w:p>
        </w:tc>
        <w:tc>
          <w:tcPr>
            <w:tcW w:w="464" w:type="pct"/>
            <w:tcBorders>
              <w:top w:val="single" w:sz="4" w:space="0" w:color="auto"/>
              <w:left w:val="nil"/>
              <w:bottom w:val="single" w:sz="8" w:space="0" w:color="auto"/>
              <w:right w:val="nil"/>
            </w:tcBorders>
            <w:noWrap/>
            <w:textDirection w:val="lrTb"/>
            <w:vAlign w:val="center"/>
            <w:hideMark/>
          </w:tcPr>
          <w:p w:rsidR="00B548CC" w:rsidRPr="00C71817" w:rsidP="00AD13E4">
            <w:pPr>
              <w:bidi w:val="0"/>
              <w:jc w:val="right"/>
              <w:rPr>
                <w:rFonts w:ascii="Times New Roman" w:hAnsi="Times New Roman"/>
                <w:b/>
                <w:bCs/>
                <w:color w:val="000000"/>
                <w:sz w:val="18"/>
                <w:szCs w:val="18"/>
              </w:rPr>
            </w:pPr>
            <w:r w:rsidRPr="00C71817">
              <w:rPr>
                <w:rFonts w:ascii="Times New Roman" w:hAnsi="Times New Roman"/>
                <w:b/>
                <w:bCs/>
                <w:color w:val="000000"/>
                <w:sz w:val="18"/>
                <w:szCs w:val="18"/>
              </w:rPr>
              <w:t>-207 148</w:t>
            </w:r>
          </w:p>
        </w:tc>
        <w:tc>
          <w:tcPr>
            <w:tcW w:w="330" w:type="pct"/>
            <w:tcBorders>
              <w:top w:val="single" w:sz="4" w:space="0" w:color="auto"/>
              <w:left w:val="nil"/>
              <w:bottom w:val="single" w:sz="8" w:space="0" w:color="auto"/>
              <w:right w:val="nil"/>
            </w:tcBorders>
            <w:textDirection w:val="lrTb"/>
            <w:vAlign w:val="center"/>
            <w:hideMark/>
          </w:tcPr>
          <w:p w:rsidR="00B548CC" w:rsidRPr="00C71817" w:rsidP="00AD13E4">
            <w:pPr>
              <w:bidi w:val="0"/>
              <w:jc w:val="right"/>
              <w:rPr>
                <w:rFonts w:ascii="Times New Roman" w:hAnsi="Times New Roman"/>
                <w:b/>
                <w:bCs/>
                <w:color w:val="000000"/>
                <w:sz w:val="18"/>
                <w:szCs w:val="18"/>
              </w:rPr>
            </w:pPr>
            <w:r w:rsidRPr="00C71817">
              <w:rPr>
                <w:rFonts w:ascii="Times New Roman" w:hAnsi="Times New Roman"/>
                <w:b/>
                <w:bCs/>
                <w:color w:val="000000"/>
                <w:sz w:val="18"/>
                <w:szCs w:val="18"/>
              </w:rPr>
              <w:t>-19,4</w:t>
            </w:r>
          </w:p>
        </w:tc>
      </w:tr>
    </w:tbl>
    <w:p w:rsidR="00CA6592" w:rsidRPr="00CA6592" w:rsidP="00712106">
      <w:pPr>
        <w:bidi w:val="0"/>
        <w:spacing w:after="120" w:line="336" w:lineRule="auto"/>
        <w:jc w:val="right"/>
        <w:rPr>
          <w:rFonts w:ascii="Times New Roman" w:hAnsi="Times New Roman"/>
          <w:sz w:val="20"/>
          <w:szCs w:val="20"/>
        </w:rPr>
      </w:pPr>
      <w:r w:rsidRPr="00CA6592">
        <w:rPr>
          <w:rFonts w:ascii="Times New Roman" w:hAnsi="Times New Roman"/>
          <w:sz w:val="20"/>
          <w:szCs w:val="20"/>
        </w:rPr>
        <w:t>Zdroj: MF SR</w:t>
      </w:r>
    </w:p>
    <w:p w:rsidR="00B548CC" w:rsidRPr="006E50E2" w:rsidP="00B548CC">
      <w:pPr>
        <w:bidi w:val="0"/>
        <w:spacing w:after="120" w:line="336" w:lineRule="auto"/>
        <w:jc w:val="both"/>
        <w:rPr>
          <w:rFonts w:ascii="Times New Roman" w:hAnsi="Times New Roman"/>
          <w:sz w:val="22"/>
          <w:szCs w:val="22"/>
        </w:rPr>
      </w:pPr>
      <w:r w:rsidRPr="00355F9F">
        <w:rPr>
          <w:rFonts w:ascii="Times New Roman" w:hAnsi="Times New Roman"/>
          <w:sz w:val="22"/>
          <w:szCs w:val="22"/>
        </w:rPr>
        <w:t>Najvyšší</w:t>
      </w:r>
      <w:r w:rsidR="00AD13E4">
        <w:rPr>
          <w:rFonts w:ascii="Times New Roman" w:hAnsi="Times New Roman"/>
          <w:sz w:val="22"/>
          <w:szCs w:val="22"/>
        </w:rPr>
        <w:t xml:space="preserve"> </w:t>
      </w:r>
      <w:r w:rsidRPr="00355F9F">
        <w:rPr>
          <w:rFonts w:ascii="Times New Roman" w:hAnsi="Times New Roman"/>
          <w:sz w:val="22"/>
          <w:szCs w:val="22"/>
        </w:rPr>
        <w:t xml:space="preserve">podiel </w:t>
      </w:r>
      <w:r w:rsidRPr="00712106">
        <w:rPr>
          <w:rFonts w:ascii="Times New Roman" w:hAnsi="Times New Roman"/>
          <w:sz w:val="22"/>
          <w:szCs w:val="22"/>
        </w:rPr>
        <w:t>tvorili</w:t>
      </w:r>
      <w:r w:rsidR="00AD13E4">
        <w:rPr>
          <w:rFonts w:ascii="Times New Roman" w:hAnsi="Times New Roman"/>
          <w:b/>
          <w:sz w:val="22"/>
          <w:szCs w:val="22"/>
        </w:rPr>
        <w:t xml:space="preserve"> </w:t>
      </w:r>
      <w:r w:rsidRPr="00355F9F">
        <w:rPr>
          <w:rFonts w:ascii="Times New Roman" w:hAnsi="Times New Roman"/>
          <w:b/>
          <w:sz w:val="22"/>
          <w:szCs w:val="22"/>
        </w:rPr>
        <w:t>transfery</w:t>
      </w:r>
      <w:r w:rsidR="00AD13E4">
        <w:rPr>
          <w:rFonts w:ascii="Times New Roman" w:hAnsi="Times New Roman"/>
          <w:b/>
          <w:sz w:val="22"/>
          <w:szCs w:val="22"/>
        </w:rPr>
        <w:t xml:space="preserve"> </w:t>
      </w:r>
      <w:r w:rsidRPr="00355F9F">
        <w:rPr>
          <w:rFonts w:ascii="Times New Roman" w:hAnsi="Times New Roman"/>
          <w:b/>
          <w:sz w:val="22"/>
          <w:szCs w:val="22"/>
        </w:rPr>
        <w:t>ostatným</w:t>
      </w:r>
      <w:r w:rsidR="00AD13E4">
        <w:rPr>
          <w:rFonts w:ascii="Times New Roman" w:hAnsi="Times New Roman"/>
          <w:b/>
          <w:sz w:val="22"/>
          <w:szCs w:val="22"/>
        </w:rPr>
        <w:t xml:space="preserve"> </w:t>
      </w:r>
      <w:r w:rsidRPr="00355F9F">
        <w:rPr>
          <w:rFonts w:ascii="Times New Roman" w:hAnsi="Times New Roman"/>
          <w:b/>
          <w:sz w:val="22"/>
          <w:szCs w:val="22"/>
        </w:rPr>
        <w:t>právnickým osobám</w:t>
      </w:r>
      <w:r w:rsidRPr="00355F9F">
        <w:rPr>
          <w:rFonts w:ascii="Times New Roman" w:hAnsi="Times New Roman"/>
          <w:sz w:val="22"/>
          <w:szCs w:val="22"/>
        </w:rPr>
        <w:t>, ktoré boli v rozhodujúcej miere hradené</w:t>
      </w:r>
      <w:r w:rsidR="00AD13E4">
        <w:rPr>
          <w:rFonts w:ascii="Times New Roman" w:hAnsi="Times New Roman"/>
          <w:sz w:val="22"/>
          <w:szCs w:val="22"/>
        </w:rPr>
        <w:t xml:space="preserve"> </w:t>
      </w:r>
      <w:r w:rsidRPr="00355F9F">
        <w:rPr>
          <w:rFonts w:ascii="Times New Roman" w:hAnsi="Times New Roman"/>
          <w:sz w:val="22"/>
          <w:szCs w:val="22"/>
        </w:rPr>
        <w:t>Pôdohospodárskou platobnou agentúrou</w:t>
      </w:r>
      <w:r w:rsidR="00AD13E4">
        <w:rPr>
          <w:rFonts w:ascii="Times New Roman" w:hAnsi="Times New Roman"/>
          <w:sz w:val="22"/>
          <w:szCs w:val="22"/>
        </w:rPr>
        <w:t xml:space="preserve"> </w:t>
      </w:r>
      <w:r w:rsidRPr="00355F9F">
        <w:rPr>
          <w:rFonts w:ascii="Times New Roman" w:hAnsi="Times New Roman"/>
          <w:sz w:val="22"/>
          <w:szCs w:val="22"/>
        </w:rPr>
        <w:t>(403 297 tis. eur), začlenenou</w:t>
      </w:r>
      <w:r w:rsidR="00AD13E4">
        <w:rPr>
          <w:rFonts w:ascii="Times New Roman" w:hAnsi="Times New Roman"/>
          <w:sz w:val="22"/>
          <w:szCs w:val="22"/>
        </w:rPr>
        <w:t xml:space="preserve"> </w:t>
      </w:r>
      <w:r w:rsidRPr="00355F9F">
        <w:rPr>
          <w:rFonts w:ascii="Times New Roman" w:hAnsi="Times New Roman"/>
          <w:sz w:val="22"/>
          <w:szCs w:val="22"/>
        </w:rPr>
        <w:t>pod rezort</w:t>
      </w:r>
      <w:r w:rsidR="00AD13E4">
        <w:rPr>
          <w:rFonts w:ascii="Times New Roman" w:hAnsi="Times New Roman"/>
          <w:sz w:val="22"/>
          <w:szCs w:val="22"/>
        </w:rPr>
        <w:t xml:space="preserve"> </w:t>
      </w:r>
      <w:r w:rsidRPr="00355F9F">
        <w:rPr>
          <w:rFonts w:ascii="Times New Roman" w:hAnsi="Times New Roman"/>
          <w:sz w:val="22"/>
          <w:szCs w:val="22"/>
        </w:rPr>
        <w:t>Ministerstva pôdohospodárstva a rozvoja vidieka SR. Platby súviseli</w:t>
      </w:r>
      <w:r w:rsidR="00AD13E4">
        <w:rPr>
          <w:rFonts w:ascii="Times New Roman" w:hAnsi="Times New Roman"/>
          <w:sz w:val="22"/>
          <w:szCs w:val="22"/>
        </w:rPr>
        <w:t xml:space="preserve"> </w:t>
      </w:r>
      <w:r w:rsidRPr="00355F9F">
        <w:rPr>
          <w:rFonts w:ascii="Times New Roman" w:hAnsi="Times New Roman"/>
          <w:sz w:val="22"/>
          <w:szCs w:val="22"/>
        </w:rPr>
        <w:t>s</w:t>
      </w:r>
      <w:r w:rsidR="00AD13E4">
        <w:rPr>
          <w:rFonts w:ascii="Times New Roman" w:hAnsi="Times New Roman"/>
          <w:sz w:val="22"/>
          <w:szCs w:val="22"/>
        </w:rPr>
        <w:t xml:space="preserve"> </w:t>
      </w:r>
      <w:r w:rsidRPr="00355F9F">
        <w:rPr>
          <w:rFonts w:ascii="Times New Roman" w:hAnsi="Times New Roman"/>
          <w:sz w:val="22"/>
          <w:szCs w:val="22"/>
        </w:rPr>
        <w:t>podpornými opatreniami</w:t>
      </w:r>
      <w:r w:rsidR="00AD13E4">
        <w:rPr>
          <w:rFonts w:ascii="Times New Roman" w:hAnsi="Times New Roman"/>
          <w:sz w:val="22"/>
          <w:szCs w:val="22"/>
        </w:rPr>
        <w:t xml:space="preserve"> </w:t>
      </w:r>
      <w:r w:rsidRPr="00355F9F">
        <w:rPr>
          <w:rFonts w:ascii="Times New Roman" w:hAnsi="Times New Roman"/>
          <w:sz w:val="22"/>
          <w:szCs w:val="22"/>
        </w:rPr>
        <w:t>na zachovanie poľnohospodárskej produkcie</w:t>
      </w:r>
      <w:r w:rsidR="00AD13E4">
        <w:rPr>
          <w:rFonts w:ascii="Times New Roman" w:hAnsi="Times New Roman"/>
          <w:sz w:val="22"/>
          <w:szCs w:val="22"/>
        </w:rPr>
        <w:t xml:space="preserve"> </w:t>
      </w:r>
      <w:r w:rsidRPr="00355F9F">
        <w:rPr>
          <w:rFonts w:ascii="Times New Roman" w:hAnsi="Times New Roman"/>
          <w:sz w:val="22"/>
          <w:szCs w:val="22"/>
        </w:rPr>
        <w:t>a posilnenie pozície farmárov.</w:t>
      </w:r>
      <w:r w:rsidR="00AD13E4">
        <w:rPr>
          <w:rFonts w:ascii="Times New Roman" w:hAnsi="Times New Roman"/>
          <w:sz w:val="22"/>
          <w:szCs w:val="22"/>
        </w:rPr>
        <w:t xml:space="preserve"> </w:t>
      </w:r>
      <w:r w:rsidRPr="006E50E2">
        <w:rPr>
          <w:rFonts w:ascii="Times New Roman" w:hAnsi="Times New Roman"/>
          <w:sz w:val="22"/>
          <w:szCs w:val="22"/>
        </w:rPr>
        <w:t>Vyššie</w:t>
      </w:r>
      <w:r w:rsidR="00AD13E4">
        <w:rPr>
          <w:rFonts w:ascii="Times New Roman" w:hAnsi="Times New Roman"/>
          <w:sz w:val="22"/>
          <w:szCs w:val="22"/>
        </w:rPr>
        <w:t xml:space="preserve"> </w:t>
      </w:r>
      <w:r w:rsidRPr="006E50E2">
        <w:rPr>
          <w:rFonts w:ascii="Times New Roman" w:hAnsi="Times New Roman"/>
          <w:sz w:val="22"/>
          <w:szCs w:val="22"/>
        </w:rPr>
        <w:t>transfery ostatným právnickým osobám</w:t>
      </w:r>
      <w:r w:rsidR="00AD13E4">
        <w:rPr>
          <w:rFonts w:ascii="Times New Roman" w:hAnsi="Times New Roman"/>
          <w:sz w:val="22"/>
          <w:szCs w:val="22"/>
        </w:rPr>
        <w:t xml:space="preserve"> </w:t>
      </w:r>
      <w:r>
        <w:rPr>
          <w:rFonts w:ascii="Times New Roman" w:hAnsi="Times New Roman"/>
          <w:sz w:val="22"/>
          <w:szCs w:val="22"/>
        </w:rPr>
        <w:t>poskytlo</w:t>
      </w:r>
      <w:r w:rsidR="00AD13E4">
        <w:rPr>
          <w:rFonts w:ascii="Times New Roman" w:hAnsi="Times New Roman"/>
          <w:sz w:val="22"/>
          <w:szCs w:val="22"/>
        </w:rPr>
        <w:t xml:space="preserve"> </w:t>
      </w:r>
      <w:r>
        <w:rPr>
          <w:rFonts w:ascii="Times New Roman" w:hAnsi="Times New Roman"/>
          <w:sz w:val="22"/>
          <w:szCs w:val="22"/>
        </w:rPr>
        <w:t>aj</w:t>
      </w:r>
      <w:r w:rsidR="00AD13E4">
        <w:rPr>
          <w:rFonts w:ascii="Times New Roman" w:hAnsi="Times New Roman"/>
          <w:sz w:val="22"/>
          <w:szCs w:val="22"/>
        </w:rPr>
        <w:t xml:space="preserve"> </w:t>
      </w:r>
      <w:r w:rsidRPr="006E50E2">
        <w:rPr>
          <w:rFonts w:ascii="Times New Roman" w:hAnsi="Times New Roman"/>
          <w:sz w:val="22"/>
          <w:szCs w:val="22"/>
        </w:rPr>
        <w:t>Ministerstv</w:t>
      </w:r>
      <w:r>
        <w:rPr>
          <w:rFonts w:ascii="Times New Roman" w:hAnsi="Times New Roman"/>
          <w:sz w:val="22"/>
          <w:szCs w:val="22"/>
        </w:rPr>
        <w:t>o</w:t>
      </w:r>
      <w:r w:rsidRPr="006E50E2">
        <w:rPr>
          <w:rFonts w:ascii="Times New Roman" w:hAnsi="Times New Roman"/>
          <w:sz w:val="22"/>
          <w:szCs w:val="22"/>
        </w:rPr>
        <w:t xml:space="preserve"> školstva, vedy, výskumu a športu SR</w:t>
      </w:r>
      <w:r w:rsidR="00AD13E4">
        <w:rPr>
          <w:rFonts w:ascii="Times New Roman" w:hAnsi="Times New Roman"/>
          <w:sz w:val="22"/>
          <w:szCs w:val="22"/>
        </w:rPr>
        <w:t xml:space="preserve"> </w:t>
      </w:r>
      <w:r>
        <w:rPr>
          <w:rFonts w:ascii="Times New Roman" w:hAnsi="Times New Roman"/>
          <w:sz w:val="22"/>
          <w:szCs w:val="22"/>
        </w:rPr>
        <w:t>na</w:t>
      </w:r>
      <w:r w:rsidR="00AD13E4">
        <w:rPr>
          <w:rFonts w:ascii="Times New Roman" w:hAnsi="Times New Roman"/>
          <w:sz w:val="22"/>
          <w:szCs w:val="22"/>
        </w:rPr>
        <w:t xml:space="preserve"> </w:t>
      </w:r>
      <w:r>
        <w:rPr>
          <w:rFonts w:ascii="Times New Roman" w:hAnsi="Times New Roman"/>
          <w:sz w:val="22"/>
          <w:szCs w:val="22"/>
        </w:rPr>
        <w:t>podporou výskumu, vývoja a inovácií, reformu systému vzdelávania a odbornej prípravy v školstve a ďalšieho vzdelávania ľudských zdrojov,</w:t>
      </w:r>
      <w:r w:rsidR="00AD13E4">
        <w:rPr>
          <w:rFonts w:ascii="Times New Roman" w:hAnsi="Times New Roman"/>
          <w:sz w:val="22"/>
          <w:szCs w:val="22"/>
        </w:rPr>
        <w:t xml:space="preserve"> </w:t>
      </w:r>
      <w:r>
        <w:rPr>
          <w:rFonts w:ascii="Times New Roman" w:hAnsi="Times New Roman"/>
          <w:sz w:val="22"/>
          <w:szCs w:val="22"/>
        </w:rPr>
        <w:t xml:space="preserve">koordináciu prierezových aktivít štátnej vednej a technickej politiky. </w:t>
      </w:r>
    </w:p>
    <w:p w:rsidR="00B548CC" w:rsidP="00B548CC">
      <w:pPr>
        <w:bidi w:val="0"/>
        <w:spacing w:after="120" w:line="336" w:lineRule="auto"/>
        <w:jc w:val="both"/>
        <w:rPr>
          <w:rFonts w:ascii="Times New Roman" w:hAnsi="Times New Roman"/>
          <w:sz w:val="22"/>
          <w:szCs w:val="22"/>
        </w:rPr>
      </w:pPr>
      <w:r w:rsidRPr="005D7CF9">
        <w:rPr>
          <w:rFonts w:ascii="Times New Roman" w:hAnsi="Times New Roman"/>
          <w:sz w:val="22"/>
          <w:szCs w:val="22"/>
        </w:rPr>
        <w:t>Na transferoch</w:t>
      </w:r>
      <w:r w:rsidRPr="005D7CF9">
        <w:rPr>
          <w:rFonts w:ascii="Times New Roman" w:hAnsi="Times New Roman"/>
          <w:b/>
          <w:sz w:val="22"/>
          <w:szCs w:val="22"/>
        </w:rPr>
        <w:t xml:space="preserve"> právnickým osobám založeným štátom, obcou alebo vyšším územným celkom</w:t>
      </w:r>
      <w:r w:rsidRPr="005D7CF9">
        <w:rPr>
          <w:rFonts w:ascii="Times New Roman" w:hAnsi="Times New Roman"/>
          <w:sz w:val="22"/>
          <w:szCs w:val="22"/>
        </w:rPr>
        <w:t xml:space="preserve"> sa podieľala</w:t>
      </w:r>
      <w:r w:rsidR="00AD13E4">
        <w:rPr>
          <w:rFonts w:ascii="Times New Roman" w:hAnsi="Times New Roman"/>
          <w:sz w:val="22"/>
          <w:szCs w:val="22"/>
        </w:rPr>
        <w:t xml:space="preserve"> </w:t>
      </w:r>
      <w:r w:rsidRPr="005D7CF9">
        <w:rPr>
          <w:rFonts w:ascii="Times New Roman" w:hAnsi="Times New Roman"/>
          <w:sz w:val="22"/>
          <w:szCs w:val="22"/>
        </w:rPr>
        <w:t>najvyššími výdavkami 216 785 tis. eur</w:t>
      </w:r>
      <w:r w:rsidR="00AD13E4">
        <w:rPr>
          <w:rFonts w:ascii="Times New Roman" w:hAnsi="Times New Roman"/>
          <w:sz w:val="22"/>
          <w:szCs w:val="22"/>
        </w:rPr>
        <w:t xml:space="preserve"> </w:t>
      </w:r>
      <w:r w:rsidRPr="005D7CF9">
        <w:rPr>
          <w:rFonts w:ascii="Times New Roman" w:hAnsi="Times New Roman"/>
          <w:sz w:val="22"/>
          <w:szCs w:val="22"/>
        </w:rPr>
        <w:t>kapitola Ministerstva dopravy, výs</w:t>
      </w:r>
      <w:r w:rsidR="009C35AD">
        <w:rPr>
          <w:rFonts w:ascii="Times New Roman" w:hAnsi="Times New Roman"/>
          <w:sz w:val="22"/>
          <w:szCs w:val="22"/>
        </w:rPr>
        <w:t>tavby a regionálneho rozvoja SR, z toho</w:t>
      </w:r>
      <w:r w:rsidRPr="005D7CF9">
        <w:rPr>
          <w:rFonts w:ascii="Times New Roman" w:hAnsi="Times New Roman"/>
          <w:sz w:val="22"/>
          <w:szCs w:val="22"/>
        </w:rPr>
        <w:t xml:space="preserve"> Železničnej spoločnosti Slovensko, a. s. v zmysle zmluvy o</w:t>
      </w:r>
      <w:r>
        <w:rPr>
          <w:rFonts w:ascii="Times New Roman" w:hAnsi="Times New Roman"/>
          <w:sz w:val="22"/>
          <w:szCs w:val="22"/>
        </w:rPr>
        <w:t> </w:t>
      </w:r>
      <w:r w:rsidRPr="005D7CF9">
        <w:rPr>
          <w:rFonts w:ascii="Times New Roman" w:hAnsi="Times New Roman"/>
          <w:sz w:val="22"/>
          <w:szCs w:val="22"/>
        </w:rPr>
        <w:t>dopravných</w:t>
      </w:r>
      <w:r w:rsidR="00AD13E4">
        <w:rPr>
          <w:rFonts w:ascii="Times New Roman" w:hAnsi="Times New Roman"/>
          <w:sz w:val="22"/>
          <w:szCs w:val="22"/>
        </w:rPr>
        <w:t xml:space="preserve"> </w:t>
      </w:r>
      <w:r w:rsidRPr="005D7CF9">
        <w:rPr>
          <w:rFonts w:ascii="Times New Roman" w:hAnsi="Times New Roman"/>
          <w:sz w:val="22"/>
          <w:szCs w:val="22"/>
        </w:rPr>
        <w:t>službách vo verejnom</w:t>
      </w:r>
      <w:r w:rsidR="00AD13E4">
        <w:rPr>
          <w:rFonts w:ascii="Times New Roman" w:hAnsi="Times New Roman"/>
          <w:sz w:val="22"/>
          <w:szCs w:val="22"/>
        </w:rPr>
        <w:t xml:space="preserve"> </w:t>
      </w:r>
      <w:r w:rsidRPr="005D7CF9">
        <w:rPr>
          <w:rFonts w:ascii="Times New Roman" w:hAnsi="Times New Roman"/>
          <w:sz w:val="22"/>
          <w:szCs w:val="22"/>
        </w:rPr>
        <w:t>záujme</w:t>
      </w:r>
      <w:r w:rsidR="00AD13E4">
        <w:rPr>
          <w:rFonts w:ascii="Times New Roman" w:hAnsi="Times New Roman"/>
          <w:sz w:val="22"/>
          <w:szCs w:val="22"/>
        </w:rPr>
        <w:t xml:space="preserve"> </w:t>
      </w:r>
      <w:r w:rsidRPr="005D7CF9">
        <w:rPr>
          <w:rFonts w:ascii="Times New Roman" w:hAnsi="Times New Roman"/>
          <w:sz w:val="22"/>
          <w:szCs w:val="22"/>
        </w:rPr>
        <w:t>pri prevádzkovaní osobnej dopravy</w:t>
      </w:r>
      <w:r>
        <w:rPr>
          <w:rFonts w:ascii="Times New Roman" w:hAnsi="Times New Roman"/>
          <w:sz w:val="22"/>
          <w:szCs w:val="22"/>
        </w:rPr>
        <w:t xml:space="preserve"> na dráhe</w:t>
      </w:r>
      <w:r w:rsidR="00AD13E4">
        <w:rPr>
          <w:rFonts w:ascii="Times New Roman" w:hAnsi="Times New Roman"/>
          <w:sz w:val="22"/>
          <w:szCs w:val="22"/>
        </w:rPr>
        <w:t xml:space="preserve"> </w:t>
      </w:r>
      <w:r w:rsidRPr="005D7CF9">
        <w:rPr>
          <w:rFonts w:ascii="Times New Roman" w:hAnsi="Times New Roman"/>
          <w:sz w:val="22"/>
          <w:szCs w:val="22"/>
        </w:rPr>
        <w:t>vrátane úhrady</w:t>
      </w:r>
      <w:r w:rsidR="00AD13E4">
        <w:rPr>
          <w:rFonts w:ascii="Times New Roman" w:hAnsi="Times New Roman"/>
          <w:sz w:val="22"/>
          <w:szCs w:val="22"/>
        </w:rPr>
        <w:t xml:space="preserve"> </w:t>
      </w:r>
      <w:r w:rsidRPr="005D7CF9">
        <w:rPr>
          <w:rFonts w:ascii="Times New Roman" w:hAnsi="Times New Roman"/>
          <w:sz w:val="22"/>
          <w:szCs w:val="22"/>
        </w:rPr>
        <w:t>časti straty za rok 2014</w:t>
      </w:r>
      <w:r w:rsidR="00AD13E4">
        <w:rPr>
          <w:rFonts w:ascii="Times New Roman" w:hAnsi="Times New Roman"/>
          <w:sz w:val="22"/>
          <w:szCs w:val="22"/>
        </w:rPr>
        <w:t xml:space="preserve"> </w:t>
      </w:r>
      <w:r w:rsidRPr="005D7CF9">
        <w:rPr>
          <w:rFonts w:ascii="Times New Roman" w:hAnsi="Times New Roman"/>
          <w:sz w:val="22"/>
          <w:szCs w:val="22"/>
        </w:rPr>
        <w:t>poskytla</w:t>
      </w:r>
      <w:r w:rsidR="00AD13E4">
        <w:rPr>
          <w:rFonts w:ascii="Times New Roman" w:hAnsi="Times New Roman"/>
          <w:sz w:val="22"/>
          <w:szCs w:val="22"/>
        </w:rPr>
        <w:t xml:space="preserve"> </w:t>
      </w:r>
      <w:r w:rsidR="00F93321">
        <w:rPr>
          <w:rFonts w:ascii="Times New Roman" w:hAnsi="Times New Roman"/>
          <w:sz w:val="22"/>
          <w:szCs w:val="22"/>
        </w:rPr>
        <w:t>21</w:t>
      </w:r>
      <w:r w:rsidR="009C35AD">
        <w:rPr>
          <w:rFonts w:ascii="Times New Roman" w:hAnsi="Times New Roman"/>
          <w:sz w:val="22"/>
          <w:szCs w:val="22"/>
        </w:rPr>
        <w:t>0</w:t>
      </w:r>
      <w:r w:rsidR="00F93321">
        <w:rPr>
          <w:rFonts w:ascii="Times New Roman" w:hAnsi="Times New Roman"/>
          <w:sz w:val="22"/>
          <w:szCs w:val="22"/>
        </w:rPr>
        <w:t> </w:t>
      </w:r>
      <w:r w:rsidR="009C35AD">
        <w:rPr>
          <w:rFonts w:ascii="Times New Roman" w:hAnsi="Times New Roman"/>
          <w:sz w:val="22"/>
          <w:szCs w:val="22"/>
        </w:rPr>
        <w:t>617</w:t>
      </w:r>
      <w:r w:rsidR="00F93321">
        <w:rPr>
          <w:rFonts w:ascii="Times New Roman" w:hAnsi="Times New Roman"/>
          <w:sz w:val="22"/>
          <w:szCs w:val="22"/>
        </w:rPr>
        <w:t> tis. </w:t>
      </w:r>
      <w:r w:rsidRPr="005D7CF9">
        <w:rPr>
          <w:rFonts w:ascii="Times New Roman" w:hAnsi="Times New Roman"/>
          <w:sz w:val="22"/>
          <w:szCs w:val="22"/>
        </w:rPr>
        <w:t>eur</w:t>
      </w:r>
      <w:r w:rsidR="009C35AD">
        <w:rPr>
          <w:rFonts w:ascii="Times New Roman" w:hAnsi="Times New Roman"/>
          <w:sz w:val="22"/>
          <w:szCs w:val="22"/>
        </w:rPr>
        <w:t>.</w:t>
      </w:r>
    </w:p>
    <w:p w:rsidR="00B548CC" w:rsidP="00B548CC">
      <w:pPr>
        <w:bidi w:val="0"/>
        <w:spacing w:after="120" w:line="336" w:lineRule="auto"/>
        <w:jc w:val="both"/>
        <w:rPr>
          <w:rFonts w:ascii="Times New Roman" w:hAnsi="Times New Roman"/>
          <w:sz w:val="22"/>
          <w:szCs w:val="22"/>
        </w:rPr>
      </w:pPr>
      <w:r>
        <w:rPr>
          <w:rFonts w:ascii="Times New Roman" w:hAnsi="Times New Roman"/>
          <w:sz w:val="22"/>
          <w:szCs w:val="22"/>
        </w:rPr>
        <w:t>Ako</w:t>
      </w:r>
      <w:r w:rsidR="00AD13E4">
        <w:rPr>
          <w:rFonts w:ascii="Times New Roman" w:hAnsi="Times New Roman"/>
          <w:sz w:val="22"/>
          <w:szCs w:val="22"/>
        </w:rPr>
        <w:t xml:space="preserve"> </w:t>
      </w:r>
      <w:r>
        <w:rPr>
          <w:rFonts w:ascii="Times New Roman" w:hAnsi="Times New Roman"/>
          <w:sz w:val="22"/>
          <w:szCs w:val="22"/>
        </w:rPr>
        <w:t>bolo</w:t>
      </w:r>
      <w:r w:rsidR="00AD13E4">
        <w:rPr>
          <w:rFonts w:ascii="Times New Roman" w:hAnsi="Times New Roman"/>
          <w:sz w:val="22"/>
          <w:szCs w:val="22"/>
        </w:rPr>
        <w:t xml:space="preserve"> </w:t>
      </w:r>
      <w:r>
        <w:rPr>
          <w:rFonts w:ascii="Times New Roman" w:hAnsi="Times New Roman"/>
          <w:sz w:val="22"/>
          <w:szCs w:val="22"/>
        </w:rPr>
        <w:t>už spomenuté, do</w:t>
      </w:r>
      <w:r w:rsidR="00AD13E4">
        <w:rPr>
          <w:rFonts w:ascii="Times New Roman" w:hAnsi="Times New Roman"/>
          <w:sz w:val="22"/>
          <w:szCs w:val="22"/>
        </w:rPr>
        <w:t xml:space="preserve"> </w:t>
      </w:r>
      <w:r>
        <w:rPr>
          <w:rFonts w:ascii="Times New Roman" w:hAnsi="Times New Roman"/>
          <w:sz w:val="22"/>
          <w:szCs w:val="22"/>
        </w:rPr>
        <w:t>roku 2013 sa na tejto rozpočtovej položke vykazovali aj transfery Železniciam SR a Národnej diaľničnej spoločnosti, a. s., od roku 2014</w:t>
      </w:r>
      <w:r w:rsidR="00AD13E4">
        <w:rPr>
          <w:rFonts w:ascii="Times New Roman" w:hAnsi="Times New Roman"/>
          <w:sz w:val="22"/>
          <w:szCs w:val="22"/>
        </w:rPr>
        <w:t xml:space="preserve"> </w:t>
      </w:r>
      <w:r>
        <w:rPr>
          <w:rFonts w:ascii="Times New Roman" w:hAnsi="Times New Roman"/>
          <w:sz w:val="22"/>
          <w:szCs w:val="22"/>
        </w:rPr>
        <w:t>boli zahrnuté</w:t>
      </w:r>
      <w:r w:rsidR="00AD13E4">
        <w:rPr>
          <w:rFonts w:ascii="Times New Roman" w:hAnsi="Times New Roman"/>
          <w:sz w:val="22"/>
          <w:szCs w:val="22"/>
        </w:rPr>
        <w:t xml:space="preserve"> </w:t>
      </w:r>
      <w:r>
        <w:rPr>
          <w:rFonts w:ascii="Times New Roman" w:hAnsi="Times New Roman"/>
          <w:sz w:val="22"/>
          <w:szCs w:val="22"/>
        </w:rPr>
        <w:t>do</w:t>
      </w:r>
      <w:r w:rsidR="00AD13E4">
        <w:rPr>
          <w:rFonts w:ascii="Times New Roman" w:hAnsi="Times New Roman"/>
          <w:sz w:val="22"/>
          <w:szCs w:val="22"/>
        </w:rPr>
        <w:t xml:space="preserve"> </w:t>
      </w:r>
      <w:r>
        <w:rPr>
          <w:rFonts w:ascii="Times New Roman" w:hAnsi="Times New Roman"/>
          <w:sz w:val="22"/>
          <w:szCs w:val="22"/>
        </w:rPr>
        <w:t>ro</w:t>
      </w:r>
      <w:r w:rsidRPr="006E50E2">
        <w:rPr>
          <w:rFonts w:ascii="Times New Roman" w:hAnsi="Times New Roman"/>
          <w:sz w:val="22"/>
          <w:szCs w:val="22"/>
        </w:rPr>
        <w:t>zpočtovej položk</w:t>
      </w:r>
      <w:r>
        <w:rPr>
          <w:rFonts w:ascii="Times New Roman" w:hAnsi="Times New Roman"/>
          <w:sz w:val="22"/>
          <w:szCs w:val="22"/>
        </w:rPr>
        <w:t>y</w:t>
      </w:r>
      <w:r w:rsidR="00AD13E4">
        <w:rPr>
          <w:rFonts w:ascii="Times New Roman" w:hAnsi="Times New Roman"/>
          <w:sz w:val="22"/>
          <w:szCs w:val="22"/>
        </w:rPr>
        <w:t xml:space="preserve"> </w:t>
      </w:r>
      <w:r>
        <w:rPr>
          <w:rFonts w:ascii="Times New Roman" w:hAnsi="Times New Roman"/>
          <w:sz w:val="22"/>
          <w:szCs w:val="22"/>
        </w:rPr>
        <w:t xml:space="preserve">transfery </w:t>
      </w:r>
      <w:r w:rsidRPr="006E50E2">
        <w:rPr>
          <w:rFonts w:ascii="Times New Roman" w:hAnsi="Times New Roman"/>
          <w:sz w:val="22"/>
          <w:szCs w:val="22"/>
        </w:rPr>
        <w:t xml:space="preserve">ostatným subjektom verejnej správy. </w:t>
      </w:r>
    </w:p>
    <w:p w:rsidR="00B548CC" w:rsidP="00B548CC">
      <w:pPr>
        <w:bidi w:val="0"/>
        <w:spacing w:after="120" w:line="336" w:lineRule="auto"/>
        <w:jc w:val="both"/>
        <w:rPr>
          <w:rFonts w:ascii="Times New Roman" w:hAnsi="Times New Roman"/>
          <w:sz w:val="22"/>
          <w:szCs w:val="22"/>
        </w:rPr>
      </w:pPr>
      <w:r w:rsidRPr="006C38A2">
        <w:rPr>
          <w:rFonts w:ascii="Times New Roman" w:hAnsi="Times New Roman"/>
          <w:b/>
          <w:sz w:val="22"/>
          <w:szCs w:val="22"/>
        </w:rPr>
        <w:t>Transfery fyzickej osobe podnikateľovi</w:t>
      </w:r>
      <w:r w:rsidR="00AD13E4">
        <w:rPr>
          <w:rFonts w:ascii="Times New Roman" w:hAnsi="Times New Roman"/>
          <w:b/>
          <w:sz w:val="22"/>
          <w:szCs w:val="22"/>
        </w:rPr>
        <w:t xml:space="preserve"> </w:t>
      </w:r>
      <w:r w:rsidRPr="006C38A2">
        <w:rPr>
          <w:rFonts w:ascii="Times New Roman" w:hAnsi="Times New Roman"/>
          <w:sz w:val="22"/>
          <w:szCs w:val="22"/>
        </w:rPr>
        <w:t>boli poskytnuté v rozhodujúcej miere</w:t>
      </w:r>
      <w:r w:rsidR="00AD13E4">
        <w:rPr>
          <w:rFonts w:ascii="Times New Roman" w:hAnsi="Times New Roman"/>
          <w:sz w:val="22"/>
          <w:szCs w:val="22"/>
        </w:rPr>
        <w:t xml:space="preserve"> </w:t>
      </w:r>
      <w:r w:rsidRPr="006C38A2">
        <w:rPr>
          <w:rFonts w:ascii="Times New Roman" w:hAnsi="Times New Roman"/>
          <w:sz w:val="22"/>
          <w:szCs w:val="22"/>
        </w:rPr>
        <w:t>Ministerstvom</w:t>
      </w:r>
      <w:r w:rsidR="00AD13E4">
        <w:rPr>
          <w:rFonts w:ascii="Times New Roman" w:hAnsi="Times New Roman"/>
          <w:sz w:val="22"/>
          <w:szCs w:val="22"/>
        </w:rPr>
        <w:t xml:space="preserve"> </w:t>
      </w:r>
      <w:r w:rsidRPr="006C38A2">
        <w:rPr>
          <w:rFonts w:ascii="Times New Roman" w:hAnsi="Times New Roman"/>
          <w:sz w:val="22"/>
          <w:szCs w:val="22"/>
        </w:rPr>
        <w:t xml:space="preserve">pôdohospodárstva a rozvoja vidieka SR </w:t>
      </w:r>
      <w:r w:rsidR="00B31B77">
        <w:rPr>
          <w:rFonts w:ascii="Times New Roman" w:hAnsi="Times New Roman"/>
          <w:sz w:val="22"/>
          <w:szCs w:val="22"/>
        </w:rPr>
        <w:t xml:space="preserve">v sume </w:t>
      </w:r>
      <w:r w:rsidRPr="006C38A2">
        <w:rPr>
          <w:rFonts w:ascii="Times New Roman" w:hAnsi="Times New Roman"/>
          <w:sz w:val="22"/>
          <w:szCs w:val="22"/>
        </w:rPr>
        <w:t>84 670 tis. eur (na čom sa Pôdohospodárska</w:t>
      </w:r>
      <w:r w:rsidR="00AD13E4">
        <w:rPr>
          <w:rFonts w:ascii="Times New Roman" w:hAnsi="Times New Roman"/>
          <w:sz w:val="22"/>
          <w:szCs w:val="22"/>
        </w:rPr>
        <w:t xml:space="preserve"> </w:t>
      </w:r>
      <w:r w:rsidRPr="006C38A2">
        <w:rPr>
          <w:rFonts w:ascii="Times New Roman" w:hAnsi="Times New Roman"/>
          <w:sz w:val="22"/>
          <w:szCs w:val="22"/>
        </w:rPr>
        <w:t>platobná agentúra</w:t>
      </w:r>
      <w:r w:rsidR="00AD13E4">
        <w:rPr>
          <w:rFonts w:ascii="Times New Roman" w:hAnsi="Times New Roman"/>
          <w:sz w:val="22"/>
          <w:szCs w:val="22"/>
        </w:rPr>
        <w:t xml:space="preserve"> </w:t>
      </w:r>
      <w:r w:rsidRPr="006C38A2">
        <w:rPr>
          <w:rFonts w:ascii="Times New Roman" w:hAnsi="Times New Roman"/>
          <w:sz w:val="22"/>
          <w:szCs w:val="22"/>
        </w:rPr>
        <w:t>podieľala</w:t>
      </w:r>
      <w:r w:rsidR="00AD13E4">
        <w:rPr>
          <w:rFonts w:ascii="Times New Roman" w:hAnsi="Times New Roman"/>
          <w:sz w:val="22"/>
          <w:szCs w:val="22"/>
        </w:rPr>
        <w:t xml:space="preserve"> </w:t>
      </w:r>
      <w:r w:rsidRPr="006C38A2">
        <w:rPr>
          <w:rFonts w:ascii="Times New Roman" w:hAnsi="Times New Roman"/>
          <w:sz w:val="22"/>
          <w:szCs w:val="22"/>
        </w:rPr>
        <w:t xml:space="preserve">čiastkou </w:t>
      </w:r>
      <w:r>
        <w:rPr>
          <w:rFonts w:ascii="Times New Roman" w:hAnsi="Times New Roman"/>
          <w:sz w:val="22"/>
          <w:szCs w:val="22"/>
        </w:rPr>
        <w:t>8</w:t>
      </w:r>
      <w:r w:rsidRPr="006C38A2">
        <w:rPr>
          <w:rFonts w:ascii="Times New Roman" w:hAnsi="Times New Roman"/>
          <w:sz w:val="22"/>
          <w:szCs w:val="22"/>
        </w:rPr>
        <w:t>4 659 tis. eur). Jednalo</w:t>
      </w:r>
      <w:r>
        <w:rPr>
          <w:rFonts w:ascii="Times New Roman" w:hAnsi="Times New Roman"/>
          <w:sz w:val="22"/>
          <w:szCs w:val="22"/>
        </w:rPr>
        <w:t xml:space="preserve"> sa o priame platby vrátane prechodnej vnútroštátnej pomoci, ďalej kompenzačné platby a dotácie v rámci Programu rozvoja vidieka a v rámci štátnej pomoci a trhovo orientovaných výdavkov dotovaných zo ŠR.</w:t>
      </w:r>
    </w:p>
    <w:p w:rsidR="00B548CC" w:rsidRPr="00F46DF6" w:rsidP="00B548CC">
      <w:pPr>
        <w:bidi w:val="0"/>
        <w:spacing w:after="120" w:line="336" w:lineRule="auto"/>
        <w:jc w:val="both"/>
        <w:rPr>
          <w:rFonts w:ascii="Times New Roman" w:hAnsi="Times New Roman"/>
          <w:sz w:val="22"/>
          <w:szCs w:val="22"/>
        </w:rPr>
      </w:pPr>
      <w:r w:rsidRPr="003F303B">
        <w:rPr>
          <w:rFonts w:ascii="Times New Roman" w:hAnsi="Times New Roman"/>
          <w:sz w:val="22"/>
          <w:szCs w:val="22"/>
        </w:rPr>
        <w:t xml:space="preserve">Rozpočtované </w:t>
      </w:r>
      <w:r>
        <w:rPr>
          <w:rFonts w:ascii="Times New Roman" w:hAnsi="Times New Roman"/>
          <w:b/>
          <w:sz w:val="22"/>
          <w:szCs w:val="22"/>
        </w:rPr>
        <w:t>p</w:t>
      </w:r>
      <w:r w:rsidRPr="00F46DF6">
        <w:rPr>
          <w:rFonts w:ascii="Times New Roman" w:hAnsi="Times New Roman"/>
          <w:b/>
          <w:sz w:val="22"/>
          <w:szCs w:val="22"/>
        </w:rPr>
        <w:t xml:space="preserve">ríspevky organizáciám nezaradeným do </w:t>
      </w:r>
      <w:r>
        <w:rPr>
          <w:rFonts w:ascii="Times New Roman" w:hAnsi="Times New Roman"/>
          <w:b/>
          <w:sz w:val="22"/>
          <w:szCs w:val="22"/>
        </w:rPr>
        <w:t>verejnej správy v registri organizácií vedenom ŠÚ SR</w:t>
      </w:r>
      <w:r w:rsidR="00AD13E4">
        <w:rPr>
          <w:rFonts w:ascii="Times New Roman" w:hAnsi="Times New Roman"/>
          <w:b/>
          <w:sz w:val="22"/>
          <w:szCs w:val="22"/>
        </w:rPr>
        <w:t xml:space="preserve"> </w:t>
      </w:r>
      <w:r>
        <w:rPr>
          <w:rFonts w:ascii="Times New Roman" w:hAnsi="Times New Roman"/>
          <w:sz w:val="22"/>
          <w:szCs w:val="22"/>
        </w:rPr>
        <w:t>boli</w:t>
      </w:r>
      <w:r w:rsidR="00AD13E4">
        <w:rPr>
          <w:rFonts w:ascii="Times New Roman" w:hAnsi="Times New Roman"/>
          <w:sz w:val="22"/>
          <w:szCs w:val="22"/>
        </w:rPr>
        <w:t xml:space="preserve"> </w:t>
      </w:r>
      <w:r>
        <w:rPr>
          <w:rFonts w:ascii="Times New Roman" w:hAnsi="Times New Roman"/>
          <w:sz w:val="22"/>
          <w:szCs w:val="22"/>
        </w:rPr>
        <w:t>transferované</w:t>
      </w:r>
      <w:r w:rsidR="00AD13E4">
        <w:rPr>
          <w:rFonts w:ascii="Times New Roman" w:hAnsi="Times New Roman"/>
          <w:sz w:val="22"/>
          <w:szCs w:val="22"/>
        </w:rPr>
        <w:t xml:space="preserve"> </w:t>
      </w:r>
      <w:r>
        <w:rPr>
          <w:rFonts w:ascii="Times New Roman" w:hAnsi="Times New Roman"/>
          <w:sz w:val="22"/>
          <w:szCs w:val="22"/>
        </w:rPr>
        <w:t>Ministerstvom obrany SR (7 810 tis. eur)</w:t>
      </w:r>
      <w:r w:rsidR="00AD13E4">
        <w:rPr>
          <w:rFonts w:ascii="Times New Roman" w:hAnsi="Times New Roman"/>
          <w:sz w:val="22"/>
          <w:szCs w:val="22"/>
        </w:rPr>
        <w:t xml:space="preserve"> </w:t>
      </w:r>
      <w:r>
        <w:rPr>
          <w:rFonts w:ascii="Times New Roman" w:hAnsi="Times New Roman"/>
          <w:sz w:val="22"/>
          <w:szCs w:val="22"/>
        </w:rPr>
        <w:t>a</w:t>
      </w:r>
      <w:r w:rsidR="00AD13E4">
        <w:rPr>
          <w:rFonts w:ascii="Times New Roman" w:hAnsi="Times New Roman"/>
          <w:sz w:val="22"/>
          <w:szCs w:val="22"/>
        </w:rPr>
        <w:t xml:space="preserve"> </w:t>
      </w:r>
      <w:r>
        <w:rPr>
          <w:rFonts w:ascii="Times New Roman" w:hAnsi="Times New Roman"/>
          <w:sz w:val="22"/>
          <w:szCs w:val="22"/>
        </w:rPr>
        <w:t>Ministerstvom vnútra SR (1 236 tis. eur).</w:t>
      </w:r>
    </w:p>
    <w:p w:rsidR="00B548CC" w:rsidP="00B548CC">
      <w:pPr>
        <w:bidi w:val="0"/>
        <w:spacing w:after="120" w:line="336" w:lineRule="auto"/>
        <w:jc w:val="both"/>
        <w:rPr>
          <w:rFonts w:ascii="Times New Roman" w:hAnsi="Times New Roman"/>
          <w:sz w:val="22"/>
          <w:szCs w:val="22"/>
        </w:rPr>
      </w:pPr>
      <w:r>
        <w:rPr>
          <w:rFonts w:ascii="Times New Roman" w:hAnsi="Times New Roman"/>
          <w:sz w:val="22"/>
          <w:szCs w:val="22"/>
        </w:rPr>
        <w:t>Schválený rozpočet</w:t>
      </w:r>
      <w:r w:rsidR="00AD13E4">
        <w:rPr>
          <w:rFonts w:ascii="Times New Roman" w:hAnsi="Times New Roman"/>
          <w:sz w:val="22"/>
          <w:szCs w:val="22"/>
        </w:rPr>
        <w:t xml:space="preserve"> </w:t>
      </w:r>
      <w:r>
        <w:rPr>
          <w:rFonts w:ascii="Times New Roman" w:hAnsi="Times New Roman"/>
          <w:sz w:val="22"/>
          <w:szCs w:val="22"/>
        </w:rPr>
        <w:t>pre</w:t>
      </w:r>
      <w:r w:rsidR="00AD13E4">
        <w:rPr>
          <w:rFonts w:ascii="Times New Roman" w:hAnsi="Times New Roman"/>
          <w:sz w:val="22"/>
          <w:szCs w:val="22"/>
        </w:rPr>
        <w:t xml:space="preserve"> </w:t>
      </w:r>
      <w:r w:rsidRPr="006E50E2">
        <w:rPr>
          <w:rFonts w:ascii="Times New Roman" w:hAnsi="Times New Roman"/>
          <w:b/>
          <w:i/>
          <w:sz w:val="22"/>
          <w:szCs w:val="22"/>
        </w:rPr>
        <w:t>transfery do tuzemských finančných inštitúcií</w:t>
      </w:r>
      <w:r w:rsidR="00AD13E4">
        <w:rPr>
          <w:rFonts w:ascii="Times New Roman" w:hAnsi="Times New Roman"/>
          <w:b/>
          <w:sz w:val="22"/>
          <w:szCs w:val="22"/>
        </w:rPr>
        <w:t xml:space="preserve"> </w:t>
      </w:r>
      <w:r w:rsidRPr="00F46DF6">
        <w:rPr>
          <w:rFonts w:ascii="Times New Roman" w:hAnsi="Times New Roman"/>
          <w:sz w:val="22"/>
          <w:szCs w:val="22"/>
        </w:rPr>
        <w:t>predstavoval</w:t>
      </w:r>
      <w:r w:rsidR="00AD13E4">
        <w:rPr>
          <w:rFonts w:ascii="Times New Roman" w:hAnsi="Times New Roman"/>
          <w:sz w:val="22"/>
          <w:szCs w:val="22"/>
        </w:rPr>
        <w:t xml:space="preserve"> </w:t>
      </w:r>
      <w:r>
        <w:rPr>
          <w:rFonts w:ascii="Times New Roman" w:hAnsi="Times New Roman"/>
          <w:sz w:val="22"/>
          <w:szCs w:val="22"/>
        </w:rPr>
        <w:t>2 700 tis. eur. Skutočne</w:t>
      </w:r>
      <w:r w:rsidR="00AD13E4">
        <w:rPr>
          <w:rFonts w:ascii="Times New Roman" w:hAnsi="Times New Roman"/>
          <w:sz w:val="22"/>
          <w:szCs w:val="22"/>
        </w:rPr>
        <w:t xml:space="preserve"> </w:t>
      </w:r>
      <w:r>
        <w:rPr>
          <w:rFonts w:ascii="Times New Roman" w:hAnsi="Times New Roman"/>
          <w:sz w:val="22"/>
          <w:szCs w:val="22"/>
        </w:rPr>
        <w:t>vynaložené</w:t>
      </w:r>
      <w:r w:rsidR="00AD13E4">
        <w:rPr>
          <w:rFonts w:ascii="Times New Roman" w:hAnsi="Times New Roman"/>
          <w:sz w:val="22"/>
          <w:szCs w:val="22"/>
        </w:rPr>
        <w:t xml:space="preserve"> </w:t>
      </w:r>
      <w:r>
        <w:rPr>
          <w:rFonts w:ascii="Times New Roman" w:hAnsi="Times New Roman"/>
          <w:sz w:val="22"/>
          <w:szCs w:val="22"/>
        </w:rPr>
        <w:t>výdavky</w:t>
      </w:r>
      <w:r w:rsidR="00AD13E4">
        <w:rPr>
          <w:rFonts w:ascii="Times New Roman" w:hAnsi="Times New Roman"/>
          <w:sz w:val="22"/>
          <w:szCs w:val="22"/>
        </w:rPr>
        <w:t xml:space="preserve"> </w:t>
      </w:r>
      <w:r>
        <w:rPr>
          <w:rFonts w:ascii="Times New Roman" w:hAnsi="Times New Roman"/>
          <w:sz w:val="22"/>
          <w:szCs w:val="22"/>
        </w:rPr>
        <w:t>boli použité</w:t>
      </w:r>
      <w:r w:rsidR="00AD13E4">
        <w:rPr>
          <w:rFonts w:ascii="Times New Roman" w:hAnsi="Times New Roman"/>
          <w:sz w:val="22"/>
          <w:szCs w:val="22"/>
        </w:rPr>
        <w:t xml:space="preserve"> </w:t>
      </w:r>
      <w:r>
        <w:rPr>
          <w:rFonts w:ascii="Times New Roman" w:hAnsi="Times New Roman"/>
          <w:sz w:val="22"/>
          <w:szCs w:val="22"/>
        </w:rPr>
        <w:t>na činnosť Kancelárie Rady pre rozpočtovú zodpovednosť 916 tis.</w:t>
      </w:r>
      <w:r w:rsidR="00BE737A">
        <w:rPr>
          <w:rFonts w:ascii="Times New Roman" w:hAnsi="Times New Roman"/>
          <w:sz w:val="22"/>
          <w:szCs w:val="22"/>
        </w:rPr>
        <w:t xml:space="preserve"> eur</w:t>
      </w:r>
      <w:r>
        <w:rPr>
          <w:rFonts w:ascii="Times New Roman" w:hAnsi="Times New Roman"/>
          <w:sz w:val="22"/>
          <w:szCs w:val="22"/>
        </w:rPr>
        <w:t xml:space="preserve"> (poskytla kapitola Ministerstva financií SR),</w:t>
      </w:r>
      <w:r w:rsidR="00AD13E4">
        <w:rPr>
          <w:rFonts w:ascii="Times New Roman" w:hAnsi="Times New Roman"/>
          <w:sz w:val="22"/>
          <w:szCs w:val="22"/>
        </w:rPr>
        <w:t xml:space="preserve"> </w:t>
      </w:r>
      <w:r>
        <w:rPr>
          <w:rFonts w:ascii="Times New Roman" w:hAnsi="Times New Roman"/>
          <w:sz w:val="22"/>
          <w:szCs w:val="22"/>
        </w:rPr>
        <w:t>na úhradu majetkovej ujmy</w:t>
      </w:r>
      <w:r w:rsidR="00AD13E4">
        <w:rPr>
          <w:rFonts w:ascii="Times New Roman" w:hAnsi="Times New Roman"/>
          <w:sz w:val="22"/>
          <w:szCs w:val="22"/>
        </w:rPr>
        <w:t xml:space="preserve"> </w:t>
      </w:r>
      <w:r>
        <w:rPr>
          <w:rFonts w:ascii="Times New Roman" w:hAnsi="Times New Roman"/>
          <w:sz w:val="22"/>
          <w:szCs w:val="22"/>
        </w:rPr>
        <w:t>658</w:t>
      </w:r>
      <w:r w:rsidR="00AD13E4">
        <w:rPr>
          <w:rFonts w:ascii="Times New Roman" w:hAnsi="Times New Roman"/>
          <w:sz w:val="22"/>
          <w:szCs w:val="22"/>
        </w:rPr>
        <w:t xml:space="preserve"> </w:t>
      </w:r>
      <w:r>
        <w:rPr>
          <w:rFonts w:ascii="Times New Roman" w:hAnsi="Times New Roman"/>
          <w:sz w:val="22"/>
          <w:szCs w:val="22"/>
        </w:rPr>
        <w:t>tis. eur a bonifikáciu</w:t>
      </w:r>
      <w:r w:rsidR="00AD13E4">
        <w:rPr>
          <w:rFonts w:ascii="Times New Roman" w:hAnsi="Times New Roman"/>
          <w:sz w:val="22"/>
          <w:szCs w:val="22"/>
        </w:rPr>
        <w:t xml:space="preserve"> </w:t>
      </w:r>
      <w:r>
        <w:rPr>
          <w:rFonts w:ascii="Times New Roman" w:hAnsi="Times New Roman"/>
          <w:sz w:val="22"/>
          <w:szCs w:val="22"/>
        </w:rPr>
        <w:t>úrokov 449 tis. eur (poskytla kapitola Všeobecná pokladničná správa na</w:t>
      </w:r>
      <w:r w:rsidR="00AD13E4">
        <w:rPr>
          <w:rFonts w:ascii="Times New Roman" w:hAnsi="Times New Roman"/>
          <w:sz w:val="22"/>
          <w:szCs w:val="22"/>
        </w:rPr>
        <w:t xml:space="preserve"> </w:t>
      </w:r>
      <w:r>
        <w:rPr>
          <w:rFonts w:ascii="Times New Roman" w:hAnsi="Times New Roman"/>
          <w:sz w:val="22"/>
          <w:szCs w:val="22"/>
        </w:rPr>
        <w:t xml:space="preserve">úhradu </w:t>
      </w:r>
      <w:r w:rsidRPr="006E50E2">
        <w:rPr>
          <w:rFonts w:ascii="Times New Roman" w:hAnsi="Times New Roman"/>
          <w:sz w:val="22"/>
          <w:szCs w:val="22"/>
        </w:rPr>
        <w:t>rozdielu medzi diskontnou sadzbou a zvýhodneným úrokom v prípadoch záujmu štátu na zvýhodnení poskytovaných úverov Slovenskou záručnou a rozvojovou bankou, a.s.)</w:t>
      </w:r>
      <w:r>
        <w:rPr>
          <w:rFonts w:ascii="Times New Roman" w:hAnsi="Times New Roman"/>
          <w:sz w:val="22"/>
          <w:szCs w:val="22"/>
        </w:rPr>
        <w:t>.</w:t>
      </w:r>
      <w:r w:rsidR="00AD13E4">
        <w:rPr>
          <w:rFonts w:ascii="Times New Roman" w:hAnsi="Times New Roman"/>
          <w:sz w:val="22"/>
          <w:szCs w:val="22"/>
        </w:rPr>
        <w:t xml:space="preserve"> </w:t>
      </w:r>
    </w:p>
    <w:p w:rsidR="00B548CC" w:rsidP="00B548CC">
      <w:pPr>
        <w:bidi w:val="0"/>
        <w:spacing w:after="120" w:line="336" w:lineRule="auto"/>
        <w:jc w:val="both"/>
        <w:rPr>
          <w:rFonts w:ascii="Times New Roman" w:hAnsi="Times New Roman"/>
          <w:sz w:val="22"/>
          <w:szCs w:val="22"/>
        </w:rPr>
      </w:pPr>
      <w:r>
        <w:rPr>
          <w:rFonts w:ascii="Times New Roman" w:hAnsi="Times New Roman"/>
          <w:sz w:val="22"/>
          <w:szCs w:val="22"/>
        </w:rPr>
        <w:t>Do výdavkovej</w:t>
      </w:r>
      <w:r w:rsidR="00AD13E4">
        <w:rPr>
          <w:rFonts w:ascii="Times New Roman" w:hAnsi="Times New Roman"/>
          <w:sz w:val="22"/>
          <w:szCs w:val="22"/>
        </w:rPr>
        <w:t xml:space="preserve"> </w:t>
      </w:r>
      <w:r>
        <w:rPr>
          <w:rFonts w:ascii="Times New Roman" w:hAnsi="Times New Roman"/>
          <w:sz w:val="22"/>
          <w:szCs w:val="22"/>
        </w:rPr>
        <w:t>položky</w:t>
      </w:r>
      <w:r w:rsidR="00AD13E4">
        <w:rPr>
          <w:rFonts w:ascii="Times New Roman" w:hAnsi="Times New Roman"/>
          <w:sz w:val="22"/>
          <w:szCs w:val="22"/>
        </w:rPr>
        <w:t xml:space="preserve"> </w:t>
      </w:r>
      <w:r w:rsidRPr="006E50E2">
        <w:rPr>
          <w:rFonts w:ascii="Times New Roman" w:hAnsi="Times New Roman"/>
          <w:b/>
          <w:i/>
          <w:sz w:val="22"/>
          <w:szCs w:val="22"/>
        </w:rPr>
        <w:t>transfer</w:t>
      </w:r>
      <w:r>
        <w:rPr>
          <w:rFonts w:ascii="Times New Roman" w:hAnsi="Times New Roman"/>
          <w:b/>
          <w:i/>
          <w:sz w:val="22"/>
          <w:szCs w:val="22"/>
        </w:rPr>
        <w:t>y</w:t>
      </w:r>
      <w:r w:rsidR="00AD13E4">
        <w:rPr>
          <w:rFonts w:ascii="Times New Roman" w:hAnsi="Times New Roman"/>
          <w:b/>
          <w:i/>
          <w:sz w:val="22"/>
          <w:szCs w:val="22"/>
        </w:rPr>
        <w:t xml:space="preserve"> </w:t>
      </w:r>
      <w:r w:rsidRPr="006E50E2">
        <w:rPr>
          <w:rFonts w:ascii="Times New Roman" w:hAnsi="Times New Roman"/>
          <w:b/>
          <w:i/>
          <w:sz w:val="22"/>
          <w:szCs w:val="22"/>
        </w:rPr>
        <w:t>do zahraničia</w:t>
      </w:r>
      <w:r w:rsidR="00AD13E4">
        <w:rPr>
          <w:rFonts w:ascii="Times New Roman" w:hAnsi="Times New Roman"/>
          <w:b/>
          <w:sz w:val="22"/>
          <w:szCs w:val="22"/>
        </w:rPr>
        <w:t xml:space="preserve"> </w:t>
      </w:r>
      <w:r w:rsidRPr="00D752DD">
        <w:rPr>
          <w:rFonts w:ascii="Times New Roman" w:hAnsi="Times New Roman"/>
          <w:sz w:val="22"/>
          <w:szCs w:val="22"/>
        </w:rPr>
        <w:t>sa zahŕňajú</w:t>
      </w:r>
      <w:r w:rsidR="00AD13E4">
        <w:rPr>
          <w:rFonts w:ascii="Times New Roman" w:hAnsi="Times New Roman"/>
          <w:b/>
          <w:sz w:val="22"/>
          <w:szCs w:val="22"/>
        </w:rPr>
        <w:t xml:space="preserve"> </w:t>
      </w:r>
      <w:r w:rsidRPr="006E50E2">
        <w:rPr>
          <w:rFonts w:ascii="Times New Roman" w:hAnsi="Times New Roman"/>
          <w:sz w:val="22"/>
          <w:szCs w:val="22"/>
        </w:rPr>
        <w:t>platby iným vládam</w:t>
      </w:r>
      <w:r w:rsidRPr="006E50E2">
        <w:rPr>
          <w:rFonts w:ascii="Times New Roman" w:hAnsi="Times New Roman"/>
          <w:b/>
          <w:sz w:val="22"/>
          <w:szCs w:val="22"/>
        </w:rPr>
        <w:t xml:space="preserve">, </w:t>
      </w:r>
      <w:r w:rsidRPr="006E50E2">
        <w:rPr>
          <w:rFonts w:ascii="Times New Roman" w:hAnsi="Times New Roman"/>
          <w:sz w:val="22"/>
          <w:szCs w:val="22"/>
        </w:rPr>
        <w:t xml:space="preserve">medzinárodným organizáciám, neziskovým právnickým osobám a iným subjektom do zahraničia. </w:t>
      </w:r>
      <w:r>
        <w:rPr>
          <w:rFonts w:ascii="Times New Roman" w:hAnsi="Times New Roman"/>
          <w:sz w:val="22"/>
          <w:szCs w:val="22"/>
        </w:rPr>
        <w:t>V schválenom rozpočte boli</w:t>
      </w:r>
      <w:r w:rsidR="00AD13E4">
        <w:rPr>
          <w:rFonts w:ascii="Times New Roman" w:hAnsi="Times New Roman"/>
          <w:sz w:val="22"/>
          <w:szCs w:val="22"/>
        </w:rPr>
        <w:t xml:space="preserve"> </w:t>
      </w:r>
      <w:r>
        <w:rPr>
          <w:rFonts w:ascii="Times New Roman" w:hAnsi="Times New Roman"/>
          <w:sz w:val="22"/>
          <w:szCs w:val="22"/>
        </w:rPr>
        <w:t>na ne vyčlenené zdroje</w:t>
      </w:r>
      <w:r w:rsidR="00AD13E4">
        <w:rPr>
          <w:rFonts w:ascii="Times New Roman" w:hAnsi="Times New Roman"/>
          <w:sz w:val="22"/>
          <w:szCs w:val="22"/>
        </w:rPr>
        <w:t xml:space="preserve"> </w:t>
      </w:r>
      <w:r>
        <w:rPr>
          <w:rFonts w:ascii="Times New Roman" w:hAnsi="Times New Roman"/>
          <w:sz w:val="22"/>
          <w:szCs w:val="22"/>
        </w:rPr>
        <w:t>854 885</w:t>
      </w:r>
      <w:r w:rsidRPr="006E50E2">
        <w:rPr>
          <w:rFonts w:ascii="Times New Roman" w:hAnsi="Times New Roman"/>
          <w:sz w:val="22"/>
          <w:szCs w:val="22"/>
        </w:rPr>
        <w:t xml:space="preserve"> tis. eur,</w:t>
      </w:r>
      <w:r w:rsidR="00AD13E4">
        <w:rPr>
          <w:rFonts w:ascii="Times New Roman" w:hAnsi="Times New Roman"/>
          <w:sz w:val="22"/>
          <w:szCs w:val="22"/>
        </w:rPr>
        <w:t xml:space="preserve"> </w:t>
      </w:r>
      <w:r>
        <w:rPr>
          <w:rFonts w:ascii="Times New Roman" w:hAnsi="Times New Roman"/>
          <w:sz w:val="22"/>
          <w:szCs w:val="22"/>
        </w:rPr>
        <w:t>skutočne realizované výdavky predstavovali 666 639 tis. eur (2014: 733 095 tis. eur). Rozhodujúcou položkou</w:t>
      </w:r>
      <w:r w:rsidR="00AD13E4">
        <w:rPr>
          <w:rFonts w:ascii="Times New Roman" w:hAnsi="Times New Roman"/>
          <w:sz w:val="22"/>
          <w:szCs w:val="22"/>
        </w:rPr>
        <w:t xml:space="preserve"> </w:t>
      </w:r>
      <w:r>
        <w:rPr>
          <w:rFonts w:ascii="Times New Roman" w:hAnsi="Times New Roman"/>
          <w:sz w:val="22"/>
          <w:szCs w:val="22"/>
        </w:rPr>
        <w:t>boli</w:t>
      </w:r>
      <w:r w:rsidR="00AD13E4">
        <w:rPr>
          <w:rFonts w:ascii="Times New Roman" w:hAnsi="Times New Roman"/>
          <w:sz w:val="22"/>
          <w:szCs w:val="22"/>
        </w:rPr>
        <w:t xml:space="preserve"> </w:t>
      </w:r>
      <w:r w:rsidRPr="00546353">
        <w:rPr>
          <w:rFonts w:ascii="Times New Roman" w:hAnsi="Times New Roman"/>
          <w:b/>
          <w:sz w:val="22"/>
          <w:szCs w:val="22"/>
        </w:rPr>
        <w:t>odvody</w:t>
      </w:r>
      <w:r w:rsidR="00AD13E4">
        <w:rPr>
          <w:rFonts w:ascii="Times New Roman" w:hAnsi="Times New Roman"/>
          <w:b/>
          <w:sz w:val="22"/>
          <w:szCs w:val="22"/>
        </w:rPr>
        <w:t xml:space="preserve"> </w:t>
      </w:r>
      <w:r w:rsidRPr="00546353">
        <w:rPr>
          <w:rFonts w:ascii="Times New Roman" w:hAnsi="Times New Roman"/>
          <w:b/>
          <w:sz w:val="22"/>
          <w:szCs w:val="22"/>
        </w:rPr>
        <w:t>Slovenskej republiky do rozpočtu Európskej únie</w:t>
      </w:r>
      <w:r w:rsidRPr="006E50E2">
        <w:rPr>
          <w:rFonts w:ascii="Times New Roman" w:hAnsi="Times New Roman"/>
          <w:sz w:val="22"/>
          <w:szCs w:val="22"/>
        </w:rPr>
        <w:t xml:space="preserve"> najmä zo zdroja založeného na dani z pridanej hodnoty a zdroja založeného na hrubom národnom produkte</w:t>
      </w:r>
      <w:r>
        <w:rPr>
          <w:rFonts w:ascii="Times New Roman" w:hAnsi="Times New Roman"/>
          <w:sz w:val="22"/>
          <w:szCs w:val="22"/>
        </w:rPr>
        <w:t xml:space="preserve">, ktorých výška dosiahla 599 458 tis. eur. </w:t>
      </w:r>
    </w:p>
    <w:p w:rsidR="00B548CC" w:rsidRPr="00546353" w:rsidP="00B548CC">
      <w:pPr>
        <w:bidi w:val="0"/>
        <w:spacing w:after="120" w:line="336" w:lineRule="auto"/>
        <w:jc w:val="both"/>
        <w:rPr>
          <w:rFonts w:ascii="Times New Roman" w:hAnsi="Times New Roman"/>
          <w:sz w:val="22"/>
          <w:szCs w:val="22"/>
        </w:rPr>
      </w:pPr>
      <w:r w:rsidRPr="00546353">
        <w:rPr>
          <w:rFonts w:ascii="Times New Roman" w:hAnsi="Times New Roman"/>
          <w:b/>
          <w:sz w:val="22"/>
          <w:szCs w:val="22"/>
        </w:rPr>
        <w:t>Medzinárodným organizáciám</w:t>
      </w:r>
      <w:r w:rsidRPr="006E50E2">
        <w:rPr>
          <w:rFonts w:ascii="Times New Roman" w:hAnsi="Times New Roman"/>
          <w:sz w:val="22"/>
          <w:szCs w:val="22"/>
        </w:rPr>
        <w:t xml:space="preserve"> sa poukázalo</w:t>
      </w:r>
      <w:r w:rsidR="00AD13E4">
        <w:rPr>
          <w:rFonts w:ascii="Times New Roman" w:hAnsi="Times New Roman"/>
          <w:sz w:val="22"/>
          <w:szCs w:val="22"/>
        </w:rPr>
        <w:t xml:space="preserve"> </w:t>
      </w:r>
      <w:r>
        <w:rPr>
          <w:rFonts w:ascii="Times New Roman" w:hAnsi="Times New Roman"/>
          <w:sz w:val="22"/>
          <w:szCs w:val="22"/>
        </w:rPr>
        <w:t>65 121</w:t>
      </w:r>
      <w:r w:rsidRPr="006E50E2">
        <w:rPr>
          <w:rFonts w:ascii="Times New Roman" w:hAnsi="Times New Roman"/>
          <w:sz w:val="22"/>
          <w:szCs w:val="22"/>
        </w:rPr>
        <w:t xml:space="preserve"> tis</w:t>
      </w:r>
      <w:r>
        <w:rPr>
          <w:rFonts w:ascii="Times New Roman" w:hAnsi="Times New Roman"/>
          <w:sz w:val="22"/>
          <w:szCs w:val="22"/>
        </w:rPr>
        <w:t>. eur, na čom sa podieľali</w:t>
      </w:r>
      <w:r w:rsidR="00AD13E4">
        <w:rPr>
          <w:rFonts w:ascii="Times New Roman" w:hAnsi="Times New Roman"/>
          <w:sz w:val="22"/>
          <w:szCs w:val="22"/>
        </w:rPr>
        <w:t xml:space="preserve"> </w:t>
      </w:r>
      <w:r>
        <w:rPr>
          <w:rFonts w:ascii="Times New Roman" w:hAnsi="Times New Roman"/>
          <w:sz w:val="22"/>
          <w:szCs w:val="22"/>
        </w:rPr>
        <w:t>najmä</w:t>
      </w:r>
      <w:r w:rsidR="00AD13E4">
        <w:rPr>
          <w:rFonts w:ascii="Times New Roman" w:hAnsi="Times New Roman"/>
          <w:sz w:val="22"/>
          <w:szCs w:val="22"/>
        </w:rPr>
        <w:t xml:space="preserve"> </w:t>
      </w:r>
      <w:r>
        <w:rPr>
          <w:rFonts w:ascii="Times New Roman" w:hAnsi="Times New Roman"/>
          <w:sz w:val="22"/>
          <w:szCs w:val="22"/>
        </w:rPr>
        <w:t xml:space="preserve">kapitoly Ministerstva zahraničných vecí </w:t>
      </w:r>
      <w:r w:rsidR="002250E3">
        <w:rPr>
          <w:rFonts w:ascii="Times New Roman" w:hAnsi="Times New Roman"/>
          <w:sz w:val="22"/>
          <w:szCs w:val="22"/>
        </w:rPr>
        <w:t xml:space="preserve">a európskych záležitostí </w:t>
      </w:r>
      <w:r>
        <w:rPr>
          <w:rFonts w:ascii="Times New Roman" w:hAnsi="Times New Roman"/>
          <w:sz w:val="22"/>
          <w:szCs w:val="22"/>
        </w:rPr>
        <w:t>SR 21 489 tis. eur,</w:t>
      </w:r>
      <w:r w:rsidR="00AD13E4">
        <w:rPr>
          <w:rFonts w:ascii="Times New Roman" w:hAnsi="Times New Roman"/>
          <w:sz w:val="22"/>
          <w:szCs w:val="22"/>
        </w:rPr>
        <w:t xml:space="preserve"> </w:t>
      </w:r>
      <w:r>
        <w:rPr>
          <w:rFonts w:ascii="Times New Roman" w:hAnsi="Times New Roman"/>
          <w:sz w:val="22"/>
          <w:szCs w:val="22"/>
        </w:rPr>
        <w:t>Ministerstva školstva, vedy, výskumu a športu SR 11 446 tis. eur,</w:t>
      </w:r>
      <w:r w:rsidR="00AD13E4">
        <w:rPr>
          <w:rFonts w:ascii="Times New Roman" w:hAnsi="Times New Roman"/>
          <w:sz w:val="22"/>
          <w:szCs w:val="22"/>
        </w:rPr>
        <w:t xml:space="preserve"> </w:t>
      </w:r>
      <w:r>
        <w:rPr>
          <w:rFonts w:ascii="Times New Roman" w:hAnsi="Times New Roman"/>
          <w:sz w:val="22"/>
          <w:szCs w:val="22"/>
        </w:rPr>
        <w:t>Všeobecnej</w:t>
      </w:r>
      <w:r w:rsidR="00AD13E4">
        <w:rPr>
          <w:rFonts w:ascii="Times New Roman" w:hAnsi="Times New Roman"/>
          <w:sz w:val="22"/>
          <w:szCs w:val="22"/>
        </w:rPr>
        <w:t xml:space="preserve"> </w:t>
      </w:r>
      <w:r>
        <w:rPr>
          <w:rFonts w:ascii="Times New Roman" w:hAnsi="Times New Roman"/>
          <w:sz w:val="22"/>
          <w:szCs w:val="22"/>
        </w:rPr>
        <w:t>pokladničnej</w:t>
      </w:r>
      <w:r w:rsidR="00AD13E4">
        <w:rPr>
          <w:rFonts w:ascii="Times New Roman" w:hAnsi="Times New Roman"/>
          <w:sz w:val="22"/>
          <w:szCs w:val="22"/>
        </w:rPr>
        <w:t xml:space="preserve"> </w:t>
      </w:r>
      <w:r>
        <w:rPr>
          <w:rFonts w:ascii="Times New Roman" w:hAnsi="Times New Roman"/>
          <w:sz w:val="22"/>
          <w:szCs w:val="22"/>
        </w:rPr>
        <w:t>správy 10 176 tis. eur a</w:t>
      </w:r>
      <w:r w:rsidR="00AD13E4">
        <w:rPr>
          <w:rFonts w:ascii="Times New Roman" w:hAnsi="Times New Roman"/>
          <w:sz w:val="22"/>
          <w:szCs w:val="22"/>
        </w:rPr>
        <w:t xml:space="preserve"> </w:t>
      </w:r>
      <w:r w:rsidR="002C38E1">
        <w:rPr>
          <w:rFonts w:ascii="Times New Roman" w:hAnsi="Times New Roman"/>
          <w:sz w:val="22"/>
          <w:szCs w:val="22"/>
        </w:rPr>
        <w:t>Ministerstva obrany SR 9 126 </w:t>
      </w:r>
      <w:r>
        <w:rPr>
          <w:rFonts w:ascii="Times New Roman" w:hAnsi="Times New Roman"/>
          <w:sz w:val="22"/>
          <w:szCs w:val="22"/>
        </w:rPr>
        <w:t>tis. eur. Platby boli určené</w:t>
      </w:r>
      <w:r w:rsidRPr="00BA1D7F">
        <w:rPr>
          <w:rFonts w:ascii="Times New Roman" w:hAnsi="Times New Roman"/>
          <w:sz w:val="22"/>
          <w:szCs w:val="22"/>
        </w:rPr>
        <w:t xml:space="preserve"> na príspevky súvisiace s členstvom SR v NATO,</w:t>
      </w:r>
      <w:r w:rsidR="00AD13E4">
        <w:rPr>
          <w:rFonts w:ascii="Times New Roman" w:hAnsi="Times New Roman"/>
          <w:sz w:val="22"/>
          <w:szCs w:val="22"/>
        </w:rPr>
        <w:t xml:space="preserve"> </w:t>
      </w:r>
      <w:r>
        <w:rPr>
          <w:rFonts w:ascii="Times New Roman" w:hAnsi="Times New Roman"/>
          <w:sz w:val="22"/>
          <w:szCs w:val="22"/>
        </w:rPr>
        <w:t>rekonštrukciu sídla NATO,</w:t>
      </w:r>
      <w:r w:rsidR="00AD13E4">
        <w:rPr>
          <w:rFonts w:ascii="Times New Roman" w:hAnsi="Times New Roman"/>
          <w:sz w:val="22"/>
          <w:szCs w:val="22"/>
        </w:rPr>
        <w:t xml:space="preserve"> </w:t>
      </w:r>
      <w:r w:rsidRPr="006E50E2">
        <w:rPr>
          <w:rFonts w:ascii="Times New Roman" w:hAnsi="Times New Roman"/>
          <w:sz w:val="22"/>
          <w:szCs w:val="22"/>
        </w:rPr>
        <w:t>príspevok do OSN</w:t>
      </w:r>
      <w:r>
        <w:rPr>
          <w:rFonts w:ascii="Times New Roman" w:hAnsi="Times New Roman"/>
          <w:sz w:val="22"/>
          <w:szCs w:val="22"/>
        </w:rPr>
        <w:t xml:space="preserve"> vrátane nárastu príspevku na mierové operácie</w:t>
      </w:r>
      <w:r w:rsidRPr="006E50E2">
        <w:rPr>
          <w:rFonts w:ascii="Times New Roman" w:hAnsi="Times New Roman"/>
          <w:sz w:val="22"/>
          <w:szCs w:val="22"/>
        </w:rPr>
        <w:t>, príspevok do Medzinárodného vyšehradského fondu, do Rady Európy, do OECD</w:t>
      </w:r>
      <w:r>
        <w:rPr>
          <w:rFonts w:ascii="Times New Roman" w:hAnsi="Times New Roman"/>
          <w:sz w:val="22"/>
          <w:szCs w:val="22"/>
        </w:rPr>
        <w:t>, do UNESCO,</w:t>
      </w:r>
      <w:r w:rsidR="00AD13E4">
        <w:rPr>
          <w:rFonts w:ascii="Times New Roman" w:hAnsi="Times New Roman"/>
          <w:sz w:val="22"/>
          <w:szCs w:val="22"/>
        </w:rPr>
        <w:t xml:space="preserve"> </w:t>
      </w:r>
      <w:r>
        <w:rPr>
          <w:rFonts w:ascii="Times New Roman" w:hAnsi="Times New Roman"/>
          <w:sz w:val="22"/>
          <w:szCs w:val="22"/>
        </w:rPr>
        <w:t xml:space="preserve">príspevok na výstavbu sídla ICC v Haagu </w:t>
      </w:r>
      <w:r w:rsidRPr="006E50E2">
        <w:rPr>
          <w:rFonts w:ascii="Times New Roman" w:hAnsi="Times New Roman"/>
          <w:sz w:val="22"/>
          <w:szCs w:val="22"/>
        </w:rPr>
        <w:t>a pod.</w:t>
      </w:r>
      <w:r w:rsidR="00AD13E4">
        <w:rPr>
          <w:rFonts w:ascii="Times New Roman" w:hAnsi="Times New Roman"/>
          <w:sz w:val="22"/>
          <w:szCs w:val="22"/>
        </w:rPr>
        <w:t xml:space="preserve"> </w:t>
      </w:r>
      <w:r>
        <w:rPr>
          <w:rFonts w:ascii="Times New Roman" w:hAnsi="Times New Roman"/>
          <w:sz w:val="22"/>
          <w:szCs w:val="22"/>
        </w:rPr>
        <w:t xml:space="preserve">Na </w:t>
      </w:r>
      <w:r w:rsidRPr="004B2DA0">
        <w:rPr>
          <w:rFonts w:ascii="Times New Roman" w:hAnsi="Times New Roman"/>
          <w:sz w:val="22"/>
          <w:szCs w:val="22"/>
        </w:rPr>
        <w:t>ostatné transferové platby do zahraničia</w:t>
      </w:r>
      <w:r w:rsidR="00AD13E4">
        <w:rPr>
          <w:rFonts w:ascii="Times New Roman" w:hAnsi="Times New Roman"/>
          <w:sz w:val="22"/>
          <w:szCs w:val="22"/>
        </w:rPr>
        <w:t xml:space="preserve"> </w:t>
      </w:r>
      <w:r w:rsidRPr="006E50E2">
        <w:rPr>
          <w:rFonts w:ascii="Times New Roman" w:hAnsi="Times New Roman"/>
          <w:sz w:val="22"/>
          <w:szCs w:val="22"/>
        </w:rPr>
        <w:t>sa vynaložilo 2</w:t>
      </w:r>
      <w:r w:rsidR="002C38E1">
        <w:rPr>
          <w:rFonts w:ascii="Times New Roman" w:hAnsi="Times New Roman"/>
          <w:sz w:val="22"/>
          <w:szCs w:val="22"/>
        </w:rPr>
        <w:t> </w:t>
      </w:r>
      <w:r w:rsidRPr="006E50E2">
        <w:rPr>
          <w:rFonts w:ascii="Times New Roman" w:hAnsi="Times New Roman"/>
          <w:sz w:val="22"/>
          <w:szCs w:val="22"/>
        </w:rPr>
        <w:t>0</w:t>
      </w:r>
      <w:r>
        <w:rPr>
          <w:rFonts w:ascii="Times New Roman" w:hAnsi="Times New Roman"/>
          <w:sz w:val="22"/>
          <w:szCs w:val="22"/>
        </w:rPr>
        <w:t>6</w:t>
      </w:r>
      <w:r w:rsidRPr="006E50E2">
        <w:rPr>
          <w:rFonts w:ascii="Times New Roman" w:hAnsi="Times New Roman"/>
          <w:sz w:val="22"/>
          <w:szCs w:val="22"/>
        </w:rPr>
        <w:t>0</w:t>
      </w:r>
      <w:r w:rsidR="002C38E1">
        <w:rPr>
          <w:rFonts w:ascii="Times New Roman" w:hAnsi="Times New Roman"/>
          <w:sz w:val="22"/>
          <w:szCs w:val="22"/>
        </w:rPr>
        <w:t> </w:t>
      </w:r>
      <w:r w:rsidRPr="006E50E2">
        <w:rPr>
          <w:rFonts w:ascii="Times New Roman" w:hAnsi="Times New Roman"/>
          <w:sz w:val="22"/>
          <w:szCs w:val="22"/>
        </w:rPr>
        <w:t>tis. eur.</w:t>
      </w:r>
    </w:p>
    <w:p w:rsidR="00B548CC" w:rsidRPr="006E50E2" w:rsidP="00B548CC">
      <w:pPr>
        <w:pStyle w:val="ListParagraph"/>
        <w:numPr>
          <w:numId w:val="10"/>
        </w:numPr>
        <w:tabs>
          <w:tab w:val="left" w:pos="284"/>
        </w:tabs>
        <w:bidi w:val="0"/>
        <w:spacing w:after="120" w:line="336" w:lineRule="auto"/>
        <w:ind w:left="0" w:firstLine="0"/>
        <w:jc w:val="both"/>
        <w:rPr>
          <w:rFonts w:ascii="Times New Roman" w:hAnsi="Times New Roman"/>
          <w:b/>
        </w:rPr>
      </w:pPr>
      <w:r w:rsidRPr="006E50E2">
        <w:rPr>
          <w:rFonts w:ascii="Times New Roman" w:hAnsi="Times New Roman"/>
          <w:b/>
        </w:rPr>
        <w:t>Splácanie úrokov a ostatné platby súvisiace s úvermi, pôžičkami, návratnými finančnými výpomocami a finančným prenájmom</w:t>
      </w:r>
      <w:r w:rsidRPr="006E50E2">
        <w:rPr>
          <w:rFonts w:ascii="Times New Roman" w:hAnsi="Times New Roman"/>
        </w:rPr>
        <w:t xml:space="preserve"> </w:t>
      </w:r>
    </w:p>
    <w:p w:rsidR="00B548CC" w:rsidRPr="006E50E2" w:rsidP="00B548CC">
      <w:pPr>
        <w:bidi w:val="0"/>
        <w:spacing w:after="120" w:line="336" w:lineRule="auto"/>
        <w:jc w:val="both"/>
        <w:rPr>
          <w:rFonts w:ascii="Times New Roman" w:hAnsi="Times New Roman"/>
          <w:sz w:val="22"/>
          <w:szCs w:val="22"/>
        </w:rPr>
      </w:pPr>
      <w:r>
        <w:rPr>
          <w:rFonts w:ascii="Times New Roman" w:hAnsi="Times New Roman"/>
          <w:sz w:val="22"/>
          <w:szCs w:val="22"/>
        </w:rPr>
        <w:t>Schválený rozpočet v tejto kategórii</w:t>
      </w:r>
      <w:r w:rsidR="00AD13E4">
        <w:rPr>
          <w:rFonts w:ascii="Times New Roman" w:hAnsi="Times New Roman"/>
          <w:sz w:val="22"/>
          <w:szCs w:val="22"/>
        </w:rPr>
        <w:t xml:space="preserve"> </w:t>
      </w:r>
      <w:r>
        <w:rPr>
          <w:rFonts w:ascii="Times New Roman" w:hAnsi="Times New Roman"/>
          <w:sz w:val="22"/>
          <w:szCs w:val="22"/>
        </w:rPr>
        <w:t>bol vyčerpaný v plnom rozsahu 270 tis. eur</w:t>
      </w:r>
      <w:r w:rsidR="00AD13E4">
        <w:rPr>
          <w:rFonts w:ascii="Times New Roman" w:hAnsi="Times New Roman"/>
          <w:sz w:val="22"/>
          <w:szCs w:val="22"/>
        </w:rPr>
        <w:t xml:space="preserve"> </w:t>
      </w:r>
      <w:r w:rsidRPr="006E50E2">
        <w:rPr>
          <w:rFonts w:ascii="Times New Roman" w:hAnsi="Times New Roman"/>
          <w:sz w:val="22"/>
          <w:szCs w:val="22"/>
        </w:rPr>
        <w:t>(201</w:t>
      </w:r>
      <w:r>
        <w:rPr>
          <w:rFonts w:ascii="Times New Roman" w:hAnsi="Times New Roman"/>
          <w:sz w:val="22"/>
          <w:szCs w:val="22"/>
        </w:rPr>
        <w:t>4</w:t>
      </w:r>
      <w:r w:rsidRPr="006E50E2">
        <w:rPr>
          <w:rFonts w:ascii="Times New Roman" w:hAnsi="Times New Roman"/>
          <w:sz w:val="22"/>
          <w:szCs w:val="22"/>
        </w:rPr>
        <w:t xml:space="preserve">: </w:t>
      </w:r>
      <w:r>
        <w:rPr>
          <w:rFonts w:ascii="Times New Roman" w:hAnsi="Times New Roman"/>
          <w:sz w:val="22"/>
          <w:szCs w:val="22"/>
        </w:rPr>
        <w:t>274</w:t>
      </w:r>
      <w:r w:rsidR="00AD13E4">
        <w:rPr>
          <w:rFonts w:ascii="Times New Roman" w:hAnsi="Times New Roman"/>
          <w:sz w:val="22"/>
          <w:szCs w:val="22"/>
        </w:rPr>
        <w:t xml:space="preserve"> </w:t>
      </w:r>
      <w:r w:rsidRPr="006E50E2">
        <w:rPr>
          <w:rFonts w:ascii="Times New Roman" w:hAnsi="Times New Roman"/>
          <w:sz w:val="22"/>
          <w:szCs w:val="22"/>
        </w:rPr>
        <w:t>tis. eur)</w:t>
      </w:r>
      <w:r w:rsidR="00AD13E4">
        <w:rPr>
          <w:rFonts w:ascii="Times New Roman" w:hAnsi="Times New Roman"/>
          <w:sz w:val="22"/>
          <w:szCs w:val="22"/>
        </w:rPr>
        <w:t xml:space="preserve"> </w:t>
      </w:r>
      <w:r>
        <w:rPr>
          <w:rFonts w:ascii="Times New Roman" w:hAnsi="Times New Roman"/>
          <w:sz w:val="22"/>
          <w:szCs w:val="22"/>
        </w:rPr>
        <w:t>na</w:t>
      </w:r>
      <w:r w:rsidR="00AD13E4">
        <w:rPr>
          <w:rFonts w:ascii="Times New Roman" w:hAnsi="Times New Roman"/>
          <w:sz w:val="22"/>
          <w:szCs w:val="22"/>
        </w:rPr>
        <w:t xml:space="preserve"> </w:t>
      </w:r>
      <w:r w:rsidRPr="006E50E2">
        <w:rPr>
          <w:rFonts w:ascii="Times New Roman" w:hAnsi="Times New Roman"/>
          <w:sz w:val="22"/>
          <w:szCs w:val="22"/>
        </w:rPr>
        <w:t>manipulačné poplatky v kapitole Všeobecná pokladničná správa</w:t>
      </w:r>
      <w:r>
        <w:rPr>
          <w:rFonts w:ascii="Times New Roman" w:hAnsi="Times New Roman"/>
          <w:sz w:val="22"/>
          <w:szCs w:val="22"/>
        </w:rPr>
        <w:t xml:space="preserve"> (</w:t>
      </w:r>
      <w:r w:rsidRPr="006E50E2">
        <w:rPr>
          <w:rFonts w:ascii="Times New Roman" w:hAnsi="Times New Roman"/>
          <w:sz w:val="22"/>
          <w:szCs w:val="22"/>
        </w:rPr>
        <w:t>saldo príjmových a výdavkových transakcií vzťahujúcich sa k finančným operáciám Ardalu je od roku 2012 presunuté do výdavkovej rozpočtovej položky transfer rozpočtovej organizácii</w:t>
      </w:r>
      <w:r>
        <w:rPr>
          <w:rFonts w:ascii="Times New Roman" w:hAnsi="Times New Roman"/>
          <w:sz w:val="22"/>
          <w:szCs w:val="22"/>
        </w:rPr>
        <w:t>)</w:t>
      </w:r>
      <w:r w:rsidRPr="006E50E2">
        <w:rPr>
          <w:rFonts w:ascii="Times New Roman" w:hAnsi="Times New Roman"/>
          <w:sz w:val="22"/>
          <w:szCs w:val="22"/>
        </w:rPr>
        <w:t>.</w:t>
      </w:r>
    </w:p>
    <w:p w:rsidR="00B548CC" w:rsidRPr="00034DD6" w:rsidP="00B548CC">
      <w:pPr>
        <w:bidi w:val="0"/>
        <w:spacing w:after="120" w:line="336" w:lineRule="auto"/>
        <w:jc w:val="both"/>
        <w:rPr>
          <w:rFonts w:ascii="Times New Roman" w:hAnsi="Times New Roman"/>
          <w:sz w:val="22"/>
          <w:szCs w:val="22"/>
          <w:highlight w:val="yellow"/>
        </w:rPr>
      </w:pPr>
      <w:r w:rsidRPr="005D23A2">
        <w:rPr>
          <w:rFonts w:ascii="Times New Roman" w:hAnsi="Times New Roman"/>
          <w:sz w:val="22"/>
          <w:szCs w:val="22"/>
        </w:rPr>
        <w:t>Na</w:t>
      </w:r>
      <w:r w:rsidRPr="005D23A2" w:rsidR="00AD13E4">
        <w:rPr>
          <w:rFonts w:ascii="Times New Roman" w:hAnsi="Times New Roman"/>
          <w:sz w:val="22"/>
          <w:szCs w:val="22"/>
        </w:rPr>
        <w:t xml:space="preserve"> </w:t>
      </w:r>
      <w:r w:rsidRPr="005D23A2">
        <w:rPr>
          <w:rFonts w:ascii="Times New Roman" w:hAnsi="Times New Roman"/>
          <w:b/>
          <w:sz w:val="22"/>
          <w:szCs w:val="22"/>
        </w:rPr>
        <w:t xml:space="preserve">celkové výdavky spojené so správou štátneho dlhu </w:t>
      </w:r>
      <w:r w:rsidRPr="005D23A2">
        <w:rPr>
          <w:rFonts w:ascii="Times New Roman" w:hAnsi="Times New Roman"/>
          <w:sz w:val="22"/>
          <w:szCs w:val="22"/>
        </w:rPr>
        <w:t>vrátane vyššie uvedených manipulačných</w:t>
      </w:r>
      <w:r w:rsidRPr="005D23A2" w:rsidR="00AD13E4">
        <w:rPr>
          <w:rFonts w:ascii="Times New Roman" w:hAnsi="Times New Roman"/>
          <w:sz w:val="22"/>
          <w:szCs w:val="22"/>
        </w:rPr>
        <w:t xml:space="preserve"> </w:t>
      </w:r>
      <w:r w:rsidRPr="005D23A2">
        <w:rPr>
          <w:rFonts w:ascii="Times New Roman" w:hAnsi="Times New Roman"/>
          <w:sz w:val="22"/>
          <w:szCs w:val="22"/>
        </w:rPr>
        <w:t>poplatkov boli</w:t>
      </w:r>
      <w:r w:rsidRPr="005D23A2" w:rsidR="00AD13E4">
        <w:rPr>
          <w:rFonts w:ascii="Times New Roman" w:hAnsi="Times New Roman"/>
          <w:sz w:val="22"/>
          <w:szCs w:val="22"/>
        </w:rPr>
        <w:t xml:space="preserve"> </w:t>
      </w:r>
      <w:r w:rsidRPr="005D23A2">
        <w:rPr>
          <w:rFonts w:ascii="Times New Roman" w:hAnsi="Times New Roman"/>
          <w:sz w:val="22"/>
          <w:szCs w:val="22"/>
        </w:rPr>
        <w:t>v rozpočte vyčlenené zdroje 1 292 833 tis. eur,</w:t>
      </w:r>
      <w:r w:rsidRPr="00B31B77">
        <w:rPr>
          <w:rFonts w:ascii="Times New Roman" w:hAnsi="Times New Roman"/>
          <w:sz w:val="22"/>
          <w:szCs w:val="22"/>
        </w:rPr>
        <w:t xml:space="preserve"> s</w:t>
      </w:r>
      <w:r w:rsidRPr="005D23A2">
        <w:rPr>
          <w:rFonts w:ascii="Times New Roman" w:hAnsi="Times New Roman"/>
          <w:sz w:val="22"/>
          <w:szCs w:val="22"/>
        </w:rPr>
        <w:t>kutočne realizované výdavky dosiahli</w:t>
      </w:r>
      <w:r w:rsidRPr="005D23A2" w:rsidR="00AD13E4">
        <w:rPr>
          <w:rFonts w:ascii="Times New Roman" w:hAnsi="Times New Roman"/>
          <w:sz w:val="22"/>
          <w:szCs w:val="22"/>
        </w:rPr>
        <w:t xml:space="preserve"> </w:t>
      </w:r>
      <w:r w:rsidRPr="005D23A2">
        <w:rPr>
          <w:rFonts w:ascii="Times New Roman" w:hAnsi="Times New Roman"/>
          <w:sz w:val="22"/>
          <w:szCs w:val="22"/>
        </w:rPr>
        <w:t xml:space="preserve">1 159 664 tis. eur. </w:t>
      </w:r>
    </w:p>
    <w:tbl>
      <w:tblPr>
        <w:tblStyle w:val="TableNormal"/>
        <w:tblW w:w="0" w:type="auto"/>
        <w:tblInd w:w="55" w:type="dxa"/>
        <w:tblCellMar>
          <w:left w:w="70" w:type="dxa"/>
          <w:right w:w="70" w:type="dxa"/>
        </w:tblCellMar>
        <w:tblLook w:val="04A0"/>
      </w:tblPr>
      <w:tblGrid>
        <w:gridCol w:w="1858"/>
        <w:gridCol w:w="1559"/>
        <w:gridCol w:w="1276"/>
        <w:gridCol w:w="1134"/>
        <w:gridCol w:w="1418"/>
        <w:gridCol w:w="850"/>
        <w:gridCol w:w="709"/>
      </w:tblGrid>
      <w:tr>
        <w:tblPrEx>
          <w:tblW w:w="0" w:type="auto"/>
          <w:tblInd w:w="55" w:type="dxa"/>
          <w:tblCellMar>
            <w:left w:w="70" w:type="dxa"/>
            <w:right w:w="70" w:type="dxa"/>
          </w:tblCellMar>
          <w:tblLook w:val="04A0"/>
        </w:tblPrEx>
        <w:trPr>
          <w:trHeight w:val="330"/>
        </w:trPr>
        <w:tc>
          <w:tcPr>
            <w:tcW w:w="8804" w:type="dxa"/>
            <w:gridSpan w:val="7"/>
            <w:tcBorders>
              <w:top w:val="single" w:sz="8" w:space="0" w:color="FFFFFF"/>
              <w:left w:val="single" w:sz="8" w:space="0" w:color="auto"/>
              <w:bottom w:val="nil"/>
              <w:right w:val="single" w:sz="8" w:space="0" w:color="000000"/>
            </w:tcBorders>
            <w:shd w:val="clear" w:color="000000" w:fill="000000"/>
            <w:noWrap/>
            <w:textDirection w:val="lrTb"/>
            <w:vAlign w:val="center"/>
            <w:hideMark/>
          </w:tcPr>
          <w:p w:rsidR="00B548CC" w:rsidRPr="005D23A2" w:rsidP="00CF6C2F">
            <w:pPr>
              <w:bidi w:val="0"/>
              <w:rPr>
                <w:rFonts w:ascii="Times New Roman" w:hAnsi="Times New Roman"/>
                <w:b/>
                <w:bCs/>
                <w:color w:val="FFFFFF"/>
                <w:sz w:val="18"/>
                <w:szCs w:val="18"/>
              </w:rPr>
            </w:pPr>
            <w:r w:rsidRPr="005D23A2">
              <w:rPr>
                <w:rFonts w:ascii="Times New Roman" w:hAnsi="Times New Roman"/>
                <w:b/>
                <w:bCs/>
                <w:color w:val="FFFFFF"/>
                <w:sz w:val="18"/>
                <w:szCs w:val="18"/>
              </w:rPr>
              <w:t xml:space="preserve">Výdavky štátneho dlhu </w:t>
            </w:r>
            <w:r w:rsidR="00611996">
              <w:rPr>
                <w:rFonts w:ascii="Times New Roman" w:hAnsi="Times New Roman"/>
                <w:b/>
                <w:bCs/>
                <w:color w:val="FFFFFF"/>
                <w:sz w:val="18"/>
                <w:szCs w:val="18"/>
              </w:rPr>
              <w:t xml:space="preserve">                                                                                                                              </w:t>
            </w:r>
            <w:r w:rsidR="00223EFD">
              <w:rPr>
                <w:rFonts w:ascii="Times New Roman" w:hAnsi="Times New Roman"/>
                <w:b/>
                <w:bCs/>
                <w:color w:val="FFFFFF"/>
                <w:sz w:val="18"/>
                <w:szCs w:val="18"/>
              </w:rPr>
              <w:t xml:space="preserve">        </w:t>
            </w:r>
            <w:r w:rsidRPr="005D23A2">
              <w:rPr>
                <w:rFonts w:ascii="Times New Roman" w:hAnsi="Times New Roman"/>
                <w:b/>
                <w:bCs/>
                <w:color w:val="FFFFFF"/>
                <w:sz w:val="18"/>
                <w:szCs w:val="18"/>
              </w:rPr>
              <w:t>v tis. eur</w:t>
            </w:r>
          </w:p>
        </w:tc>
      </w:tr>
      <w:tr>
        <w:tblPrEx>
          <w:tblW w:w="0" w:type="auto"/>
          <w:tblInd w:w="55" w:type="dxa"/>
          <w:tblCellMar>
            <w:left w:w="70" w:type="dxa"/>
            <w:right w:w="70" w:type="dxa"/>
          </w:tblCellMar>
          <w:tblLook w:val="04A0"/>
        </w:tblPrEx>
        <w:trPr>
          <w:trHeight w:val="330"/>
        </w:trPr>
        <w:tc>
          <w:tcPr>
            <w:tcW w:w="1858" w:type="dxa"/>
            <w:vMerge w:val="restart"/>
            <w:tcBorders>
              <w:top w:val="nil"/>
              <w:left w:val="nil"/>
              <w:bottom w:val="nil"/>
              <w:right w:val="nil"/>
            </w:tcBorders>
            <w:shd w:val="clear" w:color="000000" w:fill="BFBFBF"/>
            <w:textDirection w:val="lrTb"/>
            <w:vAlign w:val="center"/>
            <w:hideMark/>
          </w:tcPr>
          <w:p w:rsidR="00B548CC" w:rsidRPr="005D23A2" w:rsidP="00AD13E4">
            <w:pPr>
              <w:bidi w:val="0"/>
              <w:rPr>
                <w:rFonts w:ascii="Times New Roman" w:hAnsi="Times New Roman"/>
                <w:b/>
                <w:bCs/>
                <w:color w:val="000000"/>
                <w:sz w:val="18"/>
                <w:szCs w:val="18"/>
              </w:rPr>
            </w:pPr>
            <w:r w:rsidRPr="005D23A2">
              <w:rPr>
                <w:rFonts w:ascii="Times New Roman" w:hAnsi="Times New Roman"/>
                <w:b/>
                <w:bCs/>
                <w:color w:val="000000"/>
                <w:sz w:val="18"/>
                <w:szCs w:val="18"/>
              </w:rPr>
              <w:t xml:space="preserve"> </w:t>
            </w:r>
          </w:p>
        </w:tc>
        <w:tc>
          <w:tcPr>
            <w:tcW w:w="2835" w:type="dxa"/>
            <w:gridSpan w:val="2"/>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Skutočnosť</w:t>
            </w:r>
          </w:p>
        </w:tc>
        <w:tc>
          <w:tcPr>
            <w:tcW w:w="1134" w:type="dxa"/>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Rozpočet</w:t>
            </w:r>
          </w:p>
        </w:tc>
        <w:tc>
          <w:tcPr>
            <w:tcW w:w="1418" w:type="dxa"/>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Skutočnosť</w:t>
            </w:r>
          </w:p>
        </w:tc>
        <w:tc>
          <w:tcPr>
            <w:tcW w:w="1559" w:type="dxa"/>
            <w:gridSpan w:val="2"/>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Rozdiel</w:t>
            </w:r>
          </w:p>
        </w:tc>
      </w:tr>
      <w:tr>
        <w:tblPrEx>
          <w:tblW w:w="0" w:type="auto"/>
          <w:tblInd w:w="55" w:type="dxa"/>
          <w:tblCellMar>
            <w:left w:w="70" w:type="dxa"/>
            <w:right w:w="70" w:type="dxa"/>
          </w:tblCellMar>
          <w:tblLook w:val="04A0"/>
        </w:tblPrEx>
        <w:trPr>
          <w:trHeight w:val="330"/>
        </w:trPr>
        <w:tc>
          <w:tcPr>
            <w:tcW w:w="1858" w:type="dxa"/>
            <w:vMerge/>
            <w:tcBorders>
              <w:top w:val="nil"/>
              <w:left w:val="nil"/>
              <w:bottom w:val="nil"/>
              <w:right w:val="nil"/>
            </w:tcBorders>
            <w:textDirection w:val="lrTb"/>
            <w:vAlign w:val="center"/>
            <w:hideMark/>
          </w:tcPr>
          <w:p w:rsidR="00B548CC" w:rsidRPr="005D23A2" w:rsidP="00AD13E4">
            <w:pPr>
              <w:bidi w:val="0"/>
              <w:rPr>
                <w:rFonts w:ascii="Times New Roman" w:hAnsi="Times New Roman"/>
                <w:b/>
                <w:bCs/>
                <w:color w:val="000000"/>
                <w:sz w:val="18"/>
                <w:szCs w:val="18"/>
              </w:rPr>
            </w:pPr>
          </w:p>
        </w:tc>
        <w:tc>
          <w:tcPr>
            <w:tcW w:w="1559" w:type="dxa"/>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2013</w:t>
            </w:r>
          </w:p>
        </w:tc>
        <w:tc>
          <w:tcPr>
            <w:tcW w:w="1276" w:type="dxa"/>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2014</w:t>
            </w:r>
          </w:p>
        </w:tc>
        <w:tc>
          <w:tcPr>
            <w:tcW w:w="1134" w:type="dxa"/>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2015</w:t>
            </w:r>
          </w:p>
        </w:tc>
        <w:tc>
          <w:tcPr>
            <w:tcW w:w="1418" w:type="dxa"/>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2015</w:t>
            </w:r>
          </w:p>
        </w:tc>
        <w:tc>
          <w:tcPr>
            <w:tcW w:w="850" w:type="dxa"/>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v tis. eur</w:t>
            </w:r>
          </w:p>
        </w:tc>
        <w:tc>
          <w:tcPr>
            <w:tcW w:w="709" w:type="dxa"/>
            <w:tcBorders>
              <w:top w:val="nil"/>
              <w:left w:val="nil"/>
              <w:bottom w:val="nil"/>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v %</w:t>
            </w:r>
          </w:p>
        </w:tc>
      </w:tr>
      <w:tr>
        <w:tblPrEx>
          <w:tblW w:w="0" w:type="auto"/>
          <w:tblInd w:w="55" w:type="dxa"/>
          <w:tblCellMar>
            <w:left w:w="70" w:type="dxa"/>
            <w:right w:w="70" w:type="dxa"/>
          </w:tblCellMar>
          <w:tblLook w:val="04A0"/>
        </w:tblPrEx>
        <w:trPr>
          <w:trHeight w:val="345"/>
        </w:trPr>
        <w:tc>
          <w:tcPr>
            <w:tcW w:w="1858" w:type="dxa"/>
            <w:tcBorders>
              <w:top w:val="nil"/>
              <w:left w:val="nil"/>
              <w:bottom w:val="single" w:sz="8" w:space="0" w:color="auto"/>
              <w:right w:val="nil"/>
            </w:tcBorders>
            <w:shd w:val="clear" w:color="000000" w:fill="BFBFBF"/>
            <w:textDirection w:val="lrTb"/>
            <w:vAlign w:val="center"/>
            <w:hideMark/>
          </w:tcPr>
          <w:p w:rsidR="00B548CC" w:rsidRPr="005D23A2" w:rsidP="00AD13E4">
            <w:pPr>
              <w:bidi w:val="0"/>
              <w:rPr>
                <w:rFonts w:ascii="Times New Roman" w:hAnsi="Times New Roman"/>
                <w:color w:val="000000"/>
                <w:sz w:val="18"/>
                <w:szCs w:val="18"/>
              </w:rPr>
            </w:pPr>
            <w:r w:rsidRPr="005D23A2">
              <w:rPr>
                <w:rFonts w:ascii="Times New Roman" w:hAnsi="Times New Roman"/>
                <w:color w:val="000000"/>
                <w:sz w:val="18"/>
                <w:szCs w:val="18"/>
              </w:rPr>
              <w:t> </w:t>
            </w:r>
          </w:p>
        </w:tc>
        <w:tc>
          <w:tcPr>
            <w:tcW w:w="1559" w:type="dxa"/>
            <w:tcBorders>
              <w:top w:val="nil"/>
              <w:left w:val="nil"/>
              <w:bottom w:val="single" w:sz="8" w:space="0" w:color="auto"/>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1</w:t>
            </w:r>
          </w:p>
        </w:tc>
        <w:tc>
          <w:tcPr>
            <w:tcW w:w="1276" w:type="dxa"/>
            <w:tcBorders>
              <w:top w:val="nil"/>
              <w:left w:val="nil"/>
              <w:bottom w:val="single" w:sz="8" w:space="0" w:color="auto"/>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2</w:t>
            </w:r>
          </w:p>
        </w:tc>
        <w:tc>
          <w:tcPr>
            <w:tcW w:w="1134" w:type="dxa"/>
            <w:tcBorders>
              <w:top w:val="nil"/>
              <w:left w:val="nil"/>
              <w:bottom w:val="single" w:sz="8" w:space="0" w:color="auto"/>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3</w:t>
            </w:r>
          </w:p>
        </w:tc>
        <w:tc>
          <w:tcPr>
            <w:tcW w:w="1418" w:type="dxa"/>
            <w:tcBorders>
              <w:top w:val="nil"/>
              <w:left w:val="nil"/>
              <w:bottom w:val="single" w:sz="8" w:space="0" w:color="auto"/>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4</w:t>
            </w:r>
          </w:p>
        </w:tc>
        <w:tc>
          <w:tcPr>
            <w:tcW w:w="850" w:type="dxa"/>
            <w:tcBorders>
              <w:top w:val="nil"/>
              <w:left w:val="nil"/>
              <w:bottom w:val="single" w:sz="8" w:space="0" w:color="auto"/>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5=4-3</w:t>
            </w:r>
          </w:p>
        </w:tc>
        <w:tc>
          <w:tcPr>
            <w:tcW w:w="709" w:type="dxa"/>
            <w:tcBorders>
              <w:top w:val="nil"/>
              <w:left w:val="nil"/>
              <w:bottom w:val="single" w:sz="8" w:space="0" w:color="auto"/>
              <w:right w:val="nil"/>
            </w:tcBorders>
            <w:shd w:val="clear" w:color="000000" w:fill="BFBFBF"/>
            <w:noWrap/>
            <w:textDirection w:val="lrTb"/>
            <w:vAlign w:val="center"/>
            <w:hideMark/>
          </w:tcPr>
          <w:p w:rsidR="00B548CC" w:rsidRPr="005D23A2" w:rsidP="00AD13E4">
            <w:pPr>
              <w:bidi w:val="0"/>
              <w:jc w:val="center"/>
              <w:rPr>
                <w:rFonts w:ascii="Times New Roman" w:hAnsi="Times New Roman"/>
                <w:b/>
                <w:bCs/>
                <w:color w:val="000000"/>
                <w:sz w:val="18"/>
                <w:szCs w:val="18"/>
              </w:rPr>
            </w:pPr>
            <w:r w:rsidRPr="005D23A2">
              <w:rPr>
                <w:rFonts w:ascii="Times New Roman" w:hAnsi="Times New Roman"/>
                <w:b/>
                <w:bCs/>
                <w:color w:val="000000"/>
                <w:sz w:val="18"/>
                <w:szCs w:val="18"/>
              </w:rPr>
              <w:t>6=4-3</w:t>
            </w:r>
          </w:p>
        </w:tc>
      </w:tr>
      <w:tr>
        <w:tblPrEx>
          <w:tblW w:w="0" w:type="auto"/>
          <w:tblInd w:w="55" w:type="dxa"/>
          <w:tblCellMar>
            <w:left w:w="70" w:type="dxa"/>
            <w:right w:w="70" w:type="dxa"/>
          </w:tblCellMar>
          <w:tblLook w:val="04A0"/>
        </w:tblPrEx>
        <w:trPr>
          <w:trHeight w:val="330"/>
        </w:trPr>
        <w:tc>
          <w:tcPr>
            <w:tcW w:w="1858" w:type="dxa"/>
            <w:tcBorders>
              <w:top w:val="nil"/>
              <w:left w:val="nil"/>
              <w:bottom w:val="nil"/>
              <w:right w:val="nil"/>
            </w:tcBorders>
            <w:noWrap/>
            <w:textDirection w:val="lrTb"/>
            <w:vAlign w:val="center"/>
            <w:hideMark/>
          </w:tcPr>
          <w:p w:rsidR="00B548CC" w:rsidRPr="005D23A2" w:rsidP="00AD13E4">
            <w:pPr>
              <w:bidi w:val="0"/>
              <w:rPr>
                <w:rFonts w:ascii="Times New Roman" w:hAnsi="Times New Roman"/>
                <w:color w:val="000000"/>
                <w:sz w:val="18"/>
                <w:szCs w:val="18"/>
              </w:rPr>
            </w:pPr>
            <w:r w:rsidRPr="005D23A2">
              <w:rPr>
                <w:rFonts w:ascii="Times New Roman" w:hAnsi="Times New Roman"/>
                <w:color w:val="000000"/>
                <w:sz w:val="18"/>
                <w:szCs w:val="18"/>
              </w:rPr>
              <w:t>dlhová služba - transfer</w:t>
            </w:r>
          </w:p>
        </w:tc>
        <w:tc>
          <w:tcPr>
            <w:tcW w:w="1559" w:type="dxa"/>
            <w:tcBorders>
              <w:top w:val="nil"/>
              <w:left w:val="nil"/>
              <w:bottom w:val="nil"/>
              <w:right w:val="nil"/>
            </w:tcBorders>
            <w:textDirection w:val="lrTb"/>
            <w:vAlign w:val="center"/>
            <w:hideMark/>
          </w:tcPr>
          <w:p w:rsidR="00B548CC" w:rsidRPr="005D23A2" w:rsidP="005D23A2">
            <w:pPr>
              <w:bidi w:val="0"/>
              <w:jc w:val="right"/>
              <w:rPr>
                <w:rFonts w:ascii="Times New Roman" w:hAnsi="Times New Roman"/>
                <w:color w:val="000000"/>
                <w:sz w:val="18"/>
                <w:szCs w:val="18"/>
              </w:rPr>
            </w:pPr>
            <w:r w:rsidRPr="005D23A2">
              <w:rPr>
                <w:rFonts w:ascii="Times New Roman" w:hAnsi="Times New Roman"/>
                <w:color w:val="000000"/>
                <w:sz w:val="18"/>
                <w:szCs w:val="18"/>
              </w:rPr>
              <w:t>1 165 339</w:t>
            </w:r>
          </w:p>
        </w:tc>
        <w:tc>
          <w:tcPr>
            <w:tcW w:w="1276" w:type="dxa"/>
            <w:tcBorders>
              <w:top w:val="nil"/>
              <w:left w:val="nil"/>
              <w:bottom w:val="nil"/>
              <w:right w:val="nil"/>
            </w:tcBorders>
            <w:textDirection w:val="lrTb"/>
            <w:vAlign w:val="center"/>
            <w:hideMark/>
          </w:tcPr>
          <w:p w:rsidR="00B548CC" w:rsidRPr="005D23A2" w:rsidP="005D23A2">
            <w:pPr>
              <w:bidi w:val="0"/>
              <w:jc w:val="right"/>
              <w:rPr>
                <w:rFonts w:ascii="Times New Roman" w:hAnsi="Times New Roman"/>
                <w:color w:val="000000"/>
                <w:sz w:val="18"/>
                <w:szCs w:val="18"/>
              </w:rPr>
            </w:pPr>
            <w:r w:rsidRPr="005D23A2">
              <w:rPr>
                <w:rFonts w:ascii="Times New Roman" w:hAnsi="Times New Roman"/>
                <w:color w:val="000000"/>
                <w:sz w:val="18"/>
                <w:szCs w:val="18"/>
              </w:rPr>
              <w:t>1 280 660</w:t>
            </w:r>
          </w:p>
        </w:tc>
        <w:tc>
          <w:tcPr>
            <w:tcW w:w="1134" w:type="dxa"/>
            <w:tcBorders>
              <w:top w:val="nil"/>
              <w:left w:val="nil"/>
              <w:bottom w:val="nil"/>
              <w:right w:val="nil"/>
            </w:tcBorders>
            <w:textDirection w:val="lrTb"/>
            <w:vAlign w:val="center"/>
            <w:hideMark/>
          </w:tcPr>
          <w:p w:rsidR="00B548CC" w:rsidRPr="005D23A2" w:rsidP="005D23A2">
            <w:pPr>
              <w:bidi w:val="0"/>
              <w:jc w:val="right"/>
              <w:rPr>
                <w:rFonts w:ascii="Times New Roman" w:hAnsi="Times New Roman"/>
                <w:color w:val="000000"/>
                <w:sz w:val="18"/>
                <w:szCs w:val="18"/>
              </w:rPr>
            </w:pPr>
            <w:r w:rsidRPr="005D23A2">
              <w:rPr>
                <w:rFonts w:ascii="Times New Roman" w:hAnsi="Times New Roman"/>
                <w:color w:val="000000"/>
                <w:sz w:val="18"/>
                <w:szCs w:val="18"/>
              </w:rPr>
              <w:t>1 292 583</w:t>
            </w:r>
          </w:p>
        </w:tc>
        <w:tc>
          <w:tcPr>
            <w:tcW w:w="1418" w:type="dxa"/>
            <w:tcBorders>
              <w:top w:val="nil"/>
              <w:left w:val="nil"/>
              <w:bottom w:val="nil"/>
              <w:right w:val="nil"/>
            </w:tcBorders>
            <w:shd w:val="clear" w:color="000000" w:fill="BFBFBF"/>
            <w:textDirection w:val="lrTb"/>
            <w:vAlign w:val="center"/>
            <w:hideMark/>
          </w:tcPr>
          <w:p w:rsidR="00B548CC" w:rsidRPr="005D23A2" w:rsidP="005D23A2">
            <w:pPr>
              <w:bidi w:val="0"/>
              <w:jc w:val="right"/>
              <w:rPr>
                <w:rFonts w:ascii="Times New Roman" w:hAnsi="Times New Roman"/>
                <w:color w:val="000000"/>
                <w:sz w:val="18"/>
                <w:szCs w:val="18"/>
              </w:rPr>
            </w:pPr>
            <w:r w:rsidRPr="005D23A2">
              <w:rPr>
                <w:rFonts w:ascii="Times New Roman" w:hAnsi="Times New Roman"/>
                <w:color w:val="000000"/>
                <w:sz w:val="18"/>
                <w:szCs w:val="18"/>
              </w:rPr>
              <w:t>1 159 664</w:t>
            </w:r>
          </w:p>
        </w:tc>
        <w:tc>
          <w:tcPr>
            <w:tcW w:w="850" w:type="dxa"/>
            <w:tcBorders>
              <w:top w:val="nil"/>
              <w:left w:val="nil"/>
              <w:bottom w:val="nil"/>
              <w:right w:val="nil"/>
            </w:tcBorders>
            <w:textDirection w:val="lrTb"/>
            <w:vAlign w:val="center"/>
            <w:hideMark/>
          </w:tcPr>
          <w:p w:rsidR="00B548CC" w:rsidRPr="005D23A2" w:rsidP="00AD13E4">
            <w:pPr>
              <w:bidi w:val="0"/>
              <w:jc w:val="right"/>
              <w:rPr>
                <w:rFonts w:ascii="Times New Roman" w:hAnsi="Times New Roman"/>
                <w:color w:val="000000"/>
                <w:sz w:val="18"/>
                <w:szCs w:val="18"/>
              </w:rPr>
            </w:pPr>
            <w:r w:rsidRPr="005D23A2">
              <w:rPr>
                <w:rFonts w:ascii="Times New Roman" w:hAnsi="Times New Roman"/>
                <w:color w:val="000000"/>
                <w:sz w:val="18"/>
                <w:szCs w:val="18"/>
              </w:rPr>
              <w:t>-132 919</w:t>
            </w:r>
          </w:p>
        </w:tc>
        <w:tc>
          <w:tcPr>
            <w:tcW w:w="709" w:type="dxa"/>
            <w:tcBorders>
              <w:top w:val="nil"/>
              <w:left w:val="nil"/>
              <w:bottom w:val="nil"/>
              <w:right w:val="nil"/>
            </w:tcBorders>
            <w:textDirection w:val="lrTb"/>
            <w:vAlign w:val="center"/>
            <w:hideMark/>
          </w:tcPr>
          <w:p w:rsidR="00B548CC" w:rsidRPr="005D23A2" w:rsidP="005D23A2">
            <w:pPr>
              <w:bidi w:val="0"/>
              <w:jc w:val="right"/>
              <w:rPr>
                <w:rFonts w:ascii="Times New Roman" w:hAnsi="Times New Roman"/>
                <w:b/>
                <w:bCs/>
                <w:color w:val="000000"/>
                <w:sz w:val="18"/>
                <w:szCs w:val="18"/>
              </w:rPr>
            </w:pPr>
            <w:r w:rsidRPr="005D23A2">
              <w:rPr>
                <w:rFonts w:ascii="Times New Roman" w:hAnsi="Times New Roman"/>
                <w:b/>
                <w:bCs/>
                <w:color w:val="000000"/>
                <w:sz w:val="18"/>
                <w:szCs w:val="18"/>
              </w:rPr>
              <w:t>-10,3</w:t>
            </w:r>
          </w:p>
        </w:tc>
      </w:tr>
      <w:tr>
        <w:tblPrEx>
          <w:tblW w:w="0" w:type="auto"/>
          <w:tblInd w:w="55" w:type="dxa"/>
          <w:tblCellMar>
            <w:left w:w="70" w:type="dxa"/>
            <w:right w:w="70" w:type="dxa"/>
          </w:tblCellMar>
          <w:tblLook w:val="04A0"/>
        </w:tblPrEx>
        <w:trPr>
          <w:trHeight w:val="330"/>
        </w:trPr>
        <w:tc>
          <w:tcPr>
            <w:tcW w:w="1858" w:type="dxa"/>
            <w:tcBorders>
              <w:top w:val="nil"/>
              <w:left w:val="nil"/>
              <w:bottom w:val="single" w:sz="8" w:space="0" w:color="auto"/>
              <w:right w:val="nil"/>
            </w:tcBorders>
            <w:noWrap/>
            <w:textDirection w:val="lrTb"/>
            <w:vAlign w:val="center"/>
            <w:hideMark/>
          </w:tcPr>
          <w:p w:rsidR="00B548CC" w:rsidRPr="005D23A2" w:rsidP="00AD13E4">
            <w:pPr>
              <w:bidi w:val="0"/>
              <w:rPr>
                <w:rFonts w:ascii="Times New Roman" w:hAnsi="Times New Roman"/>
                <w:color w:val="000000"/>
                <w:sz w:val="18"/>
                <w:szCs w:val="18"/>
              </w:rPr>
            </w:pPr>
            <w:r w:rsidRPr="005D23A2">
              <w:rPr>
                <w:rFonts w:ascii="Times New Roman" w:hAnsi="Times New Roman"/>
                <w:color w:val="000000"/>
                <w:sz w:val="18"/>
                <w:szCs w:val="18"/>
              </w:rPr>
              <w:t>manipulačné poplatky</w:t>
            </w:r>
          </w:p>
        </w:tc>
        <w:tc>
          <w:tcPr>
            <w:tcW w:w="1559" w:type="dxa"/>
            <w:tcBorders>
              <w:top w:val="nil"/>
              <w:left w:val="nil"/>
              <w:bottom w:val="single" w:sz="8" w:space="0" w:color="auto"/>
              <w:right w:val="nil"/>
            </w:tcBorders>
            <w:textDirection w:val="lrTb"/>
            <w:vAlign w:val="center"/>
            <w:hideMark/>
          </w:tcPr>
          <w:p w:rsidR="00B548CC" w:rsidRPr="005D23A2" w:rsidP="005D23A2">
            <w:pPr>
              <w:bidi w:val="0"/>
              <w:jc w:val="right"/>
              <w:rPr>
                <w:rFonts w:ascii="Times New Roman" w:hAnsi="Times New Roman"/>
                <w:color w:val="000000"/>
                <w:sz w:val="18"/>
                <w:szCs w:val="18"/>
              </w:rPr>
            </w:pPr>
            <w:r w:rsidRPr="005D23A2">
              <w:rPr>
                <w:rFonts w:ascii="Times New Roman" w:hAnsi="Times New Roman"/>
                <w:color w:val="000000"/>
                <w:sz w:val="18"/>
                <w:szCs w:val="18"/>
              </w:rPr>
              <w:t>353</w:t>
            </w:r>
          </w:p>
        </w:tc>
        <w:tc>
          <w:tcPr>
            <w:tcW w:w="1276" w:type="dxa"/>
            <w:tcBorders>
              <w:top w:val="nil"/>
              <w:left w:val="nil"/>
              <w:bottom w:val="single" w:sz="8" w:space="0" w:color="auto"/>
              <w:right w:val="nil"/>
            </w:tcBorders>
            <w:textDirection w:val="lrTb"/>
            <w:vAlign w:val="center"/>
            <w:hideMark/>
          </w:tcPr>
          <w:p w:rsidR="00B548CC" w:rsidRPr="005D23A2" w:rsidP="005D23A2">
            <w:pPr>
              <w:bidi w:val="0"/>
              <w:jc w:val="right"/>
              <w:rPr>
                <w:rFonts w:ascii="Times New Roman" w:hAnsi="Times New Roman"/>
                <w:color w:val="000000"/>
                <w:sz w:val="18"/>
                <w:szCs w:val="18"/>
              </w:rPr>
            </w:pPr>
            <w:r w:rsidRPr="005D23A2">
              <w:rPr>
                <w:rFonts w:ascii="Times New Roman" w:hAnsi="Times New Roman"/>
                <w:color w:val="000000"/>
                <w:sz w:val="18"/>
                <w:szCs w:val="18"/>
              </w:rPr>
              <w:t>274</w:t>
            </w:r>
          </w:p>
        </w:tc>
        <w:tc>
          <w:tcPr>
            <w:tcW w:w="1134" w:type="dxa"/>
            <w:tcBorders>
              <w:top w:val="nil"/>
              <w:left w:val="nil"/>
              <w:bottom w:val="single" w:sz="8" w:space="0" w:color="auto"/>
              <w:right w:val="nil"/>
            </w:tcBorders>
            <w:textDirection w:val="lrTb"/>
            <w:vAlign w:val="center"/>
            <w:hideMark/>
          </w:tcPr>
          <w:p w:rsidR="00B548CC" w:rsidRPr="005D23A2" w:rsidP="005D23A2">
            <w:pPr>
              <w:bidi w:val="0"/>
              <w:jc w:val="right"/>
              <w:rPr>
                <w:rFonts w:ascii="Times New Roman" w:hAnsi="Times New Roman"/>
                <w:color w:val="000000"/>
                <w:sz w:val="18"/>
                <w:szCs w:val="18"/>
              </w:rPr>
            </w:pPr>
            <w:r w:rsidRPr="005D23A2">
              <w:rPr>
                <w:rFonts w:ascii="Times New Roman" w:hAnsi="Times New Roman"/>
                <w:color w:val="000000"/>
                <w:sz w:val="18"/>
                <w:szCs w:val="18"/>
              </w:rPr>
              <w:t>270</w:t>
            </w:r>
          </w:p>
        </w:tc>
        <w:tc>
          <w:tcPr>
            <w:tcW w:w="1418" w:type="dxa"/>
            <w:tcBorders>
              <w:top w:val="nil"/>
              <w:left w:val="nil"/>
              <w:bottom w:val="single" w:sz="8" w:space="0" w:color="auto"/>
              <w:right w:val="nil"/>
            </w:tcBorders>
            <w:shd w:val="clear" w:color="000000" w:fill="BFBFBF"/>
            <w:textDirection w:val="lrTb"/>
            <w:vAlign w:val="center"/>
            <w:hideMark/>
          </w:tcPr>
          <w:p w:rsidR="00B548CC" w:rsidRPr="005D23A2" w:rsidP="005D23A2">
            <w:pPr>
              <w:bidi w:val="0"/>
              <w:jc w:val="right"/>
              <w:rPr>
                <w:rFonts w:ascii="Times New Roman" w:hAnsi="Times New Roman"/>
                <w:color w:val="000000"/>
                <w:sz w:val="18"/>
                <w:szCs w:val="18"/>
              </w:rPr>
            </w:pPr>
            <w:r w:rsidRPr="005D23A2">
              <w:rPr>
                <w:rFonts w:ascii="Times New Roman" w:hAnsi="Times New Roman"/>
                <w:color w:val="000000"/>
                <w:sz w:val="18"/>
                <w:szCs w:val="18"/>
              </w:rPr>
              <w:t>270</w:t>
            </w:r>
          </w:p>
        </w:tc>
        <w:tc>
          <w:tcPr>
            <w:tcW w:w="850" w:type="dxa"/>
            <w:tcBorders>
              <w:top w:val="nil"/>
              <w:left w:val="nil"/>
              <w:bottom w:val="single" w:sz="8" w:space="0" w:color="auto"/>
              <w:right w:val="nil"/>
            </w:tcBorders>
            <w:textDirection w:val="lrTb"/>
            <w:vAlign w:val="center"/>
            <w:hideMark/>
          </w:tcPr>
          <w:p w:rsidR="00B548CC" w:rsidRPr="005D23A2" w:rsidP="00AD13E4">
            <w:pPr>
              <w:bidi w:val="0"/>
              <w:jc w:val="right"/>
              <w:rPr>
                <w:rFonts w:ascii="Times New Roman" w:hAnsi="Times New Roman"/>
                <w:color w:val="000000"/>
                <w:sz w:val="18"/>
                <w:szCs w:val="18"/>
              </w:rPr>
            </w:pPr>
            <w:r w:rsidRPr="005D23A2">
              <w:rPr>
                <w:rFonts w:ascii="Times New Roman" w:hAnsi="Times New Roman"/>
                <w:color w:val="000000"/>
                <w:sz w:val="18"/>
                <w:szCs w:val="18"/>
              </w:rPr>
              <w:t>0</w:t>
            </w:r>
          </w:p>
        </w:tc>
        <w:tc>
          <w:tcPr>
            <w:tcW w:w="709" w:type="dxa"/>
            <w:tcBorders>
              <w:top w:val="nil"/>
              <w:left w:val="nil"/>
              <w:bottom w:val="single" w:sz="8" w:space="0" w:color="auto"/>
              <w:right w:val="nil"/>
            </w:tcBorders>
            <w:textDirection w:val="lrTb"/>
            <w:vAlign w:val="center"/>
            <w:hideMark/>
          </w:tcPr>
          <w:p w:rsidR="00B548CC" w:rsidRPr="005D23A2" w:rsidP="005D23A2">
            <w:pPr>
              <w:bidi w:val="0"/>
              <w:jc w:val="right"/>
              <w:rPr>
                <w:rFonts w:ascii="Times New Roman" w:hAnsi="Times New Roman"/>
                <w:b/>
                <w:bCs/>
                <w:color w:val="000000"/>
                <w:sz w:val="18"/>
                <w:szCs w:val="18"/>
              </w:rPr>
            </w:pPr>
            <w:r w:rsidRPr="005D23A2">
              <w:rPr>
                <w:rFonts w:ascii="Times New Roman" w:hAnsi="Times New Roman"/>
                <w:b/>
                <w:bCs/>
                <w:color w:val="000000"/>
                <w:sz w:val="18"/>
                <w:szCs w:val="18"/>
              </w:rPr>
              <w:t>0,0</w:t>
            </w:r>
          </w:p>
        </w:tc>
      </w:tr>
      <w:tr>
        <w:tblPrEx>
          <w:tblW w:w="0" w:type="auto"/>
          <w:tblInd w:w="55" w:type="dxa"/>
          <w:tblCellMar>
            <w:left w:w="70" w:type="dxa"/>
            <w:right w:w="70" w:type="dxa"/>
          </w:tblCellMar>
          <w:tblLook w:val="04A0"/>
        </w:tblPrEx>
        <w:trPr>
          <w:trHeight w:val="345"/>
        </w:trPr>
        <w:tc>
          <w:tcPr>
            <w:tcW w:w="1858" w:type="dxa"/>
            <w:tcBorders>
              <w:top w:val="single" w:sz="8" w:space="0" w:color="auto"/>
              <w:left w:val="nil"/>
              <w:bottom w:val="single" w:sz="8" w:space="0" w:color="auto"/>
              <w:right w:val="nil"/>
            </w:tcBorders>
            <w:shd w:val="clear" w:color="000000" w:fill="FFFFFF"/>
            <w:textDirection w:val="lrTb"/>
            <w:vAlign w:val="center"/>
            <w:hideMark/>
          </w:tcPr>
          <w:p w:rsidR="00B548CC" w:rsidRPr="005D23A2" w:rsidP="00AD13E4">
            <w:pPr>
              <w:bidi w:val="0"/>
              <w:rPr>
                <w:rFonts w:ascii="Times New Roman" w:hAnsi="Times New Roman"/>
                <w:b/>
                <w:bCs/>
                <w:color w:val="000000"/>
                <w:sz w:val="18"/>
                <w:szCs w:val="18"/>
              </w:rPr>
            </w:pPr>
            <w:r w:rsidRPr="005D23A2">
              <w:rPr>
                <w:rFonts w:ascii="Times New Roman" w:hAnsi="Times New Roman"/>
                <w:b/>
                <w:bCs/>
                <w:color w:val="000000"/>
                <w:sz w:val="18"/>
                <w:szCs w:val="18"/>
              </w:rPr>
              <w:t>Celkom štátny dlh</w:t>
            </w:r>
          </w:p>
        </w:tc>
        <w:tc>
          <w:tcPr>
            <w:tcW w:w="1559" w:type="dxa"/>
            <w:tcBorders>
              <w:top w:val="single" w:sz="8" w:space="0" w:color="auto"/>
              <w:left w:val="nil"/>
              <w:bottom w:val="single" w:sz="8" w:space="0" w:color="auto"/>
              <w:right w:val="nil"/>
            </w:tcBorders>
            <w:shd w:val="clear" w:color="000000" w:fill="FFFFFF"/>
            <w:textDirection w:val="lrTb"/>
            <w:vAlign w:val="center"/>
            <w:hideMark/>
          </w:tcPr>
          <w:p w:rsidR="00B548CC" w:rsidRPr="005D23A2" w:rsidP="005D23A2">
            <w:pPr>
              <w:bidi w:val="0"/>
              <w:jc w:val="right"/>
              <w:rPr>
                <w:rFonts w:ascii="Times New Roman" w:hAnsi="Times New Roman"/>
                <w:b/>
                <w:bCs/>
                <w:color w:val="000000"/>
                <w:sz w:val="18"/>
                <w:szCs w:val="18"/>
              </w:rPr>
            </w:pPr>
            <w:r w:rsidRPr="005D23A2">
              <w:rPr>
                <w:rFonts w:ascii="Times New Roman" w:hAnsi="Times New Roman"/>
                <w:b/>
                <w:bCs/>
                <w:color w:val="000000"/>
                <w:sz w:val="18"/>
                <w:szCs w:val="18"/>
              </w:rPr>
              <w:t>1 165 692</w:t>
            </w:r>
          </w:p>
        </w:tc>
        <w:tc>
          <w:tcPr>
            <w:tcW w:w="1276" w:type="dxa"/>
            <w:tcBorders>
              <w:top w:val="single" w:sz="8" w:space="0" w:color="auto"/>
              <w:left w:val="nil"/>
              <w:bottom w:val="single" w:sz="8" w:space="0" w:color="auto"/>
              <w:right w:val="nil"/>
            </w:tcBorders>
            <w:textDirection w:val="lrTb"/>
            <w:vAlign w:val="center"/>
            <w:hideMark/>
          </w:tcPr>
          <w:p w:rsidR="00B548CC" w:rsidRPr="005D23A2" w:rsidP="005D23A2">
            <w:pPr>
              <w:bidi w:val="0"/>
              <w:jc w:val="right"/>
              <w:rPr>
                <w:rFonts w:ascii="Times New Roman" w:hAnsi="Times New Roman"/>
                <w:b/>
                <w:bCs/>
                <w:color w:val="000000"/>
                <w:sz w:val="18"/>
                <w:szCs w:val="18"/>
              </w:rPr>
            </w:pPr>
            <w:r w:rsidRPr="005D23A2">
              <w:rPr>
                <w:rFonts w:ascii="Times New Roman" w:hAnsi="Times New Roman"/>
                <w:b/>
                <w:bCs/>
                <w:color w:val="000000"/>
                <w:sz w:val="18"/>
                <w:szCs w:val="18"/>
              </w:rPr>
              <w:t>1 280 934</w:t>
            </w:r>
          </w:p>
        </w:tc>
        <w:tc>
          <w:tcPr>
            <w:tcW w:w="1134" w:type="dxa"/>
            <w:tcBorders>
              <w:top w:val="single" w:sz="8" w:space="0" w:color="auto"/>
              <w:left w:val="nil"/>
              <w:bottom w:val="single" w:sz="8" w:space="0" w:color="auto"/>
              <w:right w:val="nil"/>
            </w:tcBorders>
            <w:textDirection w:val="lrTb"/>
            <w:vAlign w:val="center"/>
            <w:hideMark/>
          </w:tcPr>
          <w:p w:rsidR="00B548CC" w:rsidRPr="005D23A2" w:rsidP="005D23A2">
            <w:pPr>
              <w:bidi w:val="0"/>
              <w:jc w:val="right"/>
              <w:rPr>
                <w:rFonts w:ascii="Times New Roman" w:hAnsi="Times New Roman"/>
                <w:b/>
                <w:bCs/>
                <w:color w:val="000000"/>
                <w:sz w:val="18"/>
                <w:szCs w:val="18"/>
              </w:rPr>
            </w:pPr>
            <w:r w:rsidRPr="005D23A2">
              <w:rPr>
                <w:rFonts w:ascii="Times New Roman" w:hAnsi="Times New Roman"/>
                <w:b/>
                <w:bCs/>
                <w:color w:val="000000"/>
                <w:sz w:val="18"/>
                <w:szCs w:val="18"/>
              </w:rPr>
              <w:t>1 292 853</w:t>
            </w:r>
          </w:p>
        </w:tc>
        <w:tc>
          <w:tcPr>
            <w:tcW w:w="1418" w:type="dxa"/>
            <w:tcBorders>
              <w:top w:val="single" w:sz="8" w:space="0" w:color="auto"/>
              <w:left w:val="nil"/>
              <w:bottom w:val="single" w:sz="8" w:space="0" w:color="auto"/>
              <w:right w:val="nil"/>
            </w:tcBorders>
            <w:shd w:val="clear" w:color="000000" w:fill="BFBFBF"/>
            <w:textDirection w:val="lrTb"/>
            <w:vAlign w:val="center"/>
            <w:hideMark/>
          </w:tcPr>
          <w:p w:rsidR="00B548CC" w:rsidRPr="005D23A2" w:rsidP="005D23A2">
            <w:pPr>
              <w:bidi w:val="0"/>
              <w:jc w:val="right"/>
              <w:rPr>
                <w:rFonts w:ascii="Times New Roman" w:hAnsi="Times New Roman"/>
                <w:b/>
                <w:bCs/>
                <w:color w:val="000000"/>
                <w:sz w:val="18"/>
                <w:szCs w:val="18"/>
              </w:rPr>
            </w:pPr>
            <w:r w:rsidRPr="005D23A2">
              <w:rPr>
                <w:rFonts w:ascii="Times New Roman" w:hAnsi="Times New Roman"/>
                <w:b/>
                <w:bCs/>
                <w:color w:val="000000"/>
                <w:sz w:val="18"/>
                <w:szCs w:val="18"/>
              </w:rPr>
              <w:t>1 159 934</w:t>
            </w:r>
          </w:p>
        </w:tc>
        <w:tc>
          <w:tcPr>
            <w:tcW w:w="850" w:type="dxa"/>
            <w:tcBorders>
              <w:top w:val="single" w:sz="8" w:space="0" w:color="auto"/>
              <w:left w:val="nil"/>
              <w:bottom w:val="single" w:sz="8" w:space="0" w:color="auto"/>
              <w:right w:val="nil"/>
            </w:tcBorders>
            <w:textDirection w:val="lrTb"/>
            <w:vAlign w:val="center"/>
            <w:hideMark/>
          </w:tcPr>
          <w:p w:rsidR="00B548CC" w:rsidRPr="005D23A2" w:rsidP="00AD13E4">
            <w:pPr>
              <w:bidi w:val="0"/>
              <w:jc w:val="right"/>
              <w:rPr>
                <w:rFonts w:ascii="Times New Roman" w:hAnsi="Times New Roman"/>
                <w:b/>
                <w:bCs/>
                <w:color w:val="000000"/>
                <w:sz w:val="18"/>
                <w:szCs w:val="18"/>
              </w:rPr>
            </w:pPr>
            <w:r w:rsidRPr="005D23A2">
              <w:rPr>
                <w:rFonts w:ascii="Times New Roman" w:hAnsi="Times New Roman"/>
                <w:b/>
                <w:bCs/>
                <w:color w:val="000000"/>
                <w:sz w:val="18"/>
                <w:szCs w:val="18"/>
              </w:rPr>
              <w:t>-132 919</w:t>
            </w:r>
          </w:p>
        </w:tc>
        <w:tc>
          <w:tcPr>
            <w:tcW w:w="709" w:type="dxa"/>
            <w:tcBorders>
              <w:top w:val="single" w:sz="8" w:space="0" w:color="auto"/>
              <w:left w:val="nil"/>
              <w:bottom w:val="single" w:sz="8" w:space="0" w:color="auto"/>
              <w:right w:val="nil"/>
            </w:tcBorders>
            <w:shd w:val="clear" w:color="000000" w:fill="FFFFFF"/>
            <w:textDirection w:val="lrTb"/>
            <w:vAlign w:val="center"/>
            <w:hideMark/>
          </w:tcPr>
          <w:p w:rsidR="00B548CC" w:rsidRPr="005D23A2" w:rsidP="005D23A2">
            <w:pPr>
              <w:bidi w:val="0"/>
              <w:jc w:val="right"/>
              <w:rPr>
                <w:rFonts w:ascii="Times New Roman" w:hAnsi="Times New Roman"/>
                <w:b/>
                <w:bCs/>
                <w:color w:val="000000"/>
                <w:sz w:val="18"/>
                <w:szCs w:val="18"/>
              </w:rPr>
            </w:pPr>
            <w:r w:rsidRPr="005D23A2">
              <w:rPr>
                <w:rFonts w:ascii="Times New Roman" w:hAnsi="Times New Roman"/>
                <w:b/>
                <w:bCs/>
                <w:color w:val="000000"/>
                <w:sz w:val="18"/>
                <w:szCs w:val="18"/>
              </w:rPr>
              <w:t>-10,3</w:t>
            </w:r>
          </w:p>
        </w:tc>
      </w:tr>
    </w:tbl>
    <w:p w:rsidR="0027279E" w:rsidRPr="0027279E" w:rsidP="00E765DE">
      <w:pPr>
        <w:pStyle w:val="ListParagraph"/>
        <w:tabs>
          <w:tab w:val="left" w:pos="284"/>
        </w:tabs>
        <w:bidi w:val="0"/>
        <w:spacing w:after="120" w:line="336" w:lineRule="auto"/>
        <w:ind w:left="0"/>
        <w:jc w:val="right"/>
        <w:rPr>
          <w:rFonts w:ascii="Times New Roman" w:eastAsia="Calibri" w:hAnsi="Times New Roman"/>
          <w:sz w:val="20"/>
          <w:szCs w:val="20"/>
        </w:rPr>
      </w:pPr>
      <w:r w:rsidRPr="0027279E">
        <w:rPr>
          <w:rFonts w:ascii="Times New Roman" w:eastAsia="Calibri" w:hAnsi="Times New Roman"/>
          <w:sz w:val="20"/>
          <w:szCs w:val="20"/>
        </w:rPr>
        <w:t>Zdroj: MF SR</w:t>
      </w:r>
    </w:p>
    <w:p w:rsidR="00B548CC" w:rsidRPr="006611AB" w:rsidP="00B548CC">
      <w:pPr>
        <w:pStyle w:val="ListParagraph"/>
        <w:numPr>
          <w:numId w:val="10"/>
        </w:numPr>
        <w:tabs>
          <w:tab w:val="left" w:pos="284"/>
        </w:tabs>
        <w:bidi w:val="0"/>
        <w:spacing w:after="120" w:line="336" w:lineRule="auto"/>
        <w:ind w:left="0" w:firstLine="0"/>
        <w:jc w:val="both"/>
        <w:rPr>
          <w:rFonts w:ascii="Times New Roman" w:eastAsia="Calibri" w:hAnsi="Times New Roman" w:hint="default"/>
          <w:b/>
        </w:rPr>
      </w:pPr>
      <w:r w:rsidR="00305EAF">
        <w:rPr>
          <w:rFonts w:ascii="Times New Roman" w:eastAsia="Calibri" w:hAnsi="Times New Roman"/>
          <w:b/>
        </w:rPr>
        <w:br w:type="page"/>
      </w:r>
      <w:r w:rsidRPr="006611AB">
        <w:rPr>
          <w:rFonts w:ascii="Times New Roman" w:eastAsia="Calibri" w:hAnsi="Times New Roman" w:hint="default"/>
          <w:b/>
        </w:rPr>
        <w:t>Mimorozpoč</w:t>
      </w:r>
      <w:r w:rsidRPr="006611AB">
        <w:rPr>
          <w:rFonts w:ascii="Times New Roman" w:eastAsia="Calibri" w:hAnsi="Times New Roman" w:hint="default"/>
          <w:b/>
        </w:rPr>
        <w:t>tové</w:t>
      </w:r>
      <w:r w:rsidRPr="006611AB">
        <w:rPr>
          <w:rFonts w:ascii="Times New Roman" w:eastAsia="Calibri" w:hAnsi="Times New Roman" w:hint="default"/>
          <w:b/>
        </w:rPr>
        <w:t xml:space="preserve"> prostriedky </w:t>
      </w:r>
    </w:p>
    <w:p w:rsidR="00B548CC" w:rsidRPr="006611AB" w:rsidP="00B548CC">
      <w:pPr>
        <w:pStyle w:val="ListParagraph"/>
        <w:bidi w:val="0"/>
        <w:spacing w:after="120" w:line="336" w:lineRule="auto"/>
        <w:ind w:left="0"/>
        <w:jc w:val="both"/>
        <w:rPr>
          <w:rFonts w:ascii="Times New Roman" w:eastAsia="Calibri" w:hAnsi="Times New Roman" w:hint="default"/>
        </w:rPr>
      </w:pPr>
      <w:r w:rsidRPr="006611AB">
        <w:rPr>
          <w:rFonts w:ascii="Times New Roman" w:eastAsia="Calibri" w:hAnsi="Times New Roman"/>
        </w:rPr>
        <w:t>V roku 2012 sa v </w:t>
      </w:r>
      <w:r w:rsidRPr="006611AB">
        <w:rPr>
          <w:rFonts w:ascii="Times New Roman" w:eastAsia="Calibri" w:hAnsi="Times New Roman" w:hint="default"/>
        </w:rPr>
        <w:t>zmysle zá</w:t>
      </w:r>
      <w:r w:rsidRPr="006611AB">
        <w:rPr>
          <w:rFonts w:ascii="Times New Roman" w:eastAsia="Calibri" w:hAnsi="Times New Roman" w:hint="default"/>
        </w:rPr>
        <w:t>kona č</w:t>
      </w:r>
      <w:r w:rsidRPr="006611AB">
        <w:rPr>
          <w:rFonts w:ascii="Times New Roman" w:eastAsia="Calibri" w:hAnsi="Times New Roman" w:hint="default"/>
        </w:rPr>
        <w:t>. 2</w:t>
      </w:r>
      <w:r w:rsidRPr="006611AB">
        <w:rPr>
          <w:rFonts w:ascii="Times New Roman" w:eastAsia="Calibri" w:hAnsi="Times New Roman" w:hint="default"/>
        </w:rPr>
        <w:t>91/2002 Z. z. o </w:t>
      </w:r>
      <w:r w:rsidRPr="006611AB">
        <w:rPr>
          <w:rFonts w:ascii="Times New Roman" w:eastAsia="Calibri" w:hAnsi="Times New Roman" w:hint="default"/>
        </w:rPr>
        <w:t>Š</w:t>
      </w:r>
      <w:r w:rsidRPr="006611AB">
        <w:rPr>
          <w:rFonts w:ascii="Times New Roman" w:eastAsia="Calibri" w:hAnsi="Times New Roman" w:hint="default"/>
        </w:rPr>
        <w:t>tá</w:t>
      </w:r>
      <w:r w:rsidRPr="006611AB">
        <w:rPr>
          <w:rFonts w:ascii="Times New Roman" w:eastAsia="Calibri" w:hAnsi="Times New Roman" w:hint="default"/>
        </w:rPr>
        <w:t>tnej pokladnici a o zmene a </w:t>
      </w:r>
      <w:r w:rsidRPr="006611AB">
        <w:rPr>
          <w:rFonts w:ascii="Times New Roman" w:eastAsia="Calibri" w:hAnsi="Times New Roman" w:hint="default"/>
        </w:rPr>
        <w:t>doplnení</w:t>
      </w:r>
      <w:r w:rsidRPr="006611AB">
        <w:rPr>
          <w:rFonts w:ascii="Times New Roman" w:eastAsia="Calibri" w:hAnsi="Times New Roman" w:hint="default"/>
        </w:rPr>
        <w:t xml:space="preserve"> v </w:t>
      </w:r>
      <w:r w:rsidRPr="006611AB">
        <w:rPr>
          <w:rFonts w:ascii="Times New Roman" w:eastAsia="Calibri" w:hAnsi="Times New Roman" w:hint="default"/>
        </w:rPr>
        <w:t>znení</w:t>
      </w:r>
      <w:r w:rsidRPr="006611AB">
        <w:rPr>
          <w:rFonts w:ascii="Times New Roman" w:eastAsia="Calibri" w:hAnsi="Times New Roman" w:hint="default"/>
        </w:rPr>
        <w:t xml:space="preserve"> neskorší</w:t>
      </w:r>
      <w:r w:rsidRPr="006611AB">
        <w:rPr>
          <w:rFonts w:ascii="Times New Roman" w:eastAsia="Calibri" w:hAnsi="Times New Roman" w:hint="default"/>
        </w:rPr>
        <w:t>ch predpisov pre efektí</w:t>
      </w:r>
      <w:r w:rsidRPr="006611AB">
        <w:rPr>
          <w:rFonts w:ascii="Times New Roman" w:eastAsia="Calibri" w:hAnsi="Times New Roman" w:hint="default"/>
        </w:rPr>
        <w:t>vne fungovanie obsluhy Š</w:t>
      </w:r>
      <w:r w:rsidRPr="006611AB">
        <w:rPr>
          <w:rFonts w:ascii="Times New Roman" w:eastAsia="Calibri" w:hAnsi="Times New Roman" w:hint="default"/>
        </w:rPr>
        <w:t>tá</w:t>
      </w:r>
      <w:r w:rsidRPr="006611AB">
        <w:rPr>
          <w:rFonts w:ascii="Times New Roman" w:eastAsia="Calibri" w:hAnsi="Times New Roman" w:hint="default"/>
        </w:rPr>
        <w:t>tneho dlhu zriadil samostatný</w:t>
      </w:r>
      <w:r w:rsidRPr="006611AB">
        <w:rPr>
          <w:rFonts w:ascii="Times New Roman" w:eastAsia="Calibri" w:hAnsi="Times New Roman" w:hint="default"/>
        </w:rPr>
        <w:t xml:space="preserve"> mimorozpoč</w:t>
      </w:r>
      <w:r w:rsidRPr="006611AB">
        <w:rPr>
          <w:rFonts w:ascii="Times New Roman" w:eastAsia="Calibri" w:hAnsi="Times New Roman" w:hint="default"/>
        </w:rPr>
        <w:t>tový</w:t>
      </w:r>
      <w:r w:rsidRPr="006611AB">
        <w:rPr>
          <w:rFonts w:ascii="Times New Roman" w:eastAsia="Calibri" w:hAnsi="Times New Roman" w:hint="default"/>
        </w:rPr>
        <w:t xml:space="preserve"> úč</w:t>
      </w:r>
      <w:r w:rsidRPr="006611AB">
        <w:rPr>
          <w:rFonts w:ascii="Times New Roman" w:eastAsia="Calibri" w:hAnsi="Times New Roman" w:hint="default"/>
        </w:rPr>
        <w:t>et (tzv. saldo úč</w:t>
      </w:r>
      <w:r w:rsidRPr="006611AB">
        <w:rPr>
          <w:rFonts w:ascii="Times New Roman" w:eastAsia="Calibri" w:hAnsi="Times New Roman" w:hint="default"/>
        </w:rPr>
        <w:t>et Š</w:t>
      </w:r>
      <w:r w:rsidRPr="006611AB">
        <w:rPr>
          <w:rFonts w:ascii="Times New Roman" w:eastAsia="Calibri" w:hAnsi="Times New Roman" w:hint="default"/>
        </w:rPr>
        <w:t>tá</w:t>
      </w:r>
      <w:r w:rsidRPr="006611AB">
        <w:rPr>
          <w:rFonts w:ascii="Times New Roman" w:eastAsia="Calibri" w:hAnsi="Times New Roman" w:hint="default"/>
        </w:rPr>
        <w:t>tneho dlhu). Uvedený</w:t>
      </w:r>
      <w:r w:rsidRPr="006611AB">
        <w:rPr>
          <w:rFonts w:ascii="Times New Roman" w:eastAsia="Calibri" w:hAnsi="Times New Roman" w:hint="default"/>
        </w:rPr>
        <w:t xml:space="preserve"> mimorozpoč</w:t>
      </w:r>
      <w:r w:rsidRPr="006611AB">
        <w:rPr>
          <w:rFonts w:ascii="Times New Roman" w:eastAsia="Calibri" w:hAnsi="Times New Roman" w:hint="default"/>
        </w:rPr>
        <w:t>tový</w:t>
      </w:r>
      <w:r w:rsidRPr="006611AB">
        <w:rPr>
          <w:rFonts w:ascii="Times New Roman" w:eastAsia="Calibri" w:hAnsi="Times New Roman" w:hint="default"/>
        </w:rPr>
        <w:t xml:space="preserve"> úč</w:t>
      </w:r>
      <w:r w:rsidRPr="006611AB">
        <w:rPr>
          <w:rFonts w:ascii="Times New Roman" w:eastAsia="Calibri" w:hAnsi="Times New Roman" w:hint="default"/>
        </w:rPr>
        <w:t>et slúž</w:t>
      </w:r>
      <w:r w:rsidRPr="006611AB">
        <w:rPr>
          <w:rFonts w:ascii="Times New Roman" w:eastAsia="Calibri" w:hAnsi="Times New Roman" w:hint="default"/>
        </w:rPr>
        <w:t>i pre prí</w:t>
      </w:r>
      <w:r w:rsidRPr="006611AB">
        <w:rPr>
          <w:rFonts w:ascii="Times New Roman" w:eastAsia="Calibri" w:hAnsi="Times New Roman" w:hint="default"/>
        </w:rPr>
        <w:t>jmové</w:t>
      </w:r>
      <w:r w:rsidRPr="006611AB">
        <w:rPr>
          <w:rFonts w:ascii="Times New Roman" w:eastAsia="Calibri" w:hAnsi="Times New Roman" w:hint="default"/>
        </w:rPr>
        <w:t xml:space="preserve"> aj v</w:t>
      </w:r>
      <w:r w:rsidRPr="006611AB">
        <w:rPr>
          <w:rFonts w:ascii="Times New Roman" w:eastAsia="Calibri" w:hAnsi="Times New Roman" w:hint="default"/>
        </w:rPr>
        <w:t>ý</w:t>
      </w:r>
      <w:r w:rsidRPr="006611AB">
        <w:rPr>
          <w:rFonts w:ascii="Times New Roman" w:eastAsia="Calibri" w:hAnsi="Times New Roman" w:hint="default"/>
        </w:rPr>
        <w:t>davkové</w:t>
      </w:r>
      <w:r w:rsidRPr="006611AB">
        <w:rPr>
          <w:rFonts w:ascii="Times New Roman" w:eastAsia="Calibri" w:hAnsi="Times New Roman" w:hint="default"/>
        </w:rPr>
        <w:t xml:space="preserve"> transakcie vykoná</w:t>
      </w:r>
      <w:r w:rsidRPr="006611AB">
        <w:rPr>
          <w:rFonts w:ascii="Times New Roman" w:eastAsia="Calibri" w:hAnsi="Times New Roman" w:hint="default"/>
        </w:rPr>
        <w:t>vané</w:t>
      </w:r>
      <w:r w:rsidRPr="006611AB">
        <w:rPr>
          <w:rFonts w:ascii="Times New Roman" w:eastAsia="Calibri" w:hAnsi="Times New Roman" w:hint="default"/>
        </w:rPr>
        <w:t xml:space="preserve"> ARDALom v mene MF SR. Stav mimorozpoč</w:t>
      </w:r>
      <w:r w:rsidRPr="006611AB">
        <w:rPr>
          <w:rFonts w:ascii="Times New Roman" w:eastAsia="Calibri" w:hAnsi="Times New Roman" w:hint="default"/>
        </w:rPr>
        <w:t>tové</w:t>
      </w:r>
      <w:r w:rsidRPr="006611AB">
        <w:rPr>
          <w:rFonts w:ascii="Times New Roman" w:eastAsia="Calibri" w:hAnsi="Times New Roman" w:hint="default"/>
        </w:rPr>
        <w:t>ho úč</w:t>
      </w:r>
      <w:r w:rsidRPr="006611AB">
        <w:rPr>
          <w:rFonts w:ascii="Times New Roman" w:eastAsia="Calibri" w:hAnsi="Times New Roman" w:hint="default"/>
        </w:rPr>
        <w:t>tu sa vyrovná</w:t>
      </w:r>
      <w:r w:rsidRPr="006611AB">
        <w:rPr>
          <w:rFonts w:ascii="Times New Roman" w:eastAsia="Calibri" w:hAnsi="Times New Roman" w:hint="default"/>
        </w:rPr>
        <w:t>va transferom z </w:t>
      </w:r>
      <w:r w:rsidRPr="006611AB">
        <w:rPr>
          <w:rFonts w:ascii="Times New Roman" w:eastAsia="Calibri" w:hAnsi="Times New Roman" w:hint="default"/>
        </w:rPr>
        <w:t>vý</w:t>
      </w:r>
      <w:r w:rsidRPr="006611AB">
        <w:rPr>
          <w:rFonts w:ascii="Times New Roman" w:eastAsia="Calibri" w:hAnsi="Times New Roman" w:hint="default"/>
        </w:rPr>
        <w:t>davkové</w:t>
      </w:r>
      <w:r w:rsidRPr="006611AB">
        <w:rPr>
          <w:rFonts w:ascii="Times New Roman" w:eastAsia="Calibri" w:hAnsi="Times New Roman" w:hint="default"/>
        </w:rPr>
        <w:t>ho rozpoč</w:t>
      </w:r>
      <w:r w:rsidRPr="006611AB">
        <w:rPr>
          <w:rFonts w:ascii="Times New Roman" w:eastAsia="Calibri" w:hAnsi="Times New Roman" w:hint="default"/>
        </w:rPr>
        <w:t>tové</w:t>
      </w:r>
      <w:r w:rsidRPr="006611AB">
        <w:rPr>
          <w:rFonts w:ascii="Times New Roman" w:eastAsia="Calibri" w:hAnsi="Times New Roman" w:hint="default"/>
        </w:rPr>
        <w:t>ho úč</w:t>
      </w:r>
      <w:r w:rsidRPr="006611AB">
        <w:rPr>
          <w:rFonts w:ascii="Times New Roman" w:eastAsia="Calibri" w:hAnsi="Times New Roman" w:hint="default"/>
        </w:rPr>
        <w:t>tu Š</w:t>
      </w:r>
      <w:r w:rsidRPr="006611AB">
        <w:rPr>
          <w:rFonts w:ascii="Times New Roman" w:eastAsia="Calibri" w:hAnsi="Times New Roman" w:hint="default"/>
        </w:rPr>
        <w:t>tá</w:t>
      </w:r>
      <w:r w:rsidRPr="006611AB">
        <w:rPr>
          <w:rFonts w:ascii="Times New Roman" w:eastAsia="Calibri" w:hAnsi="Times New Roman" w:hint="default"/>
        </w:rPr>
        <w:t>tneho dlhu mesač</w:t>
      </w:r>
      <w:r w:rsidRPr="006611AB">
        <w:rPr>
          <w:rFonts w:ascii="Times New Roman" w:eastAsia="Calibri" w:hAnsi="Times New Roman" w:hint="default"/>
        </w:rPr>
        <w:t>ne a ku koncu roka na nulový</w:t>
      </w:r>
      <w:r w:rsidRPr="006611AB">
        <w:rPr>
          <w:rFonts w:ascii="Times New Roman" w:eastAsia="Calibri" w:hAnsi="Times New Roman" w:hint="default"/>
        </w:rPr>
        <w:t xml:space="preserve"> zostatok.</w:t>
      </w:r>
    </w:p>
    <w:p w:rsidR="00B548CC" w:rsidRPr="006611AB" w:rsidP="00B548CC">
      <w:pPr>
        <w:bidi w:val="0"/>
        <w:spacing w:after="120" w:line="336" w:lineRule="auto"/>
        <w:jc w:val="both"/>
        <w:rPr>
          <w:rFonts w:ascii="Times New Roman" w:hAnsi="Times New Roman"/>
          <w:sz w:val="22"/>
          <w:szCs w:val="22"/>
        </w:rPr>
      </w:pPr>
      <w:r w:rsidRPr="006611AB">
        <w:rPr>
          <w:rFonts w:ascii="Times New Roman" w:hAnsi="Times New Roman"/>
          <w:sz w:val="22"/>
          <w:szCs w:val="22"/>
        </w:rPr>
        <w:t xml:space="preserve">Príjmové operácie saldo účtu Štátneho dlhu tvoria príjmy Štátneho dlhu (ARDAL) zo zhodnocovania dočasne voľných finančných prostriedkov na peňažnom trhu formou medzibankových depozít, repo-obchodov a iných finančných nástrojov. Ostatné príjmy sú transfery zo štátneho rozpočtu. </w:t>
      </w:r>
    </w:p>
    <w:p w:rsidR="00B548CC" w:rsidRPr="006E50E2" w:rsidP="00B548CC">
      <w:pPr>
        <w:bidi w:val="0"/>
        <w:spacing w:after="120" w:line="336" w:lineRule="auto"/>
        <w:jc w:val="both"/>
        <w:rPr>
          <w:rFonts w:ascii="Times New Roman" w:hAnsi="Times New Roman"/>
          <w:sz w:val="22"/>
          <w:szCs w:val="22"/>
        </w:rPr>
      </w:pPr>
      <w:r w:rsidRPr="006E50E2">
        <w:rPr>
          <w:rFonts w:ascii="Times New Roman" w:hAnsi="Times New Roman"/>
          <w:sz w:val="22"/>
          <w:szCs w:val="22"/>
        </w:rPr>
        <w:t xml:space="preserve">Výdavkové operácie pozostávajú hlavne z výplaty výnosov </w:t>
      </w:r>
      <w:r>
        <w:rPr>
          <w:rFonts w:ascii="Times New Roman" w:hAnsi="Times New Roman"/>
          <w:sz w:val="22"/>
          <w:szCs w:val="22"/>
        </w:rPr>
        <w:t xml:space="preserve">z kupónov </w:t>
      </w:r>
      <w:r w:rsidRPr="006E50E2">
        <w:rPr>
          <w:rFonts w:ascii="Times New Roman" w:hAnsi="Times New Roman"/>
          <w:sz w:val="22"/>
          <w:szCs w:val="22"/>
        </w:rPr>
        <w:t xml:space="preserve">majiteľom štátnych dlhopisov vydaných na domácom aj zahraničnom finančnom trhu, </w:t>
      </w:r>
      <w:r>
        <w:rPr>
          <w:rFonts w:ascii="Times New Roman" w:hAnsi="Times New Roman"/>
          <w:sz w:val="22"/>
          <w:szCs w:val="22"/>
        </w:rPr>
        <w:t xml:space="preserve">úhrada AÚV a prémií pri spätnom nákupe štátnych cenných papierov, úhrada diskontu splatných štátnych cenných papierov, </w:t>
      </w:r>
      <w:r w:rsidRPr="006E50E2">
        <w:rPr>
          <w:rFonts w:ascii="Times New Roman" w:hAnsi="Times New Roman"/>
          <w:sz w:val="22"/>
          <w:szCs w:val="22"/>
        </w:rPr>
        <w:t>splácanie úrokov v rámci refinančného systému Ministerstva financií SR Štátnej pokladnici, náklady spojené s finančnými operáciami súvisiace s peňažnými</w:t>
      </w:r>
      <w:r w:rsidR="00611996">
        <w:rPr>
          <w:rFonts w:ascii="Times New Roman" w:hAnsi="Times New Roman"/>
          <w:sz w:val="22"/>
          <w:szCs w:val="22"/>
        </w:rPr>
        <w:t xml:space="preserve"> transakciami, splátky úrokov z </w:t>
      </w:r>
      <w:r w:rsidRPr="006E50E2">
        <w:rPr>
          <w:rFonts w:ascii="Times New Roman" w:hAnsi="Times New Roman"/>
          <w:sz w:val="22"/>
          <w:szCs w:val="22"/>
        </w:rPr>
        <w:t>úverov a poplatky spojené so správou Štátneho dlhu.</w:t>
      </w:r>
    </w:p>
    <w:p w:rsidR="00B548CC" w:rsidRPr="0040103D" w:rsidP="00B548CC">
      <w:pPr>
        <w:bidi w:val="0"/>
        <w:spacing w:after="120" w:line="336" w:lineRule="auto"/>
        <w:jc w:val="both"/>
        <w:rPr>
          <w:rFonts w:ascii="Times New Roman" w:hAnsi="Times New Roman"/>
          <w:sz w:val="22"/>
          <w:szCs w:val="22"/>
        </w:rPr>
      </w:pPr>
      <w:r w:rsidRPr="006E50E2">
        <w:rPr>
          <w:rFonts w:ascii="Times New Roman" w:hAnsi="Times New Roman"/>
          <w:sz w:val="22"/>
          <w:szCs w:val="22"/>
        </w:rPr>
        <w:t xml:space="preserve">Čerpanie výdavkov v priebehu roka prebiehalo podľa splátkových kalendárov a medzinárodných zmlúv, ktorými je Slovenská republika viazaná. </w:t>
      </w:r>
    </w:p>
    <w:tbl>
      <w:tblPr>
        <w:tblStyle w:val="TableNormal"/>
        <w:tblW w:w="0" w:type="auto"/>
        <w:tblInd w:w="55" w:type="dxa"/>
        <w:tblCellMar>
          <w:left w:w="70" w:type="dxa"/>
          <w:right w:w="70" w:type="dxa"/>
        </w:tblCellMar>
        <w:tblLook w:val="04A0"/>
      </w:tblPr>
      <w:tblGrid>
        <w:gridCol w:w="4172"/>
        <w:gridCol w:w="1370"/>
        <w:gridCol w:w="1724"/>
        <w:gridCol w:w="1539"/>
      </w:tblGrid>
      <w:tr>
        <w:tblPrEx>
          <w:tblW w:w="0" w:type="auto"/>
          <w:tblInd w:w="55" w:type="dxa"/>
          <w:tblCellMar>
            <w:left w:w="70" w:type="dxa"/>
            <w:right w:w="70" w:type="dxa"/>
          </w:tblCellMar>
          <w:tblLook w:val="04A0"/>
        </w:tblPrEx>
        <w:trPr>
          <w:trHeight w:val="330"/>
        </w:trPr>
        <w:tc>
          <w:tcPr>
            <w:tcW w:w="8805" w:type="dxa"/>
            <w:gridSpan w:val="4"/>
            <w:tcBorders>
              <w:top w:val="nil"/>
              <w:left w:val="nil"/>
              <w:bottom w:val="nil"/>
              <w:right w:val="nil"/>
            </w:tcBorders>
            <w:shd w:val="clear" w:color="000000" w:fill="000000"/>
            <w:textDirection w:val="lrTb"/>
            <w:vAlign w:val="center"/>
            <w:hideMark/>
          </w:tcPr>
          <w:p w:rsidR="00B548CC" w:rsidRPr="00AD13E4" w:rsidP="00CF6C2F">
            <w:pPr>
              <w:bidi w:val="0"/>
              <w:rPr>
                <w:rFonts w:ascii="Times New Roman" w:hAnsi="Times New Roman"/>
                <w:b/>
                <w:color w:val="FFFFFF"/>
                <w:sz w:val="18"/>
                <w:szCs w:val="18"/>
              </w:rPr>
            </w:pPr>
            <w:r w:rsidRPr="00AD13E4">
              <w:rPr>
                <w:rFonts w:ascii="Times New Roman" w:hAnsi="Times New Roman"/>
                <w:b/>
                <w:color w:val="FFFFFF"/>
                <w:sz w:val="18"/>
                <w:szCs w:val="18"/>
              </w:rPr>
              <w:t xml:space="preserve">Prehľad príjmov a výdavkov na saldo účte Štátneho dlhu </w:t>
            </w:r>
            <w:r w:rsidR="00611996">
              <w:rPr>
                <w:rFonts w:ascii="Times New Roman" w:hAnsi="Times New Roman"/>
                <w:b/>
                <w:color w:val="FFFFFF"/>
                <w:sz w:val="18"/>
                <w:szCs w:val="18"/>
              </w:rPr>
              <w:t xml:space="preserve">                                                                   </w:t>
            </w:r>
            <w:r w:rsidR="008614FE">
              <w:rPr>
                <w:rFonts w:ascii="Times New Roman" w:hAnsi="Times New Roman"/>
                <w:b/>
                <w:color w:val="FFFFFF"/>
                <w:sz w:val="18"/>
                <w:szCs w:val="18"/>
              </w:rPr>
              <w:t xml:space="preserve">      </w:t>
            </w:r>
            <w:r w:rsidR="00611996">
              <w:rPr>
                <w:rFonts w:ascii="Times New Roman" w:hAnsi="Times New Roman"/>
                <w:b/>
                <w:color w:val="FFFFFF"/>
                <w:sz w:val="18"/>
                <w:szCs w:val="18"/>
              </w:rPr>
              <w:t xml:space="preserve">   </w:t>
            </w:r>
            <w:r w:rsidRPr="00AD13E4">
              <w:rPr>
                <w:rFonts w:ascii="Times New Roman" w:hAnsi="Times New Roman"/>
                <w:b/>
                <w:color w:val="FFFFFF"/>
                <w:sz w:val="18"/>
                <w:szCs w:val="18"/>
              </w:rPr>
              <w:t>v tis. eur</w:t>
            </w:r>
          </w:p>
        </w:tc>
      </w:tr>
      <w:tr>
        <w:tblPrEx>
          <w:tblW w:w="0" w:type="auto"/>
          <w:tblInd w:w="55" w:type="dxa"/>
          <w:tblCellMar>
            <w:left w:w="70" w:type="dxa"/>
            <w:right w:w="70" w:type="dxa"/>
          </w:tblCellMar>
          <w:tblLook w:val="04A0"/>
        </w:tblPrEx>
        <w:trPr>
          <w:trHeight w:val="330"/>
        </w:trPr>
        <w:tc>
          <w:tcPr>
            <w:tcW w:w="0" w:type="auto"/>
            <w:vMerge w:val="restart"/>
            <w:tcBorders>
              <w:top w:val="nil"/>
              <w:left w:val="nil"/>
              <w:bottom w:val="single" w:sz="8" w:space="0" w:color="000000"/>
              <w:right w:val="nil"/>
            </w:tcBorders>
            <w:shd w:val="clear" w:color="000000" w:fill="BFBFBF"/>
            <w:noWrap/>
            <w:textDirection w:val="lrTb"/>
            <w:vAlign w:val="center"/>
            <w:hideMark/>
          </w:tcPr>
          <w:p w:rsidR="00B548CC" w:rsidRPr="006611AB" w:rsidP="00AD13E4">
            <w:pPr>
              <w:bidi w:val="0"/>
              <w:jc w:val="center"/>
              <w:rPr>
                <w:rFonts w:ascii="Times New Roman" w:hAnsi="Times New Roman"/>
                <w:b/>
                <w:bCs/>
                <w:color w:val="000000"/>
                <w:sz w:val="18"/>
                <w:szCs w:val="18"/>
              </w:rPr>
            </w:pPr>
            <w:r w:rsidRPr="006611AB">
              <w:rPr>
                <w:rFonts w:ascii="Times New Roman" w:hAnsi="Times New Roman"/>
                <w:b/>
                <w:bCs/>
                <w:color w:val="000000"/>
                <w:sz w:val="18"/>
                <w:szCs w:val="18"/>
              </w:rPr>
              <w:t> </w:t>
            </w:r>
          </w:p>
        </w:tc>
        <w:tc>
          <w:tcPr>
            <w:tcW w:w="4273" w:type="dxa"/>
            <w:gridSpan w:val="3"/>
            <w:tcBorders>
              <w:top w:val="nil"/>
              <w:left w:val="nil"/>
              <w:bottom w:val="nil"/>
              <w:right w:val="nil"/>
            </w:tcBorders>
            <w:shd w:val="clear" w:color="000000" w:fill="BFBFBF"/>
            <w:textDirection w:val="lrTb"/>
            <w:vAlign w:val="center"/>
            <w:hideMark/>
          </w:tcPr>
          <w:p w:rsidR="00B548CC" w:rsidRPr="006611AB" w:rsidP="00AD13E4">
            <w:pPr>
              <w:bidi w:val="0"/>
              <w:jc w:val="center"/>
              <w:rPr>
                <w:rFonts w:ascii="Times New Roman" w:hAnsi="Times New Roman"/>
                <w:b/>
                <w:bCs/>
                <w:color w:val="000000"/>
                <w:sz w:val="18"/>
                <w:szCs w:val="18"/>
              </w:rPr>
            </w:pPr>
            <w:r w:rsidRPr="006611AB">
              <w:rPr>
                <w:rFonts w:ascii="Times New Roman" w:hAnsi="Times New Roman"/>
                <w:b/>
                <w:bCs/>
                <w:color w:val="000000"/>
                <w:sz w:val="18"/>
                <w:szCs w:val="18"/>
              </w:rPr>
              <w:t>Skutočnosť</w:t>
            </w:r>
          </w:p>
        </w:tc>
      </w:tr>
      <w:tr>
        <w:tblPrEx>
          <w:tblW w:w="0" w:type="auto"/>
          <w:tblInd w:w="55" w:type="dxa"/>
          <w:tblCellMar>
            <w:left w:w="70" w:type="dxa"/>
            <w:right w:w="70" w:type="dxa"/>
          </w:tblCellMar>
          <w:tblLook w:val="04A0"/>
        </w:tblPrEx>
        <w:trPr>
          <w:trHeight w:val="345"/>
        </w:trPr>
        <w:tc>
          <w:tcPr>
            <w:tcW w:w="0" w:type="auto"/>
            <w:vMerge/>
            <w:tcBorders>
              <w:top w:val="nil"/>
              <w:left w:val="nil"/>
              <w:bottom w:val="single" w:sz="8" w:space="0" w:color="000000"/>
              <w:right w:val="nil"/>
            </w:tcBorders>
            <w:textDirection w:val="lrTb"/>
            <w:vAlign w:val="center"/>
            <w:hideMark/>
          </w:tcPr>
          <w:p w:rsidR="00B548CC" w:rsidRPr="006611AB" w:rsidP="00AD13E4">
            <w:pPr>
              <w:bidi w:val="0"/>
              <w:rPr>
                <w:rFonts w:ascii="Times New Roman" w:hAnsi="Times New Roman"/>
                <w:b/>
                <w:bCs/>
                <w:color w:val="000000"/>
                <w:sz w:val="18"/>
                <w:szCs w:val="18"/>
              </w:rPr>
            </w:pPr>
          </w:p>
        </w:tc>
        <w:tc>
          <w:tcPr>
            <w:tcW w:w="1264" w:type="dxa"/>
            <w:tcBorders>
              <w:top w:val="nil"/>
              <w:left w:val="nil"/>
              <w:bottom w:val="single" w:sz="8" w:space="0" w:color="auto"/>
              <w:right w:val="nil"/>
            </w:tcBorders>
            <w:shd w:val="clear" w:color="000000" w:fill="BFBFBF"/>
            <w:textDirection w:val="lrTb"/>
            <w:vAlign w:val="center"/>
            <w:hideMark/>
          </w:tcPr>
          <w:p w:rsidR="00B548CC" w:rsidRPr="006611AB" w:rsidP="00E765DE">
            <w:pPr>
              <w:bidi w:val="0"/>
              <w:jc w:val="center"/>
              <w:rPr>
                <w:rFonts w:ascii="Times New Roman" w:hAnsi="Times New Roman"/>
                <w:b/>
                <w:bCs/>
                <w:color w:val="000000"/>
                <w:sz w:val="18"/>
                <w:szCs w:val="18"/>
              </w:rPr>
            </w:pPr>
            <w:r w:rsidRPr="006611AB">
              <w:rPr>
                <w:rFonts w:ascii="Times New Roman" w:hAnsi="Times New Roman"/>
                <w:b/>
                <w:bCs/>
                <w:color w:val="000000"/>
                <w:sz w:val="18"/>
                <w:szCs w:val="18"/>
              </w:rPr>
              <w:t>2013</w:t>
            </w:r>
          </w:p>
        </w:tc>
        <w:tc>
          <w:tcPr>
            <w:tcW w:w="1590" w:type="dxa"/>
            <w:tcBorders>
              <w:top w:val="nil"/>
              <w:left w:val="nil"/>
              <w:bottom w:val="single" w:sz="8" w:space="0" w:color="auto"/>
              <w:right w:val="nil"/>
            </w:tcBorders>
            <w:shd w:val="clear" w:color="000000" w:fill="BFBFBF"/>
            <w:textDirection w:val="lrTb"/>
            <w:vAlign w:val="center"/>
            <w:hideMark/>
          </w:tcPr>
          <w:p w:rsidR="00B548CC" w:rsidRPr="006611AB" w:rsidP="00BA058B">
            <w:pPr>
              <w:bidi w:val="0"/>
              <w:jc w:val="center"/>
              <w:rPr>
                <w:rFonts w:ascii="Times New Roman" w:hAnsi="Times New Roman"/>
                <w:b/>
                <w:bCs/>
                <w:color w:val="000000"/>
                <w:sz w:val="18"/>
                <w:szCs w:val="18"/>
              </w:rPr>
            </w:pPr>
            <w:r w:rsidRPr="006611AB">
              <w:rPr>
                <w:rFonts w:ascii="Times New Roman" w:hAnsi="Times New Roman"/>
                <w:b/>
                <w:bCs/>
                <w:color w:val="000000"/>
                <w:sz w:val="18"/>
                <w:szCs w:val="18"/>
              </w:rPr>
              <w:t>2014</w:t>
            </w:r>
          </w:p>
        </w:tc>
        <w:tc>
          <w:tcPr>
            <w:tcW w:w="1419" w:type="dxa"/>
            <w:tcBorders>
              <w:top w:val="nil"/>
              <w:left w:val="nil"/>
              <w:bottom w:val="single" w:sz="8" w:space="0" w:color="auto"/>
              <w:right w:val="nil"/>
            </w:tcBorders>
            <w:shd w:val="clear" w:color="000000" w:fill="BFBFBF"/>
            <w:textDirection w:val="lrTb"/>
            <w:vAlign w:val="center"/>
            <w:hideMark/>
          </w:tcPr>
          <w:p w:rsidR="00B548CC" w:rsidRPr="006611AB" w:rsidP="00BA058B">
            <w:pPr>
              <w:bidi w:val="0"/>
              <w:jc w:val="center"/>
              <w:rPr>
                <w:rFonts w:ascii="Times New Roman" w:hAnsi="Times New Roman"/>
                <w:b/>
                <w:bCs/>
                <w:color w:val="000000"/>
                <w:sz w:val="18"/>
                <w:szCs w:val="18"/>
              </w:rPr>
            </w:pPr>
            <w:r w:rsidRPr="006611AB">
              <w:rPr>
                <w:rFonts w:ascii="Times New Roman" w:hAnsi="Times New Roman"/>
                <w:b/>
                <w:bCs/>
                <w:color w:val="000000"/>
                <w:sz w:val="18"/>
                <w:szCs w:val="18"/>
              </w:rPr>
              <w:t>2015</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B548CC" w:rsidRPr="006611AB" w:rsidP="00AD13E4">
            <w:pPr>
              <w:bidi w:val="0"/>
              <w:rPr>
                <w:rFonts w:ascii="Times New Roman" w:hAnsi="Times New Roman"/>
                <w:b/>
                <w:bCs/>
                <w:color w:val="000000"/>
                <w:sz w:val="18"/>
                <w:szCs w:val="18"/>
              </w:rPr>
            </w:pPr>
            <w:r w:rsidRPr="006611AB">
              <w:rPr>
                <w:rFonts w:ascii="Times New Roman" w:hAnsi="Times New Roman"/>
                <w:b/>
                <w:bCs/>
                <w:color w:val="000000"/>
                <w:sz w:val="18"/>
                <w:szCs w:val="18"/>
              </w:rPr>
              <w:t>Príjmy</w:t>
            </w:r>
          </w:p>
        </w:tc>
        <w:tc>
          <w:tcPr>
            <w:tcW w:w="1264" w:type="dxa"/>
            <w:tcBorders>
              <w:top w:val="nil"/>
              <w:left w:val="nil"/>
              <w:bottom w:val="nil"/>
              <w:right w:val="nil"/>
            </w:tcBorders>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241 784</w:t>
            </w:r>
          </w:p>
        </w:tc>
        <w:tc>
          <w:tcPr>
            <w:tcW w:w="1590" w:type="dxa"/>
            <w:tcBorders>
              <w:top w:val="nil"/>
              <w:left w:val="nil"/>
              <w:bottom w:val="nil"/>
              <w:right w:val="nil"/>
            </w:tcBorders>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311 236</w:t>
            </w:r>
          </w:p>
        </w:tc>
        <w:tc>
          <w:tcPr>
            <w:tcW w:w="1419" w:type="dxa"/>
            <w:tcBorders>
              <w:top w:val="nil"/>
              <w:left w:val="nil"/>
              <w:bottom w:val="nil"/>
              <w:right w:val="nil"/>
            </w:tcBorders>
            <w:shd w:val="clear" w:color="000000" w:fill="BFBFBF"/>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421 486</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B548CC" w:rsidRPr="006611AB" w:rsidP="00AD13E4">
            <w:pPr>
              <w:bidi w:val="0"/>
              <w:rPr>
                <w:rFonts w:ascii="Times New Roman" w:hAnsi="Times New Roman"/>
                <w:b/>
                <w:bCs/>
                <w:color w:val="000000"/>
                <w:sz w:val="18"/>
                <w:szCs w:val="18"/>
              </w:rPr>
            </w:pPr>
            <w:r w:rsidRPr="006611AB">
              <w:rPr>
                <w:rFonts w:ascii="Times New Roman" w:hAnsi="Times New Roman"/>
                <w:b/>
                <w:bCs/>
                <w:color w:val="000000"/>
                <w:sz w:val="18"/>
                <w:szCs w:val="18"/>
              </w:rPr>
              <w:t>Výdavky spolu</w:t>
            </w:r>
          </w:p>
        </w:tc>
        <w:tc>
          <w:tcPr>
            <w:tcW w:w="1264" w:type="dxa"/>
            <w:tcBorders>
              <w:top w:val="nil"/>
              <w:left w:val="nil"/>
              <w:bottom w:val="nil"/>
              <w:right w:val="nil"/>
            </w:tcBorders>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1 407 122</w:t>
            </w:r>
          </w:p>
        </w:tc>
        <w:tc>
          <w:tcPr>
            <w:tcW w:w="1590" w:type="dxa"/>
            <w:tcBorders>
              <w:top w:val="nil"/>
              <w:left w:val="nil"/>
              <w:bottom w:val="nil"/>
              <w:right w:val="nil"/>
            </w:tcBorders>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1 591 896</w:t>
            </w:r>
          </w:p>
        </w:tc>
        <w:tc>
          <w:tcPr>
            <w:tcW w:w="1419" w:type="dxa"/>
            <w:tcBorders>
              <w:top w:val="nil"/>
              <w:left w:val="nil"/>
              <w:bottom w:val="nil"/>
              <w:right w:val="nil"/>
            </w:tcBorders>
            <w:shd w:val="clear" w:color="000000" w:fill="BFBFBF"/>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1 581 150</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B548CC" w:rsidRPr="006611AB" w:rsidP="0017680C">
            <w:pPr>
              <w:bidi w:val="0"/>
              <w:rPr>
                <w:rFonts w:ascii="Times New Roman" w:hAnsi="Times New Roman"/>
                <w:color w:val="000000"/>
                <w:sz w:val="18"/>
                <w:szCs w:val="18"/>
              </w:rPr>
            </w:pPr>
            <w:r w:rsidRPr="006611AB">
              <w:rPr>
                <w:rFonts w:ascii="Times New Roman" w:hAnsi="Times New Roman"/>
                <w:color w:val="000000"/>
                <w:sz w:val="18"/>
                <w:szCs w:val="18"/>
              </w:rPr>
              <w:t xml:space="preserve">v tom: </w:t>
            </w:r>
          </w:p>
        </w:tc>
        <w:tc>
          <w:tcPr>
            <w:tcW w:w="1264" w:type="dxa"/>
            <w:tcBorders>
              <w:top w:val="nil"/>
              <w:left w:val="nil"/>
              <w:bottom w:val="nil"/>
              <w:right w:val="nil"/>
            </w:tcBorders>
            <w:noWrap/>
            <w:textDirection w:val="lrTb"/>
            <w:vAlign w:val="center"/>
            <w:hideMark/>
          </w:tcPr>
          <w:p w:rsidR="00B548CC" w:rsidRPr="006611AB" w:rsidP="00AD13E4">
            <w:pPr>
              <w:bidi w:val="0"/>
              <w:jc w:val="right"/>
              <w:rPr>
                <w:rFonts w:ascii="Times New Roman" w:hAnsi="Times New Roman"/>
                <w:color w:val="000000"/>
                <w:sz w:val="18"/>
                <w:szCs w:val="18"/>
              </w:rPr>
            </w:pPr>
          </w:p>
        </w:tc>
        <w:tc>
          <w:tcPr>
            <w:tcW w:w="1590" w:type="dxa"/>
            <w:tcBorders>
              <w:top w:val="nil"/>
              <w:left w:val="nil"/>
              <w:bottom w:val="nil"/>
              <w:right w:val="nil"/>
            </w:tcBorders>
            <w:textDirection w:val="lrTb"/>
            <w:vAlign w:val="center"/>
            <w:hideMark/>
          </w:tcPr>
          <w:p w:rsidR="00B548CC" w:rsidRPr="006611AB" w:rsidP="00AD13E4">
            <w:pPr>
              <w:bidi w:val="0"/>
              <w:jc w:val="right"/>
              <w:rPr>
                <w:rFonts w:ascii="Times New Roman" w:hAnsi="Times New Roman"/>
                <w:color w:val="000000"/>
                <w:sz w:val="18"/>
                <w:szCs w:val="18"/>
              </w:rPr>
            </w:pPr>
          </w:p>
        </w:tc>
        <w:tc>
          <w:tcPr>
            <w:tcW w:w="1419" w:type="dxa"/>
            <w:tcBorders>
              <w:top w:val="nil"/>
              <w:left w:val="nil"/>
              <w:bottom w:val="nil"/>
              <w:right w:val="nil"/>
            </w:tcBorders>
            <w:shd w:val="clear" w:color="000000" w:fill="BFBFBF"/>
            <w:textDirection w:val="lrTb"/>
            <w:vAlign w:val="center"/>
            <w:hideMark/>
          </w:tcPr>
          <w:p w:rsidR="00B548CC" w:rsidRPr="006611AB" w:rsidP="00AD13E4">
            <w:pPr>
              <w:bidi w:val="0"/>
              <w:jc w:val="right"/>
              <w:rPr>
                <w:rFonts w:ascii="Times New Roman" w:hAnsi="Times New Roman"/>
                <w:color w:val="000000"/>
                <w:sz w:val="18"/>
                <w:szCs w:val="18"/>
              </w:rPr>
            </w:pP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tcPr>
          <w:p w:rsidR="0017680C" w:rsidRPr="0017680C" w:rsidP="0017680C">
            <w:pPr>
              <w:bidi w:val="0"/>
              <w:rPr>
                <w:rFonts w:ascii="Times New Roman" w:hAnsi="Times New Roman"/>
                <w:i/>
                <w:color w:val="000000"/>
                <w:sz w:val="18"/>
                <w:szCs w:val="18"/>
              </w:rPr>
            </w:pPr>
            <w:r w:rsidRPr="0017680C">
              <w:rPr>
                <w:rFonts w:ascii="Times New Roman" w:hAnsi="Times New Roman"/>
                <w:i/>
                <w:color w:val="000000"/>
                <w:sz w:val="18"/>
                <w:szCs w:val="18"/>
              </w:rPr>
              <w:t xml:space="preserve">   úroky zo štátnych dlhopisov + obchodov +úverov</w:t>
            </w:r>
          </w:p>
        </w:tc>
        <w:tc>
          <w:tcPr>
            <w:tcW w:w="1264" w:type="dxa"/>
            <w:tcBorders>
              <w:top w:val="nil"/>
              <w:left w:val="nil"/>
              <w:bottom w:val="nil"/>
              <w:right w:val="nil"/>
            </w:tcBorders>
            <w:noWrap/>
            <w:textDirection w:val="lrTb"/>
            <w:vAlign w:val="center"/>
          </w:tcPr>
          <w:p w:rsidR="0017680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1 286 774</w:t>
            </w:r>
          </w:p>
        </w:tc>
        <w:tc>
          <w:tcPr>
            <w:tcW w:w="1590" w:type="dxa"/>
            <w:tcBorders>
              <w:top w:val="nil"/>
              <w:left w:val="nil"/>
              <w:bottom w:val="nil"/>
              <w:right w:val="nil"/>
            </w:tcBorders>
            <w:textDirection w:val="lrTb"/>
            <w:vAlign w:val="center"/>
          </w:tcPr>
          <w:p w:rsidR="0017680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1 423 384</w:t>
            </w:r>
          </w:p>
        </w:tc>
        <w:tc>
          <w:tcPr>
            <w:tcW w:w="1419" w:type="dxa"/>
            <w:tcBorders>
              <w:top w:val="nil"/>
              <w:left w:val="nil"/>
              <w:bottom w:val="nil"/>
              <w:right w:val="nil"/>
            </w:tcBorders>
            <w:shd w:val="clear" w:color="000000" w:fill="BFBFBF"/>
            <w:textDirection w:val="lrTb"/>
            <w:vAlign w:val="center"/>
          </w:tcPr>
          <w:p w:rsidR="0017680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1 442 417</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B548CC" w:rsidRPr="0017680C" w:rsidP="0017680C">
            <w:pPr>
              <w:bidi w:val="0"/>
              <w:rPr>
                <w:rFonts w:ascii="Times New Roman" w:hAnsi="Times New Roman"/>
                <w:i/>
                <w:color w:val="000000"/>
                <w:sz w:val="18"/>
                <w:szCs w:val="18"/>
              </w:rPr>
            </w:pPr>
            <w:r w:rsidRPr="0017680C" w:rsidR="0017680C">
              <w:rPr>
                <w:rFonts w:ascii="Times New Roman" w:hAnsi="Times New Roman"/>
                <w:i/>
                <w:color w:val="000000"/>
                <w:sz w:val="18"/>
                <w:szCs w:val="18"/>
              </w:rPr>
              <w:t xml:space="preserve">   ú</w:t>
            </w:r>
            <w:r w:rsidRPr="0017680C">
              <w:rPr>
                <w:rFonts w:ascii="Times New Roman" w:hAnsi="Times New Roman"/>
                <w:i/>
                <w:color w:val="000000"/>
                <w:sz w:val="18"/>
                <w:szCs w:val="18"/>
              </w:rPr>
              <w:t>roky z refinančného systému - ŠP</w:t>
            </w:r>
          </w:p>
        </w:tc>
        <w:tc>
          <w:tcPr>
            <w:tcW w:w="1264" w:type="dxa"/>
            <w:tcBorders>
              <w:top w:val="nil"/>
              <w:left w:val="nil"/>
              <w:bottom w:val="nil"/>
              <w:right w:val="nil"/>
            </w:tcBorders>
            <w:noWrap/>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40 328</w:t>
            </w:r>
          </w:p>
        </w:tc>
        <w:tc>
          <w:tcPr>
            <w:tcW w:w="1590" w:type="dxa"/>
            <w:tcBorders>
              <w:top w:val="nil"/>
              <w:left w:val="nil"/>
              <w:bottom w:val="nil"/>
              <w:right w:val="nil"/>
            </w:tcBorders>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45 029</w:t>
            </w:r>
          </w:p>
        </w:tc>
        <w:tc>
          <w:tcPr>
            <w:tcW w:w="1419" w:type="dxa"/>
            <w:tcBorders>
              <w:top w:val="nil"/>
              <w:left w:val="nil"/>
              <w:bottom w:val="nil"/>
              <w:right w:val="nil"/>
            </w:tcBorders>
            <w:shd w:val="clear" w:color="000000" w:fill="BFBFBF"/>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46 916</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noWrap/>
            <w:textDirection w:val="lrTb"/>
            <w:vAlign w:val="center"/>
            <w:hideMark/>
          </w:tcPr>
          <w:p w:rsidR="00B548CC" w:rsidRPr="0017680C" w:rsidP="0017680C">
            <w:pPr>
              <w:bidi w:val="0"/>
              <w:rPr>
                <w:rFonts w:ascii="Times New Roman" w:hAnsi="Times New Roman"/>
                <w:i/>
                <w:color w:val="000000"/>
                <w:sz w:val="18"/>
                <w:szCs w:val="18"/>
              </w:rPr>
            </w:pPr>
            <w:r w:rsidRPr="0017680C" w:rsidR="0017680C">
              <w:rPr>
                <w:rFonts w:ascii="Times New Roman" w:hAnsi="Times New Roman"/>
                <w:i/>
                <w:color w:val="000000"/>
                <w:sz w:val="18"/>
                <w:szCs w:val="18"/>
              </w:rPr>
              <w:t xml:space="preserve">   d</w:t>
            </w:r>
            <w:r w:rsidRPr="0017680C">
              <w:rPr>
                <w:rFonts w:ascii="Times New Roman" w:hAnsi="Times New Roman"/>
                <w:i/>
                <w:color w:val="000000"/>
                <w:sz w:val="18"/>
                <w:szCs w:val="18"/>
              </w:rPr>
              <w:t>isážio (diskont CP)</w:t>
            </w:r>
          </w:p>
        </w:tc>
        <w:tc>
          <w:tcPr>
            <w:tcW w:w="1264" w:type="dxa"/>
            <w:tcBorders>
              <w:top w:val="nil"/>
              <w:left w:val="nil"/>
              <w:bottom w:val="nil"/>
              <w:right w:val="nil"/>
            </w:tcBorders>
            <w:noWrap/>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69 705</w:t>
            </w:r>
          </w:p>
        </w:tc>
        <w:tc>
          <w:tcPr>
            <w:tcW w:w="1590" w:type="dxa"/>
            <w:tcBorders>
              <w:top w:val="nil"/>
              <w:left w:val="nil"/>
              <w:bottom w:val="nil"/>
              <w:right w:val="nil"/>
            </w:tcBorders>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114 180</w:t>
            </w:r>
          </w:p>
        </w:tc>
        <w:tc>
          <w:tcPr>
            <w:tcW w:w="1419" w:type="dxa"/>
            <w:tcBorders>
              <w:top w:val="nil"/>
              <w:left w:val="nil"/>
              <w:bottom w:val="nil"/>
              <w:right w:val="nil"/>
            </w:tcBorders>
            <w:shd w:val="clear" w:color="000000" w:fill="BFBFBF"/>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87 349</w:t>
            </w:r>
          </w:p>
        </w:tc>
      </w:tr>
      <w:tr>
        <w:tblPrEx>
          <w:tblW w:w="0" w:type="auto"/>
          <w:tblInd w:w="55" w:type="dxa"/>
          <w:tblCellMar>
            <w:left w:w="70" w:type="dxa"/>
            <w:right w:w="70" w:type="dxa"/>
          </w:tblCellMar>
          <w:tblLook w:val="04A0"/>
        </w:tblPrEx>
        <w:trPr>
          <w:trHeight w:val="330"/>
        </w:trPr>
        <w:tc>
          <w:tcPr>
            <w:tcW w:w="0" w:type="auto"/>
            <w:tcBorders>
              <w:top w:val="nil"/>
              <w:left w:val="nil"/>
              <w:bottom w:val="single" w:sz="4" w:space="0" w:color="auto"/>
              <w:right w:val="nil"/>
            </w:tcBorders>
            <w:noWrap/>
            <w:textDirection w:val="lrTb"/>
            <w:vAlign w:val="center"/>
            <w:hideMark/>
          </w:tcPr>
          <w:p w:rsidR="00B548CC" w:rsidRPr="0017680C" w:rsidP="0017680C">
            <w:pPr>
              <w:bidi w:val="0"/>
              <w:rPr>
                <w:rFonts w:ascii="Times New Roman" w:hAnsi="Times New Roman"/>
                <w:i/>
                <w:color w:val="000000"/>
                <w:sz w:val="18"/>
                <w:szCs w:val="18"/>
              </w:rPr>
            </w:pPr>
            <w:r w:rsidRPr="0017680C" w:rsidR="00AD13E4">
              <w:rPr>
                <w:rFonts w:ascii="Times New Roman" w:hAnsi="Times New Roman"/>
                <w:i/>
                <w:color w:val="000000"/>
                <w:sz w:val="18"/>
                <w:szCs w:val="18"/>
              </w:rPr>
              <w:t xml:space="preserve"> </w:t>
            </w:r>
            <w:r w:rsidRPr="0017680C" w:rsidR="0017680C">
              <w:rPr>
                <w:rFonts w:ascii="Times New Roman" w:hAnsi="Times New Roman"/>
                <w:i/>
                <w:color w:val="000000"/>
                <w:sz w:val="18"/>
                <w:szCs w:val="18"/>
              </w:rPr>
              <w:t xml:space="preserve">  p</w:t>
            </w:r>
            <w:r w:rsidRPr="0017680C">
              <w:rPr>
                <w:rFonts w:ascii="Times New Roman" w:hAnsi="Times New Roman"/>
                <w:i/>
                <w:color w:val="000000"/>
                <w:sz w:val="18"/>
                <w:szCs w:val="18"/>
              </w:rPr>
              <w:t xml:space="preserve">oplatky </w:t>
            </w:r>
          </w:p>
        </w:tc>
        <w:tc>
          <w:tcPr>
            <w:tcW w:w="1264" w:type="dxa"/>
            <w:tcBorders>
              <w:top w:val="nil"/>
              <w:left w:val="nil"/>
              <w:bottom w:val="single" w:sz="4" w:space="0" w:color="auto"/>
              <w:right w:val="nil"/>
            </w:tcBorders>
            <w:noWrap/>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10 315</w:t>
            </w:r>
          </w:p>
        </w:tc>
        <w:tc>
          <w:tcPr>
            <w:tcW w:w="1590" w:type="dxa"/>
            <w:tcBorders>
              <w:top w:val="nil"/>
              <w:left w:val="nil"/>
              <w:bottom w:val="single" w:sz="4" w:space="0" w:color="auto"/>
              <w:right w:val="nil"/>
            </w:tcBorders>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9 303</w:t>
            </w:r>
          </w:p>
        </w:tc>
        <w:tc>
          <w:tcPr>
            <w:tcW w:w="1419" w:type="dxa"/>
            <w:tcBorders>
              <w:top w:val="nil"/>
              <w:left w:val="nil"/>
              <w:bottom w:val="single" w:sz="4" w:space="0" w:color="auto"/>
              <w:right w:val="nil"/>
            </w:tcBorders>
            <w:shd w:val="clear" w:color="000000" w:fill="BFBFBF"/>
            <w:textDirection w:val="lrTb"/>
            <w:vAlign w:val="center"/>
            <w:hideMark/>
          </w:tcPr>
          <w:p w:rsidR="00B548CC" w:rsidRPr="007C7CC2" w:rsidP="00AD13E4">
            <w:pPr>
              <w:bidi w:val="0"/>
              <w:jc w:val="right"/>
              <w:rPr>
                <w:rFonts w:ascii="Times New Roman" w:hAnsi="Times New Roman"/>
                <w:i/>
                <w:color w:val="000000"/>
                <w:sz w:val="18"/>
                <w:szCs w:val="18"/>
              </w:rPr>
            </w:pPr>
            <w:r w:rsidRPr="007C7CC2">
              <w:rPr>
                <w:rFonts w:ascii="Times New Roman" w:hAnsi="Times New Roman"/>
                <w:i/>
                <w:color w:val="000000"/>
                <w:sz w:val="18"/>
                <w:szCs w:val="18"/>
              </w:rPr>
              <w:t>4 468</w:t>
            </w:r>
          </w:p>
        </w:tc>
      </w:tr>
      <w:tr>
        <w:tblPrEx>
          <w:tblW w:w="0" w:type="auto"/>
          <w:tblInd w:w="55" w:type="dxa"/>
          <w:tblCellMar>
            <w:left w:w="70" w:type="dxa"/>
            <w:right w:w="70" w:type="dxa"/>
          </w:tblCellMar>
          <w:tblLook w:val="04A0"/>
        </w:tblPrEx>
        <w:trPr>
          <w:trHeight w:val="345"/>
        </w:trPr>
        <w:tc>
          <w:tcPr>
            <w:tcW w:w="0" w:type="auto"/>
            <w:tcBorders>
              <w:top w:val="single" w:sz="4" w:space="0" w:color="auto"/>
              <w:left w:val="nil"/>
              <w:bottom w:val="single" w:sz="8" w:space="0" w:color="auto"/>
              <w:right w:val="nil"/>
            </w:tcBorders>
            <w:noWrap/>
            <w:textDirection w:val="lrTb"/>
            <w:vAlign w:val="center"/>
            <w:hideMark/>
          </w:tcPr>
          <w:p w:rsidR="00B548CC" w:rsidRPr="006611AB" w:rsidP="00AD13E4">
            <w:pPr>
              <w:bidi w:val="0"/>
              <w:rPr>
                <w:rFonts w:ascii="Times New Roman" w:hAnsi="Times New Roman"/>
                <w:b/>
                <w:bCs/>
                <w:color w:val="000000"/>
                <w:sz w:val="18"/>
                <w:szCs w:val="18"/>
              </w:rPr>
            </w:pPr>
            <w:r w:rsidRPr="006611AB">
              <w:rPr>
                <w:rFonts w:ascii="Times New Roman" w:hAnsi="Times New Roman"/>
                <w:b/>
                <w:bCs/>
                <w:color w:val="000000"/>
                <w:sz w:val="18"/>
                <w:szCs w:val="18"/>
              </w:rPr>
              <w:t>Spolu saldo</w:t>
            </w:r>
          </w:p>
        </w:tc>
        <w:tc>
          <w:tcPr>
            <w:tcW w:w="1264" w:type="dxa"/>
            <w:tcBorders>
              <w:top w:val="single" w:sz="4" w:space="0" w:color="auto"/>
              <w:left w:val="nil"/>
              <w:bottom w:val="single" w:sz="8" w:space="0" w:color="auto"/>
              <w:right w:val="nil"/>
            </w:tcBorders>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1 165 338</w:t>
            </w:r>
          </w:p>
        </w:tc>
        <w:tc>
          <w:tcPr>
            <w:tcW w:w="1590" w:type="dxa"/>
            <w:tcBorders>
              <w:top w:val="single" w:sz="4" w:space="0" w:color="auto"/>
              <w:left w:val="nil"/>
              <w:bottom w:val="single" w:sz="8" w:space="0" w:color="auto"/>
              <w:right w:val="nil"/>
            </w:tcBorders>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1 280 660</w:t>
            </w:r>
          </w:p>
        </w:tc>
        <w:tc>
          <w:tcPr>
            <w:tcW w:w="1419" w:type="dxa"/>
            <w:tcBorders>
              <w:top w:val="single" w:sz="4" w:space="0" w:color="auto"/>
              <w:left w:val="nil"/>
              <w:bottom w:val="single" w:sz="8" w:space="0" w:color="auto"/>
              <w:right w:val="nil"/>
            </w:tcBorders>
            <w:shd w:val="clear" w:color="000000" w:fill="BFBFBF"/>
            <w:textDirection w:val="lrTb"/>
            <w:vAlign w:val="center"/>
            <w:hideMark/>
          </w:tcPr>
          <w:p w:rsidR="00B548CC" w:rsidRPr="006611AB" w:rsidP="00AD13E4">
            <w:pPr>
              <w:bidi w:val="0"/>
              <w:jc w:val="right"/>
              <w:rPr>
                <w:rFonts w:ascii="Times New Roman" w:hAnsi="Times New Roman"/>
                <w:b/>
                <w:bCs/>
                <w:color w:val="000000"/>
                <w:sz w:val="18"/>
                <w:szCs w:val="18"/>
              </w:rPr>
            </w:pPr>
            <w:r w:rsidRPr="006611AB">
              <w:rPr>
                <w:rFonts w:ascii="Times New Roman" w:hAnsi="Times New Roman"/>
                <w:b/>
                <w:bCs/>
                <w:color w:val="000000"/>
                <w:sz w:val="18"/>
                <w:szCs w:val="18"/>
              </w:rPr>
              <w:t>1 159 664</w:t>
            </w:r>
          </w:p>
        </w:tc>
      </w:tr>
    </w:tbl>
    <w:p w:rsidR="00CA6592" w:rsidRPr="00CA6592" w:rsidP="00E765DE">
      <w:pPr>
        <w:bidi w:val="0"/>
        <w:spacing w:after="120" w:line="336" w:lineRule="auto"/>
        <w:jc w:val="right"/>
        <w:rPr>
          <w:rFonts w:ascii="Times New Roman" w:hAnsi="Times New Roman"/>
          <w:sz w:val="20"/>
          <w:szCs w:val="20"/>
        </w:rPr>
      </w:pPr>
      <w:r w:rsidRPr="00CA6592">
        <w:rPr>
          <w:rFonts w:ascii="Times New Roman" w:hAnsi="Times New Roman"/>
          <w:sz w:val="20"/>
          <w:szCs w:val="20"/>
        </w:rPr>
        <w:t>Zdroj: MF SR</w:t>
      </w:r>
    </w:p>
    <w:p w:rsidR="00B548CC" w:rsidRPr="00AD13E4" w:rsidP="00AD13E4">
      <w:pPr>
        <w:bidi w:val="0"/>
        <w:spacing w:after="120" w:line="336" w:lineRule="auto"/>
        <w:jc w:val="both"/>
        <w:rPr>
          <w:rFonts w:ascii="Times New Roman" w:hAnsi="Times New Roman"/>
          <w:sz w:val="22"/>
          <w:szCs w:val="22"/>
        </w:rPr>
      </w:pPr>
      <w:r w:rsidRPr="00AD13E4">
        <w:rPr>
          <w:rFonts w:ascii="Times New Roman" w:hAnsi="Times New Roman"/>
          <w:sz w:val="22"/>
          <w:szCs w:val="22"/>
        </w:rPr>
        <w:t>V hotovostnom rozpočte štátneho dlhu v roku 2015 sa podarilo ušetriť 132 919 tis. eur. Pozitívnym vplyvom bol pokles úrokových sadzieb, ku ktorému významnou mierou prispeli nákupy slovenských štátnych dlhopisov zo strany ECB (NBS) v rámci kvantitatívneho uvoľňovania (program PSPP – the public sector purchase programme). Pokles úrokových sadzieb v situácii, kedy sa predávajú dlhopisy s veľkými úrokovými sadzbami kupónov v porovnaní s výnosom do splatnosti, spôsobil veľké prijaté prémie a teda zodpovedajúce úspory na nákladoch dlhu. Vývoj úrokových sadzieb a aktívna správa portfólia sa prejavili v poklese priemernej váženej úrokovej sadzby záväzkov štátu z úrovne 3,35 % p. a. v roku 2014 na úroveň 2,84 % p. a. na konci roka 2015. Na správu Štátneho dlhu výrazne vplýval aj vývoj štátneho rozpočtu v priebehu roka. Zákonom bol schválený hotovostný deficit na rok 2015 v </w:t>
      </w:r>
      <w:r w:rsidR="002C38E1">
        <w:rPr>
          <w:rFonts w:ascii="Times New Roman" w:hAnsi="Times New Roman"/>
          <w:sz w:val="22"/>
          <w:szCs w:val="22"/>
        </w:rPr>
        <w:t>hodnote 2 983 636 tis. eur, v </w:t>
      </w:r>
      <w:r w:rsidRPr="00AD13E4">
        <w:rPr>
          <w:rFonts w:ascii="Times New Roman" w:hAnsi="Times New Roman"/>
          <w:sz w:val="22"/>
          <w:szCs w:val="22"/>
        </w:rPr>
        <w:t>skutočnosti dosiahol k 31.12.2015 hodnotu 1 932 596,4 tis. eur, t. j. 65 % schváleného rozpočtového deficitu pre rok 2015. Priaznivý vplyv na vývoj výdavkov mal aj fungujúci systém Štátnej pokladnice, ktorý zabezpečil okrem centralizácie finančných zdrojov verejného sektora aj zlepšenú pozíciu štátu voči medzibankovému trhu.</w:t>
      </w:r>
    </w:p>
    <w:p w:rsidR="00DD509A" w:rsidP="008D72D9">
      <w:pPr>
        <w:pStyle w:val="Heading4"/>
        <w:numPr>
          <w:numId w:val="20"/>
        </w:numPr>
        <w:bidi w:val="0"/>
        <w:spacing w:line="336" w:lineRule="auto"/>
        <w:ind w:left="1077"/>
        <w:rPr>
          <w:rFonts w:ascii="Times New Roman" w:hAnsi="Times New Roman"/>
          <w:lang w:val="sk-SK" w:eastAsia="x-none"/>
        </w:rPr>
      </w:pPr>
      <w:r w:rsidRPr="006E50E2" w:rsidR="006F3414">
        <w:rPr>
          <w:rFonts w:ascii="Times New Roman" w:hAnsi="Times New Roman"/>
          <w:lang w:val="sk-SK" w:eastAsia="x-none"/>
        </w:rPr>
        <w:t>Kapitálové výdavky</w:t>
      </w:r>
    </w:p>
    <w:p w:rsidR="00E22DF3" w:rsidRPr="006E50E2" w:rsidP="00E22DF3">
      <w:pPr>
        <w:bidi w:val="0"/>
        <w:spacing w:line="336" w:lineRule="auto"/>
        <w:jc w:val="both"/>
        <w:rPr>
          <w:rFonts w:ascii="Times New Roman" w:hAnsi="Times New Roman"/>
          <w:sz w:val="22"/>
          <w:szCs w:val="22"/>
        </w:rPr>
      </w:pPr>
      <w:r>
        <w:rPr>
          <w:rFonts w:ascii="Times New Roman" w:hAnsi="Times New Roman"/>
          <w:sz w:val="22"/>
          <w:szCs w:val="22"/>
        </w:rPr>
        <w:t xml:space="preserve">Kapitálové výdavky zahrňujú výdavky na obstaranie hmotného a nehmotného majetku, vrátane výdavkov súvisiacich s obstaraním tohto majetku (napr. montážne práce, dopravné) v zmysle zákona o dani z príjmov. </w:t>
      </w:r>
      <w:r w:rsidRPr="006E50E2">
        <w:rPr>
          <w:rFonts w:ascii="Times New Roman" w:hAnsi="Times New Roman"/>
          <w:sz w:val="22"/>
          <w:szCs w:val="22"/>
        </w:rPr>
        <w:t>Rozpočet kapitálových výdavkov na rok 201</w:t>
      </w:r>
      <w:r>
        <w:rPr>
          <w:rFonts w:ascii="Times New Roman" w:hAnsi="Times New Roman"/>
          <w:sz w:val="22"/>
          <w:szCs w:val="22"/>
        </w:rPr>
        <w:t>5</w:t>
      </w:r>
      <w:r w:rsidRPr="006E50E2">
        <w:rPr>
          <w:rFonts w:ascii="Times New Roman" w:hAnsi="Times New Roman"/>
          <w:sz w:val="22"/>
          <w:szCs w:val="22"/>
        </w:rPr>
        <w:t xml:space="preserve"> predstavoval sumu </w:t>
      </w:r>
      <w:r>
        <w:rPr>
          <w:rFonts w:ascii="Times New Roman" w:hAnsi="Times New Roman"/>
          <w:sz w:val="22"/>
          <w:szCs w:val="22"/>
        </w:rPr>
        <w:t>2 546 833</w:t>
      </w:r>
      <w:r w:rsidRPr="006E50E2">
        <w:rPr>
          <w:rFonts w:ascii="Times New Roman" w:hAnsi="Times New Roman"/>
          <w:sz w:val="22"/>
          <w:szCs w:val="22"/>
        </w:rPr>
        <w:t xml:space="preserve"> tis. eur, ktorá sa rozpočtovými opatreniami </w:t>
      </w:r>
      <w:r>
        <w:rPr>
          <w:rFonts w:ascii="Times New Roman" w:hAnsi="Times New Roman"/>
          <w:sz w:val="22"/>
          <w:szCs w:val="22"/>
        </w:rPr>
        <w:t>zvýšila</w:t>
      </w:r>
      <w:r w:rsidRPr="006E50E2">
        <w:rPr>
          <w:rFonts w:ascii="Times New Roman" w:hAnsi="Times New Roman"/>
          <w:sz w:val="22"/>
          <w:szCs w:val="22"/>
        </w:rPr>
        <w:t xml:space="preserve"> na </w:t>
      </w:r>
      <w:r>
        <w:rPr>
          <w:rFonts w:ascii="Times New Roman" w:hAnsi="Times New Roman"/>
          <w:sz w:val="22"/>
          <w:szCs w:val="22"/>
        </w:rPr>
        <w:t xml:space="preserve">4 588 683 </w:t>
      </w:r>
      <w:r w:rsidRPr="006E50E2">
        <w:rPr>
          <w:rFonts w:ascii="Times New Roman" w:hAnsi="Times New Roman"/>
          <w:sz w:val="22"/>
          <w:szCs w:val="22"/>
        </w:rPr>
        <w:t xml:space="preserve">tis. eur. V skutočnosti sa čerpalo </w:t>
      </w:r>
      <w:r>
        <w:rPr>
          <w:rFonts w:ascii="Times New Roman" w:hAnsi="Times New Roman"/>
          <w:sz w:val="22"/>
          <w:szCs w:val="22"/>
        </w:rPr>
        <w:t>4 668 088</w:t>
      </w:r>
      <w:r w:rsidRPr="006E50E2">
        <w:rPr>
          <w:rFonts w:ascii="Times New Roman" w:hAnsi="Times New Roman"/>
          <w:sz w:val="22"/>
          <w:szCs w:val="22"/>
        </w:rPr>
        <w:t xml:space="preserve"> tis. eur (201</w:t>
      </w:r>
      <w:r>
        <w:rPr>
          <w:rFonts w:ascii="Times New Roman" w:hAnsi="Times New Roman"/>
          <w:sz w:val="22"/>
          <w:szCs w:val="22"/>
        </w:rPr>
        <w:t>4</w:t>
      </w:r>
      <w:r w:rsidRPr="006E50E2">
        <w:rPr>
          <w:rFonts w:ascii="Times New Roman" w:hAnsi="Times New Roman"/>
          <w:sz w:val="22"/>
          <w:szCs w:val="22"/>
        </w:rPr>
        <w:t xml:space="preserve">: </w:t>
      </w:r>
      <w:r>
        <w:rPr>
          <w:rFonts w:ascii="Times New Roman" w:hAnsi="Times New Roman"/>
          <w:sz w:val="22"/>
          <w:szCs w:val="22"/>
        </w:rPr>
        <w:t>1 979 088</w:t>
      </w:r>
      <w:r w:rsidRPr="006E50E2">
        <w:rPr>
          <w:rFonts w:ascii="Times New Roman" w:hAnsi="Times New Roman"/>
          <w:sz w:val="22"/>
          <w:szCs w:val="22"/>
        </w:rPr>
        <w:t xml:space="preserve"> tis. eur). Podstatné zmeny v upravenom rozpočte vznikli v dôsledku realizácie paragrafu 8 zákona o rozpočtových pravidlách verejnej správy. V zmysle uvedeného paragrafu môže Ministerstvo financií SR na konci bežného rozpočtového roka viazať výdavky (znížiť upravený rozpočet) o nevyčerpané prostriedky, ktoré budú v nasledujúcom rozpočtovom roku použité a týmto spôsobom navýšia upravený rozpočet nasledujúceho rozpočtového roka. O sumu viazaných prostriedkov Ministerstvo financií SR povolí prekročenie limitu výdavkov v nasledujúcom rozpočtovom roku. </w:t>
      </w:r>
    </w:p>
    <w:p w:rsidR="00E22DF3" w:rsidP="00E22DF3">
      <w:pPr>
        <w:bidi w:val="0"/>
        <w:spacing w:line="336" w:lineRule="auto"/>
        <w:jc w:val="both"/>
        <w:rPr>
          <w:rFonts w:ascii="Times New Roman" w:hAnsi="Times New Roman"/>
          <w:sz w:val="22"/>
          <w:szCs w:val="22"/>
        </w:rPr>
      </w:pPr>
      <w:r w:rsidRPr="006E50E2">
        <w:rPr>
          <w:rFonts w:ascii="Times New Roman" w:hAnsi="Times New Roman"/>
          <w:sz w:val="22"/>
          <w:szCs w:val="22"/>
        </w:rPr>
        <w:t xml:space="preserve">Prehľad </w:t>
      </w:r>
      <w:r>
        <w:rPr>
          <w:rFonts w:ascii="Times New Roman" w:hAnsi="Times New Roman"/>
          <w:sz w:val="22"/>
          <w:szCs w:val="22"/>
        </w:rPr>
        <w:t xml:space="preserve">o kapitálových výdavkoch </w:t>
      </w:r>
      <w:r w:rsidRPr="006E50E2">
        <w:rPr>
          <w:rFonts w:ascii="Times New Roman" w:hAnsi="Times New Roman"/>
          <w:sz w:val="22"/>
          <w:szCs w:val="22"/>
        </w:rPr>
        <w:t>poskytuje nasledovná tabuľka:</w:t>
      </w:r>
    </w:p>
    <w:tbl>
      <w:tblPr>
        <w:tblStyle w:val="TableNormal"/>
        <w:tblW w:w="0" w:type="auto"/>
        <w:tblInd w:w="70" w:type="dxa"/>
        <w:tblCellMar>
          <w:left w:w="70" w:type="dxa"/>
          <w:right w:w="70" w:type="dxa"/>
        </w:tblCellMar>
        <w:tblLook w:val="04A0"/>
      </w:tblPr>
      <w:tblGrid>
        <w:gridCol w:w="3824"/>
        <w:gridCol w:w="860"/>
        <w:gridCol w:w="860"/>
        <w:gridCol w:w="860"/>
        <w:gridCol w:w="1025"/>
        <w:gridCol w:w="860"/>
        <w:gridCol w:w="569"/>
      </w:tblGrid>
      <w:tr>
        <w:tblPrEx>
          <w:tblW w:w="0" w:type="auto"/>
          <w:tblInd w:w="70" w:type="dxa"/>
          <w:tblCellMar>
            <w:left w:w="70" w:type="dxa"/>
            <w:right w:w="70" w:type="dxa"/>
          </w:tblCellMar>
          <w:tblLook w:val="04A0"/>
        </w:tblPrEx>
        <w:trPr>
          <w:trHeight w:val="297"/>
        </w:trPr>
        <w:tc>
          <w:tcPr>
            <w:tcW w:w="0" w:type="auto"/>
            <w:gridSpan w:val="7"/>
            <w:tcBorders>
              <w:top w:val="nil"/>
              <w:left w:val="single" w:sz="8" w:space="0" w:color="auto"/>
              <w:bottom w:val="nil"/>
              <w:right w:val="nil"/>
            </w:tcBorders>
            <w:shd w:val="clear" w:color="000000" w:fill="000000"/>
            <w:textDirection w:val="lrTb"/>
            <w:vAlign w:val="center"/>
            <w:hideMark/>
          </w:tcPr>
          <w:p w:rsidR="00CF6C2F" w:rsidRPr="00C76542" w:rsidP="00CF6C2F">
            <w:pPr>
              <w:bidi w:val="0"/>
              <w:rPr>
                <w:rFonts w:ascii="Times New Roman" w:hAnsi="Times New Roman"/>
                <w:b/>
                <w:bCs/>
                <w:color w:val="FFFFFF"/>
                <w:sz w:val="18"/>
                <w:szCs w:val="18"/>
              </w:rPr>
            </w:pPr>
            <w:r w:rsidRPr="00C76542">
              <w:rPr>
                <w:rFonts w:ascii="Times New Roman" w:hAnsi="Times New Roman"/>
                <w:b/>
                <w:bCs/>
                <w:color w:val="FFFFFF"/>
                <w:sz w:val="18"/>
                <w:szCs w:val="18"/>
              </w:rPr>
              <w:t>Kapitálové výdavky v základnej ekonomickej štruktúre</w:t>
            </w:r>
            <w:r>
              <w:rPr>
                <w:rFonts w:ascii="Times New Roman" w:hAnsi="Times New Roman"/>
                <w:b/>
                <w:bCs/>
                <w:color w:val="FFFFFF"/>
                <w:sz w:val="18"/>
                <w:szCs w:val="18"/>
              </w:rPr>
              <w:t xml:space="preserve">                                                                              </w:t>
            </w:r>
            <w:r w:rsidRPr="00C76542">
              <w:rPr>
                <w:rFonts w:ascii="Times New Roman" w:hAnsi="Times New Roman"/>
                <w:b/>
                <w:bCs/>
                <w:color w:val="FFFFFF"/>
                <w:sz w:val="18"/>
                <w:szCs w:val="18"/>
              </w:rPr>
              <w:t>v tis.</w:t>
            </w:r>
            <w:r>
              <w:rPr>
                <w:rFonts w:ascii="Times New Roman" w:hAnsi="Times New Roman"/>
                <w:b/>
                <w:bCs/>
                <w:color w:val="FFFFFF"/>
                <w:sz w:val="18"/>
                <w:szCs w:val="18"/>
              </w:rPr>
              <w:t xml:space="preserve"> </w:t>
            </w:r>
            <w:r w:rsidRPr="00C76542">
              <w:rPr>
                <w:rFonts w:ascii="Times New Roman" w:hAnsi="Times New Roman"/>
                <w:b/>
                <w:bCs/>
                <w:color w:val="FFFFFF"/>
                <w:sz w:val="18"/>
                <w:szCs w:val="18"/>
              </w:rPr>
              <w:t>eur</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shd w:val="clear" w:color="000000" w:fill="BFBFBF"/>
            <w:textDirection w:val="lrTb"/>
            <w:vAlign w:val="center"/>
            <w:hideMark/>
          </w:tcPr>
          <w:p w:rsidR="00E22DF3" w:rsidRPr="00C76542" w:rsidP="00BF4C28">
            <w:pPr>
              <w:bidi w:val="0"/>
              <w:rPr>
                <w:rFonts w:ascii="Times New Roman" w:hAnsi="Times New Roman"/>
                <w:b/>
                <w:bCs/>
                <w:color w:val="FFFFFF"/>
                <w:sz w:val="18"/>
                <w:szCs w:val="18"/>
              </w:rPr>
            </w:pPr>
            <w:r w:rsidRPr="00C76542">
              <w:rPr>
                <w:rFonts w:ascii="Times New Roman" w:hAnsi="Times New Roman"/>
                <w:b/>
                <w:bCs/>
                <w:color w:val="FFFFFF"/>
                <w:sz w:val="18"/>
                <w:szCs w:val="18"/>
              </w:rPr>
              <w:t> </w:t>
            </w:r>
          </w:p>
        </w:tc>
        <w:tc>
          <w:tcPr>
            <w:tcW w:w="0" w:type="auto"/>
            <w:gridSpan w:val="2"/>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Rozpočet</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Skutočnosť</w:t>
            </w:r>
          </w:p>
        </w:tc>
        <w:tc>
          <w:tcPr>
            <w:tcW w:w="0" w:type="auto"/>
            <w:gridSpan w:val="2"/>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Rozdiel</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sz w:val="18"/>
                <w:szCs w:val="18"/>
              </w:rPr>
            </w:pPr>
            <w:r w:rsidRPr="00C76542">
              <w:rPr>
                <w:rFonts w:ascii="Times New Roman" w:hAnsi="Times New Roman"/>
                <w:b/>
                <w:bCs/>
                <w:sz w:val="18"/>
                <w:szCs w:val="18"/>
              </w:rPr>
              <w:t> </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2013</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 xml:space="preserve"> v tis. eur</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color w:val="000000"/>
                <w:sz w:val="18"/>
                <w:szCs w:val="18"/>
              </w:rPr>
            </w:pPr>
            <w:r w:rsidRPr="00C76542">
              <w:rPr>
                <w:rFonts w:ascii="Times New Roman" w:hAnsi="Times New Roman"/>
                <w:b/>
                <w:bCs/>
                <w:color w:val="000000"/>
                <w:sz w:val="18"/>
                <w:szCs w:val="18"/>
              </w:rPr>
              <w:t>v %</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shd w:val="clear" w:color="000000" w:fill="BFBFBF"/>
            <w:textDirection w:val="lrTb"/>
            <w:vAlign w:val="center"/>
            <w:hideMark/>
          </w:tcPr>
          <w:p w:rsidR="00E22DF3" w:rsidRPr="00C76542" w:rsidP="00BF4C28">
            <w:pPr>
              <w:bidi w:val="0"/>
              <w:rPr>
                <w:rFonts w:ascii="Times New Roman" w:hAnsi="Times New Roman"/>
                <w:b/>
                <w:bCs/>
                <w:color w:val="FFFFFF"/>
                <w:sz w:val="18"/>
                <w:szCs w:val="18"/>
              </w:rPr>
            </w:pPr>
            <w:r w:rsidRPr="00C76542">
              <w:rPr>
                <w:rFonts w:ascii="Times New Roman" w:hAnsi="Times New Roman"/>
                <w:b/>
                <w:bCs/>
                <w:color w:val="FFFFFF"/>
                <w:sz w:val="18"/>
                <w:szCs w:val="18"/>
              </w:rPr>
              <w:t> </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sz w:val="18"/>
                <w:szCs w:val="18"/>
              </w:rPr>
            </w:pPr>
            <w:r w:rsidRPr="00C76542">
              <w:rPr>
                <w:rFonts w:ascii="Times New Roman" w:hAnsi="Times New Roman"/>
                <w:b/>
                <w:bCs/>
                <w:sz w:val="18"/>
                <w:szCs w:val="18"/>
              </w:rPr>
              <w:t>1</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sz w:val="18"/>
                <w:szCs w:val="18"/>
              </w:rPr>
            </w:pPr>
            <w:r w:rsidRPr="00C76542">
              <w:rPr>
                <w:rFonts w:ascii="Times New Roman" w:hAnsi="Times New Roman"/>
                <w:b/>
                <w:bCs/>
                <w:sz w:val="18"/>
                <w:szCs w:val="18"/>
              </w:rPr>
              <w:t>2</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sz w:val="18"/>
                <w:szCs w:val="18"/>
              </w:rPr>
            </w:pPr>
            <w:r w:rsidRPr="00C76542">
              <w:rPr>
                <w:rFonts w:ascii="Times New Roman" w:hAnsi="Times New Roman"/>
                <w:b/>
                <w:bCs/>
                <w:sz w:val="18"/>
                <w:szCs w:val="18"/>
              </w:rPr>
              <w:t>3</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sz w:val="18"/>
                <w:szCs w:val="18"/>
              </w:rPr>
            </w:pPr>
            <w:r w:rsidRPr="00C76542">
              <w:rPr>
                <w:rFonts w:ascii="Times New Roman" w:hAnsi="Times New Roman"/>
                <w:b/>
                <w:bCs/>
                <w:sz w:val="18"/>
                <w:szCs w:val="18"/>
              </w:rPr>
              <w:t>4</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sz w:val="18"/>
                <w:szCs w:val="18"/>
              </w:rPr>
            </w:pPr>
            <w:r w:rsidRPr="00C76542">
              <w:rPr>
                <w:rFonts w:ascii="Times New Roman" w:hAnsi="Times New Roman"/>
                <w:b/>
                <w:bCs/>
                <w:sz w:val="18"/>
                <w:szCs w:val="18"/>
              </w:rPr>
              <w:t>5=4-3</w:t>
            </w:r>
          </w:p>
        </w:tc>
        <w:tc>
          <w:tcPr>
            <w:tcW w:w="0" w:type="auto"/>
            <w:tcBorders>
              <w:top w:val="nil"/>
              <w:left w:val="nil"/>
              <w:bottom w:val="nil"/>
              <w:right w:val="nil"/>
            </w:tcBorders>
            <w:shd w:val="clear" w:color="000000" w:fill="BFBFBF"/>
            <w:textDirection w:val="lrTb"/>
            <w:vAlign w:val="center"/>
            <w:hideMark/>
          </w:tcPr>
          <w:p w:rsidR="00E22DF3" w:rsidRPr="00C76542" w:rsidP="00BF4C28">
            <w:pPr>
              <w:bidi w:val="0"/>
              <w:jc w:val="center"/>
              <w:rPr>
                <w:rFonts w:ascii="Times New Roman" w:hAnsi="Times New Roman"/>
                <w:b/>
                <w:bCs/>
                <w:sz w:val="18"/>
                <w:szCs w:val="18"/>
              </w:rPr>
            </w:pPr>
            <w:r w:rsidRPr="00C76542">
              <w:rPr>
                <w:rFonts w:ascii="Times New Roman" w:hAnsi="Times New Roman"/>
                <w:b/>
                <w:bCs/>
                <w:sz w:val="18"/>
                <w:szCs w:val="18"/>
              </w:rPr>
              <w:t>6=4-3</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17680C" w:rsidP="00BF4C28">
            <w:pPr>
              <w:bidi w:val="0"/>
              <w:rPr>
                <w:rFonts w:ascii="Times New Roman" w:hAnsi="Times New Roman"/>
                <w:b/>
                <w:color w:val="000000"/>
                <w:sz w:val="18"/>
                <w:szCs w:val="18"/>
              </w:rPr>
            </w:pPr>
            <w:r w:rsidRPr="0017680C">
              <w:rPr>
                <w:rFonts w:ascii="Times New Roman" w:hAnsi="Times New Roman"/>
                <w:b/>
                <w:color w:val="000000"/>
                <w:sz w:val="18"/>
                <w:szCs w:val="18"/>
              </w:rPr>
              <w:t>Obstarávanie kapitálových aktív</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441 796</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510 435</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363 674</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1 289 260</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925 586</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254,5</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color w:val="000000"/>
                <w:sz w:val="18"/>
                <w:szCs w:val="18"/>
              </w:rPr>
            </w:pPr>
            <w:r w:rsidRPr="00C76542">
              <w:rPr>
                <w:rFonts w:ascii="Times New Roman" w:hAnsi="Times New Roman"/>
                <w:color w:val="000000"/>
                <w:sz w:val="18"/>
                <w:szCs w:val="18"/>
              </w:rPr>
              <w:t xml:space="preserve">v tom: </w:t>
            </w:r>
          </w:p>
        </w:tc>
        <w:tc>
          <w:tcPr>
            <w:tcW w:w="0" w:type="auto"/>
            <w:tcBorders>
              <w:top w:val="nil"/>
              <w:left w:val="nil"/>
              <w:bottom w:val="nil"/>
              <w:right w:val="nil"/>
            </w:tcBorders>
            <w:shd w:val="clear" w:color="000000" w:fill="FFFFFF"/>
            <w:noWrap/>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FFFFFF"/>
            <w:noWrap/>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FFFFFF"/>
            <w:noWrap/>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BFBFBF"/>
            <w:noWrap/>
            <w:textDirection w:val="lrTb"/>
            <w:vAlign w:val="center"/>
            <w:hideMark/>
          </w:tcPr>
          <w:p w:rsidR="00E22DF3" w:rsidRPr="00C76542" w:rsidP="00BF4C28">
            <w:pPr>
              <w:bidi w:val="0"/>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FFFFFF"/>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FFFFFF"/>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r>
      <w:tr>
        <w:tblPrEx>
          <w:tblW w:w="0" w:type="auto"/>
          <w:tblInd w:w="70" w:type="dxa"/>
          <w:tblCellMar>
            <w:left w:w="70" w:type="dxa"/>
            <w:right w:w="70" w:type="dxa"/>
          </w:tblCellMar>
          <w:tblLook w:val="04A0"/>
        </w:tblPrEx>
        <w:trPr>
          <w:trHeight w:val="301"/>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realizácia stavieb a ich technického zhodnotenia</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101 585</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150 377</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125 721</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415 862</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290 141</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230,8</w:t>
            </w:r>
          </w:p>
        </w:tc>
      </w:tr>
      <w:tr>
        <w:tblPrEx>
          <w:tblW w:w="0" w:type="auto"/>
          <w:tblInd w:w="70" w:type="dxa"/>
          <w:tblCellMar>
            <w:left w:w="70" w:type="dxa"/>
            <w:right w:w="70" w:type="dxa"/>
          </w:tblCellMar>
          <w:tblLook w:val="04A0"/>
        </w:tblPrEx>
        <w:trPr>
          <w:trHeight w:val="278"/>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nákup strojov, prístrojov, zariadení, techniky</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102 316</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117 008</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103 771</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286 033</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182 262</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175,6</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nákup pozemkov a nehmotných aktív</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159 569</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133 165</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58 142</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272 243</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214 101</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368,2</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nákup dopr. prostriedkov</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39 693</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54 814</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38 811</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236 566</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197 755</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509,5</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ost. kapitálové výdavky</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19 531</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55 026</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36 429</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74 017</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37 588</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103,2</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nákup budov, objektov a ich častí</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19 102</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45</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800</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4 539</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3 739</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467,4</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17680C" w:rsidP="00BF4C28">
            <w:pPr>
              <w:bidi w:val="0"/>
              <w:rPr>
                <w:rFonts w:ascii="Times New Roman" w:hAnsi="Times New Roman"/>
                <w:b/>
                <w:color w:val="000000"/>
                <w:sz w:val="18"/>
                <w:szCs w:val="18"/>
              </w:rPr>
            </w:pPr>
            <w:r w:rsidRPr="0017680C">
              <w:rPr>
                <w:rFonts w:ascii="Times New Roman" w:hAnsi="Times New Roman"/>
                <w:b/>
                <w:color w:val="000000"/>
                <w:sz w:val="18"/>
                <w:szCs w:val="18"/>
              </w:rPr>
              <w:t>Kapitálové transfery</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1 413 646</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1 468 653</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2 183 159</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3 378 828</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1 195 669</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b/>
                <w:color w:val="000000"/>
                <w:sz w:val="18"/>
                <w:szCs w:val="18"/>
              </w:rPr>
            </w:pPr>
            <w:r w:rsidRPr="0017680C">
              <w:rPr>
                <w:rFonts w:ascii="Times New Roman" w:hAnsi="Times New Roman"/>
                <w:b/>
                <w:color w:val="000000"/>
                <w:sz w:val="18"/>
                <w:szCs w:val="18"/>
              </w:rPr>
              <w:t>54,8</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color w:val="000000"/>
                <w:sz w:val="18"/>
                <w:szCs w:val="18"/>
              </w:rPr>
            </w:pPr>
            <w:r w:rsidRPr="00C76542">
              <w:rPr>
                <w:rFonts w:ascii="Times New Roman" w:hAnsi="Times New Roman"/>
                <w:color w:val="000000"/>
                <w:sz w:val="18"/>
                <w:szCs w:val="18"/>
              </w:rPr>
              <w:t xml:space="preserve">v tom: </w:t>
            </w:r>
          </w:p>
        </w:tc>
        <w:tc>
          <w:tcPr>
            <w:tcW w:w="0" w:type="auto"/>
            <w:tcBorders>
              <w:top w:val="nil"/>
              <w:left w:val="nil"/>
              <w:bottom w:val="nil"/>
              <w:right w:val="nil"/>
            </w:tcBorders>
            <w:shd w:val="clear" w:color="000000" w:fill="FFFFFF"/>
            <w:noWrap/>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FFFFFF"/>
            <w:noWrap/>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FFFFFF"/>
            <w:noWrap/>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BFBFBF"/>
            <w:noWrap/>
            <w:textDirection w:val="lrTb"/>
            <w:vAlign w:val="center"/>
            <w:hideMark/>
          </w:tcPr>
          <w:p w:rsidR="00E22DF3" w:rsidRPr="00C76542" w:rsidP="00BF4C28">
            <w:pPr>
              <w:bidi w:val="0"/>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FFFFFF"/>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c>
          <w:tcPr>
            <w:tcW w:w="0" w:type="auto"/>
            <w:tcBorders>
              <w:top w:val="nil"/>
              <w:left w:val="nil"/>
              <w:bottom w:val="nil"/>
              <w:right w:val="nil"/>
            </w:tcBorders>
            <w:shd w:val="clear" w:color="000000" w:fill="FFFFFF"/>
            <w:textDirection w:val="lrTb"/>
            <w:vAlign w:val="center"/>
            <w:hideMark/>
          </w:tcPr>
          <w:p w:rsidR="00E22DF3" w:rsidRPr="00C76542" w:rsidP="00BF4C28">
            <w:pPr>
              <w:bidi w:val="0"/>
              <w:jc w:val="right"/>
              <w:rPr>
                <w:rFonts w:ascii="Times New Roman" w:hAnsi="Times New Roman"/>
                <w:color w:val="000000"/>
                <w:sz w:val="18"/>
                <w:szCs w:val="18"/>
              </w:rPr>
            </w:pPr>
            <w:r w:rsidRPr="00C76542">
              <w:rPr>
                <w:rFonts w:ascii="Times New Roman" w:hAnsi="Times New Roman"/>
                <w:color w:val="000000"/>
                <w:sz w:val="18"/>
                <w:szCs w:val="18"/>
              </w:rPr>
              <w:t> </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v rámci verejnej správy</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518 087</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1 142 183</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1 318 174</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2 321 559</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1 003 385</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76,1</w:t>
            </w:r>
          </w:p>
        </w:tc>
      </w:tr>
      <w:tr>
        <w:tblPrEx>
          <w:tblW w:w="0" w:type="auto"/>
          <w:tblInd w:w="70" w:type="dxa"/>
          <w:tblCellMar>
            <w:left w:w="70" w:type="dxa"/>
            <w:right w:w="70" w:type="dxa"/>
          </w:tblCellMar>
          <w:tblLook w:val="04A0"/>
        </w:tblPrEx>
        <w:trPr>
          <w:trHeight w:val="325"/>
        </w:trPr>
        <w:tc>
          <w:tcPr>
            <w:tcW w:w="0" w:type="auto"/>
            <w:tcBorders>
              <w:top w:val="nil"/>
              <w:left w:val="nil"/>
              <w:bottom w:val="nil"/>
              <w:right w:val="nil"/>
            </w:tcBorders>
            <w:textDirection w:val="lrTb"/>
            <w:vAlign w:val="center"/>
            <w:hideMark/>
          </w:tcPr>
          <w:p w:rsidR="00E22DF3" w:rsidRPr="00C76542" w:rsidP="008614FE">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nefin. subjektom a PO, nezaradeným vo verejne</w:t>
            </w:r>
            <w:r w:rsidR="008614FE">
              <w:rPr>
                <w:rFonts w:ascii="Times New Roman" w:hAnsi="Times New Roman"/>
                <w:i/>
                <w:iCs/>
                <w:color w:val="000000"/>
                <w:sz w:val="18"/>
                <w:szCs w:val="18"/>
              </w:rPr>
              <w:t xml:space="preserve">j </w:t>
            </w:r>
            <w:r w:rsidRPr="00C76542">
              <w:rPr>
                <w:rFonts w:ascii="Times New Roman" w:hAnsi="Times New Roman"/>
                <w:i/>
                <w:iCs/>
                <w:color w:val="000000"/>
                <w:sz w:val="18"/>
                <w:szCs w:val="18"/>
              </w:rPr>
              <w:t>správe</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852 426</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303 272</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804 510</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987 438</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182 928</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22,7</w:t>
            </w:r>
          </w:p>
        </w:tc>
      </w:tr>
      <w:tr>
        <w:tblPrEx>
          <w:tblW w:w="0" w:type="auto"/>
          <w:tblInd w:w="70" w:type="dxa"/>
          <w:tblCellMar>
            <w:left w:w="70" w:type="dxa"/>
            <w:right w:w="70" w:type="dxa"/>
          </w:tblCellMar>
          <w:tblLook w:val="04A0"/>
        </w:tblPrEx>
        <w:trPr>
          <w:trHeight w:val="346"/>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jednotlivcom a neziskovým právnickým osobám</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38 856</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22 303</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57 752</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31 684</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-26 068</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-45,1</w:t>
            </w:r>
          </w:p>
        </w:tc>
      </w:tr>
      <w:tr>
        <w:tblPrEx>
          <w:tblW w:w="0" w:type="auto"/>
          <w:tblInd w:w="70" w:type="dxa"/>
          <w:tblCellMar>
            <w:left w:w="70" w:type="dxa"/>
            <w:right w:w="70" w:type="dxa"/>
          </w:tblCellMar>
          <w:tblLook w:val="04A0"/>
        </w:tblPrEx>
        <w:trPr>
          <w:trHeight w:val="297"/>
        </w:trPr>
        <w:tc>
          <w:tcPr>
            <w:tcW w:w="0" w:type="auto"/>
            <w:tcBorders>
              <w:top w:val="nil"/>
              <w:left w:val="nil"/>
              <w:bottom w:val="nil"/>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DF5CB2">
              <w:rPr>
                <w:rFonts w:ascii="Times New Roman" w:hAnsi="Times New Roman"/>
                <w:i/>
                <w:iCs/>
                <w:color w:val="000000"/>
                <w:sz w:val="18"/>
                <w:szCs w:val="18"/>
              </w:rPr>
              <w:t xml:space="preserve">   </w:t>
            </w:r>
            <w:r w:rsidRPr="00C76542">
              <w:rPr>
                <w:rFonts w:ascii="Times New Roman" w:hAnsi="Times New Roman"/>
                <w:i/>
                <w:iCs/>
                <w:color w:val="000000"/>
                <w:sz w:val="18"/>
                <w:szCs w:val="18"/>
              </w:rPr>
              <w:t>transfery finančným inštitúciám</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35 000</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35 000</w:t>
            </w:r>
          </w:p>
        </w:tc>
        <w:tc>
          <w:tcPr>
            <w:tcW w:w="0" w:type="auto"/>
            <w:tcBorders>
              <w:top w:val="nil"/>
              <w:left w:val="nil"/>
              <w:bottom w:val="nil"/>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w:t>
            </w:r>
          </w:p>
        </w:tc>
      </w:tr>
      <w:tr>
        <w:tblPrEx>
          <w:tblW w:w="0" w:type="auto"/>
          <w:tblInd w:w="70" w:type="dxa"/>
          <w:tblCellMar>
            <w:left w:w="70" w:type="dxa"/>
            <w:right w:w="70" w:type="dxa"/>
          </w:tblCellMar>
          <w:tblLook w:val="04A0"/>
        </w:tblPrEx>
        <w:trPr>
          <w:trHeight w:val="297"/>
        </w:trPr>
        <w:tc>
          <w:tcPr>
            <w:tcW w:w="0" w:type="auto"/>
            <w:tcBorders>
              <w:top w:val="nil"/>
              <w:left w:val="nil"/>
              <w:bottom w:val="single" w:sz="4" w:space="0" w:color="auto"/>
              <w:right w:val="nil"/>
            </w:tcBorders>
            <w:textDirection w:val="lrTb"/>
            <w:vAlign w:val="center"/>
            <w:hideMark/>
          </w:tcPr>
          <w:p w:rsidR="00E22DF3" w:rsidRPr="00C76542" w:rsidP="00BF4C28">
            <w:pPr>
              <w:bidi w:val="0"/>
              <w:rPr>
                <w:rFonts w:ascii="Times New Roman" w:hAnsi="Times New Roman"/>
                <w:i/>
                <w:iCs/>
                <w:color w:val="000000"/>
                <w:sz w:val="18"/>
                <w:szCs w:val="18"/>
              </w:rPr>
            </w:pPr>
            <w:r w:rsidR="008614FE">
              <w:rPr>
                <w:rFonts w:ascii="Times New Roman" w:hAnsi="Times New Roman"/>
                <w:i/>
                <w:iCs/>
                <w:color w:val="000000"/>
                <w:sz w:val="18"/>
                <w:szCs w:val="18"/>
              </w:rPr>
              <w:t xml:space="preserve">   </w:t>
            </w:r>
            <w:r w:rsidRPr="00C76542">
              <w:rPr>
                <w:rFonts w:ascii="Times New Roman" w:hAnsi="Times New Roman"/>
                <w:i/>
                <w:iCs/>
                <w:color w:val="000000"/>
                <w:sz w:val="18"/>
                <w:szCs w:val="18"/>
              </w:rPr>
              <w:t>do zahraničia</w:t>
            </w:r>
          </w:p>
        </w:tc>
        <w:tc>
          <w:tcPr>
            <w:tcW w:w="0" w:type="auto"/>
            <w:tcBorders>
              <w:top w:val="nil"/>
              <w:left w:val="nil"/>
              <w:bottom w:val="single" w:sz="4" w:space="0" w:color="auto"/>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4 277</w:t>
            </w:r>
          </w:p>
        </w:tc>
        <w:tc>
          <w:tcPr>
            <w:tcW w:w="0" w:type="auto"/>
            <w:tcBorders>
              <w:top w:val="nil"/>
              <w:left w:val="nil"/>
              <w:bottom w:val="single" w:sz="4" w:space="0" w:color="auto"/>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895</w:t>
            </w:r>
          </w:p>
        </w:tc>
        <w:tc>
          <w:tcPr>
            <w:tcW w:w="0" w:type="auto"/>
            <w:tcBorders>
              <w:top w:val="nil"/>
              <w:left w:val="nil"/>
              <w:bottom w:val="single" w:sz="4" w:space="0" w:color="auto"/>
              <w:right w:val="nil"/>
            </w:tcBorders>
            <w:shd w:val="clear" w:color="000000" w:fill="FFFFF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2 723</w:t>
            </w:r>
          </w:p>
        </w:tc>
        <w:tc>
          <w:tcPr>
            <w:tcW w:w="0" w:type="auto"/>
            <w:tcBorders>
              <w:top w:val="nil"/>
              <w:left w:val="nil"/>
              <w:bottom w:val="single" w:sz="4" w:space="0" w:color="auto"/>
              <w:right w:val="nil"/>
            </w:tcBorders>
            <w:shd w:val="clear" w:color="000000" w:fill="BFBFBF"/>
            <w:noWrap/>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3 147</w:t>
            </w:r>
          </w:p>
        </w:tc>
        <w:tc>
          <w:tcPr>
            <w:tcW w:w="0" w:type="auto"/>
            <w:tcBorders>
              <w:top w:val="nil"/>
              <w:left w:val="nil"/>
              <w:bottom w:val="single" w:sz="4" w:space="0" w:color="auto"/>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424</w:t>
            </w:r>
          </w:p>
        </w:tc>
        <w:tc>
          <w:tcPr>
            <w:tcW w:w="0" w:type="auto"/>
            <w:tcBorders>
              <w:top w:val="nil"/>
              <w:left w:val="nil"/>
              <w:bottom w:val="single" w:sz="4" w:space="0" w:color="auto"/>
              <w:right w:val="nil"/>
            </w:tcBorders>
            <w:shd w:val="clear" w:color="000000" w:fill="FFFFFF"/>
            <w:textDirection w:val="lrTb"/>
            <w:vAlign w:val="center"/>
            <w:hideMark/>
          </w:tcPr>
          <w:p w:rsidR="00E22DF3" w:rsidRPr="0017680C" w:rsidP="00BF4C28">
            <w:pPr>
              <w:bidi w:val="0"/>
              <w:jc w:val="right"/>
              <w:rPr>
                <w:rFonts w:ascii="Times New Roman" w:hAnsi="Times New Roman"/>
                <w:i/>
                <w:color w:val="000000"/>
                <w:sz w:val="18"/>
                <w:szCs w:val="18"/>
              </w:rPr>
            </w:pPr>
            <w:r w:rsidRPr="0017680C">
              <w:rPr>
                <w:rFonts w:ascii="Times New Roman" w:hAnsi="Times New Roman"/>
                <w:i/>
                <w:color w:val="000000"/>
                <w:sz w:val="18"/>
                <w:szCs w:val="18"/>
              </w:rPr>
              <w:t>15,6</w:t>
            </w:r>
          </w:p>
        </w:tc>
      </w:tr>
      <w:tr>
        <w:tblPrEx>
          <w:tblW w:w="0" w:type="auto"/>
          <w:tblInd w:w="70" w:type="dxa"/>
          <w:tblCellMar>
            <w:left w:w="70" w:type="dxa"/>
            <w:right w:w="70" w:type="dxa"/>
          </w:tblCellMar>
          <w:tblLook w:val="04A0"/>
        </w:tblPrEx>
        <w:trPr>
          <w:trHeight w:val="297"/>
        </w:trPr>
        <w:tc>
          <w:tcPr>
            <w:tcW w:w="0" w:type="auto"/>
            <w:tcBorders>
              <w:top w:val="nil"/>
              <w:left w:val="nil"/>
              <w:bottom w:val="single" w:sz="8" w:space="0" w:color="auto"/>
              <w:right w:val="nil"/>
            </w:tcBorders>
            <w:shd w:val="clear" w:color="000000" w:fill="FFFFFF"/>
            <w:noWrap/>
            <w:textDirection w:val="lrTb"/>
            <w:vAlign w:val="center"/>
            <w:hideMark/>
          </w:tcPr>
          <w:p w:rsidR="00E22DF3" w:rsidRPr="00C76542" w:rsidP="00BF4C28">
            <w:pPr>
              <w:bidi w:val="0"/>
              <w:rPr>
                <w:rFonts w:ascii="Times New Roman" w:hAnsi="Times New Roman"/>
                <w:b/>
                <w:bCs/>
                <w:color w:val="000000"/>
                <w:sz w:val="18"/>
                <w:szCs w:val="18"/>
              </w:rPr>
            </w:pPr>
            <w:r w:rsidRPr="00C76542">
              <w:rPr>
                <w:rFonts w:ascii="Times New Roman" w:hAnsi="Times New Roman"/>
                <w:b/>
                <w:bCs/>
                <w:color w:val="000000"/>
                <w:sz w:val="18"/>
                <w:szCs w:val="18"/>
              </w:rPr>
              <w:t>Spolu</w:t>
            </w:r>
          </w:p>
        </w:tc>
        <w:tc>
          <w:tcPr>
            <w:tcW w:w="0" w:type="auto"/>
            <w:tcBorders>
              <w:top w:val="nil"/>
              <w:left w:val="nil"/>
              <w:bottom w:val="single" w:sz="8" w:space="0" w:color="auto"/>
              <w:right w:val="nil"/>
            </w:tcBorders>
            <w:shd w:val="clear" w:color="000000" w:fill="FFFFFF"/>
            <w:noWrap/>
            <w:textDirection w:val="lrTb"/>
            <w:vAlign w:val="center"/>
            <w:hideMark/>
          </w:tcPr>
          <w:p w:rsidR="00E22DF3" w:rsidRPr="00C76542" w:rsidP="00BF4C28">
            <w:pPr>
              <w:bidi w:val="0"/>
              <w:jc w:val="right"/>
              <w:rPr>
                <w:rFonts w:ascii="Times New Roman" w:hAnsi="Times New Roman"/>
                <w:b/>
                <w:bCs/>
                <w:color w:val="000000"/>
                <w:sz w:val="18"/>
                <w:szCs w:val="18"/>
              </w:rPr>
            </w:pPr>
            <w:r w:rsidRPr="00C76542">
              <w:rPr>
                <w:rFonts w:ascii="Times New Roman" w:hAnsi="Times New Roman"/>
                <w:b/>
                <w:bCs/>
                <w:color w:val="000000"/>
                <w:sz w:val="18"/>
                <w:szCs w:val="18"/>
              </w:rPr>
              <w:t>1 855 442</w:t>
            </w:r>
          </w:p>
        </w:tc>
        <w:tc>
          <w:tcPr>
            <w:tcW w:w="0" w:type="auto"/>
            <w:tcBorders>
              <w:top w:val="nil"/>
              <w:left w:val="nil"/>
              <w:bottom w:val="single" w:sz="8" w:space="0" w:color="auto"/>
              <w:right w:val="nil"/>
            </w:tcBorders>
            <w:shd w:val="clear" w:color="000000" w:fill="FFFFFF"/>
            <w:noWrap/>
            <w:textDirection w:val="lrTb"/>
            <w:vAlign w:val="center"/>
            <w:hideMark/>
          </w:tcPr>
          <w:p w:rsidR="00E22DF3" w:rsidRPr="00C76542" w:rsidP="00BF4C28">
            <w:pPr>
              <w:bidi w:val="0"/>
              <w:jc w:val="right"/>
              <w:rPr>
                <w:rFonts w:ascii="Times New Roman" w:hAnsi="Times New Roman"/>
                <w:b/>
                <w:bCs/>
                <w:color w:val="000000"/>
                <w:sz w:val="18"/>
                <w:szCs w:val="18"/>
              </w:rPr>
            </w:pPr>
            <w:r w:rsidRPr="00C76542">
              <w:rPr>
                <w:rFonts w:ascii="Times New Roman" w:hAnsi="Times New Roman"/>
                <w:b/>
                <w:bCs/>
                <w:color w:val="000000"/>
                <w:sz w:val="18"/>
                <w:szCs w:val="18"/>
              </w:rPr>
              <w:t>1 979 088</w:t>
            </w:r>
          </w:p>
        </w:tc>
        <w:tc>
          <w:tcPr>
            <w:tcW w:w="0" w:type="auto"/>
            <w:tcBorders>
              <w:top w:val="nil"/>
              <w:left w:val="nil"/>
              <w:bottom w:val="single" w:sz="8" w:space="0" w:color="auto"/>
              <w:right w:val="nil"/>
            </w:tcBorders>
            <w:shd w:val="clear" w:color="000000" w:fill="FFFFFF"/>
            <w:noWrap/>
            <w:textDirection w:val="lrTb"/>
            <w:vAlign w:val="center"/>
            <w:hideMark/>
          </w:tcPr>
          <w:p w:rsidR="00E22DF3" w:rsidRPr="00C76542" w:rsidP="00BF4C28">
            <w:pPr>
              <w:bidi w:val="0"/>
              <w:jc w:val="right"/>
              <w:rPr>
                <w:rFonts w:ascii="Times New Roman" w:hAnsi="Times New Roman"/>
                <w:b/>
                <w:bCs/>
                <w:color w:val="000000"/>
                <w:sz w:val="18"/>
                <w:szCs w:val="18"/>
              </w:rPr>
            </w:pPr>
            <w:r w:rsidRPr="00C76542">
              <w:rPr>
                <w:rFonts w:ascii="Times New Roman" w:hAnsi="Times New Roman"/>
                <w:b/>
                <w:bCs/>
                <w:color w:val="000000"/>
                <w:sz w:val="18"/>
                <w:szCs w:val="18"/>
              </w:rPr>
              <w:t>2 546 833</w:t>
            </w:r>
          </w:p>
        </w:tc>
        <w:tc>
          <w:tcPr>
            <w:tcW w:w="0" w:type="auto"/>
            <w:tcBorders>
              <w:top w:val="nil"/>
              <w:left w:val="nil"/>
              <w:bottom w:val="single" w:sz="8" w:space="0" w:color="auto"/>
              <w:right w:val="nil"/>
            </w:tcBorders>
            <w:shd w:val="clear" w:color="000000" w:fill="BFBFBF"/>
            <w:noWrap/>
            <w:textDirection w:val="lrTb"/>
            <w:vAlign w:val="center"/>
            <w:hideMark/>
          </w:tcPr>
          <w:p w:rsidR="00E22DF3" w:rsidRPr="00C76542" w:rsidP="00BF4C28">
            <w:pPr>
              <w:bidi w:val="0"/>
              <w:jc w:val="right"/>
              <w:rPr>
                <w:rFonts w:ascii="Times New Roman" w:hAnsi="Times New Roman"/>
                <w:b/>
                <w:bCs/>
                <w:color w:val="000000"/>
                <w:sz w:val="18"/>
                <w:szCs w:val="18"/>
              </w:rPr>
            </w:pPr>
            <w:r w:rsidRPr="00C76542">
              <w:rPr>
                <w:rFonts w:ascii="Times New Roman" w:hAnsi="Times New Roman"/>
                <w:b/>
                <w:bCs/>
                <w:color w:val="000000"/>
                <w:sz w:val="18"/>
                <w:szCs w:val="18"/>
              </w:rPr>
              <w:t>4 668 088</w:t>
            </w:r>
          </w:p>
        </w:tc>
        <w:tc>
          <w:tcPr>
            <w:tcW w:w="0" w:type="auto"/>
            <w:tcBorders>
              <w:top w:val="nil"/>
              <w:left w:val="nil"/>
              <w:bottom w:val="single" w:sz="8" w:space="0" w:color="auto"/>
              <w:right w:val="nil"/>
            </w:tcBorders>
            <w:shd w:val="clear" w:color="000000" w:fill="FFFFFF"/>
            <w:noWrap/>
            <w:textDirection w:val="lrTb"/>
            <w:vAlign w:val="center"/>
            <w:hideMark/>
          </w:tcPr>
          <w:p w:rsidR="00E22DF3" w:rsidRPr="00C76542" w:rsidP="00BF4C28">
            <w:pPr>
              <w:bidi w:val="0"/>
              <w:jc w:val="right"/>
              <w:rPr>
                <w:rFonts w:ascii="Times New Roman" w:hAnsi="Times New Roman"/>
                <w:b/>
                <w:bCs/>
                <w:color w:val="000000"/>
                <w:sz w:val="18"/>
                <w:szCs w:val="18"/>
              </w:rPr>
            </w:pPr>
            <w:r w:rsidRPr="00C76542">
              <w:rPr>
                <w:rFonts w:ascii="Times New Roman" w:hAnsi="Times New Roman"/>
                <w:b/>
                <w:bCs/>
                <w:color w:val="000000"/>
                <w:sz w:val="18"/>
                <w:szCs w:val="18"/>
              </w:rPr>
              <w:t>2 121 255</w:t>
            </w:r>
          </w:p>
        </w:tc>
        <w:tc>
          <w:tcPr>
            <w:tcW w:w="0" w:type="auto"/>
            <w:tcBorders>
              <w:top w:val="nil"/>
              <w:left w:val="nil"/>
              <w:bottom w:val="single" w:sz="8" w:space="0" w:color="auto"/>
              <w:right w:val="nil"/>
            </w:tcBorders>
            <w:shd w:val="clear" w:color="000000" w:fill="FFFFFF"/>
            <w:noWrap/>
            <w:textDirection w:val="lrTb"/>
            <w:vAlign w:val="center"/>
            <w:hideMark/>
          </w:tcPr>
          <w:p w:rsidR="00E22DF3" w:rsidRPr="00C76542" w:rsidP="00BF4C28">
            <w:pPr>
              <w:bidi w:val="0"/>
              <w:jc w:val="right"/>
              <w:rPr>
                <w:rFonts w:ascii="Times New Roman" w:hAnsi="Times New Roman"/>
                <w:b/>
                <w:bCs/>
                <w:color w:val="000000"/>
                <w:sz w:val="18"/>
                <w:szCs w:val="18"/>
              </w:rPr>
            </w:pPr>
            <w:r w:rsidRPr="00C76542">
              <w:rPr>
                <w:rFonts w:ascii="Times New Roman" w:hAnsi="Times New Roman"/>
                <w:b/>
                <w:bCs/>
                <w:color w:val="000000"/>
                <w:sz w:val="18"/>
                <w:szCs w:val="18"/>
              </w:rPr>
              <w:t>83,3</w:t>
            </w:r>
          </w:p>
        </w:tc>
      </w:tr>
    </w:tbl>
    <w:p w:rsidR="00E22DF3" w:rsidRPr="00251C7F" w:rsidP="007C7CC2">
      <w:pPr>
        <w:bidi w:val="0"/>
        <w:spacing w:after="120" w:line="336" w:lineRule="auto"/>
        <w:jc w:val="right"/>
        <w:rPr>
          <w:rFonts w:ascii="Times New Roman" w:hAnsi="Times New Roman"/>
          <w:color w:val="000000"/>
          <w:sz w:val="18"/>
          <w:szCs w:val="18"/>
        </w:rPr>
      </w:pPr>
      <w:r w:rsidRPr="00251C7F">
        <w:rPr>
          <w:rFonts w:ascii="Times New Roman" w:hAnsi="Times New Roman"/>
          <w:color w:val="000000"/>
          <w:sz w:val="18"/>
          <w:szCs w:val="18"/>
        </w:rPr>
        <w:t>Zdroj: MF SR</w:t>
      </w:r>
    </w:p>
    <w:p w:rsidR="00E22DF3" w:rsidRPr="006E50E2" w:rsidP="00E22DF3">
      <w:pPr>
        <w:numPr>
          <w:numId w:val="12"/>
        </w:numPr>
        <w:tabs>
          <w:tab w:val="left" w:pos="284"/>
        </w:tabs>
        <w:bidi w:val="0"/>
        <w:spacing w:after="120" w:line="336" w:lineRule="auto"/>
        <w:contextualSpacing/>
        <w:jc w:val="both"/>
        <w:rPr>
          <w:rFonts w:ascii="Times New Roman" w:hAnsi="Times New Roman"/>
          <w:b/>
          <w:sz w:val="22"/>
          <w:szCs w:val="22"/>
          <w:lang w:eastAsia="en-US"/>
        </w:rPr>
      </w:pPr>
      <w:r w:rsidR="00305EAF">
        <w:rPr>
          <w:rFonts w:ascii="Times New Roman" w:hAnsi="Times New Roman"/>
          <w:b/>
          <w:sz w:val="22"/>
          <w:szCs w:val="22"/>
          <w:lang w:eastAsia="en-US"/>
        </w:rPr>
        <w:br w:type="page"/>
      </w:r>
      <w:r w:rsidRPr="006E50E2">
        <w:rPr>
          <w:rFonts w:ascii="Times New Roman" w:hAnsi="Times New Roman"/>
          <w:b/>
          <w:sz w:val="22"/>
          <w:szCs w:val="22"/>
          <w:lang w:eastAsia="en-US"/>
        </w:rPr>
        <w:t>Obstarávanie kapitálových aktív</w:t>
      </w:r>
    </w:p>
    <w:p w:rsidR="00E22DF3" w:rsidP="00E22DF3">
      <w:pPr>
        <w:bidi w:val="0"/>
        <w:spacing w:after="120" w:line="336" w:lineRule="auto"/>
        <w:jc w:val="both"/>
        <w:rPr>
          <w:rFonts w:ascii="Times New Roman" w:hAnsi="Times New Roman"/>
          <w:sz w:val="22"/>
          <w:szCs w:val="22"/>
        </w:rPr>
      </w:pPr>
      <w:r w:rsidRPr="006E50E2">
        <w:rPr>
          <w:rFonts w:ascii="Times New Roman" w:hAnsi="Times New Roman"/>
          <w:sz w:val="22"/>
          <w:szCs w:val="22"/>
        </w:rPr>
        <w:t>Táto kategória je tvorená výdavkami na obstarávanie kapitálových aktív</w:t>
      </w:r>
      <w:r>
        <w:rPr>
          <w:rFonts w:ascii="Times New Roman" w:hAnsi="Times New Roman"/>
          <w:sz w:val="22"/>
          <w:szCs w:val="22"/>
        </w:rPr>
        <w:t>, t. j. hmotného a nehmotného majetku</w:t>
      </w:r>
      <w:r w:rsidR="00B31B77">
        <w:rPr>
          <w:rFonts w:ascii="Times New Roman" w:hAnsi="Times New Roman"/>
          <w:sz w:val="22"/>
          <w:szCs w:val="22"/>
        </w:rPr>
        <w:t>.</w:t>
      </w:r>
      <w:r w:rsidRPr="006E50E2">
        <w:rPr>
          <w:rFonts w:ascii="Times New Roman" w:hAnsi="Times New Roman"/>
          <w:sz w:val="22"/>
          <w:szCs w:val="22"/>
        </w:rPr>
        <w:t xml:space="preserve"> Schválený rozpočet pre rok 201</w:t>
      </w:r>
      <w:r>
        <w:rPr>
          <w:rFonts w:ascii="Times New Roman" w:hAnsi="Times New Roman"/>
          <w:sz w:val="22"/>
          <w:szCs w:val="22"/>
        </w:rPr>
        <w:t>5</w:t>
      </w:r>
      <w:r w:rsidRPr="006E50E2">
        <w:rPr>
          <w:rFonts w:ascii="Times New Roman" w:hAnsi="Times New Roman"/>
          <w:sz w:val="22"/>
          <w:szCs w:val="22"/>
        </w:rPr>
        <w:t xml:space="preserve"> bol stanovený sumou </w:t>
      </w:r>
      <w:r>
        <w:rPr>
          <w:rFonts w:ascii="Times New Roman" w:hAnsi="Times New Roman"/>
          <w:sz w:val="22"/>
          <w:szCs w:val="22"/>
        </w:rPr>
        <w:t>363 674</w:t>
      </w:r>
      <w:r w:rsidRPr="006E50E2">
        <w:rPr>
          <w:rFonts w:ascii="Times New Roman" w:hAnsi="Times New Roman"/>
          <w:sz w:val="22"/>
          <w:szCs w:val="22"/>
        </w:rPr>
        <w:t xml:space="preserve"> tis. eur, ktorá sa rozpočtovými opatreniami zvýšila na </w:t>
      </w:r>
      <w:r>
        <w:rPr>
          <w:rFonts w:ascii="Times New Roman" w:hAnsi="Times New Roman"/>
          <w:sz w:val="22"/>
          <w:szCs w:val="22"/>
        </w:rPr>
        <w:t>1 210 467 tis. </w:t>
      </w:r>
      <w:r w:rsidRPr="006E50E2">
        <w:rPr>
          <w:rFonts w:ascii="Times New Roman" w:hAnsi="Times New Roman"/>
          <w:sz w:val="22"/>
          <w:szCs w:val="22"/>
        </w:rPr>
        <w:t xml:space="preserve">eur. Skutočné čerpanie predstavovalo sumu </w:t>
      </w:r>
      <w:r>
        <w:rPr>
          <w:rFonts w:ascii="Times New Roman" w:hAnsi="Times New Roman"/>
          <w:sz w:val="22"/>
          <w:szCs w:val="22"/>
        </w:rPr>
        <w:t>1 289 260</w:t>
      </w:r>
      <w:r w:rsidRPr="006E50E2">
        <w:rPr>
          <w:rFonts w:ascii="Times New Roman" w:hAnsi="Times New Roman"/>
          <w:color w:val="000000"/>
          <w:sz w:val="18"/>
          <w:szCs w:val="18"/>
        </w:rPr>
        <w:t xml:space="preserve"> </w:t>
      </w:r>
      <w:r>
        <w:rPr>
          <w:rFonts w:ascii="Times New Roman" w:hAnsi="Times New Roman"/>
          <w:sz w:val="22"/>
          <w:szCs w:val="22"/>
        </w:rPr>
        <w:t>tis. eur (2014: 510 435 tis. eur).</w:t>
      </w:r>
    </w:p>
    <w:p w:rsidR="00E22DF3" w:rsidP="00E22DF3">
      <w:pPr>
        <w:bidi w:val="0"/>
        <w:spacing w:after="120" w:line="336" w:lineRule="auto"/>
        <w:jc w:val="both"/>
        <w:rPr>
          <w:rFonts w:ascii="Times New Roman" w:hAnsi="Times New Roman"/>
          <w:sz w:val="22"/>
          <w:szCs w:val="22"/>
        </w:rPr>
      </w:pPr>
      <w:r w:rsidRPr="006E50E2">
        <w:rPr>
          <w:rFonts w:ascii="Times New Roman" w:hAnsi="Times New Roman"/>
          <w:b/>
          <w:i/>
          <w:sz w:val="22"/>
          <w:szCs w:val="22"/>
        </w:rPr>
        <w:t>Realizácia stavieb a</w:t>
      </w:r>
      <w:r w:rsidR="00B31B77">
        <w:rPr>
          <w:rFonts w:ascii="Times New Roman" w:hAnsi="Times New Roman"/>
          <w:b/>
          <w:i/>
          <w:sz w:val="22"/>
          <w:szCs w:val="22"/>
        </w:rPr>
        <w:t xml:space="preserve"> </w:t>
      </w:r>
      <w:r w:rsidRPr="006E50E2">
        <w:rPr>
          <w:rFonts w:ascii="Times New Roman" w:hAnsi="Times New Roman"/>
          <w:b/>
          <w:i/>
          <w:sz w:val="22"/>
          <w:szCs w:val="22"/>
        </w:rPr>
        <w:t>ich technického zhodnotenia</w:t>
      </w:r>
      <w:r w:rsidRPr="006E50E2">
        <w:rPr>
          <w:rFonts w:ascii="Times New Roman" w:hAnsi="Times New Roman"/>
          <w:sz w:val="22"/>
          <w:szCs w:val="22"/>
        </w:rPr>
        <w:t xml:space="preserve"> </w:t>
      </w:r>
      <w:r>
        <w:rPr>
          <w:rFonts w:ascii="Times New Roman" w:hAnsi="Times New Roman"/>
          <w:sz w:val="22"/>
          <w:szCs w:val="22"/>
        </w:rPr>
        <w:t>predstavovala výdavky v hodnote 415 862 </w:t>
      </w:r>
      <w:r w:rsidRPr="006E50E2">
        <w:rPr>
          <w:rFonts w:ascii="Times New Roman" w:hAnsi="Times New Roman"/>
          <w:sz w:val="22"/>
          <w:szCs w:val="22"/>
        </w:rPr>
        <w:t>tis.</w:t>
      </w:r>
      <w:r>
        <w:rPr>
          <w:rFonts w:ascii="Times New Roman" w:hAnsi="Times New Roman"/>
          <w:sz w:val="22"/>
          <w:szCs w:val="22"/>
        </w:rPr>
        <w:t> </w:t>
      </w:r>
      <w:r w:rsidRPr="006E50E2">
        <w:rPr>
          <w:rFonts w:ascii="Times New Roman" w:hAnsi="Times New Roman"/>
          <w:sz w:val="22"/>
          <w:szCs w:val="22"/>
        </w:rPr>
        <w:t>eur,</w:t>
      </w:r>
      <w:r>
        <w:rPr>
          <w:rFonts w:ascii="Times New Roman" w:hAnsi="Times New Roman"/>
          <w:sz w:val="22"/>
          <w:szCs w:val="22"/>
        </w:rPr>
        <w:t xml:space="preserve"> v porovnaní s rokom 2014 došlo k zvýšeniu výdavkov o 265 485 tis. eur. Najvyšší podiel na výdavkoch mala</w:t>
      </w:r>
      <w:r w:rsidRPr="006E50E2">
        <w:rPr>
          <w:rFonts w:ascii="Times New Roman" w:hAnsi="Times New Roman"/>
          <w:sz w:val="22"/>
          <w:szCs w:val="22"/>
        </w:rPr>
        <w:t xml:space="preserve"> kapitola Ministerstva dopravy, výstavby a regionálneho rozvoja SR (</w:t>
      </w:r>
      <w:r>
        <w:rPr>
          <w:rFonts w:ascii="Times New Roman" w:hAnsi="Times New Roman"/>
          <w:sz w:val="22"/>
          <w:szCs w:val="22"/>
        </w:rPr>
        <w:t>288 368 </w:t>
      </w:r>
      <w:r w:rsidRPr="006E50E2">
        <w:rPr>
          <w:rFonts w:ascii="Times New Roman" w:hAnsi="Times New Roman"/>
          <w:sz w:val="22"/>
          <w:szCs w:val="22"/>
        </w:rPr>
        <w:t>tis.</w:t>
      </w:r>
      <w:r>
        <w:rPr>
          <w:rFonts w:ascii="Times New Roman" w:hAnsi="Times New Roman"/>
          <w:sz w:val="22"/>
          <w:szCs w:val="22"/>
        </w:rPr>
        <w:t> </w:t>
      </w:r>
      <w:r w:rsidRPr="006E50E2">
        <w:rPr>
          <w:rFonts w:ascii="Times New Roman" w:hAnsi="Times New Roman"/>
          <w:sz w:val="22"/>
          <w:szCs w:val="22"/>
        </w:rPr>
        <w:t xml:space="preserve">eur). V rámci tejto kategórie ďalej vykazuje </w:t>
      </w:r>
      <w:r>
        <w:rPr>
          <w:rFonts w:ascii="Times New Roman" w:hAnsi="Times New Roman"/>
          <w:sz w:val="22"/>
          <w:szCs w:val="22"/>
        </w:rPr>
        <w:t xml:space="preserve">výdavky </w:t>
      </w:r>
      <w:r w:rsidRPr="006E50E2">
        <w:rPr>
          <w:rFonts w:ascii="Times New Roman" w:hAnsi="Times New Roman"/>
          <w:sz w:val="22"/>
          <w:szCs w:val="22"/>
        </w:rPr>
        <w:t xml:space="preserve">Ministerstvo vnútra SR </w:t>
      </w:r>
      <w:r>
        <w:rPr>
          <w:rFonts w:ascii="Times New Roman" w:hAnsi="Times New Roman"/>
          <w:sz w:val="22"/>
          <w:szCs w:val="22"/>
        </w:rPr>
        <w:t>v hodnote 33 891 </w:t>
      </w:r>
      <w:r w:rsidRPr="006E50E2">
        <w:rPr>
          <w:rFonts w:ascii="Times New Roman" w:hAnsi="Times New Roman"/>
          <w:sz w:val="22"/>
          <w:szCs w:val="22"/>
        </w:rPr>
        <w:t>tis.</w:t>
      </w:r>
      <w:r>
        <w:rPr>
          <w:rFonts w:ascii="Times New Roman" w:hAnsi="Times New Roman"/>
          <w:sz w:val="22"/>
          <w:szCs w:val="22"/>
        </w:rPr>
        <w:t> </w:t>
      </w:r>
      <w:r w:rsidRPr="006E50E2">
        <w:rPr>
          <w:rFonts w:ascii="Times New Roman" w:hAnsi="Times New Roman"/>
          <w:sz w:val="22"/>
          <w:szCs w:val="22"/>
        </w:rPr>
        <w:t xml:space="preserve">eur a Ministerstvo </w:t>
      </w:r>
      <w:r>
        <w:rPr>
          <w:rFonts w:ascii="Times New Roman" w:hAnsi="Times New Roman"/>
          <w:sz w:val="22"/>
          <w:szCs w:val="22"/>
        </w:rPr>
        <w:t>obrany</w:t>
      </w:r>
      <w:r w:rsidRPr="006E50E2">
        <w:rPr>
          <w:rFonts w:ascii="Times New Roman" w:hAnsi="Times New Roman"/>
          <w:sz w:val="22"/>
          <w:szCs w:val="22"/>
        </w:rPr>
        <w:t xml:space="preserve"> SR </w:t>
      </w:r>
      <w:r>
        <w:rPr>
          <w:rFonts w:ascii="Times New Roman" w:hAnsi="Times New Roman"/>
          <w:sz w:val="22"/>
          <w:szCs w:val="22"/>
        </w:rPr>
        <w:t>v hodnote 18 412 </w:t>
      </w:r>
      <w:r w:rsidRPr="006E50E2">
        <w:rPr>
          <w:rFonts w:ascii="Times New Roman" w:hAnsi="Times New Roman"/>
          <w:sz w:val="22"/>
          <w:szCs w:val="22"/>
        </w:rPr>
        <w:t>tis.</w:t>
      </w:r>
      <w:r>
        <w:rPr>
          <w:rFonts w:ascii="Times New Roman" w:hAnsi="Times New Roman"/>
          <w:sz w:val="22"/>
          <w:szCs w:val="22"/>
        </w:rPr>
        <w:t> </w:t>
      </w:r>
      <w:r w:rsidRPr="006E50E2">
        <w:rPr>
          <w:rFonts w:ascii="Times New Roman" w:hAnsi="Times New Roman"/>
          <w:sz w:val="22"/>
          <w:szCs w:val="22"/>
        </w:rPr>
        <w:t xml:space="preserve">eur. </w:t>
      </w:r>
    </w:p>
    <w:p w:rsidR="00E22DF3" w:rsidRPr="006E50E2" w:rsidP="00E22DF3">
      <w:pPr>
        <w:bidi w:val="0"/>
        <w:spacing w:after="120" w:line="336" w:lineRule="auto"/>
        <w:jc w:val="both"/>
        <w:rPr>
          <w:rFonts w:ascii="Times New Roman" w:hAnsi="Times New Roman"/>
          <w:sz w:val="22"/>
          <w:szCs w:val="22"/>
        </w:rPr>
      </w:pPr>
      <w:r>
        <w:rPr>
          <w:rFonts w:ascii="Times New Roman" w:hAnsi="Times New Roman"/>
          <w:sz w:val="22"/>
          <w:szCs w:val="22"/>
        </w:rPr>
        <w:t xml:space="preserve">Obstaranie kapitálových aktív </w:t>
      </w:r>
      <w:r w:rsidRPr="00614B7B">
        <w:rPr>
          <w:rFonts w:ascii="Times New Roman" w:hAnsi="Times New Roman"/>
          <w:sz w:val="22"/>
          <w:szCs w:val="22"/>
        </w:rPr>
        <w:t xml:space="preserve">Ministerstva dopravy, výstavby a regionálneho rozvoja SR </w:t>
      </w:r>
      <w:r>
        <w:rPr>
          <w:rFonts w:ascii="Times New Roman" w:hAnsi="Times New Roman"/>
          <w:sz w:val="22"/>
          <w:szCs w:val="22"/>
        </w:rPr>
        <w:t>predstavuje hlavne výdavky v programe Cestná infraštruktúra (ide o výdavky Slovenskej správy ciest), Modernizácia a výstavba ciest I. triedy, Výstavba diaľnic (Transeurópska dopravná sieť TEN-T), výdavky na dofinancovanie projektov financovaných z Operačného programu Doprava a projekty Výstavby cestnej siete.</w:t>
      </w:r>
    </w:p>
    <w:p w:rsidR="00E22DF3" w:rsidP="00E22DF3">
      <w:pPr>
        <w:bidi w:val="0"/>
        <w:spacing w:after="120" w:line="336" w:lineRule="auto"/>
        <w:jc w:val="both"/>
        <w:rPr>
          <w:rFonts w:ascii="Times New Roman" w:hAnsi="Times New Roman"/>
          <w:sz w:val="22"/>
          <w:szCs w:val="22"/>
        </w:rPr>
      </w:pPr>
      <w:r w:rsidRPr="00661398">
        <w:rPr>
          <w:rFonts w:ascii="Times New Roman" w:hAnsi="Times New Roman"/>
          <w:sz w:val="22"/>
          <w:szCs w:val="22"/>
        </w:rPr>
        <w:t xml:space="preserve">Výdavky </w:t>
      </w:r>
      <w:r>
        <w:rPr>
          <w:rFonts w:ascii="Times New Roman" w:hAnsi="Times New Roman"/>
          <w:sz w:val="22"/>
          <w:szCs w:val="22"/>
        </w:rPr>
        <w:t xml:space="preserve">kapitoly </w:t>
      </w:r>
      <w:r w:rsidRPr="00661398">
        <w:rPr>
          <w:rFonts w:ascii="Times New Roman" w:hAnsi="Times New Roman"/>
          <w:sz w:val="22"/>
          <w:szCs w:val="22"/>
        </w:rPr>
        <w:t>Ministerstva vnútra SR na rekonštrukciu a modernizáciu boli v skutočnej hodnote 26</w:t>
      </w:r>
      <w:r>
        <w:rPr>
          <w:rFonts w:ascii="Times New Roman" w:hAnsi="Times New Roman"/>
          <w:sz w:val="22"/>
          <w:szCs w:val="22"/>
        </w:rPr>
        <w:t> </w:t>
      </w:r>
      <w:r w:rsidRPr="00661398">
        <w:rPr>
          <w:rFonts w:ascii="Times New Roman" w:hAnsi="Times New Roman"/>
          <w:sz w:val="22"/>
          <w:szCs w:val="22"/>
        </w:rPr>
        <w:t>785</w:t>
      </w:r>
      <w:r>
        <w:rPr>
          <w:rFonts w:ascii="Times New Roman" w:hAnsi="Times New Roman"/>
          <w:sz w:val="22"/>
          <w:szCs w:val="22"/>
        </w:rPr>
        <w:t> </w:t>
      </w:r>
      <w:r w:rsidRPr="00661398">
        <w:rPr>
          <w:rFonts w:ascii="Times New Roman" w:hAnsi="Times New Roman"/>
          <w:sz w:val="22"/>
          <w:szCs w:val="22"/>
        </w:rPr>
        <w:t xml:space="preserve">tis. eur. Finančné prostriedky vo výške 25 525 tis. eur boli použité </w:t>
      </w:r>
      <w:r>
        <w:rPr>
          <w:rFonts w:ascii="Times New Roman" w:hAnsi="Times New Roman"/>
          <w:sz w:val="22"/>
          <w:szCs w:val="22"/>
        </w:rPr>
        <w:t>na Ministerstve vnútra</w:t>
      </w:r>
      <w:r w:rsidRPr="00661398">
        <w:rPr>
          <w:rFonts w:ascii="Times New Roman" w:hAnsi="Times New Roman"/>
          <w:sz w:val="22"/>
          <w:szCs w:val="22"/>
        </w:rPr>
        <w:t xml:space="preserve"> SR najmä zo zdrojov Európskeho fondu regionálne</w:t>
      </w:r>
      <w:r>
        <w:rPr>
          <w:rFonts w:ascii="Times New Roman" w:hAnsi="Times New Roman"/>
          <w:sz w:val="22"/>
          <w:szCs w:val="22"/>
        </w:rPr>
        <w:t>ho rozvoja a štátneho rozpočtu n</w:t>
      </w:r>
      <w:r w:rsidRPr="00661398">
        <w:rPr>
          <w:rFonts w:ascii="Times New Roman" w:hAnsi="Times New Roman"/>
          <w:sz w:val="22"/>
          <w:szCs w:val="22"/>
        </w:rPr>
        <w:t>a rekonštrukciu objektov Policajného zboru</w:t>
      </w:r>
      <w:r>
        <w:rPr>
          <w:rFonts w:ascii="Times New Roman" w:hAnsi="Times New Roman"/>
          <w:sz w:val="22"/>
          <w:szCs w:val="22"/>
        </w:rPr>
        <w:t>,</w:t>
      </w:r>
      <w:r w:rsidRPr="00661398">
        <w:rPr>
          <w:rFonts w:ascii="Times New Roman" w:hAnsi="Times New Roman"/>
          <w:sz w:val="22"/>
          <w:szCs w:val="22"/>
        </w:rPr>
        <w:t xml:space="preserve"> hasičských staníc a škôl.</w:t>
      </w:r>
      <w:r>
        <w:rPr>
          <w:rFonts w:ascii="Times New Roman" w:hAnsi="Times New Roman"/>
          <w:sz w:val="22"/>
          <w:szCs w:val="22"/>
        </w:rPr>
        <w:t xml:space="preserve"> Výdavky v sume 5 616 tis. eur boli vynaložené na klientske centrum v Bratislave v zmysle zmluvy o osobitnom plnení, na úpravu nebytových priestorov. </w:t>
      </w:r>
    </w:p>
    <w:p w:rsidR="00E22DF3" w:rsidP="00E22DF3">
      <w:pPr>
        <w:bidi w:val="0"/>
        <w:spacing w:after="120" w:line="336" w:lineRule="auto"/>
        <w:jc w:val="both"/>
        <w:rPr>
          <w:rFonts w:ascii="Times New Roman" w:hAnsi="Times New Roman"/>
          <w:sz w:val="22"/>
          <w:szCs w:val="22"/>
        </w:rPr>
      </w:pPr>
      <w:r w:rsidRPr="008765F5">
        <w:rPr>
          <w:rFonts w:ascii="Times New Roman" w:hAnsi="Times New Roman"/>
          <w:sz w:val="22"/>
          <w:szCs w:val="22"/>
        </w:rPr>
        <w:t xml:space="preserve">Výdavky Ministerstva obrany SR v položke Realizácia stavieb a ich technické zhodnotenie vo výške 18 412 tis. eur </w:t>
      </w:r>
      <w:r>
        <w:rPr>
          <w:rFonts w:ascii="Times New Roman" w:hAnsi="Times New Roman"/>
          <w:sz w:val="22"/>
          <w:szCs w:val="22"/>
        </w:rPr>
        <w:t xml:space="preserve">boli </w:t>
      </w:r>
      <w:r w:rsidRPr="008765F5">
        <w:rPr>
          <w:rFonts w:ascii="Times New Roman" w:hAnsi="Times New Roman"/>
          <w:sz w:val="22"/>
          <w:szCs w:val="22"/>
        </w:rPr>
        <w:t>použité najmä na modernizáciu infraštruktúry v nadväznosti na plnenie úloh obrany štátu (napr.: modernizácia leteckej základne Sliač</w:t>
      </w:r>
      <w:r>
        <w:rPr>
          <w:rFonts w:ascii="Times New Roman" w:hAnsi="Times New Roman"/>
          <w:sz w:val="22"/>
          <w:szCs w:val="22"/>
        </w:rPr>
        <w:t xml:space="preserve"> 1 943 tis. eur</w:t>
      </w:r>
      <w:r w:rsidRPr="008765F5">
        <w:rPr>
          <w:rFonts w:ascii="Times New Roman" w:hAnsi="Times New Roman"/>
          <w:sz w:val="22"/>
          <w:szCs w:val="22"/>
        </w:rPr>
        <w:t>).</w:t>
      </w:r>
      <w:r w:rsidRPr="006E50E2">
        <w:rPr>
          <w:rFonts w:ascii="Times New Roman" w:hAnsi="Times New Roman"/>
          <w:sz w:val="22"/>
          <w:szCs w:val="22"/>
        </w:rPr>
        <w:t xml:space="preserve"> </w:t>
      </w:r>
    </w:p>
    <w:p w:rsidR="00E22DF3" w:rsidP="00E22DF3">
      <w:pPr>
        <w:bidi w:val="0"/>
        <w:spacing w:after="120" w:line="336" w:lineRule="auto"/>
        <w:jc w:val="both"/>
        <w:rPr>
          <w:rFonts w:ascii="Times New Roman" w:hAnsi="Times New Roman"/>
          <w:sz w:val="22"/>
          <w:szCs w:val="22"/>
        </w:rPr>
      </w:pPr>
      <w:r w:rsidRPr="006E50E2">
        <w:rPr>
          <w:rFonts w:ascii="Times New Roman" w:hAnsi="Times New Roman"/>
          <w:b/>
          <w:i/>
          <w:sz w:val="22"/>
          <w:szCs w:val="22"/>
        </w:rPr>
        <w:t>Nákup strojov, prístrojov, zariadení a techniky</w:t>
      </w:r>
      <w:r w:rsidRPr="006E50E2">
        <w:rPr>
          <w:rFonts w:ascii="Times New Roman" w:hAnsi="Times New Roman"/>
          <w:sz w:val="22"/>
          <w:szCs w:val="22"/>
        </w:rPr>
        <w:t xml:space="preserve"> dosiahol</w:t>
      </w:r>
      <w:r>
        <w:rPr>
          <w:rFonts w:ascii="Times New Roman" w:hAnsi="Times New Roman"/>
          <w:sz w:val="22"/>
          <w:szCs w:val="22"/>
        </w:rPr>
        <w:t xml:space="preserve"> skutočnosť</w:t>
      </w:r>
      <w:r w:rsidRPr="006E50E2">
        <w:rPr>
          <w:rFonts w:ascii="Times New Roman" w:hAnsi="Times New Roman"/>
          <w:sz w:val="22"/>
          <w:szCs w:val="22"/>
        </w:rPr>
        <w:t xml:space="preserve"> </w:t>
      </w:r>
      <w:r>
        <w:rPr>
          <w:rFonts w:ascii="Times New Roman" w:hAnsi="Times New Roman"/>
          <w:sz w:val="22"/>
          <w:szCs w:val="22"/>
        </w:rPr>
        <w:t>286 033 tis. eur, čo predstavovalo nárast výdavkov o 182 262 tis. eur oproti schválenému rozpočtu. Najvyš</w:t>
      </w:r>
      <w:r w:rsidRPr="006E50E2">
        <w:rPr>
          <w:rFonts w:ascii="Times New Roman" w:hAnsi="Times New Roman"/>
          <w:sz w:val="22"/>
          <w:szCs w:val="22"/>
        </w:rPr>
        <w:t xml:space="preserve">šou mierou sa na prekročení </w:t>
      </w:r>
      <w:r>
        <w:rPr>
          <w:rFonts w:ascii="Times New Roman" w:hAnsi="Times New Roman"/>
          <w:sz w:val="22"/>
          <w:szCs w:val="22"/>
        </w:rPr>
        <w:t xml:space="preserve">schváleného </w:t>
      </w:r>
      <w:r w:rsidRPr="006E50E2">
        <w:rPr>
          <w:rFonts w:ascii="Times New Roman" w:hAnsi="Times New Roman"/>
          <w:sz w:val="22"/>
          <w:szCs w:val="22"/>
        </w:rPr>
        <w:t>rozpočtu podieľal</w:t>
      </w:r>
      <w:r>
        <w:rPr>
          <w:rFonts w:ascii="Times New Roman" w:hAnsi="Times New Roman"/>
          <w:sz w:val="22"/>
          <w:szCs w:val="22"/>
        </w:rPr>
        <w:t>o Ministerstvo vnútra SR (46 107 tis. eur), Ministerstvo financií SR (45 678 tis. eur) a</w:t>
      </w:r>
      <w:r w:rsidRPr="006E50E2">
        <w:rPr>
          <w:rFonts w:ascii="Times New Roman" w:hAnsi="Times New Roman"/>
          <w:sz w:val="22"/>
          <w:szCs w:val="22"/>
        </w:rPr>
        <w:t xml:space="preserve"> Slovenská akadémia vied (</w:t>
      </w:r>
      <w:r>
        <w:rPr>
          <w:rFonts w:ascii="Times New Roman" w:hAnsi="Times New Roman"/>
          <w:sz w:val="22"/>
          <w:szCs w:val="22"/>
        </w:rPr>
        <w:t>36 111 tis</w:t>
      </w:r>
      <w:r w:rsidRPr="006E50E2">
        <w:rPr>
          <w:rFonts w:ascii="Times New Roman" w:hAnsi="Times New Roman"/>
          <w:sz w:val="22"/>
          <w:szCs w:val="22"/>
        </w:rPr>
        <w:t>. eur)</w:t>
      </w:r>
      <w:r>
        <w:rPr>
          <w:rFonts w:ascii="Times New Roman" w:hAnsi="Times New Roman"/>
          <w:sz w:val="22"/>
          <w:szCs w:val="22"/>
        </w:rPr>
        <w:t>.</w:t>
      </w:r>
      <w:r w:rsidRPr="006E50E2">
        <w:rPr>
          <w:rFonts w:ascii="Times New Roman" w:hAnsi="Times New Roman"/>
          <w:sz w:val="22"/>
          <w:szCs w:val="22"/>
        </w:rPr>
        <w:t xml:space="preserve"> </w:t>
      </w:r>
      <w:r>
        <w:rPr>
          <w:rFonts w:ascii="Times New Roman" w:hAnsi="Times New Roman"/>
          <w:sz w:val="22"/>
          <w:szCs w:val="22"/>
        </w:rPr>
        <w:t xml:space="preserve"> </w:t>
      </w:r>
      <w:r w:rsidRPr="006E50E2">
        <w:rPr>
          <w:rFonts w:ascii="Times New Roman" w:hAnsi="Times New Roman"/>
          <w:sz w:val="22"/>
          <w:szCs w:val="22"/>
        </w:rPr>
        <w:t xml:space="preserve">Najväčší podiel na výdavkoch mala kapitola </w:t>
      </w:r>
      <w:r>
        <w:rPr>
          <w:rFonts w:ascii="Times New Roman" w:hAnsi="Times New Roman"/>
          <w:sz w:val="22"/>
          <w:szCs w:val="22"/>
        </w:rPr>
        <w:t>Ministerstva obrany SR (77 100 tis. eur), kapitola Ministerstva vnútra SR (67 953 tis. eur), kapitola Ministerstva financií SR (47 292 tis. eur) a Slovenská akadémia vied (36 111 tis. eur).</w:t>
      </w:r>
      <w:r w:rsidRPr="006E50E2">
        <w:rPr>
          <w:rFonts w:ascii="Times New Roman" w:hAnsi="Times New Roman"/>
          <w:sz w:val="22"/>
          <w:szCs w:val="22"/>
        </w:rPr>
        <w:t xml:space="preserve"> </w:t>
      </w:r>
    </w:p>
    <w:p w:rsidR="00E22DF3" w:rsidP="00E22DF3">
      <w:pPr>
        <w:bidi w:val="0"/>
        <w:spacing w:after="120" w:line="336" w:lineRule="auto"/>
        <w:jc w:val="both"/>
        <w:rPr>
          <w:rFonts w:ascii="Times New Roman" w:hAnsi="Times New Roman"/>
          <w:sz w:val="22"/>
          <w:szCs w:val="22"/>
        </w:rPr>
      </w:pPr>
      <w:r>
        <w:rPr>
          <w:rFonts w:ascii="Times New Roman" w:hAnsi="Times New Roman"/>
          <w:sz w:val="22"/>
          <w:szCs w:val="22"/>
        </w:rPr>
        <w:t>Ministerstvo obrany SR čerpalo prostriedky na nákup špeciálnych strojov, prístrojov, techniky sumu 70 444 tis. eur, ktorú použila na zabezpečenie plnenia úloh obrany štátu.</w:t>
      </w:r>
    </w:p>
    <w:p w:rsidR="00E22DF3" w:rsidP="00E22DF3">
      <w:pPr>
        <w:bidi w:val="0"/>
        <w:spacing w:after="120" w:line="336" w:lineRule="auto"/>
        <w:jc w:val="both"/>
        <w:rPr>
          <w:rFonts w:ascii="Times New Roman" w:hAnsi="Times New Roman"/>
          <w:sz w:val="22"/>
          <w:szCs w:val="22"/>
        </w:rPr>
      </w:pPr>
      <w:r>
        <w:rPr>
          <w:rFonts w:ascii="Times New Roman" w:hAnsi="Times New Roman"/>
          <w:sz w:val="22"/>
          <w:szCs w:val="22"/>
        </w:rPr>
        <w:t xml:space="preserve">Ministerstvo vnútra SR použilo najviac finančných prostriedkov na nákup špeciálnych strojov, prístrojov, zariadení, techniky a náradia (34 168 tis. eur). Z uvedenej sumy bolo najviac prostriedkov čerpaných v rámci projektu Aktívne protipovodňové opatrenia zo zdrojov Kohézneho fondu. Výdavky na nákup výpočtovej techniky (25 187 tis. eur) boli použité na obstaranie a inštaláciu HW aplikačných serverov, databázových serverov, dodanie HW komponentov a prípravu technického prostredia pre projekty Elektronický archív MV SR, Identifikátor fyzických osôb, Elektronické služby národnej evidencie vozidiel a iné. </w:t>
      </w:r>
    </w:p>
    <w:p w:rsidR="00E22DF3" w:rsidP="00E22DF3">
      <w:pPr>
        <w:bidi w:val="0"/>
        <w:spacing w:after="120" w:line="336" w:lineRule="auto"/>
        <w:jc w:val="both"/>
        <w:rPr>
          <w:rFonts w:ascii="Times New Roman" w:hAnsi="Times New Roman"/>
          <w:sz w:val="22"/>
          <w:szCs w:val="22"/>
        </w:rPr>
      </w:pPr>
      <w:r>
        <w:rPr>
          <w:rFonts w:ascii="Times New Roman" w:hAnsi="Times New Roman"/>
          <w:sz w:val="22"/>
          <w:szCs w:val="22"/>
        </w:rPr>
        <w:t>Ministerstvo financií SR v tejto položke kapitálových výdavkov najviac čerpalo výdavky na nákup výpočtovej techniky v skutočnej hodnote 34 867 tis. eur. Úrad Ministerstva financií financoval projekt Informačné a komunikačné technológie v celkovej výške 24 305 tis. eur. Výdavky DataCentra na nákup výpočtov</w:t>
      </w:r>
      <w:r w:rsidR="00A668C0">
        <w:rPr>
          <w:rFonts w:ascii="Times New Roman" w:hAnsi="Times New Roman"/>
          <w:sz w:val="22"/>
          <w:szCs w:val="22"/>
        </w:rPr>
        <w:t>ej</w:t>
      </w:r>
      <w:r>
        <w:rPr>
          <w:rFonts w:ascii="Times New Roman" w:hAnsi="Times New Roman"/>
          <w:sz w:val="22"/>
          <w:szCs w:val="22"/>
        </w:rPr>
        <w:t xml:space="preserve"> technik</w:t>
      </w:r>
      <w:r w:rsidR="00A668C0">
        <w:rPr>
          <w:rFonts w:ascii="Times New Roman" w:hAnsi="Times New Roman"/>
          <w:sz w:val="22"/>
          <w:szCs w:val="22"/>
        </w:rPr>
        <w:t>y</w:t>
      </w:r>
      <w:r>
        <w:rPr>
          <w:rFonts w:ascii="Times New Roman" w:hAnsi="Times New Roman"/>
          <w:sz w:val="22"/>
          <w:szCs w:val="22"/>
        </w:rPr>
        <w:t xml:space="preserve"> boli vo výške 7 298 tis. eur.</w:t>
      </w:r>
    </w:p>
    <w:p w:rsidR="00E22DF3" w:rsidP="00E22DF3">
      <w:pPr>
        <w:bidi w:val="0"/>
        <w:spacing w:after="120" w:line="336" w:lineRule="auto"/>
        <w:jc w:val="both"/>
        <w:rPr>
          <w:rFonts w:ascii="Times New Roman" w:hAnsi="Times New Roman"/>
          <w:sz w:val="22"/>
          <w:szCs w:val="22"/>
        </w:rPr>
      </w:pPr>
      <w:r w:rsidRPr="004D2BC9">
        <w:rPr>
          <w:rFonts w:ascii="Times New Roman" w:hAnsi="Times New Roman"/>
          <w:sz w:val="22"/>
          <w:szCs w:val="22"/>
        </w:rPr>
        <w:t>Slovenská akadémia vied čerpala výdavky</w:t>
      </w:r>
      <w:r>
        <w:rPr>
          <w:rFonts w:ascii="Times New Roman" w:hAnsi="Times New Roman"/>
          <w:sz w:val="22"/>
          <w:szCs w:val="22"/>
        </w:rPr>
        <w:t xml:space="preserve"> v celkovej výške 24 883 tis. eur</w:t>
      </w:r>
      <w:r w:rsidRPr="004D2BC9">
        <w:rPr>
          <w:rFonts w:ascii="Times New Roman" w:hAnsi="Times New Roman"/>
          <w:sz w:val="22"/>
          <w:szCs w:val="22"/>
        </w:rPr>
        <w:t xml:space="preserve"> na nákup interiérového vybavenia, strojov, prístrojov a zariadení </w:t>
      </w:r>
      <w:r>
        <w:rPr>
          <w:rFonts w:ascii="Times New Roman" w:hAnsi="Times New Roman"/>
          <w:sz w:val="22"/>
          <w:szCs w:val="22"/>
        </w:rPr>
        <w:t xml:space="preserve">najmä </w:t>
      </w:r>
      <w:r w:rsidRPr="004D2BC9">
        <w:rPr>
          <w:rFonts w:ascii="Times New Roman" w:hAnsi="Times New Roman"/>
          <w:sz w:val="22"/>
          <w:szCs w:val="22"/>
        </w:rPr>
        <w:t>na projekty PROMATECH, Centrum aplikovaného výskumu nových materiálov a transferu technol</w:t>
      </w:r>
      <w:r>
        <w:rPr>
          <w:rFonts w:ascii="Times New Roman" w:hAnsi="Times New Roman"/>
          <w:sz w:val="22"/>
          <w:szCs w:val="22"/>
        </w:rPr>
        <w:t>ó</w:t>
      </w:r>
      <w:r w:rsidRPr="004D2BC9">
        <w:rPr>
          <w:rFonts w:ascii="Times New Roman" w:hAnsi="Times New Roman"/>
          <w:sz w:val="22"/>
          <w:szCs w:val="22"/>
        </w:rPr>
        <w:t xml:space="preserve">gií Bratislava, Univerzitný vedecký park pre biomedicínu Bratislava, Výskumné centrum ALLEGRO a Centrum výskumu a vývoja imunologicky aktívnych látok IMUNA. </w:t>
      </w:r>
      <w:r>
        <w:rPr>
          <w:rFonts w:ascii="Times New Roman" w:hAnsi="Times New Roman"/>
          <w:sz w:val="22"/>
          <w:szCs w:val="22"/>
        </w:rPr>
        <w:t>Univerzitný vedecký park pre biomedicínu v Bratislave čerpal výdavky v hodnote 2 355 tis. eur (celkové kapitálové výdavky boli 2 584 tis. eur).</w:t>
      </w:r>
    </w:p>
    <w:p w:rsidR="00E22DF3" w:rsidP="00E22DF3">
      <w:pPr>
        <w:bidi w:val="0"/>
        <w:spacing w:after="120" w:line="336" w:lineRule="auto"/>
        <w:jc w:val="both"/>
        <w:rPr>
          <w:rFonts w:ascii="Times New Roman" w:hAnsi="Times New Roman"/>
          <w:sz w:val="22"/>
          <w:szCs w:val="22"/>
        </w:rPr>
      </w:pPr>
      <w:r w:rsidRPr="006E50E2">
        <w:rPr>
          <w:rFonts w:ascii="Times New Roman" w:hAnsi="Times New Roman"/>
          <w:b/>
          <w:i/>
          <w:sz w:val="22"/>
          <w:szCs w:val="22"/>
        </w:rPr>
        <w:t>Nákup pozemkov a nehmotných aktív</w:t>
      </w:r>
      <w:r w:rsidRPr="006E50E2">
        <w:rPr>
          <w:rFonts w:ascii="Times New Roman" w:hAnsi="Times New Roman"/>
          <w:sz w:val="22"/>
          <w:szCs w:val="22"/>
        </w:rPr>
        <w:t xml:space="preserve"> predstavoval </w:t>
      </w:r>
      <w:r>
        <w:rPr>
          <w:rFonts w:ascii="Times New Roman" w:hAnsi="Times New Roman"/>
          <w:sz w:val="22"/>
          <w:szCs w:val="22"/>
        </w:rPr>
        <w:t>272 243</w:t>
      </w:r>
      <w:r w:rsidRPr="006E50E2">
        <w:rPr>
          <w:rFonts w:ascii="Times New Roman" w:hAnsi="Times New Roman"/>
          <w:i/>
          <w:iCs/>
          <w:color w:val="000000"/>
          <w:sz w:val="18"/>
          <w:szCs w:val="18"/>
        </w:rPr>
        <w:t xml:space="preserve"> </w:t>
      </w:r>
      <w:r w:rsidRPr="006E50E2">
        <w:rPr>
          <w:rFonts w:ascii="Times New Roman" w:hAnsi="Times New Roman"/>
          <w:sz w:val="22"/>
          <w:szCs w:val="22"/>
        </w:rPr>
        <w:t>tis. eur (201</w:t>
      </w:r>
      <w:r>
        <w:rPr>
          <w:rFonts w:ascii="Times New Roman" w:hAnsi="Times New Roman"/>
          <w:sz w:val="22"/>
          <w:szCs w:val="22"/>
        </w:rPr>
        <w:t>4</w:t>
      </w:r>
      <w:r w:rsidRPr="006E50E2">
        <w:rPr>
          <w:rFonts w:ascii="Times New Roman" w:hAnsi="Times New Roman"/>
          <w:sz w:val="22"/>
          <w:szCs w:val="22"/>
        </w:rPr>
        <w:t xml:space="preserve">: </w:t>
      </w:r>
      <w:r>
        <w:rPr>
          <w:rFonts w:ascii="Times New Roman" w:hAnsi="Times New Roman"/>
          <w:sz w:val="22"/>
          <w:szCs w:val="22"/>
        </w:rPr>
        <w:t>133 165</w:t>
      </w:r>
      <w:r w:rsidRPr="006E50E2">
        <w:rPr>
          <w:rFonts w:ascii="Times New Roman" w:hAnsi="Times New Roman"/>
          <w:sz w:val="22"/>
          <w:szCs w:val="22"/>
        </w:rPr>
        <w:t xml:space="preserve"> tis. eur), z ktorého najväčšia časť výdavkov prislúchal</w:t>
      </w:r>
      <w:r>
        <w:rPr>
          <w:rFonts w:ascii="Times New Roman" w:hAnsi="Times New Roman"/>
          <w:sz w:val="22"/>
          <w:szCs w:val="22"/>
        </w:rPr>
        <w:t>a</w:t>
      </w:r>
      <w:r w:rsidRPr="006E50E2">
        <w:rPr>
          <w:rFonts w:ascii="Times New Roman" w:hAnsi="Times New Roman"/>
          <w:sz w:val="22"/>
          <w:szCs w:val="22"/>
        </w:rPr>
        <w:t xml:space="preserve"> kapitole Ministerstva financií SR (</w:t>
      </w:r>
      <w:r>
        <w:rPr>
          <w:rFonts w:ascii="Times New Roman" w:hAnsi="Times New Roman"/>
          <w:sz w:val="22"/>
          <w:szCs w:val="22"/>
        </w:rPr>
        <w:t>75 465</w:t>
      </w:r>
      <w:r w:rsidRPr="006E50E2">
        <w:rPr>
          <w:rFonts w:ascii="Times New Roman" w:hAnsi="Times New Roman"/>
          <w:sz w:val="22"/>
          <w:szCs w:val="22"/>
        </w:rPr>
        <w:t xml:space="preserve"> tis. eur), kapitole Ministerstva</w:t>
      </w:r>
      <w:r>
        <w:rPr>
          <w:rFonts w:ascii="Times New Roman" w:hAnsi="Times New Roman"/>
          <w:sz w:val="22"/>
          <w:szCs w:val="22"/>
        </w:rPr>
        <w:t xml:space="preserve"> </w:t>
      </w:r>
      <w:r w:rsidRPr="006E50E2">
        <w:rPr>
          <w:rFonts w:ascii="Times New Roman" w:hAnsi="Times New Roman"/>
          <w:sz w:val="22"/>
          <w:szCs w:val="22"/>
        </w:rPr>
        <w:t>vnútra SR (</w:t>
      </w:r>
      <w:r>
        <w:rPr>
          <w:rFonts w:ascii="Times New Roman" w:hAnsi="Times New Roman"/>
          <w:sz w:val="22"/>
          <w:szCs w:val="22"/>
        </w:rPr>
        <w:t>43 931</w:t>
      </w:r>
      <w:r w:rsidRPr="006E50E2">
        <w:rPr>
          <w:rFonts w:ascii="Times New Roman" w:hAnsi="Times New Roman"/>
          <w:sz w:val="22"/>
          <w:szCs w:val="22"/>
        </w:rPr>
        <w:t> tis. eur)</w:t>
      </w:r>
      <w:r>
        <w:rPr>
          <w:rFonts w:ascii="Times New Roman" w:hAnsi="Times New Roman"/>
          <w:sz w:val="22"/>
          <w:szCs w:val="22"/>
        </w:rPr>
        <w:t xml:space="preserve"> a kapitole Ministerstva</w:t>
      </w:r>
      <w:r w:rsidRPr="006E50E2">
        <w:rPr>
          <w:rFonts w:ascii="Times New Roman" w:hAnsi="Times New Roman"/>
          <w:sz w:val="22"/>
          <w:szCs w:val="22"/>
        </w:rPr>
        <w:t xml:space="preserve"> spravodlivosti SR (</w:t>
      </w:r>
      <w:r>
        <w:rPr>
          <w:rFonts w:ascii="Times New Roman" w:hAnsi="Times New Roman"/>
          <w:sz w:val="22"/>
          <w:szCs w:val="22"/>
        </w:rPr>
        <w:t>36 740 </w:t>
      </w:r>
      <w:r w:rsidRPr="006E50E2">
        <w:rPr>
          <w:rFonts w:ascii="Times New Roman" w:hAnsi="Times New Roman"/>
          <w:sz w:val="22"/>
          <w:szCs w:val="22"/>
        </w:rPr>
        <w:t>tis. eur)</w:t>
      </w:r>
      <w:r>
        <w:rPr>
          <w:rFonts w:ascii="Times New Roman" w:hAnsi="Times New Roman"/>
          <w:sz w:val="22"/>
          <w:szCs w:val="22"/>
        </w:rPr>
        <w:t>.</w:t>
      </w:r>
      <w:r w:rsidRPr="006E50E2">
        <w:rPr>
          <w:rFonts w:ascii="Times New Roman" w:hAnsi="Times New Roman"/>
          <w:sz w:val="22"/>
          <w:szCs w:val="22"/>
        </w:rPr>
        <w:t xml:space="preserve"> </w:t>
      </w:r>
      <w:r w:rsidR="00A668C0">
        <w:rPr>
          <w:rFonts w:ascii="Times New Roman" w:hAnsi="Times New Roman"/>
          <w:sz w:val="22"/>
          <w:szCs w:val="22"/>
        </w:rPr>
        <w:t xml:space="preserve">Z uvedenej kategórie boli najvyššie výdavky na nákup softvéru 256 947 tis. eur, licencií 10 502 tis. eur a </w:t>
      </w:r>
      <w:r>
        <w:rPr>
          <w:rFonts w:ascii="Times New Roman" w:hAnsi="Times New Roman"/>
          <w:sz w:val="22"/>
          <w:szCs w:val="22"/>
        </w:rPr>
        <w:t xml:space="preserve">pozemkov </w:t>
      </w:r>
      <w:r w:rsidR="00A668C0">
        <w:rPr>
          <w:rFonts w:ascii="Times New Roman" w:hAnsi="Times New Roman"/>
          <w:sz w:val="22"/>
          <w:szCs w:val="22"/>
        </w:rPr>
        <w:t xml:space="preserve">4 549 tis. </w:t>
      </w:r>
      <w:r>
        <w:rPr>
          <w:rFonts w:ascii="Times New Roman" w:hAnsi="Times New Roman"/>
          <w:sz w:val="22"/>
          <w:szCs w:val="22"/>
        </w:rPr>
        <w:t>Schválený</w:t>
      </w:r>
      <w:r w:rsidRPr="006E50E2">
        <w:rPr>
          <w:rFonts w:ascii="Times New Roman" w:hAnsi="Times New Roman"/>
          <w:sz w:val="22"/>
          <w:szCs w:val="22"/>
        </w:rPr>
        <w:t xml:space="preserve"> rozpočet na </w:t>
      </w:r>
      <w:r w:rsidR="00B31B77">
        <w:rPr>
          <w:rFonts w:ascii="Times New Roman" w:hAnsi="Times New Roman"/>
          <w:sz w:val="22"/>
          <w:szCs w:val="22"/>
        </w:rPr>
        <w:t>tejto položke</w:t>
      </w:r>
      <w:r w:rsidRPr="006E50E2">
        <w:rPr>
          <w:rFonts w:ascii="Times New Roman" w:hAnsi="Times New Roman"/>
          <w:sz w:val="22"/>
          <w:szCs w:val="22"/>
        </w:rPr>
        <w:t xml:space="preserve"> bol prekročený o</w:t>
      </w:r>
      <w:r>
        <w:rPr>
          <w:rFonts w:ascii="Times New Roman" w:hAnsi="Times New Roman"/>
          <w:sz w:val="22"/>
          <w:szCs w:val="22"/>
        </w:rPr>
        <w:t> 214 101</w:t>
      </w:r>
      <w:r w:rsidRPr="006E50E2">
        <w:rPr>
          <w:rFonts w:ascii="Times New Roman" w:hAnsi="Times New Roman"/>
          <w:sz w:val="22"/>
          <w:szCs w:val="22"/>
        </w:rPr>
        <w:t xml:space="preserve"> tis. eur. Najväčšou mierou sa na prekročení </w:t>
      </w:r>
      <w:r>
        <w:rPr>
          <w:rFonts w:ascii="Times New Roman" w:hAnsi="Times New Roman"/>
          <w:sz w:val="22"/>
          <w:szCs w:val="22"/>
        </w:rPr>
        <w:t xml:space="preserve">schváleného </w:t>
      </w:r>
      <w:r w:rsidRPr="006E50E2">
        <w:rPr>
          <w:rFonts w:ascii="Times New Roman" w:hAnsi="Times New Roman"/>
          <w:sz w:val="22"/>
          <w:szCs w:val="22"/>
        </w:rPr>
        <w:t>rozpočtu podieľal</w:t>
      </w:r>
      <w:r>
        <w:rPr>
          <w:rFonts w:ascii="Times New Roman" w:hAnsi="Times New Roman"/>
          <w:sz w:val="22"/>
          <w:szCs w:val="22"/>
        </w:rPr>
        <w:t>o Ministerstvo financií SR (73 808 tis. eur), Ministerstvo vnútra SR (43 931 tis. eur) a Ministerstvo spravodlivosti SR (36 310 tis. eur).</w:t>
      </w:r>
    </w:p>
    <w:p w:rsidR="00E22DF3" w:rsidRPr="00696A2A" w:rsidP="00E22DF3">
      <w:pPr>
        <w:bidi w:val="0"/>
        <w:spacing w:after="120" w:line="336" w:lineRule="auto"/>
        <w:jc w:val="both"/>
        <w:rPr>
          <w:rFonts w:ascii="Times New Roman" w:hAnsi="Times New Roman"/>
          <w:sz w:val="22"/>
          <w:szCs w:val="22"/>
        </w:rPr>
      </w:pPr>
      <w:r>
        <w:rPr>
          <w:rFonts w:ascii="Times New Roman" w:hAnsi="Times New Roman"/>
          <w:sz w:val="22"/>
          <w:szCs w:val="22"/>
        </w:rPr>
        <w:t>Ministerstvo financií SR čerpalo v uvedenej položke kapitálových výdavko</w:t>
      </w:r>
      <w:r w:rsidR="00DF4601">
        <w:rPr>
          <w:rFonts w:ascii="Times New Roman" w:hAnsi="Times New Roman"/>
          <w:sz w:val="22"/>
          <w:szCs w:val="22"/>
        </w:rPr>
        <w:t>v</w:t>
      </w:r>
      <w:r>
        <w:rPr>
          <w:rFonts w:ascii="Times New Roman" w:hAnsi="Times New Roman"/>
          <w:sz w:val="22"/>
          <w:szCs w:val="22"/>
        </w:rPr>
        <w:t xml:space="preserve"> najviac prostriedkov na nákup softvéru. Úrad</w:t>
      </w:r>
      <w:r w:rsidRPr="00A87E19">
        <w:rPr>
          <w:rFonts w:ascii="Times New Roman" w:hAnsi="Times New Roman"/>
          <w:sz w:val="22"/>
          <w:szCs w:val="22"/>
        </w:rPr>
        <w:t xml:space="preserve"> Ministerstva financií SR </w:t>
      </w:r>
      <w:r>
        <w:rPr>
          <w:rFonts w:ascii="Times New Roman" w:hAnsi="Times New Roman"/>
          <w:sz w:val="22"/>
          <w:szCs w:val="22"/>
        </w:rPr>
        <w:t>podporil nákupom softvéru</w:t>
      </w:r>
      <w:r w:rsidRPr="00A87E19">
        <w:rPr>
          <w:rFonts w:ascii="Times New Roman" w:hAnsi="Times New Roman"/>
          <w:sz w:val="22"/>
          <w:szCs w:val="22"/>
        </w:rPr>
        <w:t xml:space="preserve"> projekty Informačného systému centrálnej správy referenčných údajov </w:t>
      </w:r>
      <w:r>
        <w:rPr>
          <w:rFonts w:ascii="Times New Roman" w:hAnsi="Times New Roman"/>
          <w:sz w:val="22"/>
          <w:szCs w:val="22"/>
        </w:rPr>
        <w:t>verejnej správy</w:t>
      </w:r>
      <w:r w:rsidRPr="00A87E19">
        <w:rPr>
          <w:rFonts w:ascii="Times New Roman" w:hAnsi="Times New Roman"/>
          <w:sz w:val="22"/>
          <w:szCs w:val="22"/>
        </w:rPr>
        <w:t>, Metainformačného systému a</w:t>
      </w:r>
      <w:r>
        <w:rPr>
          <w:rFonts w:ascii="Times New Roman" w:hAnsi="Times New Roman"/>
          <w:sz w:val="22"/>
          <w:szCs w:val="22"/>
        </w:rPr>
        <w:t> </w:t>
      </w:r>
      <w:r w:rsidRPr="00A87E19">
        <w:rPr>
          <w:rFonts w:ascii="Times New Roman" w:hAnsi="Times New Roman"/>
          <w:sz w:val="22"/>
          <w:szCs w:val="22"/>
        </w:rPr>
        <w:t>I</w:t>
      </w:r>
      <w:r>
        <w:rPr>
          <w:rFonts w:ascii="Times New Roman" w:hAnsi="Times New Roman"/>
          <w:sz w:val="22"/>
          <w:szCs w:val="22"/>
        </w:rPr>
        <w:t xml:space="preserve">nformačné a komunikačné technológie </w:t>
      </w:r>
      <w:r w:rsidRPr="00A87E19">
        <w:rPr>
          <w:rFonts w:ascii="Times New Roman" w:hAnsi="Times New Roman"/>
          <w:sz w:val="22"/>
          <w:szCs w:val="22"/>
        </w:rPr>
        <w:t>infraštruktúry pre IaaS</w:t>
      </w:r>
      <w:r>
        <w:rPr>
          <w:rFonts w:ascii="Times New Roman" w:hAnsi="Times New Roman"/>
          <w:sz w:val="22"/>
          <w:szCs w:val="22"/>
        </w:rPr>
        <w:t xml:space="preserve"> </w:t>
      </w:r>
      <w:r w:rsidRPr="001C3C6F">
        <w:rPr>
          <w:rFonts w:ascii="Times New Roman" w:hAnsi="Times New Roman"/>
          <w:sz w:val="22"/>
          <w:szCs w:val="22"/>
        </w:rPr>
        <w:t>(</w:t>
      </w:r>
      <w:r w:rsidRPr="001C3C6F">
        <w:rPr>
          <w:rFonts w:ascii="Times New Roman" w:hAnsi="Times New Roman"/>
          <w:color w:val="000000"/>
          <w:sz w:val="22"/>
          <w:szCs w:val="22"/>
          <w:lang w:val="de-DE"/>
        </w:rPr>
        <w:t>Infrastructure as a service)</w:t>
      </w:r>
      <w:r w:rsidRPr="001C3C6F">
        <w:rPr>
          <w:rFonts w:ascii="Times New Roman" w:hAnsi="Times New Roman"/>
          <w:sz w:val="22"/>
          <w:szCs w:val="22"/>
        </w:rPr>
        <w:t>,</w:t>
      </w:r>
      <w:r w:rsidRPr="00A87E19">
        <w:rPr>
          <w:rFonts w:ascii="Times New Roman" w:hAnsi="Times New Roman"/>
          <w:sz w:val="22"/>
          <w:szCs w:val="22"/>
        </w:rPr>
        <w:t> programu UNITAS a na nákup softvéru pre Integrované obslužné miesta</w:t>
      </w:r>
      <w:r>
        <w:rPr>
          <w:rFonts w:ascii="Times New Roman" w:hAnsi="Times New Roman"/>
          <w:sz w:val="22"/>
          <w:szCs w:val="22"/>
        </w:rPr>
        <w:t xml:space="preserve"> v celkovej výške 52 739 tis. eur.</w:t>
      </w:r>
      <w:r w:rsidRPr="00A87E19">
        <w:rPr>
          <w:rFonts w:ascii="Times New Roman" w:hAnsi="Times New Roman"/>
          <w:sz w:val="22"/>
          <w:szCs w:val="22"/>
        </w:rPr>
        <w:t xml:space="preserve"> Finančné riaditeľstvo SR v rámci kapitoly </w:t>
      </w:r>
      <w:r w:rsidRPr="00696A2A">
        <w:rPr>
          <w:rFonts w:ascii="Times New Roman" w:hAnsi="Times New Roman"/>
          <w:sz w:val="22"/>
          <w:szCs w:val="22"/>
        </w:rPr>
        <w:t>Ministerstva financií SR čerpalo prostriedky na softvér zameraný na boj proti daňovým a colným únikom</w:t>
      </w:r>
      <w:r>
        <w:rPr>
          <w:rFonts w:ascii="Times New Roman" w:hAnsi="Times New Roman"/>
          <w:sz w:val="22"/>
          <w:szCs w:val="22"/>
        </w:rPr>
        <w:t xml:space="preserve"> (6 250 tis. eur)</w:t>
      </w:r>
      <w:r w:rsidRPr="00696A2A">
        <w:rPr>
          <w:rFonts w:ascii="Times New Roman" w:hAnsi="Times New Roman"/>
          <w:sz w:val="22"/>
          <w:szCs w:val="22"/>
        </w:rPr>
        <w:t xml:space="preserve">. </w:t>
      </w:r>
    </w:p>
    <w:p w:rsidR="00E22DF3" w:rsidP="00E22DF3">
      <w:pPr>
        <w:bidi w:val="0"/>
        <w:spacing w:after="120" w:line="336" w:lineRule="auto"/>
        <w:jc w:val="both"/>
        <w:rPr>
          <w:rFonts w:ascii="Times New Roman" w:hAnsi="Times New Roman"/>
          <w:sz w:val="22"/>
          <w:szCs w:val="22"/>
        </w:rPr>
      </w:pPr>
      <w:r>
        <w:rPr>
          <w:rFonts w:ascii="Times New Roman" w:hAnsi="Times New Roman"/>
          <w:sz w:val="22"/>
          <w:szCs w:val="22"/>
        </w:rPr>
        <w:t>Ministerstvo vnútra SR použilo</w:t>
      </w:r>
      <w:r w:rsidRPr="00696A2A">
        <w:rPr>
          <w:rFonts w:ascii="Times New Roman" w:hAnsi="Times New Roman"/>
          <w:sz w:val="22"/>
          <w:szCs w:val="22"/>
        </w:rPr>
        <w:t xml:space="preserve"> </w:t>
      </w:r>
      <w:r>
        <w:rPr>
          <w:rFonts w:ascii="Times New Roman" w:hAnsi="Times New Roman"/>
          <w:sz w:val="22"/>
          <w:szCs w:val="22"/>
        </w:rPr>
        <w:t xml:space="preserve">najviac prostriedkov </w:t>
      </w:r>
      <w:r w:rsidR="00B31B77">
        <w:rPr>
          <w:rFonts w:ascii="Times New Roman" w:hAnsi="Times New Roman"/>
          <w:sz w:val="22"/>
          <w:szCs w:val="22"/>
        </w:rPr>
        <w:t xml:space="preserve">takisto </w:t>
      </w:r>
      <w:r>
        <w:rPr>
          <w:rFonts w:ascii="Times New Roman" w:hAnsi="Times New Roman"/>
          <w:sz w:val="22"/>
          <w:szCs w:val="22"/>
        </w:rPr>
        <w:t xml:space="preserve">na nákup softvéru (46 688 tis. eur). </w:t>
      </w:r>
      <w:r w:rsidRPr="00696A2A">
        <w:rPr>
          <w:rFonts w:ascii="Times New Roman" w:hAnsi="Times New Roman"/>
          <w:sz w:val="22"/>
          <w:szCs w:val="22"/>
        </w:rPr>
        <w:t>Z uvedenej sumy bolo najviac prostriedkov použitých v rámci projektu Elektronické služby informačných sys</w:t>
      </w:r>
      <w:r>
        <w:rPr>
          <w:rFonts w:ascii="Times New Roman" w:hAnsi="Times New Roman"/>
          <w:sz w:val="22"/>
          <w:szCs w:val="22"/>
        </w:rPr>
        <w:t xml:space="preserve">témov vo výške 14 351 tis. eur. Ďalšie prostriedky boli použité v rámci projektov Identifikátor fyzických osôb, Upgrade informačného systému evidencie vozidiel, Elektronické služby národnej evidencie vozidiel, Elektronické služby na úseku verejnej správy, Elektronický archív, Policajné informačné systémy, Centrálny informačný systém matrík. </w:t>
      </w:r>
    </w:p>
    <w:p w:rsidR="00E22DF3" w:rsidP="00E22DF3">
      <w:pPr>
        <w:bidi w:val="0"/>
        <w:spacing w:after="120" w:line="336" w:lineRule="auto"/>
        <w:jc w:val="both"/>
        <w:rPr>
          <w:rFonts w:ascii="Times New Roman" w:hAnsi="Times New Roman"/>
          <w:sz w:val="22"/>
          <w:szCs w:val="22"/>
        </w:rPr>
      </w:pPr>
      <w:r w:rsidRPr="00C96B9A">
        <w:rPr>
          <w:rFonts w:ascii="Times New Roman" w:hAnsi="Times New Roman"/>
          <w:sz w:val="22"/>
          <w:szCs w:val="22"/>
        </w:rPr>
        <w:t xml:space="preserve">Ministerstvo spravodlivosti SR čerpalo kapitálové výdavky najmä na </w:t>
      </w:r>
      <w:r>
        <w:rPr>
          <w:rFonts w:ascii="Times New Roman" w:hAnsi="Times New Roman"/>
          <w:sz w:val="22"/>
          <w:szCs w:val="22"/>
        </w:rPr>
        <w:t>R</w:t>
      </w:r>
      <w:r w:rsidRPr="00C96B9A">
        <w:rPr>
          <w:rFonts w:ascii="Times New Roman" w:hAnsi="Times New Roman"/>
          <w:sz w:val="22"/>
          <w:szCs w:val="22"/>
        </w:rPr>
        <w:t>ozvoj elektronických služieb súdnict</w:t>
      </w:r>
      <w:r>
        <w:rPr>
          <w:rFonts w:ascii="Times New Roman" w:hAnsi="Times New Roman"/>
          <w:sz w:val="22"/>
          <w:szCs w:val="22"/>
        </w:rPr>
        <w:t>va (RESS) a na E</w:t>
      </w:r>
      <w:r w:rsidRPr="00C96B9A">
        <w:rPr>
          <w:rFonts w:ascii="Times New Roman" w:hAnsi="Times New Roman"/>
          <w:sz w:val="22"/>
          <w:szCs w:val="22"/>
        </w:rPr>
        <w:t>lektronické služby monitoringu obvinených a odsúdených osôb (ESMO) v celkovej čiastke 23 212 tis. eur.</w:t>
      </w:r>
      <w:r>
        <w:rPr>
          <w:rFonts w:ascii="Times New Roman" w:hAnsi="Times New Roman"/>
          <w:sz w:val="22"/>
          <w:szCs w:val="22"/>
        </w:rPr>
        <w:t xml:space="preserve"> Obidva projekty boli ukončené v roku 2015 s celkovou výškou schváleného rozpočtu 54 183 tis. eur počas obdobia 2013–2015. </w:t>
      </w:r>
      <w:r w:rsidRPr="00C96B9A">
        <w:rPr>
          <w:rFonts w:ascii="Times New Roman" w:hAnsi="Times New Roman"/>
          <w:sz w:val="22"/>
          <w:szCs w:val="22"/>
        </w:rPr>
        <w:t xml:space="preserve">V tomto roku </w:t>
      </w:r>
      <w:r>
        <w:rPr>
          <w:rFonts w:ascii="Times New Roman" w:hAnsi="Times New Roman"/>
          <w:sz w:val="22"/>
          <w:szCs w:val="22"/>
        </w:rPr>
        <w:t>bol financovaný</w:t>
      </w:r>
      <w:r w:rsidRPr="00C96B9A">
        <w:rPr>
          <w:rFonts w:ascii="Times New Roman" w:hAnsi="Times New Roman"/>
          <w:sz w:val="22"/>
          <w:szCs w:val="22"/>
        </w:rPr>
        <w:t xml:space="preserve"> aj rozvoj projektu Elektronická zbierka zákonov IS SLOV-LEX, I</w:t>
      </w:r>
      <w:r>
        <w:rPr>
          <w:rFonts w:ascii="Times New Roman" w:hAnsi="Times New Roman"/>
          <w:sz w:val="22"/>
          <w:szCs w:val="22"/>
        </w:rPr>
        <w:t>nformačný systém</w:t>
      </w:r>
      <w:r w:rsidRPr="00C96B9A">
        <w:rPr>
          <w:rFonts w:ascii="Times New Roman" w:hAnsi="Times New Roman"/>
          <w:sz w:val="22"/>
          <w:szCs w:val="22"/>
        </w:rPr>
        <w:t xml:space="preserve"> registra úpad</w:t>
      </w:r>
      <w:r w:rsidR="0023723C">
        <w:rPr>
          <w:rFonts w:ascii="Times New Roman" w:hAnsi="Times New Roman"/>
          <w:sz w:val="22"/>
          <w:szCs w:val="22"/>
        </w:rPr>
        <w:t>cov a Register a identifikátor právnických osôb a podnikateľov</w:t>
      </w:r>
      <w:r w:rsidRPr="00C96B9A">
        <w:rPr>
          <w:rFonts w:ascii="Times New Roman" w:hAnsi="Times New Roman"/>
          <w:sz w:val="22"/>
          <w:szCs w:val="22"/>
        </w:rPr>
        <w:t xml:space="preserve">. </w:t>
      </w:r>
    </w:p>
    <w:p w:rsidR="00E22DF3" w:rsidRPr="006E50E2" w:rsidP="00E22DF3">
      <w:pPr>
        <w:bidi w:val="0"/>
        <w:spacing w:after="120" w:line="336" w:lineRule="auto"/>
        <w:jc w:val="both"/>
        <w:rPr>
          <w:rFonts w:ascii="Times New Roman" w:hAnsi="Times New Roman"/>
          <w:sz w:val="22"/>
          <w:szCs w:val="22"/>
        </w:rPr>
      </w:pPr>
      <w:r w:rsidRPr="006E50E2">
        <w:rPr>
          <w:rFonts w:ascii="Times New Roman" w:hAnsi="Times New Roman"/>
          <w:b/>
          <w:i/>
          <w:sz w:val="22"/>
          <w:szCs w:val="22"/>
        </w:rPr>
        <w:t xml:space="preserve">Nákup dopravných prostriedkov </w:t>
      </w:r>
      <w:r w:rsidRPr="006E50E2">
        <w:rPr>
          <w:rFonts w:ascii="Times New Roman" w:hAnsi="Times New Roman"/>
          <w:sz w:val="22"/>
          <w:szCs w:val="22"/>
        </w:rPr>
        <w:t xml:space="preserve">všetkých druhov </w:t>
      </w:r>
      <w:r w:rsidR="00B31B77">
        <w:rPr>
          <w:rFonts w:ascii="Times New Roman" w:hAnsi="Times New Roman"/>
          <w:sz w:val="22"/>
          <w:szCs w:val="22"/>
        </w:rPr>
        <w:t>dosiahol</w:t>
      </w:r>
      <w:r w:rsidRPr="006E50E2">
        <w:rPr>
          <w:rFonts w:ascii="Times New Roman" w:hAnsi="Times New Roman"/>
          <w:sz w:val="22"/>
          <w:szCs w:val="22"/>
        </w:rPr>
        <w:t xml:space="preserve"> </w:t>
      </w:r>
      <w:r>
        <w:rPr>
          <w:rFonts w:ascii="Times New Roman" w:hAnsi="Times New Roman"/>
          <w:sz w:val="22"/>
          <w:szCs w:val="22"/>
        </w:rPr>
        <w:t>236 566</w:t>
      </w:r>
      <w:r w:rsidRPr="006E50E2">
        <w:rPr>
          <w:rFonts w:ascii="Times New Roman" w:hAnsi="Times New Roman"/>
          <w:sz w:val="22"/>
          <w:szCs w:val="22"/>
        </w:rPr>
        <w:t xml:space="preserve"> tis. eur, z toho najväčší podiel výdavkov tvorila kapitola Ministerstva vnútra SR s výdavkami vo výške </w:t>
      </w:r>
      <w:r>
        <w:rPr>
          <w:rFonts w:ascii="Times New Roman" w:hAnsi="Times New Roman"/>
          <w:sz w:val="22"/>
          <w:szCs w:val="22"/>
        </w:rPr>
        <w:t>148 338</w:t>
      </w:r>
      <w:r w:rsidRPr="006E50E2">
        <w:rPr>
          <w:rFonts w:ascii="Times New Roman" w:hAnsi="Times New Roman"/>
          <w:sz w:val="22"/>
          <w:szCs w:val="22"/>
        </w:rPr>
        <w:t xml:space="preserve"> tis</w:t>
      </w:r>
      <w:r>
        <w:rPr>
          <w:rFonts w:ascii="Times New Roman" w:hAnsi="Times New Roman"/>
          <w:sz w:val="22"/>
          <w:szCs w:val="22"/>
        </w:rPr>
        <w:t>.</w:t>
      </w:r>
      <w:r w:rsidRPr="006E50E2">
        <w:rPr>
          <w:rFonts w:ascii="Times New Roman" w:hAnsi="Times New Roman"/>
          <w:sz w:val="22"/>
          <w:szCs w:val="22"/>
        </w:rPr>
        <w:t xml:space="preserve"> eur</w:t>
      </w:r>
      <w:r>
        <w:rPr>
          <w:rFonts w:ascii="Times New Roman" w:hAnsi="Times New Roman"/>
          <w:sz w:val="22"/>
          <w:szCs w:val="22"/>
        </w:rPr>
        <w:t xml:space="preserve"> a Ministerstvo obrany SR vo výške 80 367 tis. eur</w:t>
      </w:r>
      <w:r w:rsidRPr="006E50E2">
        <w:rPr>
          <w:rFonts w:ascii="Times New Roman" w:hAnsi="Times New Roman"/>
          <w:sz w:val="22"/>
          <w:szCs w:val="22"/>
        </w:rPr>
        <w:t>. V porovnaní s rokom 201</w:t>
      </w:r>
      <w:r>
        <w:rPr>
          <w:rFonts w:ascii="Times New Roman" w:hAnsi="Times New Roman"/>
          <w:sz w:val="22"/>
          <w:szCs w:val="22"/>
        </w:rPr>
        <w:t>4</w:t>
      </w:r>
      <w:r w:rsidRPr="006E50E2">
        <w:rPr>
          <w:rFonts w:ascii="Times New Roman" w:hAnsi="Times New Roman"/>
          <w:sz w:val="22"/>
          <w:szCs w:val="22"/>
        </w:rPr>
        <w:t xml:space="preserve"> (</w:t>
      </w:r>
      <w:r>
        <w:rPr>
          <w:rFonts w:ascii="Times New Roman" w:hAnsi="Times New Roman"/>
          <w:sz w:val="22"/>
          <w:szCs w:val="22"/>
        </w:rPr>
        <w:t>54 814</w:t>
      </w:r>
      <w:r w:rsidRPr="006E50E2">
        <w:rPr>
          <w:rFonts w:ascii="Times New Roman" w:hAnsi="Times New Roman"/>
          <w:sz w:val="22"/>
          <w:szCs w:val="22"/>
        </w:rPr>
        <w:t xml:space="preserve"> tis. eur) bol v tejto kategórii zaznamenaný výrazný nárast </w:t>
      </w:r>
      <w:r>
        <w:rPr>
          <w:rFonts w:ascii="Times New Roman" w:hAnsi="Times New Roman"/>
          <w:sz w:val="22"/>
          <w:szCs w:val="22"/>
        </w:rPr>
        <w:t xml:space="preserve">výdavkov </w:t>
      </w:r>
      <w:r w:rsidRPr="006E50E2">
        <w:rPr>
          <w:rFonts w:ascii="Times New Roman" w:hAnsi="Times New Roman"/>
          <w:sz w:val="22"/>
          <w:szCs w:val="22"/>
        </w:rPr>
        <w:t>o</w:t>
      </w:r>
      <w:r>
        <w:rPr>
          <w:rFonts w:ascii="Times New Roman" w:hAnsi="Times New Roman"/>
          <w:sz w:val="22"/>
          <w:szCs w:val="22"/>
        </w:rPr>
        <w:t> 181 752</w:t>
      </w:r>
      <w:r w:rsidRPr="006E50E2">
        <w:rPr>
          <w:rFonts w:ascii="Times New Roman" w:hAnsi="Times New Roman"/>
          <w:sz w:val="22"/>
          <w:szCs w:val="22"/>
        </w:rPr>
        <w:t xml:space="preserve"> tis. eur.</w:t>
      </w:r>
    </w:p>
    <w:p w:rsidR="00E22DF3" w:rsidP="009A52AA">
      <w:pPr>
        <w:bidi w:val="0"/>
        <w:spacing w:after="120" w:line="336" w:lineRule="auto"/>
        <w:jc w:val="both"/>
        <w:rPr>
          <w:rFonts w:ascii="Times New Roman" w:hAnsi="Times New Roman"/>
          <w:sz w:val="22"/>
          <w:szCs w:val="22"/>
        </w:rPr>
      </w:pPr>
      <w:r w:rsidRPr="00B31B77">
        <w:rPr>
          <w:rFonts w:ascii="Times New Roman" w:hAnsi="Times New Roman"/>
          <w:sz w:val="22"/>
          <w:szCs w:val="22"/>
        </w:rPr>
        <w:t xml:space="preserve">Výdavky Ministerstva vnútra SR tvorili v prevažnej miere výdavky na nákup špeciálnych automobilov v hodnote 85 738 tis. eur. </w:t>
      </w:r>
      <w:r w:rsidRPr="00B31B77" w:rsidR="009A52AA">
        <w:rPr>
          <w:rFonts w:ascii="Times New Roman" w:hAnsi="Times New Roman"/>
          <w:sz w:val="22"/>
          <w:szCs w:val="22"/>
        </w:rPr>
        <w:t>Prostriedky sa použili na obstaranie 450 ks malých cisternových automobilových striekačiek pre obecné hasičské zbory (51 666 tis. eur), 83 ks pre lesné požiare (22 798 tis. eur), na repasáciu hasičskej techniky pre obce (5 903 tis. eur).</w:t>
      </w:r>
      <w:r w:rsidRPr="006E7015">
        <w:rPr>
          <w:rFonts w:ascii="Times New Roman" w:hAnsi="Times New Roman"/>
          <w:sz w:val="22"/>
          <w:szCs w:val="22"/>
        </w:rPr>
        <w:t xml:space="preserve"> Výdavky na nákup nákladných vozidiel, ťahačov a prípojných vozidiel boli použité v</w:t>
      </w:r>
      <w:r>
        <w:rPr>
          <w:rFonts w:ascii="Times New Roman" w:hAnsi="Times New Roman"/>
          <w:sz w:val="22"/>
          <w:szCs w:val="22"/>
        </w:rPr>
        <w:t xml:space="preserve"> kapitole </w:t>
      </w:r>
      <w:r w:rsidRPr="006E7015">
        <w:rPr>
          <w:rFonts w:ascii="Times New Roman" w:hAnsi="Times New Roman"/>
          <w:sz w:val="22"/>
          <w:szCs w:val="22"/>
        </w:rPr>
        <w:t>M</w:t>
      </w:r>
      <w:r>
        <w:rPr>
          <w:rFonts w:ascii="Times New Roman" w:hAnsi="Times New Roman"/>
          <w:sz w:val="22"/>
          <w:szCs w:val="22"/>
        </w:rPr>
        <w:t>inisterstva vnútra</w:t>
      </w:r>
      <w:r w:rsidRPr="006E7015">
        <w:rPr>
          <w:rFonts w:ascii="Times New Roman" w:hAnsi="Times New Roman"/>
          <w:sz w:val="22"/>
          <w:szCs w:val="22"/>
        </w:rPr>
        <w:t xml:space="preserve"> SR vo výške 24</w:t>
      </w:r>
      <w:r>
        <w:rPr>
          <w:rFonts w:ascii="Times New Roman" w:hAnsi="Times New Roman"/>
          <w:sz w:val="22"/>
          <w:szCs w:val="22"/>
        </w:rPr>
        <w:t> </w:t>
      </w:r>
      <w:r w:rsidRPr="006E7015">
        <w:rPr>
          <w:rFonts w:ascii="Times New Roman" w:hAnsi="Times New Roman"/>
          <w:sz w:val="22"/>
          <w:szCs w:val="22"/>
        </w:rPr>
        <w:t>501</w:t>
      </w:r>
      <w:r>
        <w:rPr>
          <w:rFonts w:ascii="Times New Roman" w:hAnsi="Times New Roman"/>
          <w:sz w:val="22"/>
          <w:szCs w:val="22"/>
        </w:rPr>
        <w:t> </w:t>
      </w:r>
      <w:r w:rsidRPr="006E7015">
        <w:rPr>
          <w:rFonts w:ascii="Times New Roman" w:hAnsi="Times New Roman"/>
          <w:sz w:val="22"/>
          <w:szCs w:val="22"/>
        </w:rPr>
        <w:t>tis.</w:t>
      </w:r>
      <w:r>
        <w:rPr>
          <w:rFonts w:ascii="Times New Roman" w:hAnsi="Times New Roman"/>
          <w:sz w:val="22"/>
          <w:szCs w:val="22"/>
        </w:rPr>
        <w:t> </w:t>
      </w:r>
      <w:r w:rsidRPr="006E7015">
        <w:rPr>
          <w:rFonts w:ascii="Times New Roman" w:hAnsi="Times New Roman"/>
          <w:sz w:val="22"/>
          <w:szCs w:val="22"/>
        </w:rPr>
        <w:t xml:space="preserve">eur, v podiele 99 % z Kohézneho fondu. Z uvedenej sumy bolo najviac prostriedkov čerpaných v rámci projektu Aktívne protipovodňové opatrenia. </w:t>
      </w:r>
    </w:p>
    <w:p w:rsidR="00E22DF3" w:rsidP="00E22DF3">
      <w:pPr>
        <w:bidi w:val="0"/>
        <w:spacing w:after="120" w:line="336" w:lineRule="auto"/>
        <w:jc w:val="both"/>
        <w:rPr>
          <w:rFonts w:ascii="Times New Roman" w:hAnsi="Times New Roman"/>
          <w:sz w:val="22"/>
          <w:szCs w:val="22"/>
        </w:rPr>
      </w:pPr>
      <w:r>
        <w:rPr>
          <w:rFonts w:ascii="Times New Roman" w:hAnsi="Times New Roman"/>
          <w:sz w:val="22"/>
          <w:szCs w:val="22"/>
        </w:rPr>
        <w:t xml:space="preserve">Ministerstvo obrany SR čerpalo v rámci tejto položky výdavky v hodnote 54 124 tis. eur na obstaranie viacúčelových vrtuľníkov UH-60M Black Hawk prostredníctvom amerického vládneho programu FMS a 18 509 tis. eur na obstaranie nákladných terénnych ťažkých automobilov TATRA 815. </w:t>
      </w:r>
    </w:p>
    <w:p w:rsidR="00E22DF3" w:rsidP="00E22DF3">
      <w:pPr>
        <w:bidi w:val="0"/>
        <w:spacing w:after="120" w:line="336" w:lineRule="auto"/>
        <w:jc w:val="both"/>
        <w:rPr>
          <w:rFonts w:ascii="Times New Roman" w:hAnsi="Times New Roman"/>
          <w:sz w:val="22"/>
          <w:szCs w:val="22"/>
        </w:rPr>
      </w:pPr>
      <w:r>
        <w:rPr>
          <w:rFonts w:ascii="Times New Roman" w:hAnsi="Times New Roman"/>
          <w:b/>
          <w:i/>
          <w:sz w:val="22"/>
          <w:szCs w:val="22"/>
        </w:rPr>
        <w:t xml:space="preserve">Ostatné kapitálové výdavky </w:t>
      </w:r>
      <w:r>
        <w:rPr>
          <w:rFonts w:ascii="Times New Roman" w:hAnsi="Times New Roman"/>
          <w:sz w:val="22"/>
          <w:szCs w:val="22"/>
        </w:rPr>
        <w:t xml:space="preserve">v hodnote 74 107 tis. eur </w:t>
      </w:r>
      <w:r w:rsidR="00B31B77">
        <w:rPr>
          <w:rFonts w:ascii="Times New Roman" w:hAnsi="Times New Roman"/>
          <w:sz w:val="22"/>
          <w:szCs w:val="22"/>
        </w:rPr>
        <w:t xml:space="preserve">boli použité najmä na </w:t>
      </w:r>
      <w:r w:rsidRPr="00B31B77" w:rsidR="00B31B77">
        <w:rPr>
          <w:rFonts w:ascii="Times New Roman" w:hAnsi="Times New Roman"/>
          <w:i/>
          <w:sz w:val="22"/>
          <w:szCs w:val="22"/>
        </w:rPr>
        <w:t>r</w:t>
      </w:r>
      <w:r w:rsidRPr="00B31B77">
        <w:rPr>
          <w:rFonts w:ascii="Times New Roman" w:hAnsi="Times New Roman"/>
          <w:i/>
          <w:sz w:val="22"/>
          <w:szCs w:val="22"/>
        </w:rPr>
        <w:t>ekonštrukci</w:t>
      </w:r>
      <w:r w:rsidRPr="00B31B77" w:rsidR="00B31B77">
        <w:rPr>
          <w:rFonts w:ascii="Times New Roman" w:hAnsi="Times New Roman"/>
          <w:i/>
          <w:sz w:val="22"/>
          <w:szCs w:val="22"/>
        </w:rPr>
        <w:t>u</w:t>
      </w:r>
      <w:r w:rsidRPr="00B31B77">
        <w:rPr>
          <w:rFonts w:ascii="Times New Roman" w:hAnsi="Times New Roman"/>
          <w:i/>
          <w:sz w:val="22"/>
          <w:szCs w:val="22"/>
        </w:rPr>
        <w:t xml:space="preserve"> a modernizáci</w:t>
      </w:r>
      <w:r w:rsidRPr="00B31B77" w:rsidR="00B31B77">
        <w:rPr>
          <w:rFonts w:ascii="Times New Roman" w:hAnsi="Times New Roman"/>
          <w:i/>
          <w:sz w:val="22"/>
          <w:szCs w:val="22"/>
        </w:rPr>
        <w:t>u</w:t>
      </w:r>
      <w:r w:rsidRPr="00B31B77">
        <w:rPr>
          <w:rFonts w:ascii="Times New Roman" w:hAnsi="Times New Roman"/>
          <w:i/>
          <w:sz w:val="22"/>
          <w:szCs w:val="22"/>
        </w:rPr>
        <w:t xml:space="preserve"> strojov a zariadení </w:t>
      </w:r>
      <w:r w:rsidR="00B31B77">
        <w:rPr>
          <w:rFonts w:ascii="Times New Roman" w:hAnsi="Times New Roman"/>
          <w:sz w:val="22"/>
          <w:szCs w:val="22"/>
        </w:rPr>
        <w:t>v hodnote</w:t>
      </w:r>
      <w:r w:rsidRPr="006E50E2">
        <w:rPr>
          <w:rFonts w:ascii="Times New Roman" w:hAnsi="Times New Roman"/>
          <w:sz w:val="22"/>
          <w:szCs w:val="22"/>
        </w:rPr>
        <w:t xml:space="preserve"> </w:t>
      </w:r>
      <w:r>
        <w:rPr>
          <w:rFonts w:ascii="Times New Roman" w:hAnsi="Times New Roman"/>
          <w:sz w:val="22"/>
          <w:szCs w:val="22"/>
        </w:rPr>
        <w:t>58 848</w:t>
      </w:r>
      <w:r w:rsidR="00B31B77">
        <w:rPr>
          <w:rFonts w:ascii="Times New Roman" w:hAnsi="Times New Roman"/>
          <w:sz w:val="22"/>
          <w:szCs w:val="22"/>
        </w:rPr>
        <w:t xml:space="preserve"> tis. eur, pričom</w:t>
      </w:r>
      <w:r w:rsidRPr="006E50E2">
        <w:rPr>
          <w:rFonts w:ascii="Times New Roman" w:hAnsi="Times New Roman"/>
          <w:sz w:val="22"/>
          <w:szCs w:val="22"/>
        </w:rPr>
        <w:t xml:space="preserve"> výdavky Ministerstva financií SR </w:t>
      </w:r>
      <w:r w:rsidRPr="006E50E2" w:rsidR="00B31B77">
        <w:rPr>
          <w:rFonts w:ascii="Times New Roman" w:hAnsi="Times New Roman"/>
          <w:sz w:val="22"/>
          <w:szCs w:val="22"/>
        </w:rPr>
        <w:t xml:space="preserve">na finančné krytie </w:t>
      </w:r>
      <w:r w:rsidR="00B31B77">
        <w:rPr>
          <w:rFonts w:ascii="Times New Roman" w:hAnsi="Times New Roman"/>
          <w:sz w:val="22"/>
          <w:szCs w:val="22"/>
        </w:rPr>
        <w:t xml:space="preserve">projektu </w:t>
      </w:r>
      <w:r w:rsidRPr="006E50E2" w:rsidR="00B31B77">
        <w:rPr>
          <w:rFonts w:ascii="Times New Roman" w:hAnsi="Times New Roman"/>
          <w:sz w:val="22"/>
          <w:szCs w:val="22"/>
        </w:rPr>
        <w:t>zabezpečeni</w:t>
      </w:r>
      <w:r w:rsidR="00B31B77">
        <w:rPr>
          <w:rFonts w:ascii="Times New Roman" w:hAnsi="Times New Roman"/>
          <w:sz w:val="22"/>
          <w:szCs w:val="22"/>
        </w:rPr>
        <w:t>a</w:t>
      </w:r>
      <w:r w:rsidRPr="006E50E2" w:rsidR="00B31B77">
        <w:rPr>
          <w:rFonts w:ascii="Times New Roman" w:hAnsi="Times New Roman"/>
          <w:sz w:val="22"/>
          <w:szCs w:val="22"/>
        </w:rPr>
        <w:t xml:space="preserve"> externej a internej komunikácie a integrácie systémov Finančnej správy SR </w:t>
      </w:r>
      <w:r w:rsidRPr="006E50E2">
        <w:rPr>
          <w:rFonts w:ascii="Times New Roman" w:hAnsi="Times New Roman"/>
          <w:sz w:val="22"/>
          <w:szCs w:val="22"/>
        </w:rPr>
        <w:t xml:space="preserve">tvorili </w:t>
      </w:r>
      <w:r>
        <w:rPr>
          <w:rFonts w:ascii="Times New Roman" w:hAnsi="Times New Roman"/>
          <w:sz w:val="22"/>
          <w:szCs w:val="22"/>
        </w:rPr>
        <w:t>40 494</w:t>
      </w:r>
      <w:r w:rsidRPr="006E50E2">
        <w:rPr>
          <w:rFonts w:ascii="Times New Roman" w:hAnsi="Times New Roman"/>
          <w:sz w:val="22"/>
          <w:szCs w:val="22"/>
        </w:rPr>
        <w:t xml:space="preserve"> tis. eur</w:t>
      </w:r>
      <w:r w:rsidR="00B31B77">
        <w:rPr>
          <w:rFonts w:ascii="Times New Roman" w:hAnsi="Times New Roman"/>
          <w:sz w:val="22"/>
          <w:szCs w:val="22"/>
        </w:rPr>
        <w:t>.</w:t>
      </w:r>
      <w:r>
        <w:rPr>
          <w:rFonts w:ascii="Times New Roman" w:hAnsi="Times New Roman"/>
          <w:sz w:val="22"/>
          <w:szCs w:val="22"/>
        </w:rPr>
        <w:t xml:space="preserve"> </w:t>
      </w:r>
    </w:p>
    <w:p w:rsidR="00E22DF3" w:rsidP="00E22DF3">
      <w:pPr>
        <w:bidi w:val="0"/>
        <w:spacing w:after="120" w:line="336" w:lineRule="auto"/>
        <w:jc w:val="both"/>
        <w:rPr>
          <w:rFonts w:ascii="Times New Roman" w:hAnsi="Times New Roman"/>
          <w:sz w:val="22"/>
          <w:szCs w:val="22"/>
        </w:rPr>
      </w:pPr>
      <w:r w:rsidRPr="00E719A1">
        <w:rPr>
          <w:rFonts w:ascii="Times New Roman" w:hAnsi="Times New Roman"/>
          <w:sz w:val="22"/>
          <w:szCs w:val="22"/>
        </w:rPr>
        <w:t xml:space="preserve">Pri </w:t>
      </w:r>
      <w:r w:rsidRPr="00E719A1">
        <w:rPr>
          <w:rFonts w:ascii="Times New Roman" w:hAnsi="Times New Roman"/>
          <w:b/>
          <w:i/>
          <w:sz w:val="22"/>
          <w:szCs w:val="22"/>
        </w:rPr>
        <w:t>obstaraní budov, objektov a ich častí</w:t>
      </w:r>
      <w:r w:rsidRPr="00E719A1">
        <w:rPr>
          <w:rFonts w:ascii="Times New Roman" w:hAnsi="Times New Roman"/>
          <w:sz w:val="22"/>
          <w:szCs w:val="22"/>
        </w:rPr>
        <w:t xml:space="preserve"> došlo v roku 2015 oproti predchádzajúcemu obdobiu k</w:t>
      </w:r>
      <w:r>
        <w:rPr>
          <w:rFonts w:ascii="Times New Roman" w:hAnsi="Times New Roman"/>
          <w:sz w:val="22"/>
          <w:szCs w:val="22"/>
        </w:rPr>
        <w:t> </w:t>
      </w:r>
      <w:r w:rsidRPr="00E719A1">
        <w:rPr>
          <w:rFonts w:ascii="Times New Roman" w:hAnsi="Times New Roman"/>
          <w:sz w:val="22"/>
          <w:szCs w:val="22"/>
        </w:rPr>
        <w:t>zvýšeniu</w:t>
      </w:r>
      <w:r>
        <w:rPr>
          <w:rFonts w:ascii="Times New Roman" w:hAnsi="Times New Roman"/>
          <w:sz w:val="22"/>
          <w:szCs w:val="22"/>
        </w:rPr>
        <w:t xml:space="preserve"> výdavkov</w:t>
      </w:r>
      <w:r w:rsidRPr="00E719A1">
        <w:rPr>
          <w:rFonts w:ascii="Times New Roman" w:hAnsi="Times New Roman"/>
          <w:sz w:val="22"/>
          <w:szCs w:val="22"/>
        </w:rPr>
        <w:t xml:space="preserve"> o 4 494 tis. eur (2014: 45 tis. eur). Najväčšiu časť výdavkov realizovalo Ministerstvo vnútra SR (2 303 tis. eur) a Správa štátnych hmotných rezerv</w:t>
      </w:r>
      <w:r>
        <w:rPr>
          <w:rFonts w:ascii="Times New Roman" w:hAnsi="Times New Roman"/>
          <w:sz w:val="22"/>
          <w:szCs w:val="22"/>
        </w:rPr>
        <w:t xml:space="preserve"> SR</w:t>
      </w:r>
      <w:r w:rsidRPr="00E719A1">
        <w:rPr>
          <w:rFonts w:ascii="Times New Roman" w:hAnsi="Times New Roman"/>
          <w:sz w:val="22"/>
          <w:szCs w:val="22"/>
        </w:rPr>
        <w:t xml:space="preserve"> (1</w:t>
      </w:r>
      <w:r>
        <w:rPr>
          <w:rFonts w:ascii="Times New Roman" w:hAnsi="Times New Roman"/>
          <w:sz w:val="22"/>
          <w:szCs w:val="22"/>
        </w:rPr>
        <w:t> </w:t>
      </w:r>
      <w:r w:rsidRPr="00E719A1">
        <w:rPr>
          <w:rFonts w:ascii="Times New Roman" w:hAnsi="Times New Roman"/>
          <w:sz w:val="22"/>
          <w:szCs w:val="22"/>
        </w:rPr>
        <w:t>628</w:t>
      </w:r>
      <w:r>
        <w:rPr>
          <w:rFonts w:ascii="Times New Roman" w:hAnsi="Times New Roman"/>
          <w:sz w:val="22"/>
          <w:szCs w:val="22"/>
        </w:rPr>
        <w:t> </w:t>
      </w:r>
      <w:r w:rsidRPr="00E719A1">
        <w:rPr>
          <w:rFonts w:ascii="Times New Roman" w:hAnsi="Times New Roman"/>
          <w:sz w:val="22"/>
          <w:szCs w:val="22"/>
        </w:rPr>
        <w:t>tis.</w:t>
      </w:r>
      <w:r>
        <w:rPr>
          <w:rFonts w:ascii="Times New Roman" w:hAnsi="Times New Roman"/>
          <w:sz w:val="22"/>
          <w:szCs w:val="22"/>
        </w:rPr>
        <w:t> </w:t>
      </w:r>
      <w:r w:rsidRPr="00E719A1">
        <w:rPr>
          <w:rFonts w:ascii="Times New Roman" w:hAnsi="Times New Roman"/>
          <w:sz w:val="22"/>
          <w:szCs w:val="22"/>
        </w:rPr>
        <w:t>eur).</w:t>
      </w:r>
      <w:r w:rsidRPr="006E50E2">
        <w:rPr>
          <w:rFonts w:ascii="Times New Roman" w:hAnsi="Times New Roman"/>
          <w:sz w:val="22"/>
          <w:szCs w:val="22"/>
        </w:rPr>
        <w:t xml:space="preserve"> </w:t>
      </w:r>
      <w:r>
        <w:rPr>
          <w:rFonts w:ascii="Times New Roman" w:hAnsi="Times New Roman"/>
          <w:sz w:val="22"/>
          <w:szCs w:val="22"/>
        </w:rPr>
        <w:t xml:space="preserve">Výdavky Ministerstva vnútra SR boli použité v plnej výške na obstaranie budovy v rámci programu Efektívna a spoľahlivá štátna správa – Kontaktné </w:t>
      </w:r>
      <w:r w:rsidR="00F154AA">
        <w:rPr>
          <w:rFonts w:ascii="Times New Roman" w:hAnsi="Times New Roman"/>
          <w:sz w:val="22"/>
          <w:szCs w:val="22"/>
        </w:rPr>
        <w:t>administratívne miesto občana v </w:t>
      </w:r>
      <w:r>
        <w:rPr>
          <w:rFonts w:ascii="Times New Roman" w:hAnsi="Times New Roman"/>
          <w:sz w:val="22"/>
          <w:szCs w:val="22"/>
        </w:rPr>
        <w:t>Bratislave.</w:t>
      </w:r>
    </w:p>
    <w:p w:rsidR="00E22DF3" w:rsidRPr="006E50E2" w:rsidP="00E22DF3">
      <w:pPr>
        <w:pStyle w:val="ListParagraph"/>
        <w:numPr>
          <w:numId w:val="12"/>
        </w:numPr>
        <w:tabs>
          <w:tab w:val="left" w:pos="284"/>
        </w:tabs>
        <w:bidi w:val="0"/>
        <w:spacing w:after="120" w:line="336" w:lineRule="auto"/>
        <w:ind w:left="0" w:firstLine="0"/>
        <w:contextualSpacing w:val="0"/>
        <w:jc w:val="both"/>
        <w:rPr>
          <w:rFonts w:ascii="Times New Roman" w:hAnsi="Times New Roman"/>
          <w:b/>
        </w:rPr>
      </w:pPr>
      <w:r w:rsidRPr="006E50E2">
        <w:rPr>
          <w:rFonts w:ascii="Times New Roman" w:hAnsi="Times New Roman"/>
          <w:b/>
        </w:rPr>
        <w:t>Kapitálové transfery</w:t>
      </w:r>
    </w:p>
    <w:p w:rsidR="00E22DF3" w:rsidRPr="006E50E2" w:rsidP="00E22DF3">
      <w:pPr>
        <w:bidi w:val="0"/>
        <w:spacing w:after="120" w:line="336" w:lineRule="auto"/>
        <w:jc w:val="both"/>
        <w:rPr>
          <w:rFonts w:ascii="Times New Roman" w:hAnsi="Times New Roman"/>
          <w:sz w:val="22"/>
          <w:szCs w:val="22"/>
        </w:rPr>
      </w:pPr>
      <w:r w:rsidRPr="006E50E2">
        <w:rPr>
          <w:rFonts w:ascii="Times New Roman" w:hAnsi="Times New Roman"/>
          <w:sz w:val="22"/>
          <w:szCs w:val="22"/>
        </w:rPr>
        <w:t>Kapitálové transfery zahŕňajú platby vykonávané s cieľom umožniť príjemcovi nadobudnúť kapitálové aktíva alebo kompenzovať ich poškodenie alebo zničenie. Schválený rozpočet pre rok 201</w:t>
      </w:r>
      <w:r>
        <w:rPr>
          <w:rFonts w:ascii="Times New Roman" w:hAnsi="Times New Roman"/>
          <w:sz w:val="22"/>
          <w:szCs w:val="22"/>
        </w:rPr>
        <w:t>5</w:t>
      </w:r>
      <w:r w:rsidRPr="006E50E2">
        <w:rPr>
          <w:rFonts w:ascii="Times New Roman" w:hAnsi="Times New Roman"/>
          <w:sz w:val="22"/>
          <w:szCs w:val="22"/>
        </w:rPr>
        <w:t xml:space="preserve"> bol stanovený sumou </w:t>
      </w:r>
      <w:r>
        <w:rPr>
          <w:rFonts w:ascii="Times New Roman" w:hAnsi="Times New Roman"/>
          <w:sz w:val="22"/>
          <w:szCs w:val="22"/>
        </w:rPr>
        <w:t>2 183 159</w:t>
      </w:r>
      <w:r w:rsidRPr="006E50E2">
        <w:rPr>
          <w:rFonts w:ascii="Times New Roman" w:hAnsi="Times New Roman"/>
          <w:color w:val="FF0000"/>
          <w:sz w:val="22"/>
          <w:szCs w:val="22"/>
        </w:rPr>
        <w:t xml:space="preserve"> </w:t>
      </w:r>
      <w:r w:rsidRPr="006E50E2">
        <w:rPr>
          <w:rFonts w:ascii="Times New Roman" w:hAnsi="Times New Roman"/>
          <w:sz w:val="22"/>
          <w:szCs w:val="22"/>
        </w:rPr>
        <w:t>tis. eur</w:t>
      </w:r>
      <w:r>
        <w:rPr>
          <w:rFonts w:ascii="Times New Roman" w:hAnsi="Times New Roman"/>
          <w:sz w:val="22"/>
          <w:szCs w:val="22"/>
        </w:rPr>
        <w:t>.</w:t>
      </w:r>
      <w:r w:rsidRPr="006E50E2">
        <w:rPr>
          <w:rFonts w:ascii="Times New Roman" w:hAnsi="Times New Roman"/>
          <w:sz w:val="22"/>
          <w:szCs w:val="22"/>
        </w:rPr>
        <w:t xml:space="preserve"> V skutočnosti kapitálové transfery </w:t>
      </w:r>
      <w:r>
        <w:rPr>
          <w:rFonts w:ascii="Times New Roman" w:hAnsi="Times New Roman"/>
          <w:sz w:val="22"/>
          <w:szCs w:val="22"/>
        </w:rPr>
        <w:t>boli vo výške 3 378 828 </w:t>
      </w:r>
      <w:r w:rsidRPr="006E50E2">
        <w:rPr>
          <w:rFonts w:ascii="Times New Roman" w:hAnsi="Times New Roman"/>
          <w:sz w:val="22"/>
          <w:szCs w:val="22"/>
        </w:rPr>
        <w:t>tis.</w:t>
      </w:r>
      <w:r>
        <w:rPr>
          <w:rFonts w:ascii="Times New Roman" w:hAnsi="Times New Roman"/>
          <w:sz w:val="22"/>
          <w:szCs w:val="22"/>
        </w:rPr>
        <w:t> </w:t>
      </w:r>
      <w:r w:rsidRPr="006E50E2">
        <w:rPr>
          <w:rFonts w:ascii="Times New Roman" w:hAnsi="Times New Roman"/>
          <w:sz w:val="22"/>
          <w:szCs w:val="22"/>
        </w:rPr>
        <w:t>eur (201</w:t>
      </w:r>
      <w:r>
        <w:rPr>
          <w:rFonts w:ascii="Times New Roman" w:hAnsi="Times New Roman"/>
          <w:sz w:val="22"/>
          <w:szCs w:val="22"/>
        </w:rPr>
        <w:t>4</w:t>
      </w:r>
      <w:r w:rsidRPr="006E50E2">
        <w:rPr>
          <w:rFonts w:ascii="Times New Roman" w:hAnsi="Times New Roman"/>
          <w:sz w:val="22"/>
          <w:szCs w:val="22"/>
        </w:rPr>
        <w:t>: 1</w:t>
      </w:r>
      <w:r>
        <w:rPr>
          <w:rFonts w:ascii="Times New Roman" w:hAnsi="Times New Roman"/>
          <w:sz w:val="22"/>
          <w:szCs w:val="22"/>
        </w:rPr>
        <w:t> 468 653</w:t>
      </w:r>
      <w:r w:rsidRPr="006E50E2">
        <w:rPr>
          <w:rFonts w:ascii="Times New Roman" w:hAnsi="Times New Roman"/>
          <w:sz w:val="22"/>
          <w:szCs w:val="22"/>
        </w:rPr>
        <w:t xml:space="preserve"> tis. eur), </w:t>
      </w:r>
      <w:r>
        <w:rPr>
          <w:rFonts w:ascii="Times New Roman" w:hAnsi="Times New Roman"/>
          <w:sz w:val="22"/>
          <w:szCs w:val="22"/>
        </w:rPr>
        <w:t>a tvoria takmer 72,4</w:t>
      </w:r>
      <w:r w:rsidR="00F154AA">
        <w:rPr>
          <w:rFonts w:ascii="Times New Roman" w:hAnsi="Times New Roman"/>
          <w:sz w:val="22"/>
          <w:szCs w:val="22"/>
        </w:rPr>
        <w:t xml:space="preserve"> </w:t>
      </w:r>
      <w:r>
        <w:rPr>
          <w:rFonts w:ascii="Times New Roman" w:hAnsi="Times New Roman"/>
          <w:sz w:val="22"/>
          <w:szCs w:val="22"/>
        </w:rPr>
        <w:t xml:space="preserve">% </w:t>
      </w:r>
      <w:r w:rsidRPr="006E50E2">
        <w:rPr>
          <w:rFonts w:ascii="Times New Roman" w:hAnsi="Times New Roman"/>
          <w:sz w:val="22"/>
          <w:szCs w:val="22"/>
        </w:rPr>
        <w:t>z celkových kapitálových výdavkov.</w:t>
      </w:r>
    </w:p>
    <w:p w:rsidR="00E22DF3" w:rsidP="00E22DF3">
      <w:pPr>
        <w:bidi w:val="0"/>
        <w:spacing w:after="120" w:line="336" w:lineRule="auto"/>
        <w:jc w:val="both"/>
        <w:rPr>
          <w:rFonts w:ascii="Times New Roman" w:hAnsi="Times New Roman"/>
          <w:sz w:val="22"/>
          <w:szCs w:val="22"/>
        </w:rPr>
      </w:pPr>
      <w:r w:rsidRPr="00D77976">
        <w:rPr>
          <w:rFonts w:ascii="Times New Roman" w:hAnsi="Times New Roman"/>
          <w:b/>
          <w:i/>
          <w:sz w:val="22"/>
          <w:szCs w:val="22"/>
        </w:rPr>
        <w:t>Transfery v rámci verejnej správy</w:t>
      </w:r>
      <w:r w:rsidRPr="00D77976">
        <w:rPr>
          <w:rFonts w:ascii="Times New Roman" w:hAnsi="Times New Roman"/>
          <w:sz w:val="22"/>
          <w:szCs w:val="22"/>
        </w:rPr>
        <w:t xml:space="preserve"> tvorili </w:t>
      </w:r>
      <w:r w:rsidRPr="00D77976">
        <w:rPr>
          <w:rFonts w:ascii="Times New Roman" w:hAnsi="Times New Roman"/>
          <w:sz w:val="22"/>
          <w:szCs w:val="22"/>
          <w:lang w:eastAsia="en-US"/>
        </w:rPr>
        <w:t>2 321 559 tis</w:t>
      </w:r>
      <w:r>
        <w:rPr>
          <w:rFonts w:ascii="Times New Roman" w:hAnsi="Times New Roman"/>
          <w:sz w:val="22"/>
          <w:szCs w:val="22"/>
          <w:lang w:eastAsia="en-US"/>
        </w:rPr>
        <w:t>.</w:t>
      </w:r>
      <w:r w:rsidRPr="00D77976">
        <w:rPr>
          <w:rFonts w:ascii="Times New Roman" w:hAnsi="Times New Roman"/>
          <w:sz w:val="22"/>
          <w:szCs w:val="22"/>
          <w:lang w:eastAsia="en-US"/>
        </w:rPr>
        <w:t xml:space="preserve"> eur, čo predstavuje </w:t>
      </w:r>
      <w:r>
        <w:rPr>
          <w:rFonts w:ascii="Times New Roman" w:hAnsi="Times New Roman"/>
          <w:sz w:val="22"/>
          <w:szCs w:val="22"/>
          <w:lang w:eastAsia="en-US"/>
        </w:rPr>
        <w:t>68,7</w:t>
      </w:r>
      <w:r w:rsidRPr="00D77976">
        <w:rPr>
          <w:rFonts w:ascii="Times New Roman" w:hAnsi="Times New Roman"/>
          <w:sz w:val="22"/>
          <w:szCs w:val="22"/>
          <w:lang w:eastAsia="en-US"/>
        </w:rPr>
        <w:t xml:space="preserve"> % transferov v rámci kapitálových transferov. </w:t>
      </w:r>
      <w:r>
        <w:rPr>
          <w:rFonts w:ascii="Times New Roman" w:hAnsi="Times New Roman"/>
          <w:sz w:val="22"/>
          <w:szCs w:val="22"/>
          <w:lang w:eastAsia="en-US"/>
        </w:rPr>
        <w:t xml:space="preserve">Najviac kapitálových </w:t>
      </w:r>
      <w:r w:rsidRPr="00157B93">
        <w:rPr>
          <w:rFonts w:ascii="Times New Roman" w:hAnsi="Times New Roman"/>
          <w:sz w:val="22"/>
          <w:szCs w:val="22"/>
          <w:lang w:eastAsia="en-US"/>
        </w:rPr>
        <w:t>transferov</w:t>
      </w:r>
      <w:r>
        <w:rPr>
          <w:rFonts w:ascii="Times New Roman" w:hAnsi="Times New Roman"/>
          <w:sz w:val="22"/>
          <w:szCs w:val="22"/>
          <w:lang w:eastAsia="en-US"/>
        </w:rPr>
        <w:t xml:space="preserve"> v rámci verejnej správy</w:t>
      </w:r>
      <w:r w:rsidRPr="00157B93">
        <w:rPr>
          <w:rFonts w:ascii="Times New Roman" w:hAnsi="Times New Roman"/>
          <w:sz w:val="22"/>
          <w:szCs w:val="22"/>
          <w:lang w:eastAsia="en-US"/>
        </w:rPr>
        <w:t xml:space="preserve"> bolo poskytnutých ostatným subjektom verejnej správy (1 321 586 tis. eur)</w:t>
      </w:r>
      <w:r>
        <w:rPr>
          <w:rFonts w:ascii="Times New Roman" w:hAnsi="Times New Roman"/>
          <w:sz w:val="22"/>
          <w:szCs w:val="22"/>
          <w:lang w:eastAsia="en-US"/>
        </w:rPr>
        <w:t>, najviac</w:t>
      </w:r>
      <w:r w:rsidRPr="00157B93">
        <w:rPr>
          <w:rFonts w:ascii="Times New Roman" w:hAnsi="Times New Roman"/>
          <w:sz w:val="22"/>
          <w:szCs w:val="22"/>
          <w:lang w:eastAsia="en-US"/>
        </w:rPr>
        <w:t xml:space="preserve"> prostredníctvom </w:t>
      </w:r>
      <w:r w:rsidRPr="00157B93">
        <w:rPr>
          <w:rFonts w:ascii="Times New Roman" w:hAnsi="Times New Roman"/>
          <w:sz w:val="22"/>
          <w:szCs w:val="22"/>
        </w:rPr>
        <w:t xml:space="preserve">Ministerstva dopravy, výstavby a regionálneho rozvoja SR (1 297 561 tis. eur). </w:t>
      </w:r>
    </w:p>
    <w:p w:rsidR="00E22DF3" w:rsidP="00E22DF3">
      <w:pPr>
        <w:bidi w:val="0"/>
        <w:spacing w:after="120" w:line="336" w:lineRule="auto"/>
        <w:jc w:val="both"/>
        <w:rPr>
          <w:rFonts w:ascii="Times New Roman" w:hAnsi="Times New Roman"/>
          <w:sz w:val="22"/>
          <w:szCs w:val="22"/>
          <w:lang w:eastAsia="en-US"/>
        </w:rPr>
      </w:pPr>
      <w:r w:rsidRPr="00157B93">
        <w:rPr>
          <w:rFonts w:ascii="Times New Roman" w:hAnsi="Times New Roman"/>
          <w:sz w:val="22"/>
          <w:szCs w:val="22"/>
          <w:lang w:eastAsia="en-US"/>
        </w:rPr>
        <w:t>Obciam bolo poskytnutých 455 943 tis. eur (2014: 221</w:t>
      </w:r>
      <w:r>
        <w:rPr>
          <w:rFonts w:ascii="Times New Roman" w:hAnsi="Times New Roman"/>
          <w:sz w:val="22"/>
          <w:szCs w:val="22"/>
          <w:lang w:eastAsia="en-US"/>
        </w:rPr>
        <w:t> </w:t>
      </w:r>
      <w:r w:rsidRPr="00157B93">
        <w:rPr>
          <w:rFonts w:ascii="Times New Roman" w:hAnsi="Times New Roman"/>
          <w:sz w:val="22"/>
          <w:szCs w:val="22"/>
          <w:lang w:eastAsia="en-US"/>
        </w:rPr>
        <w:t>702 tis eur), najv</w:t>
      </w:r>
      <w:r>
        <w:rPr>
          <w:rFonts w:ascii="Times New Roman" w:hAnsi="Times New Roman"/>
          <w:sz w:val="22"/>
          <w:szCs w:val="22"/>
          <w:lang w:eastAsia="en-US"/>
        </w:rPr>
        <w:t>yš</w:t>
      </w:r>
      <w:r w:rsidRPr="00157B93">
        <w:rPr>
          <w:rFonts w:ascii="Times New Roman" w:hAnsi="Times New Roman"/>
          <w:sz w:val="22"/>
          <w:szCs w:val="22"/>
          <w:lang w:eastAsia="en-US"/>
        </w:rPr>
        <w:t>šou sumou sa na transferoch obciam podieľalo Ministerstvo pôdohospodárstva a r</w:t>
      </w:r>
      <w:r w:rsidR="00B3673A">
        <w:rPr>
          <w:rFonts w:ascii="Times New Roman" w:hAnsi="Times New Roman"/>
          <w:sz w:val="22"/>
          <w:szCs w:val="22"/>
          <w:lang w:eastAsia="en-US"/>
        </w:rPr>
        <w:t>ozvoja vidieka SR (126 540 tis. </w:t>
      </w:r>
      <w:r w:rsidRPr="00157B93">
        <w:rPr>
          <w:rFonts w:ascii="Times New Roman" w:hAnsi="Times New Roman"/>
          <w:sz w:val="22"/>
          <w:szCs w:val="22"/>
          <w:lang w:eastAsia="en-US"/>
        </w:rPr>
        <w:t xml:space="preserve">eur), </w:t>
      </w:r>
      <w:r w:rsidRPr="00157B93">
        <w:rPr>
          <w:rFonts w:ascii="Times New Roman" w:hAnsi="Times New Roman"/>
          <w:sz w:val="22"/>
          <w:szCs w:val="22"/>
        </w:rPr>
        <w:t>Ministerstv</w:t>
      </w:r>
      <w:r>
        <w:rPr>
          <w:rFonts w:ascii="Times New Roman" w:hAnsi="Times New Roman"/>
          <w:sz w:val="22"/>
          <w:szCs w:val="22"/>
        </w:rPr>
        <w:t>o</w:t>
      </w:r>
      <w:r w:rsidRPr="00157B93">
        <w:rPr>
          <w:rFonts w:ascii="Times New Roman" w:hAnsi="Times New Roman"/>
          <w:sz w:val="22"/>
          <w:szCs w:val="22"/>
        </w:rPr>
        <w:t xml:space="preserve"> dopravy, výstavby a regionálneho rozvoja SR (125 416 tis. eur)</w:t>
      </w:r>
      <w:r w:rsidRPr="00157B93">
        <w:rPr>
          <w:rFonts w:ascii="Times New Roman" w:hAnsi="Times New Roman"/>
          <w:sz w:val="22"/>
          <w:szCs w:val="22"/>
          <w:lang w:eastAsia="en-US"/>
        </w:rPr>
        <w:t xml:space="preserve"> a Ministerstvo ž</w:t>
      </w:r>
      <w:r>
        <w:rPr>
          <w:rFonts w:ascii="Times New Roman" w:hAnsi="Times New Roman"/>
          <w:sz w:val="22"/>
          <w:szCs w:val="22"/>
          <w:lang w:eastAsia="en-US"/>
        </w:rPr>
        <w:t>ivotného prostredia SR (124 896 </w:t>
      </w:r>
      <w:r w:rsidRPr="00157B93">
        <w:rPr>
          <w:rFonts w:ascii="Times New Roman" w:hAnsi="Times New Roman"/>
          <w:sz w:val="22"/>
          <w:szCs w:val="22"/>
          <w:lang w:eastAsia="en-US"/>
        </w:rPr>
        <w:t>tis.</w:t>
      </w:r>
      <w:r>
        <w:rPr>
          <w:rFonts w:ascii="Times New Roman" w:hAnsi="Times New Roman"/>
          <w:sz w:val="22"/>
          <w:szCs w:val="22"/>
          <w:lang w:eastAsia="en-US"/>
        </w:rPr>
        <w:t> </w:t>
      </w:r>
      <w:r w:rsidRPr="005A0616">
        <w:rPr>
          <w:rFonts w:ascii="Times New Roman" w:hAnsi="Times New Roman"/>
          <w:sz w:val="22"/>
          <w:szCs w:val="22"/>
          <w:lang w:eastAsia="en-US"/>
        </w:rPr>
        <w:t>eur)</w:t>
      </w:r>
      <w:r>
        <w:rPr>
          <w:rFonts w:ascii="Times New Roman" w:hAnsi="Times New Roman"/>
          <w:sz w:val="22"/>
          <w:szCs w:val="22"/>
          <w:lang w:eastAsia="en-US"/>
        </w:rPr>
        <w:t>.</w:t>
      </w:r>
    </w:p>
    <w:p w:rsidR="00E22DF3" w:rsidRPr="00A1090F" w:rsidP="00E22DF3">
      <w:pPr>
        <w:bidi w:val="0"/>
        <w:spacing w:after="120" w:line="336" w:lineRule="auto"/>
        <w:jc w:val="both"/>
        <w:rPr>
          <w:rFonts w:ascii="Times New Roman" w:hAnsi="Times New Roman"/>
          <w:sz w:val="22"/>
          <w:szCs w:val="22"/>
          <w:lang w:eastAsia="en-US"/>
        </w:rPr>
      </w:pPr>
      <w:r w:rsidRPr="00A1090F">
        <w:rPr>
          <w:rFonts w:ascii="Times New Roman" w:hAnsi="Times New Roman"/>
          <w:sz w:val="22"/>
          <w:szCs w:val="22"/>
          <w:lang w:eastAsia="en-US"/>
        </w:rPr>
        <w:t>Verejným vysokým školám bolo poskytnutých 274 835 tis. eur</w:t>
      </w:r>
      <w:r>
        <w:rPr>
          <w:rFonts w:ascii="Times New Roman" w:hAnsi="Times New Roman"/>
          <w:sz w:val="22"/>
          <w:szCs w:val="22"/>
          <w:lang w:eastAsia="en-US"/>
        </w:rPr>
        <w:t xml:space="preserve"> (2014: 83 100 tis. eur)</w:t>
      </w:r>
      <w:r w:rsidRPr="00A1090F">
        <w:rPr>
          <w:rFonts w:ascii="Times New Roman" w:hAnsi="Times New Roman"/>
          <w:sz w:val="22"/>
          <w:szCs w:val="22"/>
          <w:lang w:eastAsia="en-US"/>
        </w:rPr>
        <w:t>, a</w:t>
      </w:r>
      <w:r>
        <w:rPr>
          <w:rFonts w:ascii="Times New Roman" w:hAnsi="Times New Roman"/>
          <w:sz w:val="22"/>
          <w:szCs w:val="22"/>
          <w:lang w:eastAsia="en-US"/>
        </w:rPr>
        <w:t> </w:t>
      </w:r>
      <w:r w:rsidRPr="00A1090F">
        <w:rPr>
          <w:rFonts w:ascii="Times New Roman" w:hAnsi="Times New Roman"/>
          <w:sz w:val="22"/>
          <w:szCs w:val="22"/>
          <w:lang w:eastAsia="en-US"/>
        </w:rPr>
        <w:t>to</w:t>
      </w:r>
      <w:r>
        <w:rPr>
          <w:rFonts w:ascii="Times New Roman" w:hAnsi="Times New Roman"/>
          <w:sz w:val="22"/>
          <w:szCs w:val="22"/>
          <w:lang w:eastAsia="en-US"/>
        </w:rPr>
        <w:t xml:space="preserve"> ako aj za minulé roky</w:t>
      </w:r>
      <w:r w:rsidRPr="00A1090F">
        <w:rPr>
          <w:rFonts w:ascii="Times New Roman" w:hAnsi="Times New Roman"/>
          <w:sz w:val="22"/>
          <w:szCs w:val="22"/>
          <w:lang w:eastAsia="en-US"/>
        </w:rPr>
        <w:t xml:space="preserve"> najviac z kapitoly Ministerstva školstva, vedy, výskumu a športu SR v sume 269</w:t>
      </w:r>
      <w:r>
        <w:rPr>
          <w:rFonts w:ascii="Times New Roman" w:hAnsi="Times New Roman"/>
          <w:sz w:val="22"/>
          <w:szCs w:val="22"/>
          <w:lang w:eastAsia="en-US"/>
        </w:rPr>
        <w:t> </w:t>
      </w:r>
      <w:r w:rsidRPr="00A1090F">
        <w:rPr>
          <w:rFonts w:ascii="Times New Roman" w:hAnsi="Times New Roman"/>
          <w:sz w:val="22"/>
          <w:szCs w:val="22"/>
          <w:lang w:eastAsia="en-US"/>
        </w:rPr>
        <w:t>402</w:t>
      </w:r>
      <w:r>
        <w:rPr>
          <w:rFonts w:ascii="Times New Roman" w:hAnsi="Times New Roman"/>
          <w:sz w:val="22"/>
          <w:szCs w:val="22"/>
          <w:lang w:eastAsia="en-US"/>
        </w:rPr>
        <w:t> </w:t>
      </w:r>
      <w:r w:rsidRPr="00A1090F">
        <w:rPr>
          <w:rFonts w:ascii="Times New Roman" w:hAnsi="Times New Roman"/>
          <w:sz w:val="22"/>
          <w:szCs w:val="22"/>
          <w:lang w:eastAsia="en-US"/>
        </w:rPr>
        <w:t>tis.</w:t>
      </w:r>
      <w:r>
        <w:rPr>
          <w:rFonts w:ascii="Times New Roman" w:hAnsi="Times New Roman"/>
          <w:sz w:val="22"/>
          <w:szCs w:val="22"/>
          <w:lang w:eastAsia="en-US"/>
        </w:rPr>
        <w:t> </w:t>
      </w:r>
      <w:r w:rsidRPr="00A1090F">
        <w:rPr>
          <w:rFonts w:ascii="Times New Roman" w:hAnsi="Times New Roman"/>
          <w:sz w:val="22"/>
          <w:szCs w:val="22"/>
          <w:lang w:eastAsia="en-US"/>
        </w:rPr>
        <w:t>eur.</w:t>
      </w:r>
    </w:p>
    <w:p w:rsidR="00E22DF3" w:rsidRPr="00A1090F" w:rsidP="00E22DF3">
      <w:pPr>
        <w:bidi w:val="0"/>
        <w:spacing w:after="120" w:line="336" w:lineRule="auto"/>
        <w:jc w:val="both"/>
        <w:rPr>
          <w:rFonts w:ascii="Times New Roman" w:hAnsi="Times New Roman"/>
          <w:sz w:val="22"/>
          <w:szCs w:val="22"/>
          <w:lang w:eastAsia="en-US"/>
        </w:rPr>
      </w:pPr>
      <w:r w:rsidRPr="00A1090F">
        <w:rPr>
          <w:rFonts w:ascii="Times New Roman" w:hAnsi="Times New Roman"/>
          <w:sz w:val="22"/>
          <w:szCs w:val="22"/>
          <w:lang w:eastAsia="en-US"/>
        </w:rPr>
        <w:t>Príspevkovým organizáciám bolo poskytnutých 219 178 tis. eur, najviac poskytlo Ministerstvo školstva, vedy, výskumu a športu SR (84 511 tis. eur) a Ministerstvo financií SR (44 834 tis. eur).</w:t>
      </w:r>
    </w:p>
    <w:p w:rsidR="00F154AA" w:rsidRPr="00EA04F9" w:rsidP="00E22DF3">
      <w:pPr>
        <w:bidi w:val="0"/>
        <w:spacing w:after="120" w:line="336" w:lineRule="auto"/>
        <w:jc w:val="both"/>
        <w:rPr>
          <w:rFonts w:ascii="Times New Roman" w:hAnsi="Times New Roman"/>
          <w:sz w:val="22"/>
          <w:szCs w:val="22"/>
        </w:rPr>
      </w:pPr>
      <w:r w:rsidRPr="00EA04F9">
        <w:rPr>
          <w:rFonts w:ascii="Times New Roman" w:hAnsi="Times New Roman"/>
          <w:sz w:val="22"/>
          <w:szCs w:val="22"/>
        </w:rPr>
        <w:t>Ministerstvo dopravy, výstavby a regionálneho rozvoja SR poskytlo najviac kapitálových transferov v rámci verejnej správy Národnej diaľničnej spoločnosti, a. s. v hodnote 810 414 tis. eur, ktorá ich použila na projekty Výstavba diaľnic (408 174 tis. eur), Výstavba rýchlostných ciest (143 708 tis. eur) a na zabezpečenie úloh v oblasti prípravy a realizácie opráv, údržby a výstavby diaľnic a rýchlostných ciest (258 532 tis. eur). Poskytnutý transfer Železniciam SR (282 884 tis. eur) bol použitý na projekty Modernizácia a rozvoj železničnej infraštruktúry (154 681 tis. eur), Výstavba verejných terminálov intermodálnej prepravy (6 537 tis. eur), Výstavba infraštruktúry integrovaného dopravného systému (5 963 tis. eur) a na ďalšie projekty modernizácie a rozvoja železničnej dopravnej cesty (115 683 tis. eur). Ďalšie transfery boli poskytnuté aj Dopravnému podniku hl. mesta Bratislava a Dopravnému podniku mesta Košice.</w:t>
      </w:r>
    </w:p>
    <w:p w:rsidR="00E22DF3" w:rsidP="00E22DF3">
      <w:pPr>
        <w:bidi w:val="0"/>
        <w:spacing w:after="120" w:line="336" w:lineRule="auto"/>
        <w:jc w:val="both"/>
        <w:rPr>
          <w:rFonts w:ascii="Times New Roman" w:hAnsi="Times New Roman"/>
          <w:sz w:val="22"/>
          <w:szCs w:val="22"/>
          <w:lang w:eastAsia="en-US"/>
        </w:rPr>
      </w:pPr>
      <w:r w:rsidRPr="00EA04F9">
        <w:rPr>
          <w:rFonts w:ascii="Times New Roman" w:hAnsi="Times New Roman"/>
          <w:sz w:val="22"/>
          <w:szCs w:val="22"/>
          <w:lang w:eastAsia="en-US"/>
        </w:rPr>
        <w:t>Výdavky Ministerstva pôdohospodárstva a rozvoja vidieka SR boli poskytnuté na čerpanie</w:t>
      </w:r>
      <w:r>
        <w:rPr>
          <w:rFonts w:ascii="Times New Roman" w:hAnsi="Times New Roman"/>
          <w:sz w:val="22"/>
          <w:szCs w:val="22"/>
          <w:lang w:eastAsia="en-US"/>
        </w:rPr>
        <w:t xml:space="preserve"> </w:t>
      </w:r>
      <w:r w:rsidRPr="005A0616">
        <w:rPr>
          <w:rFonts w:ascii="Times New Roman" w:hAnsi="Times New Roman"/>
          <w:sz w:val="22"/>
          <w:szCs w:val="22"/>
          <w:lang w:eastAsia="en-US"/>
        </w:rPr>
        <w:t>eurofondov v rámci programu Regionálny rozvoj – O</w:t>
      </w:r>
      <w:r>
        <w:rPr>
          <w:rFonts w:ascii="Times New Roman" w:hAnsi="Times New Roman"/>
          <w:sz w:val="22"/>
          <w:szCs w:val="22"/>
          <w:lang w:eastAsia="en-US"/>
        </w:rPr>
        <w:t>peračný program Bratislavský kraj,</w:t>
      </w:r>
      <w:r w:rsidRPr="005A0616">
        <w:rPr>
          <w:rFonts w:ascii="Times New Roman" w:hAnsi="Times New Roman"/>
          <w:sz w:val="22"/>
          <w:szCs w:val="22"/>
          <w:lang w:eastAsia="en-US"/>
        </w:rPr>
        <w:t xml:space="preserve"> R</w:t>
      </w:r>
      <w:r>
        <w:rPr>
          <w:rFonts w:ascii="Times New Roman" w:hAnsi="Times New Roman"/>
          <w:sz w:val="22"/>
          <w:szCs w:val="22"/>
          <w:lang w:eastAsia="en-US"/>
        </w:rPr>
        <w:t>egionálny operačný program (R</w:t>
      </w:r>
      <w:r w:rsidRPr="005A0616">
        <w:rPr>
          <w:rFonts w:ascii="Times New Roman" w:hAnsi="Times New Roman"/>
          <w:sz w:val="22"/>
          <w:szCs w:val="22"/>
          <w:lang w:eastAsia="en-US"/>
        </w:rPr>
        <w:t>OP</w:t>
      </w:r>
      <w:r>
        <w:rPr>
          <w:rFonts w:ascii="Times New Roman" w:hAnsi="Times New Roman"/>
          <w:sz w:val="22"/>
          <w:szCs w:val="22"/>
          <w:lang w:eastAsia="en-US"/>
        </w:rPr>
        <w:t>)</w:t>
      </w:r>
      <w:r w:rsidRPr="005A0616">
        <w:rPr>
          <w:rFonts w:ascii="Times New Roman" w:hAnsi="Times New Roman"/>
          <w:sz w:val="22"/>
          <w:szCs w:val="22"/>
          <w:lang w:eastAsia="en-US"/>
        </w:rPr>
        <w:t>, cezhraničn</w:t>
      </w:r>
      <w:r>
        <w:rPr>
          <w:rFonts w:ascii="Times New Roman" w:hAnsi="Times New Roman"/>
          <w:sz w:val="22"/>
          <w:szCs w:val="22"/>
          <w:lang w:eastAsia="en-US"/>
        </w:rPr>
        <w:t>ej</w:t>
      </w:r>
      <w:r w:rsidRPr="005A0616">
        <w:rPr>
          <w:rFonts w:ascii="Times New Roman" w:hAnsi="Times New Roman"/>
          <w:sz w:val="22"/>
          <w:szCs w:val="22"/>
          <w:lang w:eastAsia="en-US"/>
        </w:rPr>
        <w:t xml:space="preserve"> spoluprác</w:t>
      </w:r>
      <w:r>
        <w:rPr>
          <w:rFonts w:ascii="Times New Roman" w:hAnsi="Times New Roman"/>
          <w:sz w:val="22"/>
          <w:szCs w:val="22"/>
          <w:lang w:eastAsia="en-US"/>
        </w:rPr>
        <w:t>e (napr. projekt Po Kronerovej ceste)</w:t>
      </w:r>
      <w:r w:rsidRPr="005A0616">
        <w:rPr>
          <w:rFonts w:ascii="Times New Roman" w:hAnsi="Times New Roman"/>
          <w:sz w:val="22"/>
          <w:szCs w:val="22"/>
          <w:lang w:eastAsia="en-US"/>
        </w:rPr>
        <w:t xml:space="preserve"> a programu Rozvoj vidieka</w:t>
      </w:r>
      <w:r>
        <w:rPr>
          <w:rFonts w:ascii="Times New Roman" w:hAnsi="Times New Roman"/>
          <w:sz w:val="22"/>
          <w:szCs w:val="22"/>
          <w:lang w:eastAsia="en-US"/>
        </w:rPr>
        <w:t xml:space="preserve"> (PRV)</w:t>
      </w:r>
      <w:r w:rsidRPr="005A0616">
        <w:rPr>
          <w:rFonts w:ascii="Times New Roman" w:hAnsi="Times New Roman"/>
          <w:sz w:val="22"/>
          <w:szCs w:val="22"/>
          <w:lang w:eastAsia="en-US"/>
        </w:rPr>
        <w:t>. Najviac bolo poskytnutých finančných prostriedkov v programe ROP 2007-2013 v</w:t>
      </w:r>
      <w:r>
        <w:rPr>
          <w:rFonts w:ascii="Times New Roman" w:hAnsi="Times New Roman"/>
          <w:sz w:val="22"/>
          <w:szCs w:val="22"/>
          <w:lang w:eastAsia="en-US"/>
        </w:rPr>
        <w:t> celkovej výške 67 753 tis. eur a v programe Rozvoja vidieka v sume 39 129 tis. eur.</w:t>
      </w:r>
    </w:p>
    <w:p w:rsidR="00E22DF3" w:rsidP="00E22DF3">
      <w:pPr>
        <w:bidi w:val="0"/>
        <w:spacing w:after="120" w:line="336" w:lineRule="auto"/>
        <w:jc w:val="both"/>
        <w:rPr>
          <w:rFonts w:ascii="Times New Roman" w:hAnsi="Times New Roman"/>
          <w:sz w:val="22"/>
          <w:szCs w:val="22"/>
          <w:lang w:eastAsia="en-US"/>
        </w:rPr>
      </w:pPr>
      <w:r>
        <w:rPr>
          <w:rFonts w:ascii="Times New Roman" w:hAnsi="Times New Roman"/>
          <w:sz w:val="22"/>
          <w:szCs w:val="22"/>
          <w:lang w:eastAsia="en-US"/>
        </w:rPr>
        <w:t>Ministerstvo školstva, vedy, výskumu a športu SR poskytlo príspevkovým organizáciám finančné prostriedky na základe žiadosti o platbu v súlade so zmluvou o poskytnutí nenávratného finančného príspevku za účelom realizácie aktivít projektu, napr.: Národná teleprezentačná infraštruktúra pre podporu výskumu, vývoja a transferu technológií (13 718 tis. eur), Vybudovanie infraštruktúry pre zálohovú prenosovú sieť, Popularizácia vedy a techniky na Slovensku, Národné podnikateľské centrum. Najviac finančných prostriedkov išlo pre Centrum vedecko-technických informácií (36 687 tis. eur) a pre Chemický ústav SAV (20 458 tis. eur).</w:t>
      </w:r>
    </w:p>
    <w:p w:rsidR="00E22DF3" w:rsidRPr="0055563E" w:rsidP="00E22DF3">
      <w:pPr>
        <w:bidi w:val="0"/>
        <w:spacing w:after="120" w:line="336" w:lineRule="auto"/>
        <w:jc w:val="both"/>
        <w:rPr>
          <w:rFonts w:ascii="Times New Roman" w:hAnsi="Times New Roman"/>
          <w:sz w:val="22"/>
          <w:szCs w:val="22"/>
          <w:lang w:eastAsia="en-US"/>
        </w:rPr>
      </w:pPr>
      <w:r w:rsidRPr="0055563E">
        <w:rPr>
          <w:rFonts w:ascii="Times New Roman" w:hAnsi="Times New Roman"/>
          <w:b/>
          <w:i/>
          <w:sz w:val="22"/>
          <w:szCs w:val="22"/>
        </w:rPr>
        <w:t>Transfery nefinančným subjektom a príspevkovým organizáciám nezaradeným vo verejnej správe</w:t>
      </w:r>
      <w:r w:rsidRPr="0055563E">
        <w:rPr>
          <w:rFonts w:ascii="Times New Roman" w:hAnsi="Times New Roman"/>
          <w:sz w:val="22"/>
          <w:szCs w:val="22"/>
        </w:rPr>
        <w:t xml:space="preserve"> tvorili 987 438 tis. eur, čo predstavuje 29,2</w:t>
      </w:r>
      <w:r w:rsidRPr="0055563E">
        <w:rPr>
          <w:rFonts w:ascii="Times New Roman" w:hAnsi="Times New Roman"/>
          <w:color w:val="FF0000"/>
          <w:sz w:val="22"/>
          <w:szCs w:val="22"/>
        </w:rPr>
        <w:t xml:space="preserve"> </w:t>
      </w:r>
      <w:r w:rsidRPr="0055563E">
        <w:rPr>
          <w:rFonts w:ascii="Times New Roman" w:hAnsi="Times New Roman"/>
          <w:sz w:val="22"/>
          <w:szCs w:val="22"/>
        </w:rPr>
        <w:t xml:space="preserve">% z celkovej výšky kapitálových transferov. </w:t>
      </w:r>
    </w:p>
    <w:p w:rsidR="00E22DF3" w:rsidRPr="00F16436" w:rsidP="00E22DF3">
      <w:pPr>
        <w:bidi w:val="0"/>
        <w:spacing w:after="120" w:line="336" w:lineRule="auto"/>
        <w:jc w:val="both"/>
        <w:rPr>
          <w:rFonts w:ascii="Times New Roman" w:hAnsi="Times New Roman"/>
          <w:sz w:val="22"/>
          <w:szCs w:val="22"/>
        </w:rPr>
      </w:pPr>
      <w:r w:rsidRPr="00F16436">
        <w:rPr>
          <w:rFonts w:ascii="Times New Roman" w:hAnsi="Times New Roman"/>
          <w:sz w:val="22"/>
          <w:szCs w:val="22"/>
        </w:rPr>
        <w:t>Ministerstvo dopravy, výstavby a regionálneho rozvoja SR poskytlo transfery Železničnej spoločnosti Slovensko, a.</w:t>
      </w:r>
      <w:r>
        <w:rPr>
          <w:rFonts w:ascii="Times New Roman" w:hAnsi="Times New Roman"/>
          <w:sz w:val="22"/>
          <w:szCs w:val="22"/>
        </w:rPr>
        <w:t xml:space="preserve"> </w:t>
      </w:r>
      <w:r w:rsidRPr="00F16436">
        <w:rPr>
          <w:rFonts w:ascii="Times New Roman" w:hAnsi="Times New Roman"/>
          <w:sz w:val="22"/>
          <w:szCs w:val="22"/>
        </w:rPr>
        <w:t xml:space="preserve">s. </w:t>
      </w:r>
      <w:r>
        <w:rPr>
          <w:rFonts w:ascii="Times New Roman" w:hAnsi="Times New Roman"/>
          <w:sz w:val="22"/>
          <w:szCs w:val="22"/>
        </w:rPr>
        <w:t xml:space="preserve">v sume </w:t>
      </w:r>
      <w:r w:rsidR="00C17B5E">
        <w:rPr>
          <w:rFonts w:ascii="Times New Roman" w:hAnsi="Times New Roman"/>
          <w:sz w:val="22"/>
          <w:szCs w:val="22"/>
        </w:rPr>
        <w:t>222 171 tis. eur</w:t>
      </w:r>
      <w:r w:rsidRPr="00F16436">
        <w:rPr>
          <w:rFonts w:ascii="Times New Roman" w:hAnsi="Times New Roman"/>
          <w:sz w:val="22"/>
          <w:szCs w:val="22"/>
        </w:rPr>
        <w:t xml:space="preserve"> (z toho K</w:t>
      </w:r>
      <w:r>
        <w:rPr>
          <w:rFonts w:ascii="Times New Roman" w:hAnsi="Times New Roman"/>
          <w:sz w:val="22"/>
          <w:szCs w:val="22"/>
        </w:rPr>
        <w:t xml:space="preserve">ohézny fond </w:t>
      </w:r>
      <w:r w:rsidRPr="00F16436">
        <w:rPr>
          <w:rFonts w:ascii="Times New Roman" w:hAnsi="Times New Roman"/>
          <w:sz w:val="22"/>
          <w:szCs w:val="22"/>
        </w:rPr>
        <w:t xml:space="preserve">188 845 tis. eur). </w:t>
      </w:r>
      <w:r w:rsidR="00C17B5E">
        <w:rPr>
          <w:rFonts w:ascii="Times New Roman" w:hAnsi="Times New Roman"/>
          <w:sz w:val="22"/>
          <w:szCs w:val="22"/>
        </w:rPr>
        <w:t>Železničná spoločnosť Slovensko, a. s.</w:t>
      </w:r>
      <w:r w:rsidR="00CD220D">
        <w:rPr>
          <w:rFonts w:ascii="Times New Roman" w:hAnsi="Times New Roman"/>
          <w:sz w:val="22"/>
          <w:szCs w:val="22"/>
        </w:rPr>
        <w:t xml:space="preserve"> prijala finančné prostriedky z Operačného programu Doprava </w:t>
      </w:r>
      <w:r w:rsidR="00EA04F9">
        <w:rPr>
          <w:rFonts w:ascii="Times New Roman" w:hAnsi="Times New Roman"/>
          <w:sz w:val="22"/>
          <w:szCs w:val="22"/>
        </w:rPr>
        <w:t xml:space="preserve">na obnovu parku mobilných prostriedkov integrovaných dopravných systémov (212 326 tis. eur) a </w:t>
      </w:r>
      <w:r w:rsidR="00CD220D">
        <w:rPr>
          <w:rFonts w:ascii="Times New Roman" w:hAnsi="Times New Roman"/>
          <w:sz w:val="22"/>
          <w:szCs w:val="22"/>
        </w:rPr>
        <w:t xml:space="preserve">na technicko – hygienickú údržbu </w:t>
      </w:r>
      <w:r w:rsidR="00F154AA">
        <w:rPr>
          <w:rFonts w:ascii="Times New Roman" w:hAnsi="Times New Roman"/>
          <w:sz w:val="22"/>
          <w:szCs w:val="22"/>
        </w:rPr>
        <w:t>železničných koľajových vozidiel</w:t>
      </w:r>
      <w:r w:rsidR="00CD220D">
        <w:rPr>
          <w:rFonts w:ascii="Times New Roman" w:hAnsi="Times New Roman"/>
          <w:sz w:val="22"/>
          <w:szCs w:val="22"/>
        </w:rPr>
        <w:t xml:space="preserve"> (9 845 tis. eur).</w:t>
      </w:r>
    </w:p>
    <w:p w:rsidR="00E22DF3" w:rsidRPr="007035C0" w:rsidP="00E22DF3">
      <w:pPr>
        <w:bidi w:val="0"/>
        <w:spacing w:after="120" w:line="336" w:lineRule="auto"/>
        <w:jc w:val="both"/>
        <w:rPr>
          <w:rFonts w:ascii="Times New Roman" w:hAnsi="Times New Roman"/>
          <w:sz w:val="22"/>
          <w:szCs w:val="22"/>
        </w:rPr>
      </w:pPr>
      <w:r w:rsidRPr="007035C0">
        <w:rPr>
          <w:rFonts w:ascii="Times New Roman" w:hAnsi="Times New Roman"/>
          <w:sz w:val="22"/>
          <w:szCs w:val="22"/>
        </w:rPr>
        <w:t>Transfery z Ministerstva životného prostredia SR boli poskytnuté prijímateľom na základe žiadosti o platbu v rámci schválených projektov v oblasti integrovanej ochrany a racionálneho využívania vôd, ochrany pred povodňami, ochrany ovzdušia a minimalizácie nepriaznivých vplyvov zmeny klímy a v oblasti odpadového hospodárstva. Najviac bol</w:t>
      </w:r>
      <w:r>
        <w:rPr>
          <w:rFonts w:ascii="Times New Roman" w:hAnsi="Times New Roman"/>
          <w:sz w:val="22"/>
          <w:szCs w:val="22"/>
        </w:rPr>
        <w:t>i</w:t>
      </w:r>
      <w:r w:rsidRPr="007035C0">
        <w:rPr>
          <w:rFonts w:ascii="Times New Roman" w:hAnsi="Times New Roman"/>
          <w:sz w:val="22"/>
          <w:szCs w:val="22"/>
        </w:rPr>
        <w:t xml:space="preserve"> poskytnuté Východoslovenskej vodárenskej spoločnosti, a.</w:t>
      </w:r>
      <w:r>
        <w:rPr>
          <w:rFonts w:ascii="Times New Roman" w:hAnsi="Times New Roman"/>
          <w:sz w:val="22"/>
          <w:szCs w:val="22"/>
        </w:rPr>
        <w:t xml:space="preserve"> </w:t>
      </w:r>
      <w:r w:rsidRPr="007035C0">
        <w:rPr>
          <w:rFonts w:ascii="Times New Roman" w:hAnsi="Times New Roman"/>
          <w:sz w:val="22"/>
          <w:szCs w:val="22"/>
        </w:rPr>
        <w:t>s. (63 458 tis. eur) a Slovenskému vodohospodárskemu podniku, š.</w:t>
      </w:r>
      <w:r>
        <w:rPr>
          <w:rFonts w:ascii="Times New Roman" w:hAnsi="Times New Roman"/>
          <w:sz w:val="22"/>
          <w:szCs w:val="22"/>
        </w:rPr>
        <w:t xml:space="preserve"> </w:t>
      </w:r>
      <w:r w:rsidRPr="007035C0">
        <w:rPr>
          <w:rFonts w:ascii="Times New Roman" w:hAnsi="Times New Roman"/>
          <w:sz w:val="22"/>
          <w:szCs w:val="22"/>
        </w:rPr>
        <w:t>p. (48 562 tis. eur).</w:t>
      </w:r>
      <w:r>
        <w:rPr>
          <w:rFonts w:ascii="Times New Roman" w:hAnsi="Times New Roman"/>
          <w:sz w:val="22"/>
          <w:szCs w:val="22"/>
        </w:rPr>
        <w:t xml:space="preserve"> V rámci transferu Východoslovenskej vodárenskej spoločnosti, a. s. išlo najviac finančných prostriedkov na zásobovanie pitnou vodu a odkanalizovanie obcí v mikroregióne Bodva (33 542 tis. eur). Slovenský vodohospodársky podnik, š. p. financoval aj projekty Mapy povodňového ohrozenia a Mapy povodňového rizika vodných tokov Slovenska (7 739 tis. eur), úpravu toku rieky Bystrica (3 161 tis. eur). </w:t>
      </w:r>
    </w:p>
    <w:p w:rsidR="00E22DF3" w:rsidRPr="00F16436" w:rsidP="00E22DF3">
      <w:pPr>
        <w:bidi w:val="0"/>
        <w:spacing w:after="120" w:line="336" w:lineRule="auto"/>
        <w:jc w:val="both"/>
        <w:rPr>
          <w:rFonts w:ascii="Times New Roman" w:hAnsi="Times New Roman"/>
          <w:sz w:val="22"/>
          <w:szCs w:val="22"/>
          <w:highlight w:val="yellow"/>
        </w:rPr>
      </w:pPr>
      <w:r w:rsidRPr="00763D99">
        <w:rPr>
          <w:rFonts w:ascii="Times New Roman" w:hAnsi="Times New Roman"/>
          <w:b/>
          <w:i/>
          <w:sz w:val="22"/>
          <w:szCs w:val="22"/>
        </w:rPr>
        <w:t xml:space="preserve">Transfery finančným inštitúciám </w:t>
      </w:r>
      <w:r w:rsidR="00AC0CA7">
        <w:rPr>
          <w:rFonts w:ascii="Times New Roman" w:hAnsi="Times New Roman"/>
          <w:sz w:val="22"/>
          <w:szCs w:val="22"/>
        </w:rPr>
        <w:t>poskytlo</w:t>
      </w:r>
      <w:r w:rsidRPr="00763D99">
        <w:rPr>
          <w:rFonts w:ascii="Times New Roman" w:hAnsi="Times New Roman"/>
          <w:sz w:val="22"/>
          <w:szCs w:val="22"/>
        </w:rPr>
        <w:t xml:space="preserve"> </w:t>
      </w:r>
      <w:r w:rsidRPr="00763D99" w:rsidR="00AC0CA7">
        <w:rPr>
          <w:rFonts w:ascii="Times New Roman" w:hAnsi="Times New Roman"/>
          <w:sz w:val="22"/>
          <w:szCs w:val="22"/>
        </w:rPr>
        <w:t>Ministerstv</w:t>
      </w:r>
      <w:r w:rsidR="00AC0CA7">
        <w:rPr>
          <w:rFonts w:ascii="Times New Roman" w:hAnsi="Times New Roman"/>
          <w:sz w:val="22"/>
          <w:szCs w:val="22"/>
        </w:rPr>
        <w:t>o</w:t>
      </w:r>
      <w:r w:rsidRPr="00F16436" w:rsidR="00AC0CA7">
        <w:rPr>
          <w:rFonts w:ascii="Times New Roman" w:hAnsi="Times New Roman"/>
          <w:sz w:val="22"/>
          <w:szCs w:val="22"/>
        </w:rPr>
        <w:t xml:space="preserve"> dopravy, výstavby a regionálneho rozvoja SR</w:t>
      </w:r>
      <w:r w:rsidRPr="00763D99" w:rsidR="00AC0CA7">
        <w:rPr>
          <w:rFonts w:ascii="Times New Roman" w:hAnsi="Times New Roman"/>
          <w:sz w:val="22"/>
          <w:szCs w:val="22"/>
        </w:rPr>
        <w:t xml:space="preserve"> </w:t>
      </w:r>
      <w:r w:rsidRPr="00763D99">
        <w:rPr>
          <w:rFonts w:ascii="Times New Roman" w:hAnsi="Times New Roman"/>
          <w:sz w:val="22"/>
          <w:szCs w:val="22"/>
        </w:rPr>
        <w:t>vo výške 35 000 tis. eur</w:t>
      </w:r>
      <w:r>
        <w:rPr>
          <w:rFonts w:ascii="Times New Roman" w:hAnsi="Times New Roman"/>
          <w:sz w:val="22"/>
          <w:szCs w:val="22"/>
        </w:rPr>
        <w:t xml:space="preserve">, </w:t>
      </w:r>
      <w:r w:rsidR="00AC0CA7">
        <w:rPr>
          <w:rFonts w:ascii="Times New Roman" w:hAnsi="Times New Roman"/>
          <w:sz w:val="22"/>
          <w:szCs w:val="22"/>
        </w:rPr>
        <w:t>spoločnosti</w:t>
      </w:r>
      <w:r>
        <w:rPr>
          <w:rFonts w:ascii="Times New Roman" w:hAnsi="Times New Roman"/>
          <w:sz w:val="22"/>
          <w:szCs w:val="22"/>
        </w:rPr>
        <w:t xml:space="preserve"> SZRB Asset Management, a. s.</w:t>
      </w:r>
      <w:r w:rsidR="00AC0CA7">
        <w:rPr>
          <w:rFonts w:ascii="Times New Roman" w:hAnsi="Times New Roman"/>
          <w:sz w:val="22"/>
          <w:szCs w:val="22"/>
        </w:rPr>
        <w:t xml:space="preserve">, ktorá predstavuje </w:t>
      </w:r>
      <w:r w:rsidR="00A8404B">
        <w:rPr>
          <w:rFonts w:ascii="Times New Roman" w:hAnsi="Times New Roman"/>
          <w:sz w:val="22"/>
          <w:szCs w:val="22"/>
        </w:rPr>
        <w:t>finančn</w:t>
      </w:r>
      <w:r w:rsidR="00AC0CA7">
        <w:rPr>
          <w:rFonts w:ascii="Times New Roman" w:hAnsi="Times New Roman"/>
          <w:sz w:val="22"/>
          <w:szCs w:val="22"/>
        </w:rPr>
        <w:t>ý</w:t>
      </w:r>
      <w:r w:rsidR="00A8404B">
        <w:rPr>
          <w:rFonts w:ascii="Times New Roman" w:hAnsi="Times New Roman"/>
          <w:sz w:val="22"/>
          <w:szCs w:val="22"/>
        </w:rPr>
        <w:t xml:space="preserve"> nástroj pre implementáciu projektov prioritnej osi 2 Operačného programu</w:t>
      </w:r>
      <w:r>
        <w:rPr>
          <w:rFonts w:ascii="Times New Roman" w:hAnsi="Times New Roman"/>
          <w:sz w:val="22"/>
          <w:szCs w:val="22"/>
        </w:rPr>
        <w:t xml:space="preserve"> </w:t>
      </w:r>
      <w:r w:rsidR="00A8404B">
        <w:rPr>
          <w:rFonts w:ascii="Times New Roman" w:hAnsi="Times New Roman"/>
          <w:sz w:val="22"/>
          <w:szCs w:val="22"/>
        </w:rPr>
        <w:t>Integrovaná infraštruktúra</w:t>
      </w:r>
      <w:r>
        <w:rPr>
          <w:rFonts w:ascii="Times New Roman" w:hAnsi="Times New Roman"/>
          <w:sz w:val="22"/>
          <w:szCs w:val="22"/>
        </w:rPr>
        <w:t xml:space="preserve">. </w:t>
      </w:r>
    </w:p>
    <w:p w:rsidR="00E22DF3" w:rsidRPr="002E533C" w:rsidP="00E22DF3">
      <w:pPr>
        <w:bidi w:val="0"/>
        <w:spacing w:after="120" w:line="336" w:lineRule="auto"/>
        <w:jc w:val="both"/>
        <w:rPr>
          <w:rFonts w:ascii="Times New Roman" w:hAnsi="Times New Roman"/>
          <w:sz w:val="22"/>
          <w:szCs w:val="22"/>
        </w:rPr>
      </w:pPr>
      <w:r w:rsidRPr="002E533C">
        <w:rPr>
          <w:rFonts w:ascii="Times New Roman" w:hAnsi="Times New Roman"/>
          <w:b/>
          <w:i/>
          <w:sz w:val="22"/>
          <w:szCs w:val="22"/>
        </w:rPr>
        <w:t>Transfery jednotlivcom a neziskovým právnickým osobám</w:t>
      </w:r>
      <w:r w:rsidRPr="002E533C">
        <w:rPr>
          <w:rFonts w:ascii="Times New Roman" w:hAnsi="Times New Roman"/>
          <w:sz w:val="22"/>
          <w:szCs w:val="22"/>
        </w:rPr>
        <w:t xml:space="preserve"> boli poskytnuté vo výške 31</w:t>
      </w:r>
      <w:r>
        <w:rPr>
          <w:rFonts w:ascii="Times New Roman" w:hAnsi="Times New Roman"/>
          <w:sz w:val="22"/>
          <w:szCs w:val="22"/>
        </w:rPr>
        <w:t> </w:t>
      </w:r>
      <w:r w:rsidRPr="002E533C">
        <w:rPr>
          <w:rFonts w:ascii="Times New Roman" w:hAnsi="Times New Roman"/>
          <w:sz w:val="22"/>
          <w:szCs w:val="22"/>
        </w:rPr>
        <w:t>684 tis. eur (2014: 22 303 tis. eur), z toho neziskovým právnickým osobám 25</w:t>
      </w:r>
      <w:r>
        <w:rPr>
          <w:rFonts w:ascii="Times New Roman" w:hAnsi="Times New Roman"/>
          <w:sz w:val="22"/>
          <w:szCs w:val="22"/>
        </w:rPr>
        <w:t> </w:t>
      </w:r>
      <w:r w:rsidRPr="002E533C">
        <w:rPr>
          <w:rFonts w:ascii="Times New Roman" w:hAnsi="Times New Roman"/>
          <w:sz w:val="22"/>
          <w:szCs w:val="22"/>
        </w:rPr>
        <w:t>589</w:t>
      </w:r>
      <w:r>
        <w:rPr>
          <w:rFonts w:ascii="Times New Roman" w:hAnsi="Times New Roman"/>
          <w:sz w:val="22"/>
          <w:szCs w:val="22"/>
        </w:rPr>
        <w:t> </w:t>
      </w:r>
      <w:r w:rsidRPr="002E533C">
        <w:rPr>
          <w:rFonts w:ascii="Times New Roman" w:hAnsi="Times New Roman"/>
          <w:sz w:val="22"/>
          <w:szCs w:val="22"/>
        </w:rPr>
        <w:t>tis.</w:t>
      </w:r>
      <w:r>
        <w:rPr>
          <w:rFonts w:ascii="Times New Roman" w:hAnsi="Times New Roman"/>
          <w:sz w:val="22"/>
          <w:szCs w:val="22"/>
        </w:rPr>
        <w:t> </w:t>
      </w:r>
      <w:r w:rsidRPr="002E533C">
        <w:rPr>
          <w:rFonts w:ascii="Times New Roman" w:hAnsi="Times New Roman"/>
          <w:sz w:val="22"/>
          <w:szCs w:val="22"/>
        </w:rPr>
        <w:t>eur (2014: 16 363 tis. eur). Občianskym združeniam, nadáciám a neinvestičným fondom sa poskytlo 3</w:t>
      </w:r>
      <w:r>
        <w:rPr>
          <w:rFonts w:ascii="Times New Roman" w:hAnsi="Times New Roman"/>
          <w:sz w:val="22"/>
          <w:szCs w:val="22"/>
        </w:rPr>
        <w:t> </w:t>
      </w:r>
      <w:r w:rsidRPr="002E533C">
        <w:rPr>
          <w:rFonts w:ascii="Times New Roman" w:hAnsi="Times New Roman"/>
          <w:sz w:val="22"/>
          <w:szCs w:val="22"/>
        </w:rPr>
        <w:t>207 tis. eur. Do tejto skupiny subjektov patria aj cirkvi, ktorým bolo poskytnutých spolu 2</w:t>
      </w:r>
      <w:r>
        <w:rPr>
          <w:rFonts w:ascii="Times New Roman" w:hAnsi="Times New Roman"/>
          <w:sz w:val="22"/>
          <w:szCs w:val="22"/>
        </w:rPr>
        <w:t> </w:t>
      </w:r>
      <w:r w:rsidRPr="002E533C">
        <w:rPr>
          <w:rFonts w:ascii="Times New Roman" w:hAnsi="Times New Roman"/>
          <w:sz w:val="22"/>
          <w:szCs w:val="22"/>
        </w:rPr>
        <w:t>684 tis.</w:t>
      </w:r>
      <w:r>
        <w:rPr>
          <w:rFonts w:ascii="Times New Roman" w:hAnsi="Times New Roman"/>
          <w:sz w:val="22"/>
          <w:szCs w:val="22"/>
        </w:rPr>
        <w:t> </w:t>
      </w:r>
      <w:r w:rsidRPr="002E533C">
        <w:rPr>
          <w:rFonts w:ascii="Times New Roman" w:hAnsi="Times New Roman"/>
          <w:sz w:val="22"/>
          <w:szCs w:val="22"/>
        </w:rPr>
        <w:t>eur (2014: 3 010 tis. eur).</w:t>
      </w:r>
    </w:p>
    <w:p w:rsidR="00E22DF3" w:rsidRPr="00E22DF3" w:rsidP="00E22DF3">
      <w:pPr>
        <w:suppressAutoHyphens/>
        <w:bidi w:val="0"/>
        <w:spacing w:after="120" w:line="336" w:lineRule="auto"/>
        <w:jc w:val="both"/>
        <w:rPr>
          <w:rFonts w:ascii="Times New Roman" w:hAnsi="Times New Roman"/>
          <w:color w:val="000000"/>
          <w:sz w:val="22"/>
          <w:szCs w:val="22"/>
        </w:rPr>
      </w:pPr>
      <w:r w:rsidRPr="00EB3FEB">
        <w:rPr>
          <w:rFonts w:ascii="Times New Roman" w:hAnsi="Times New Roman"/>
          <w:b/>
          <w:i/>
          <w:color w:val="000000"/>
          <w:sz w:val="22"/>
          <w:szCs w:val="22"/>
        </w:rPr>
        <w:t>Transfery do zahraničia</w:t>
      </w:r>
      <w:r w:rsidRPr="00E22DF3">
        <w:rPr>
          <w:rFonts w:ascii="Times New Roman" w:hAnsi="Times New Roman"/>
          <w:color w:val="000000"/>
          <w:sz w:val="22"/>
          <w:szCs w:val="22"/>
        </w:rPr>
        <w:t xml:space="preserve"> tvorili 3 147 tis. eur (2014: 895 tis. eur), z toho 2 378 tis. eur predstavoval príspevok Ministerstva zahraničných vecí a európskych záležitostí SR </w:t>
      </w:r>
      <w:r w:rsidR="00EB3FEB">
        <w:rPr>
          <w:rFonts w:ascii="Times New Roman" w:hAnsi="Times New Roman"/>
          <w:color w:val="000000"/>
          <w:sz w:val="22"/>
          <w:szCs w:val="22"/>
        </w:rPr>
        <w:t xml:space="preserve">do spoločného rozpočtu </w:t>
      </w:r>
      <w:r w:rsidRPr="00E22DF3">
        <w:rPr>
          <w:rFonts w:ascii="Times New Roman" w:hAnsi="Times New Roman"/>
          <w:color w:val="000000"/>
          <w:sz w:val="22"/>
          <w:szCs w:val="22"/>
        </w:rPr>
        <w:t xml:space="preserve">na </w:t>
      </w:r>
      <w:r w:rsidR="00EB3FEB">
        <w:rPr>
          <w:rFonts w:ascii="Times New Roman" w:hAnsi="Times New Roman"/>
          <w:color w:val="000000"/>
          <w:sz w:val="22"/>
          <w:szCs w:val="22"/>
        </w:rPr>
        <w:t>vý</w:t>
      </w:r>
      <w:r w:rsidRPr="00E22DF3">
        <w:rPr>
          <w:rFonts w:ascii="Times New Roman" w:hAnsi="Times New Roman"/>
          <w:color w:val="000000"/>
          <w:sz w:val="22"/>
          <w:szCs w:val="22"/>
        </w:rPr>
        <w:t>stav</w:t>
      </w:r>
      <w:r w:rsidR="00EB3FEB">
        <w:rPr>
          <w:rFonts w:ascii="Times New Roman" w:hAnsi="Times New Roman"/>
          <w:color w:val="000000"/>
          <w:sz w:val="22"/>
          <w:szCs w:val="22"/>
        </w:rPr>
        <w:t xml:space="preserve">bu nového sídla NATO v Bruseli, </w:t>
      </w:r>
      <w:r w:rsidRPr="00E22DF3">
        <w:rPr>
          <w:rFonts w:ascii="Times New Roman" w:hAnsi="Times New Roman"/>
          <w:color w:val="000000"/>
          <w:sz w:val="22"/>
          <w:szCs w:val="22"/>
        </w:rPr>
        <w:t>759 tis. eur tvorili transf</w:t>
      </w:r>
      <w:r w:rsidR="00EB3FEB">
        <w:rPr>
          <w:rFonts w:ascii="Times New Roman" w:hAnsi="Times New Roman"/>
          <w:color w:val="000000"/>
          <w:sz w:val="22"/>
          <w:szCs w:val="22"/>
        </w:rPr>
        <w:t>ery Ministerstva vnútra SR a 10 </w:t>
      </w:r>
      <w:r w:rsidRPr="00E22DF3">
        <w:rPr>
          <w:rFonts w:ascii="Times New Roman" w:hAnsi="Times New Roman"/>
          <w:color w:val="000000"/>
          <w:sz w:val="22"/>
          <w:szCs w:val="22"/>
        </w:rPr>
        <w:t>tis. eur transfery Ministerstva zahraničných vecí a európskych záležitostí SR.</w:t>
      </w:r>
    </w:p>
    <w:p w:rsidR="00F91007" w:rsidP="008D72D9">
      <w:pPr>
        <w:pStyle w:val="Heading3"/>
        <w:numPr>
          <w:ilvl w:val="2"/>
          <w:numId w:val="20"/>
        </w:numPr>
        <w:bidi w:val="0"/>
        <w:spacing w:line="336" w:lineRule="auto"/>
        <w:rPr>
          <w:rFonts w:ascii="Times New Roman" w:hAnsi="Times New Roman"/>
          <w:lang w:val="sk-SK"/>
        </w:rPr>
      </w:pPr>
      <w:bookmarkStart w:id="31" w:name="_Toc449622839"/>
      <w:r w:rsidRPr="006E50E2">
        <w:rPr>
          <w:rFonts w:ascii="Times New Roman" w:hAnsi="Times New Roman"/>
          <w:lang w:val="sk-SK"/>
        </w:rPr>
        <w:t>Výdavky podľa funkčnej klasifikácie</w:t>
      </w:r>
      <w:bookmarkEnd w:id="31"/>
    </w:p>
    <w:p w:rsidR="007D19BF" w:rsidRPr="00EA04F9" w:rsidP="007D19BF">
      <w:pPr>
        <w:bidi w:val="0"/>
        <w:spacing w:after="120" w:line="336" w:lineRule="auto"/>
        <w:jc w:val="both"/>
        <w:rPr>
          <w:rFonts w:ascii="Times New Roman" w:hAnsi="Times New Roman"/>
          <w:sz w:val="22"/>
          <w:szCs w:val="22"/>
        </w:rPr>
      </w:pPr>
      <w:r w:rsidRPr="00EA04F9">
        <w:rPr>
          <w:rFonts w:ascii="Times New Roman" w:hAnsi="Times New Roman"/>
          <w:sz w:val="22"/>
          <w:szCs w:val="22"/>
        </w:rPr>
        <w:t xml:space="preserve">Výdavky štátneho rozpočtu podľa funkčnej klasifikácie sa triedia v súlade s vyhláškou Štatistického úradu SR č. 257/2014 Z. z. (tzv. COFOG). Táto klasifikácia predstavuje rozdelenie výdavkov podľa funkcie, na ktorú boli v danom rozpočtovom roku určené, pričom funkciou sa rozumie určitá oblasť činností, v ktorej daná štátna organizácia pôsobí napr. oblasť školstva, zdravotníctva a podobne. Výdavky sa triedia do tej funkcie, s ktorou súvisia, bez ohľadu na štatistické zaradenie samotného subjektu. </w:t>
      </w:r>
    </w:p>
    <w:p w:rsidR="00EF23C7" w:rsidP="007D19BF">
      <w:pPr>
        <w:bidi w:val="0"/>
        <w:spacing w:after="120" w:line="336" w:lineRule="auto"/>
        <w:jc w:val="both"/>
        <w:rPr>
          <w:rFonts w:ascii="Times New Roman" w:hAnsi="Times New Roman"/>
          <w:sz w:val="22"/>
          <w:szCs w:val="22"/>
        </w:rPr>
      </w:pPr>
      <w:r w:rsidRPr="007D19BF" w:rsidR="007D19BF">
        <w:rPr>
          <w:rFonts w:ascii="Times New Roman" w:hAnsi="Times New Roman"/>
          <w:sz w:val="22"/>
          <w:szCs w:val="22"/>
        </w:rPr>
        <w:t>Celkové výdavky podľa funkčnej klasifikácie sú zhodné s výdavkami podľa ekonomickej klasifikácie, len sú opisované z pohľadu funkcií, ktoré plnia rozpočtové organizácie štátnej správy. V prípade metodicky správneho uplatňovania tejto klasifikácie sú prípadné zdôvodnenia prekročenia schváleného rozpočtu alebo jeho nenaplnenia totožné z kapitoly 3.2.1.</w:t>
      </w:r>
    </w:p>
    <w:p w:rsidR="00305EAF">
      <w:pPr>
        <w:bidi w:val="0"/>
        <w:rPr>
          <w:rFonts w:ascii="Times New Roman" w:hAnsi="Times New Roman"/>
        </w:rPr>
      </w:pPr>
      <w:r>
        <w:rPr>
          <w:rFonts w:ascii="Times New Roman" w:hAnsi="Times New Roman"/>
        </w:rPr>
        <w:br w:type="page"/>
      </w:r>
    </w:p>
    <w:tbl>
      <w:tblPr>
        <w:tblStyle w:val="TableNormal"/>
        <w:tblW w:w="8800" w:type="dxa"/>
        <w:tblInd w:w="70" w:type="dxa"/>
        <w:tblCellMar>
          <w:left w:w="70" w:type="dxa"/>
          <w:right w:w="70" w:type="dxa"/>
        </w:tblCellMar>
        <w:tblLook w:val="04A0"/>
      </w:tblPr>
      <w:tblGrid>
        <w:gridCol w:w="2720"/>
        <w:gridCol w:w="1060"/>
        <w:gridCol w:w="1060"/>
        <w:gridCol w:w="1060"/>
        <w:gridCol w:w="1120"/>
        <w:gridCol w:w="960"/>
        <w:gridCol w:w="820"/>
      </w:tblGrid>
      <w:tr>
        <w:tblPrEx>
          <w:tblW w:w="8800" w:type="dxa"/>
          <w:tblInd w:w="70" w:type="dxa"/>
          <w:tblCellMar>
            <w:left w:w="70" w:type="dxa"/>
            <w:right w:w="70" w:type="dxa"/>
          </w:tblCellMar>
          <w:tblLook w:val="04A0"/>
        </w:tblPrEx>
        <w:trPr>
          <w:trHeight w:val="288"/>
        </w:trPr>
        <w:tc>
          <w:tcPr>
            <w:tcW w:w="7980" w:type="dxa"/>
            <w:gridSpan w:val="6"/>
            <w:tcBorders>
              <w:top w:val="nil"/>
              <w:left w:val="single" w:sz="8" w:space="0" w:color="auto"/>
              <w:bottom w:val="nil"/>
              <w:right w:val="nil"/>
            </w:tcBorders>
            <w:shd w:val="clear" w:color="000000" w:fill="000000"/>
            <w:textDirection w:val="lrTb"/>
            <w:vAlign w:val="center"/>
            <w:hideMark/>
          </w:tcPr>
          <w:p w:rsidR="00E22DF3" w:rsidRPr="0023723C" w:rsidP="00BF4C28">
            <w:pPr>
              <w:bidi w:val="0"/>
              <w:rPr>
                <w:rFonts w:ascii="Times New Roman" w:hAnsi="Times New Roman"/>
                <w:b/>
                <w:bCs/>
                <w:color w:val="FFFFFF"/>
                <w:sz w:val="18"/>
                <w:szCs w:val="18"/>
              </w:rPr>
            </w:pPr>
            <w:r w:rsidRPr="0023723C">
              <w:rPr>
                <w:rFonts w:ascii="Times New Roman" w:hAnsi="Times New Roman"/>
                <w:b/>
                <w:bCs/>
                <w:color w:val="FFFFFF"/>
                <w:sz w:val="18"/>
                <w:szCs w:val="18"/>
              </w:rPr>
              <w:t>Výdavky štátneho rozpočtu podľa funkčnej klasifikácie</w:t>
            </w:r>
          </w:p>
        </w:tc>
        <w:tc>
          <w:tcPr>
            <w:tcW w:w="820" w:type="dxa"/>
            <w:tcBorders>
              <w:top w:val="nil"/>
              <w:left w:val="nil"/>
              <w:bottom w:val="nil"/>
              <w:right w:val="nil"/>
            </w:tcBorders>
            <w:shd w:val="clear" w:color="000000" w:fill="000000"/>
            <w:noWrap/>
            <w:textDirection w:val="lrTb"/>
            <w:vAlign w:val="bottom"/>
            <w:hideMark/>
          </w:tcPr>
          <w:p w:rsidR="00E22DF3" w:rsidRPr="0023723C" w:rsidP="00BF4C28">
            <w:pPr>
              <w:bidi w:val="0"/>
              <w:jc w:val="right"/>
              <w:rPr>
                <w:rFonts w:ascii="Times New Roman" w:hAnsi="Times New Roman"/>
                <w:b/>
                <w:bCs/>
                <w:color w:val="FFFFFF"/>
                <w:sz w:val="18"/>
                <w:szCs w:val="18"/>
              </w:rPr>
            </w:pPr>
            <w:r w:rsidRPr="0023723C">
              <w:rPr>
                <w:rFonts w:ascii="Times New Roman" w:hAnsi="Times New Roman"/>
                <w:b/>
                <w:bCs/>
                <w:color w:val="FFFFFF"/>
                <w:sz w:val="18"/>
                <w:szCs w:val="18"/>
              </w:rPr>
              <w:t>v tis.</w:t>
            </w:r>
            <w:r w:rsidR="00EB3FEB">
              <w:rPr>
                <w:rFonts w:ascii="Times New Roman" w:hAnsi="Times New Roman"/>
                <w:b/>
                <w:bCs/>
                <w:color w:val="FFFFFF"/>
                <w:sz w:val="18"/>
                <w:szCs w:val="18"/>
              </w:rPr>
              <w:t xml:space="preserve"> </w:t>
            </w:r>
            <w:r w:rsidRPr="0023723C">
              <w:rPr>
                <w:rFonts w:ascii="Times New Roman" w:hAnsi="Times New Roman"/>
                <w:b/>
                <w:bCs/>
                <w:color w:val="FFFFFF"/>
                <w:sz w:val="18"/>
                <w:szCs w:val="18"/>
              </w:rPr>
              <w:t>eur</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shd w:val="clear" w:color="000000" w:fill="BFBFBF"/>
            <w:textDirection w:val="lrTb"/>
            <w:vAlign w:val="center"/>
            <w:hideMark/>
          </w:tcPr>
          <w:p w:rsidR="00E22DF3" w:rsidRPr="0023723C" w:rsidP="00BF4C28">
            <w:pPr>
              <w:bidi w:val="0"/>
              <w:rPr>
                <w:rFonts w:ascii="Times New Roman" w:hAnsi="Times New Roman"/>
                <w:b/>
                <w:bCs/>
                <w:color w:val="FFFFFF"/>
                <w:sz w:val="18"/>
                <w:szCs w:val="18"/>
              </w:rPr>
            </w:pPr>
            <w:r w:rsidRPr="0023723C">
              <w:rPr>
                <w:rFonts w:ascii="Times New Roman" w:hAnsi="Times New Roman"/>
                <w:b/>
                <w:bCs/>
                <w:color w:val="FFFFFF"/>
                <w:sz w:val="18"/>
                <w:szCs w:val="18"/>
              </w:rPr>
              <w:t> </w:t>
            </w:r>
          </w:p>
        </w:tc>
        <w:tc>
          <w:tcPr>
            <w:tcW w:w="2120" w:type="dxa"/>
            <w:gridSpan w:val="2"/>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Skutočnosť</w:t>
            </w:r>
          </w:p>
        </w:tc>
        <w:tc>
          <w:tcPr>
            <w:tcW w:w="10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Rozpočet</w:t>
            </w:r>
          </w:p>
        </w:tc>
        <w:tc>
          <w:tcPr>
            <w:tcW w:w="112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Skutočnosť</w:t>
            </w:r>
          </w:p>
        </w:tc>
        <w:tc>
          <w:tcPr>
            <w:tcW w:w="1780" w:type="dxa"/>
            <w:gridSpan w:val="2"/>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Rozdiel</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sz w:val="18"/>
                <w:szCs w:val="18"/>
              </w:rPr>
            </w:pPr>
            <w:r w:rsidRPr="0023723C">
              <w:rPr>
                <w:rFonts w:ascii="Times New Roman" w:hAnsi="Times New Roman"/>
                <w:b/>
                <w:bCs/>
                <w:sz w:val="18"/>
                <w:szCs w:val="18"/>
              </w:rPr>
              <w:t> </w:t>
            </w:r>
          </w:p>
        </w:tc>
        <w:tc>
          <w:tcPr>
            <w:tcW w:w="10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2013</w:t>
            </w:r>
          </w:p>
        </w:tc>
        <w:tc>
          <w:tcPr>
            <w:tcW w:w="10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2014</w:t>
            </w:r>
          </w:p>
        </w:tc>
        <w:tc>
          <w:tcPr>
            <w:tcW w:w="10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2015</w:t>
            </w:r>
          </w:p>
        </w:tc>
        <w:tc>
          <w:tcPr>
            <w:tcW w:w="112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2015</w:t>
            </w:r>
          </w:p>
        </w:tc>
        <w:tc>
          <w:tcPr>
            <w:tcW w:w="9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 xml:space="preserve"> v tis. eur</w:t>
            </w:r>
          </w:p>
        </w:tc>
        <w:tc>
          <w:tcPr>
            <w:tcW w:w="82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color w:val="000000"/>
                <w:sz w:val="18"/>
                <w:szCs w:val="18"/>
              </w:rPr>
            </w:pPr>
            <w:r w:rsidRPr="0023723C">
              <w:rPr>
                <w:rFonts w:ascii="Times New Roman" w:hAnsi="Times New Roman"/>
                <w:b/>
                <w:bCs/>
                <w:color w:val="000000"/>
                <w:sz w:val="18"/>
                <w:szCs w:val="18"/>
              </w:rPr>
              <w:t>v %</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shd w:val="clear" w:color="000000" w:fill="BFBFBF"/>
            <w:textDirection w:val="lrTb"/>
            <w:vAlign w:val="center"/>
            <w:hideMark/>
          </w:tcPr>
          <w:p w:rsidR="00E22DF3" w:rsidRPr="0023723C" w:rsidP="00BF4C28">
            <w:pPr>
              <w:bidi w:val="0"/>
              <w:rPr>
                <w:rFonts w:ascii="Times New Roman" w:hAnsi="Times New Roman"/>
                <w:b/>
                <w:bCs/>
                <w:color w:val="FFFFFF"/>
                <w:sz w:val="18"/>
                <w:szCs w:val="18"/>
              </w:rPr>
            </w:pPr>
            <w:r w:rsidRPr="0023723C">
              <w:rPr>
                <w:rFonts w:ascii="Times New Roman" w:hAnsi="Times New Roman"/>
                <w:b/>
                <w:bCs/>
                <w:color w:val="FFFFFF"/>
                <w:sz w:val="18"/>
                <w:szCs w:val="18"/>
              </w:rPr>
              <w:t> </w:t>
            </w:r>
          </w:p>
        </w:tc>
        <w:tc>
          <w:tcPr>
            <w:tcW w:w="10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sz w:val="18"/>
                <w:szCs w:val="18"/>
              </w:rPr>
            </w:pPr>
            <w:r w:rsidRPr="0023723C">
              <w:rPr>
                <w:rFonts w:ascii="Times New Roman" w:hAnsi="Times New Roman"/>
                <w:b/>
                <w:bCs/>
                <w:sz w:val="18"/>
                <w:szCs w:val="18"/>
              </w:rPr>
              <w:t>1</w:t>
            </w:r>
          </w:p>
        </w:tc>
        <w:tc>
          <w:tcPr>
            <w:tcW w:w="10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sz w:val="18"/>
                <w:szCs w:val="18"/>
              </w:rPr>
            </w:pPr>
            <w:r w:rsidRPr="0023723C">
              <w:rPr>
                <w:rFonts w:ascii="Times New Roman" w:hAnsi="Times New Roman"/>
                <w:b/>
                <w:bCs/>
                <w:sz w:val="18"/>
                <w:szCs w:val="18"/>
              </w:rPr>
              <w:t>2</w:t>
            </w:r>
          </w:p>
        </w:tc>
        <w:tc>
          <w:tcPr>
            <w:tcW w:w="10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sz w:val="18"/>
                <w:szCs w:val="18"/>
              </w:rPr>
            </w:pPr>
            <w:r w:rsidRPr="0023723C">
              <w:rPr>
                <w:rFonts w:ascii="Times New Roman" w:hAnsi="Times New Roman"/>
                <w:b/>
                <w:bCs/>
                <w:sz w:val="18"/>
                <w:szCs w:val="18"/>
              </w:rPr>
              <w:t>3</w:t>
            </w:r>
          </w:p>
        </w:tc>
        <w:tc>
          <w:tcPr>
            <w:tcW w:w="112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sz w:val="18"/>
                <w:szCs w:val="18"/>
              </w:rPr>
            </w:pPr>
            <w:r w:rsidRPr="0023723C">
              <w:rPr>
                <w:rFonts w:ascii="Times New Roman" w:hAnsi="Times New Roman"/>
                <w:b/>
                <w:bCs/>
                <w:sz w:val="18"/>
                <w:szCs w:val="18"/>
              </w:rPr>
              <w:t>4</w:t>
            </w:r>
          </w:p>
        </w:tc>
        <w:tc>
          <w:tcPr>
            <w:tcW w:w="96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sz w:val="18"/>
                <w:szCs w:val="18"/>
              </w:rPr>
            </w:pPr>
            <w:r w:rsidRPr="0023723C">
              <w:rPr>
                <w:rFonts w:ascii="Times New Roman" w:hAnsi="Times New Roman"/>
                <w:b/>
                <w:bCs/>
                <w:sz w:val="18"/>
                <w:szCs w:val="18"/>
              </w:rPr>
              <w:t>5=4-3</w:t>
            </w:r>
          </w:p>
        </w:tc>
        <w:tc>
          <w:tcPr>
            <w:tcW w:w="820" w:type="dxa"/>
            <w:tcBorders>
              <w:top w:val="nil"/>
              <w:left w:val="nil"/>
              <w:bottom w:val="nil"/>
              <w:right w:val="nil"/>
            </w:tcBorders>
            <w:shd w:val="clear" w:color="000000" w:fill="BFBFBF"/>
            <w:textDirection w:val="lrTb"/>
            <w:vAlign w:val="center"/>
            <w:hideMark/>
          </w:tcPr>
          <w:p w:rsidR="00E22DF3" w:rsidRPr="0023723C" w:rsidP="00BF4C28">
            <w:pPr>
              <w:bidi w:val="0"/>
              <w:jc w:val="center"/>
              <w:rPr>
                <w:rFonts w:ascii="Times New Roman" w:hAnsi="Times New Roman"/>
                <w:b/>
                <w:bCs/>
                <w:sz w:val="18"/>
                <w:szCs w:val="18"/>
              </w:rPr>
            </w:pPr>
            <w:r w:rsidRPr="0023723C">
              <w:rPr>
                <w:rFonts w:ascii="Times New Roman" w:hAnsi="Times New Roman"/>
                <w:b/>
                <w:bCs/>
                <w:sz w:val="18"/>
                <w:szCs w:val="18"/>
              </w:rPr>
              <w:t>6=4-3</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Ekonomická oblasť</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2 920 052</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3 047 896</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3 888 792</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4 889 969</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1 001 177</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25,7</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Sociálne zabezpečenie</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3 951 592</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4 115 741</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4 277 469</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3 793 281</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-484 188</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-11,3</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Všeobecné verejné služby</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3 160 157</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3 346 439</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3 861 834</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3 611 678</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-250 156</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-6,5</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Vzdelávanie</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1 908 417</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1 977 559</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2 121 977</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2 082 010</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-39 967</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-1,9</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Verejný poriadok a bezpečnosť</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1 405 405</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1 462 222</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1 430 934</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1 773 727</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342 793</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24,0</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Obrana</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624 924</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659 274</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694 567</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757 132</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62 565</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9,0</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Ochrana životného prostredia</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274 835</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222 890</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620 384</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621 309</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925</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0,1</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Rekreácia, kultúra a náboženstvo</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279 136</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300 786</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282 270</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336 886</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54 616</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19,3</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Bývanie a občianska vybavenosť</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163 309</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186 721</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226 147</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173 317</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-52 830</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-23,4</w:t>
            </w:r>
          </w:p>
        </w:tc>
      </w:tr>
      <w:tr>
        <w:tblPrEx>
          <w:tblW w:w="8800" w:type="dxa"/>
          <w:tblInd w:w="70" w:type="dxa"/>
          <w:tblCellMar>
            <w:left w:w="70" w:type="dxa"/>
            <w:right w:w="70" w:type="dxa"/>
          </w:tblCellMar>
          <w:tblLook w:val="04A0"/>
        </w:tblPrEx>
        <w:trPr>
          <w:trHeight w:val="288"/>
        </w:trPr>
        <w:tc>
          <w:tcPr>
            <w:tcW w:w="2720" w:type="dxa"/>
            <w:tcBorders>
              <w:top w:val="nil"/>
              <w:left w:val="nil"/>
              <w:bottom w:val="nil"/>
              <w:right w:val="nil"/>
            </w:tcBorders>
            <w:textDirection w:val="lrTb"/>
            <w:vAlign w:val="center"/>
            <w:hideMark/>
          </w:tcPr>
          <w:p w:rsidR="00E22DF3" w:rsidRPr="0023723C" w:rsidP="00BF4C28">
            <w:pPr>
              <w:bidi w:val="0"/>
              <w:rPr>
                <w:rFonts w:ascii="Times New Roman" w:hAnsi="Times New Roman"/>
                <w:color w:val="000000"/>
                <w:sz w:val="18"/>
                <w:szCs w:val="18"/>
              </w:rPr>
            </w:pPr>
            <w:r w:rsidRPr="0023723C">
              <w:rPr>
                <w:rFonts w:ascii="Times New Roman" w:hAnsi="Times New Roman"/>
                <w:color w:val="000000"/>
                <w:sz w:val="18"/>
                <w:szCs w:val="18"/>
              </w:rPr>
              <w:t>Zdravotníctvo</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131 875</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100 710</w:t>
            </w:r>
          </w:p>
        </w:tc>
        <w:tc>
          <w:tcPr>
            <w:tcW w:w="1060" w:type="dxa"/>
            <w:tcBorders>
              <w:top w:val="nil"/>
              <w:left w:val="nil"/>
              <w:bottom w:val="nil"/>
              <w:right w:val="nil"/>
            </w:tcBorders>
            <w:shd w:val="clear" w:color="000000" w:fill="FFFFF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74 184</w:t>
            </w:r>
          </w:p>
        </w:tc>
        <w:tc>
          <w:tcPr>
            <w:tcW w:w="1120" w:type="dxa"/>
            <w:tcBorders>
              <w:top w:val="nil"/>
              <w:left w:val="nil"/>
              <w:bottom w:val="nil"/>
              <w:right w:val="nil"/>
            </w:tcBorders>
            <w:shd w:val="clear" w:color="000000" w:fill="BFBFBF"/>
            <w:noWrap/>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127 082</w:t>
            </w:r>
          </w:p>
        </w:tc>
        <w:tc>
          <w:tcPr>
            <w:tcW w:w="96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52 898</w:t>
            </w:r>
          </w:p>
        </w:tc>
        <w:tc>
          <w:tcPr>
            <w:tcW w:w="820" w:type="dxa"/>
            <w:tcBorders>
              <w:top w:val="nil"/>
              <w:left w:val="nil"/>
              <w:bottom w:val="nil"/>
              <w:right w:val="nil"/>
            </w:tcBorders>
            <w:shd w:val="clear" w:color="000000" w:fill="FFFFFF"/>
            <w:textDirection w:val="lrTb"/>
            <w:vAlign w:val="center"/>
            <w:hideMark/>
          </w:tcPr>
          <w:p w:rsidR="00E22DF3" w:rsidRPr="0023723C" w:rsidP="00BF4C28">
            <w:pPr>
              <w:bidi w:val="0"/>
              <w:jc w:val="right"/>
              <w:rPr>
                <w:rFonts w:ascii="Times New Roman" w:hAnsi="Times New Roman"/>
                <w:color w:val="000000"/>
                <w:sz w:val="18"/>
                <w:szCs w:val="18"/>
              </w:rPr>
            </w:pPr>
            <w:r w:rsidRPr="0023723C">
              <w:rPr>
                <w:rFonts w:ascii="Times New Roman" w:hAnsi="Times New Roman"/>
                <w:color w:val="000000"/>
                <w:sz w:val="18"/>
                <w:szCs w:val="18"/>
              </w:rPr>
              <w:t>71,3</w:t>
            </w:r>
          </w:p>
        </w:tc>
      </w:tr>
      <w:tr>
        <w:tblPrEx>
          <w:tblW w:w="8800" w:type="dxa"/>
          <w:tblInd w:w="70" w:type="dxa"/>
          <w:tblCellMar>
            <w:left w:w="70" w:type="dxa"/>
            <w:right w:w="70" w:type="dxa"/>
          </w:tblCellMar>
          <w:tblLook w:val="04A0"/>
        </w:tblPrEx>
        <w:trPr>
          <w:trHeight w:val="300"/>
        </w:trPr>
        <w:tc>
          <w:tcPr>
            <w:tcW w:w="2720" w:type="dxa"/>
            <w:tcBorders>
              <w:top w:val="single" w:sz="4" w:space="0" w:color="auto"/>
              <w:left w:val="nil"/>
              <w:bottom w:val="single" w:sz="8" w:space="0" w:color="auto"/>
              <w:right w:val="nil"/>
            </w:tcBorders>
            <w:shd w:val="clear" w:color="000000" w:fill="FFFFFF"/>
            <w:noWrap/>
            <w:textDirection w:val="lrTb"/>
            <w:vAlign w:val="center"/>
            <w:hideMark/>
          </w:tcPr>
          <w:p w:rsidR="00E22DF3" w:rsidRPr="0023723C" w:rsidP="00BF4C28">
            <w:pPr>
              <w:bidi w:val="0"/>
              <w:rPr>
                <w:rFonts w:ascii="Times New Roman" w:hAnsi="Times New Roman"/>
                <w:b/>
                <w:bCs/>
                <w:color w:val="000000"/>
                <w:sz w:val="18"/>
                <w:szCs w:val="18"/>
              </w:rPr>
            </w:pPr>
            <w:r w:rsidRPr="0023723C">
              <w:rPr>
                <w:rFonts w:ascii="Times New Roman" w:hAnsi="Times New Roman"/>
                <w:b/>
                <w:bCs/>
                <w:color w:val="000000"/>
                <w:sz w:val="18"/>
                <w:szCs w:val="18"/>
              </w:rPr>
              <w:t>Spolu</w:t>
            </w:r>
          </w:p>
        </w:tc>
        <w:tc>
          <w:tcPr>
            <w:tcW w:w="1060" w:type="dxa"/>
            <w:tcBorders>
              <w:top w:val="single" w:sz="4" w:space="0" w:color="auto"/>
              <w:left w:val="nil"/>
              <w:bottom w:val="single" w:sz="8" w:space="0" w:color="auto"/>
              <w:right w:val="nil"/>
            </w:tcBorders>
            <w:shd w:val="clear" w:color="000000" w:fill="FFFFFF"/>
            <w:noWrap/>
            <w:textDirection w:val="lrTb"/>
            <w:vAlign w:val="center"/>
            <w:hideMark/>
          </w:tcPr>
          <w:p w:rsidR="00E22DF3" w:rsidRPr="0023723C" w:rsidP="00BF4C28">
            <w:pPr>
              <w:bidi w:val="0"/>
              <w:jc w:val="right"/>
              <w:rPr>
                <w:rFonts w:ascii="Times New Roman" w:hAnsi="Times New Roman"/>
                <w:b/>
                <w:bCs/>
                <w:color w:val="000000"/>
                <w:sz w:val="18"/>
                <w:szCs w:val="18"/>
              </w:rPr>
            </w:pPr>
            <w:r w:rsidRPr="0023723C">
              <w:rPr>
                <w:rFonts w:ascii="Times New Roman" w:hAnsi="Times New Roman"/>
                <w:b/>
                <w:bCs/>
                <w:color w:val="000000"/>
                <w:sz w:val="18"/>
                <w:szCs w:val="18"/>
              </w:rPr>
              <w:t>14 819 702</w:t>
            </w:r>
          </w:p>
        </w:tc>
        <w:tc>
          <w:tcPr>
            <w:tcW w:w="1060" w:type="dxa"/>
            <w:tcBorders>
              <w:top w:val="single" w:sz="4" w:space="0" w:color="auto"/>
              <w:left w:val="nil"/>
              <w:bottom w:val="single" w:sz="8" w:space="0" w:color="auto"/>
              <w:right w:val="nil"/>
            </w:tcBorders>
            <w:shd w:val="clear" w:color="000000" w:fill="FFFFFF"/>
            <w:noWrap/>
            <w:textDirection w:val="lrTb"/>
            <w:vAlign w:val="center"/>
            <w:hideMark/>
          </w:tcPr>
          <w:p w:rsidR="00E22DF3" w:rsidRPr="0023723C" w:rsidP="00BF4C28">
            <w:pPr>
              <w:bidi w:val="0"/>
              <w:jc w:val="right"/>
              <w:rPr>
                <w:rFonts w:ascii="Times New Roman" w:hAnsi="Times New Roman"/>
                <w:b/>
                <w:bCs/>
                <w:color w:val="000000"/>
                <w:sz w:val="18"/>
                <w:szCs w:val="18"/>
              </w:rPr>
            </w:pPr>
            <w:r w:rsidRPr="0023723C">
              <w:rPr>
                <w:rFonts w:ascii="Times New Roman" w:hAnsi="Times New Roman"/>
                <w:b/>
                <w:bCs/>
                <w:color w:val="000000"/>
                <w:sz w:val="18"/>
                <w:szCs w:val="18"/>
              </w:rPr>
              <w:t>15 420 238</w:t>
            </w:r>
          </w:p>
        </w:tc>
        <w:tc>
          <w:tcPr>
            <w:tcW w:w="1060" w:type="dxa"/>
            <w:tcBorders>
              <w:top w:val="single" w:sz="4" w:space="0" w:color="auto"/>
              <w:left w:val="nil"/>
              <w:bottom w:val="single" w:sz="8" w:space="0" w:color="auto"/>
              <w:right w:val="nil"/>
            </w:tcBorders>
            <w:shd w:val="clear" w:color="000000" w:fill="FFFFFF"/>
            <w:noWrap/>
            <w:textDirection w:val="lrTb"/>
            <w:vAlign w:val="center"/>
            <w:hideMark/>
          </w:tcPr>
          <w:p w:rsidR="00E22DF3" w:rsidRPr="0023723C" w:rsidP="00BF4C28">
            <w:pPr>
              <w:bidi w:val="0"/>
              <w:jc w:val="right"/>
              <w:rPr>
                <w:rFonts w:ascii="Times New Roman" w:hAnsi="Times New Roman"/>
                <w:b/>
                <w:bCs/>
                <w:color w:val="000000"/>
                <w:sz w:val="18"/>
                <w:szCs w:val="18"/>
              </w:rPr>
            </w:pPr>
            <w:r w:rsidRPr="0023723C">
              <w:rPr>
                <w:rFonts w:ascii="Times New Roman" w:hAnsi="Times New Roman"/>
                <w:b/>
                <w:bCs/>
                <w:color w:val="000000"/>
                <w:sz w:val="18"/>
                <w:szCs w:val="18"/>
              </w:rPr>
              <w:t>17 478 558</w:t>
            </w:r>
          </w:p>
        </w:tc>
        <w:tc>
          <w:tcPr>
            <w:tcW w:w="1120" w:type="dxa"/>
            <w:tcBorders>
              <w:top w:val="single" w:sz="4" w:space="0" w:color="auto"/>
              <w:left w:val="nil"/>
              <w:bottom w:val="single" w:sz="8" w:space="0" w:color="auto"/>
              <w:right w:val="nil"/>
            </w:tcBorders>
            <w:shd w:val="clear" w:color="000000" w:fill="BFBFBF"/>
            <w:noWrap/>
            <w:textDirection w:val="lrTb"/>
            <w:vAlign w:val="center"/>
            <w:hideMark/>
          </w:tcPr>
          <w:p w:rsidR="00E22DF3" w:rsidRPr="0023723C" w:rsidP="00BF4C28">
            <w:pPr>
              <w:bidi w:val="0"/>
              <w:jc w:val="right"/>
              <w:rPr>
                <w:rFonts w:ascii="Times New Roman" w:hAnsi="Times New Roman"/>
                <w:b/>
                <w:bCs/>
                <w:color w:val="000000"/>
                <w:sz w:val="18"/>
                <w:szCs w:val="18"/>
              </w:rPr>
            </w:pPr>
            <w:r w:rsidRPr="0023723C">
              <w:rPr>
                <w:rFonts w:ascii="Times New Roman" w:hAnsi="Times New Roman"/>
                <w:b/>
                <w:bCs/>
                <w:color w:val="000000"/>
                <w:sz w:val="18"/>
                <w:szCs w:val="18"/>
              </w:rPr>
              <w:t>18 166 391</w:t>
            </w:r>
          </w:p>
        </w:tc>
        <w:tc>
          <w:tcPr>
            <w:tcW w:w="960" w:type="dxa"/>
            <w:tcBorders>
              <w:top w:val="single" w:sz="4" w:space="0" w:color="auto"/>
              <w:left w:val="nil"/>
              <w:bottom w:val="single" w:sz="8" w:space="0" w:color="auto"/>
              <w:right w:val="nil"/>
            </w:tcBorders>
            <w:shd w:val="clear" w:color="000000" w:fill="FFFFFF"/>
            <w:noWrap/>
            <w:textDirection w:val="lrTb"/>
            <w:vAlign w:val="center"/>
            <w:hideMark/>
          </w:tcPr>
          <w:p w:rsidR="00E22DF3" w:rsidRPr="0023723C" w:rsidP="00BF4C28">
            <w:pPr>
              <w:bidi w:val="0"/>
              <w:jc w:val="right"/>
              <w:rPr>
                <w:rFonts w:ascii="Times New Roman" w:hAnsi="Times New Roman"/>
                <w:b/>
                <w:bCs/>
                <w:color w:val="000000"/>
                <w:sz w:val="18"/>
                <w:szCs w:val="18"/>
              </w:rPr>
            </w:pPr>
            <w:r w:rsidRPr="0023723C">
              <w:rPr>
                <w:rFonts w:ascii="Times New Roman" w:hAnsi="Times New Roman"/>
                <w:b/>
                <w:bCs/>
                <w:color w:val="000000"/>
                <w:sz w:val="18"/>
                <w:szCs w:val="18"/>
              </w:rPr>
              <w:t>687 833</w:t>
            </w:r>
          </w:p>
        </w:tc>
        <w:tc>
          <w:tcPr>
            <w:tcW w:w="820" w:type="dxa"/>
            <w:tcBorders>
              <w:top w:val="single" w:sz="4" w:space="0" w:color="auto"/>
              <w:left w:val="nil"/>
              <w:bottom w:val="single" w:sz="8" w:space="0" w:color="auto"/>
              <w:right w:val="nil"/>
            </w:tcBorders>
            <w:shd w:val="clear" w:color="000000" w:fill="FFFFFF"/>
            <w:noWrap/>
            <w:textDirection w:val="lrTb"/>
            <w:vAlign w:val="center"/>
            <w:hideMark/>
          </w:tcPr>
          <w:p w:rsidR="00E22DF3" w:rsidRPr="0023723C" w:rsidP="00BF4C28">
            <w:pPr>
              <w:bidi w:val="0"/>
              <w:jc w:val="right"/>
              <w:rPr>
                <w:rFonts w:ascii="Times New Roman" w:hAnsi="Times New Roman"/>
                <w:b/>
                <w:bCs/>
                <w:color w:val="000000"/>
                <w:sz w:val="18"/>
                <w:szCs w:val="18"/>
              </w:rPr>
            </w:pPr>
            <w:r w:rsidRPr="0023723C">
              <w:rPr>
                <w:rFonts w:ascii="Times New Roman" w:hAnsi="Times New Roman"/>
                <w:b/>
                <w:bCs/>
                <w:color w:val="000000"/>
                <w:sz w:val="18"/>
                <w:szCs w:val="18"/>
              </w:rPr>
              <w:t>3,9</w:t>
            </w:r>
          </w:p>
        </w:tc>
      </w:tr>
    </w:tbl>
    <w:p w:rsidR="00E22DF3" w:rsidP="00DF5CB2">
      <w:pPr>
        <w:bidi w:val="0"/>
        <w:spacing w:after="120" w:line="336" w:lineRule="auto"/>
        <w:jc w:val="right"/>
        <w:rPr>
          <w:rFonts w:ascii="Times New Roman" w:hAnsi="Times New Roman"/>
          <w:sz w:val="18"/>
          <w:szCs w:val="18"/>
        </w:rPr>
      </w:pPr>
      <w:r w:rsidRPr="006E50E2">
        <w:rPr>
          <w:rFonts w:ascii="Times New Roman" w:hAnsi="Times New Roman"/>
          <w:sz w:val="18"/>
          <w:szCs w:val="18"/>
        </w:rPr>
        <w:t>Zdroj: MF SR</w:t>
      </w:r>
    </w:p>
    <w:p w:rsidR="00E22DF3" w:rsidRPr="006E50E2" w:rsidP="00E22DF3">
      <w:pPr>
        <w:numPr>
          <w:numId w:val="12"/>
        </w:numPr>
        <w:tabs>
          <w:tab w:val="left" w:pos="284"/>
        </w:tabs>
        <w:bidi w:val="0"/>
        <w:spacing w:after="120" w:line="336" w:lineRule="auto"/>
        <w:ind w:left="0" w:firstLine="0"/>
        <w:jc w:val="both"/>
        <w:rPr>
          <w:rFonts w:ascii="Times New Roman" w:hAnsi="Times New Roman"/>
          <w:sz w:val="22"/>
          <w:szCs w:val="22"/>
        </w:rPr>
      </w:pPr>
      <w:r w:rsidRPr="006E50E2">
        <w:rPr>
          <w:rFonts w:ascii="Times New Roman" w:hAnsi="Times New Roman"/>
          <w:b/>
          <w:sz w:val="22"/>
          <w:szCs w:val="22"/>
        </w:rPr>
        <w:t>Ekonomická oblasť</w:t>
      </w:r>
    </w:p>
    <w:p w:rsidR="00E22DF3" w:rsidRPr="003A46DE" w:rsidP="00E22DF3">
      <w:pPr>
        <w:bidi w:val="0"/>
        <w:spacing w:after="120" w:line="336" w:lineRule="auto"/>
        <w:jc w:val="both"/>
        <w:rPr>
          <w:rFonts w:ascii="Times New Roman" w:hAnsi="Times New Roman"/>
          <w:sz w:val="22"/>
          <w:szCs w:val="22"/>
        </w:rPr>
      </w:pPr>
      <w:r>
        <w:rPr>
          <w:rFonts w:ascii="Times New Roman" w:hAnsi="Times New Roman"/>
          <w:sz w:val="22"/>
          <w:szCs w:val="22"/>
        </w:rPr>
        <w:t>Výdavky v tomto oddiele tvorili 26,9</w:t>
      </w:r>
      <w:r w:rsidRPr="006E50E2">
        <w:rPr>
          <w:rFonts w:ascii="Times New Roman" w:hAnsi="Times New Roman"/>
          <w:sz w:val="22"/>
          <w:szCs w:val="22"/>
        </w:rPr>
        <w:t xml:space="preserve"> % z celkových výdavkov.</w:t>
      </w:r>
      <w:r>
        <w:rPr>
          <w:rFonts w:ascii="Times New Roman" w:hAnsi="Times New Roman"/>
          <w:sz w:val="22"/>
          <w:szCs w:val="22"/>
        </w:rPr>
        <w:t xml:space="preserve"> </w:t>
      </w:r>
      <w:r w:rsidRPr="006E50E2">
        <w:rPr>
          <w:rFonts w:ascii="Times New Roman" w:hAnsi="Times New Roman"/>
          <w:sz w:val="22"/>
          <w:szCs w:val="22"/>
        </w:rPr>
        <w:t xml:space="preserve">V rámci ekonomickej oblasti sa triedia výdavky súvisiace s rôznymi druhmi dopravy a budovaním dopravnej infraštruktúry, s poľnohospodárstvom, lesníctvom, odvetviami palív a energií, ťažbou nerastných surovín a pod. </w:t>
      </w:r>
      <w:r>
        <w:rPr>
          <w:rFonts w:ascii="Times New Roman" w:hAnsi="Times New Roman"/>
          <w:sz w:val="22"/>
          <w:szCs w:val="22"/>
        </w:rPr>
        <w:t xml:space="preserve">Schválený rozpočet bol vo výške 3 888 792 tis. eur, skutočnosť bola </w:t>
      </w:r>
      <w:r w:rsidR="00EF23C7">
        <w:rPr>
          <w:rFonts w:ascii="Times New Roman" w:hAnsi="Times New Roman"/>
          <w:sz w:val="22"/>
          <w:szCs w:val="22"/>
        </w:rPr>
        <w:t>vyššia</w:t>
      </w:r>
      <w:r>
        <w:rPr>
          <w:rFonts w:ascii="Times New Roman" w:hAnsi="Times New Roman"/>
          <w:sz w:val="22"/>
          <w:szCs w:val="22"/>
        </w:rPr>
        <w:t xml:space="preserve"> o 1 001 177 </w:t>
      </w:r>
      <w:r w:rsidRPr="006E50E2">
        <w:rPr>
          <w:rFonts w:ascii="Times New Roman" w:hAnsi="Times New Roman"/>
          <w:sz w:val="22"/>
          <w:szCs w:val="22"/>
        </w:rPr>
        <w:t>tis.</w:t>
      </w:r>
      <w:r>
        <w:rPr>
          <w:rFonts w:ascii="Times New Roman" w:hAnsi="Times New Roman"/>
          <w:sz w:val="22"/>
          <w:szCs w:val="22"/>
        </w:rPr>
        <w:t> </w:t>
      </w:r>
      <w:r w:rsidRPr="006E50E2">
        <w:rPr>
          <w:rFonts w:ascii="Times New Roman" w:hAnsi="Times New Roman"/>
          <w:sz w:val="22"/>
          <w:szCs w:val="22"/>
        </w:rPr>
        <w:t>eur</w:t>
      </w:r>
      <w:r>
        <w:rPr>
          <w:rFonts w:ascii="Times New Roman" w:hAnsi="Times New Roman"/>
          <w:sz w:val="22"/>
          <w:szCs w:val="22"/>
        </w:rPr>
        <w:t>. Najvyššie výdavky v tejto oblasti malo Ministerstvo dopravy, výstavby a regionálneho rozvoja SR (2 757 229 tis. eur) a Ministerstvo pôdohospodárstva a rozvoja vidieka SR (1 245 362 tis. eur).</w:t>
      </w:r>
    </w:p>
    <w:p w:rsidR="00E22DF3" w:rsidRPr="00EA04F9" w:rsidP="00E22DF3">
      <w:pPr>
        <w:bidi w:val="0"/>
        <w:spacing w:after="120" w:line="336" w:lineRule="auto"/>
        <w:jc w:val="both"/>
        <w:rPr>
          <w:rFonts w:ascii="Times New Roman" w:hAnsi="Times New Roman"/>
          <w:sz w:val="22"/>
          <w:szCs w:val="22"/>
        </w:rPr>
      </w:pPr>
      <w:r w:rsidRPr="00EA04F9">
        <w:rPr>
          <w:rFonts w:ascii="Times New Roman" w:hAnsi="Times New Roman"/>
          <w:sz w:val="22"/>
          <w:szCs w:val="22"/>
        </w:rPr>
        <w:t xml:space="preserve">V skupine Doprava dosiahli skutočné výdavky 2 674 382 tis. eur (2014: 1 690 302 tis. eur), </w:t>
      </w:r>
      <w:r w:rsidRPr="00EA04F9" w:rsidR="00392253">
        <w:rPr>
          <w:rFonts w:ascii="Times New Roman" w:hAnsi="Times New Roman"/>
          <w:sz w:val="22"/>
          <w:szCs w:val="22"/>
        </w:rPr>
        <w:t xml:space="preserve">a v porovnaní so chváleným rozpočtom </w:t>
      </w:r>
      <w:r w:rsidRPr="00EA04F9">
        <w:rPr>
          <w:rFonts w:ascii="Times New Roman" w:hAnsi="Times New Roman"/>
          <w:sz w:val="22"/>
          <w:szCs w:val="22"/>
        </w:rPr>
        <w:t>došlo k</w:t>
      </w:r>
      <w:r w:rsidRPr="00EA04F9" w:rsidR="00392253">
        <w:rPr>
          <w:rFonts w:ascii="Times New Roman" w:hAnsi="Times New Roman"/>
          <w:sz w:val="22"/>
          <w:szCs w:val="22"/>
        </w:rPr>
        <w:t xml:space="preserve"> nárastu </w:t>
      </w:r>
      <w:r w:rsidRPr="00EA04F9">
        <w:rPr>
          <w:rFonts w:ascii="Times New Roman" w:hAnsi="Times New Roman"/>
          <w:sz w:val="22"/>
          <w:szCs w:val="22"/>
        </w:rPr>
        <w:t>o 850 184 tis. eur.</w:t>
      </w:r>
      <w:r w:rsidRPr="00EA04F9" w:rsidR="003A5994">
        <w:rPr>
          <w:rFonts w:ascii="Times New Roman" w:hAnsi="Times New Roman"/>
          <w:sz w:val="22"/>
          <w:szCs w:val="22"/>
        </w:rPr>
        <w:t xml:space="preserve"> Navýšenie výdavkov na Ministerstve dopravy, výstavby a regionálneho rozvoja SR ovplyvnilo najmä uvoľnenie viazaných finančných prostriedkov v zmysle § 8 zákona 523/2004 Z. z., išlo o uvoľnenie nevyčerpaných prostriedkov ŠR z rokov 2013 a 2014, ako aj o uvoľnenie prostriedkov EÚ a príslušného spolufinancovania.</w:t>
      </w:r>
    </w:p>
    <w:p w:rsidR="00E22DF3" w:rsidP="00E22DF3">
      <w:pPr>
        <w:bidi w:val="0"/>
        <w:spacing w:after="120" w:line="336" w:lineRule="auto"/>
        <w:jc w:val="both"/>
        <w:rPr>
          <w:rFonts w:ascii="Times New Roman" w:hAnsi="Times New Roman"/>
          <w:sz w:val="22"/>
          <w:szCs w:val="22"/>
        </w:rPr>
      </w:pPr>
      <w:r w:rsidRPr="006E50E2">
        <w:rPr>
          <w:rFonts w:ascii="Times New Roman" w:hAnsi="Times New Roman"/>
          <w:sz w:val="22"/>
          <w:szCs w:val="22"/>
        </w:rPr>
        <w:t xml:space="preserve">V skupine Poľnohospodárstvo, lesníctvo, rybárstvo a poľovníctvo bola </w:t>
      </w:r>
      <w:r w:rsidR="00392253">
        <w:rPr>
          <w:rFonts w:ascii="Times New Roman" w:hAnsi="Times New Roman"/>
          <w:sz w:val="22"/>
          <w:szCs w:val="22"/>
        </w:rPr>
        <w:t>dosiahnutá</w:t>
      </w:r>
      <w:r>
        <w:rPr>
          <w:rFonts w:ascii="Times New Roman" w:hAnsi="Times New Roman"/>
          <w:sz w:val="22"/>
          <w:szCs w:val="22"/>
        </w:rPr>
        <w:t xml:space="preserve"> skutočnosť 1 068 788 tis. eur (2014: 720 116 tis. eur). </w:t>
      </w:r>
    </w:p>
    <w:p w:rsidR="00E22DF3" w:rsidP="00E22DF3">
      <w:pPr>
        <w:bidi w:val="0"/>
        <w:spacing w:after="120" w:line="336" w:lineRule="auto"/>
        <w:jc w:val="both"/>
        <w:rPr>
          <w:rFonts w:ascii="Times New Roman" w:hAnsi="Times New Roman"/>
          <w:sz w:val="22"/>
          <w:szCs w:val="22"/>
        </w:rPr>
      </w:pPr>
      <w:r>
        <w:rPr>
          <w:rFonts w:ascii="Times New Roman" w:hAnsi="Times New Roman"/>
          <w:sz w:val="22"/>
          <w:szCs w:val="22"/>
        </w:rPr>
        <w:t xml:space="preserve">V skupine Všeobecná ekonomická, obchodná a pracovná oblasť došlo k zvýšeniu </w:t>
      </w:r>
      <w:r w:rsidR="0023723C">
        <w:rPr>
          <w:rFonts w:ascii="Times New Roman" w:hAnsi="Times New Roman"/>
          <w:sz w:val="22"/>
          <w:szCs w:val="22"/>
        </w:rPr>
        <w:t xml:space="preserve">skutočnosti </w:t>
      </w:r>
      <w:r>
        <w:rPr>
          <w:rFonts w:ascii="Times New Roman" w:hAnsi="Times New Roman"/>
          <w:sz w:val="22"/>
          <w:szCs w:val="22"/>
        </w:rPr>
        <w:t xml:space="preserve">(796 658 tis. eur) v porovnaní so </w:t>
      </w:r>
      <w:r w:rsidR="0023723C">
        <w:rPr>
          <w:rFonts w:ascii="Times New Roman" w:hAnsi="Times New Roman"/>
          <w:sz w:val="22"/>
          <w:szCs w:val="22"/>
        </w:rPr>
        <w:t xml:space="preserve">schváleným rozpočtom </w:t>
      </w:r>
      <w:r>
        <w:rPr>
          <w:rFonts w:ascii="Times New Roman" w:hAnsi="Times New Roman"/>
          <w:sz w:val="22"/>
          <w:szCs w:val="22"/>
        </w:rPr>
        <w:t>o 112 616 tis. eur. Najväčšie zvýšenie nastalo v kapitole Ministerstva hospodárstva SR vo výške 106 835 tis. eur.</w:t>
      </w:r>
    </w:p>
    <w:p w:rsidR="00E22DF3" w:rsidRPr="006E50E2" w:rsidP="00E22DF3">
      <w:pPr>
        <w:bidi w:val="0"/>
        <w:spacing w:after="120" w:line="336" w:lineRule="auto"/>
        <w:jc w:val="both"/>
        <w:rPr>
          <w:rFonts w:ascii="Times New Roman" w:hAnsi="Times New Roman"/>
          <w:sz w:val="22"/>
          <w:szCs w:val="22"/>
        </w:rPr>
      </w:pPr>
      <w:r w:rsidRPr="006E50E2">
        <w:rPr>
          <w:rFonts w:ascii="Times New Roman" w:hAnsi="Times New Roman"/>
          <w:sz w:val="22"/>
          <w:szCs w:val="22"/>
        </w:rPr>
        <w:t xml:space="preserve">V skupine </w:t>
      </w:r>
      <w:r>
        <w:rPr>
          <w:rFonts w:ascii="Times New Roman" w:hAnsi="Times New Roman"/>
          <w:sz w:val="22"/>
          <w:szCs w:val="22"/>
        </w:rPr>
        <w:t>Palivá a energia bolo zaznamenané zvýšenie skutočnosti oproti schválenému rozpočtu o 46 468 tis. eur, z toho podiel na zvýšení Ministerstva hospodárstva SR bol 98,9 %, kde išlo o klasické uvoľnenie §8 na platobnej jednotke.</w:t>
      </w:r>
    </w:p>
    <w:p w:rsidR="00E22DF3" w:rsidRPr="00130717" w:rsidP="00E22DF3">
      <w:pPr>
        <w:numPr>
          <w:numId w:val="12"/>
        </w:numPr>
        <w:tabs>
          <w:tab w:val="left" w:pos="284"/>
        </w:tabs>
        <w:bidi w:val="0"/>
        <w:spacing w:after="120" w:line="336" w:lineRule="auto"/>
        <w:ind w:left="0" w:firstLine="0"/>
        <w:jc w:val="both"/>
        <w:rPr>
          <w:rFonts w:ascii="Times New Roman" w:hAnsi="Times New Roman"/>
          <w:b/>
          <w:sz w:val="22"/>
          <w:szCs w:val="22"/>
        </w:rPr>
      </w:pPr>
      <w:r w:rsidRPr="00130717">
        <w:rPr>
          <w:rFonts w:ascii="Times New Roman" w:hAnsi="Times New Roman"/>
          <w:b/>
          <w:sz w:val="22"/>
          <w:szCs w:val="22"/>
        </w:rPr>
        <w:t>Sociálne zabezpečenie</w:t>
      </w:r>
    </w:p>
    <w:p w:rsidR="00E22DF3" w:rsidP="00E22DF3">
      <w:pPr>
        <w:bidi w:val="0"/>
        <w:spacing w:after="120" w:line="336" w:lineRule="auto"/>
        <w:jc w:val="both"/>
        <w:rPr>
          <w:rFonts w:ascii="Times New Roman" w:hAnsi="Times New Roman"/>
          <w:sz w:val="22"/>
          <w:szCs w:val="22"/>
        </w:rPr>
      </w:pPr>
      <w:r w:rsidRPr="00130717">
        <w:rPr>
          <w:rFonts w:ascii="Times New Roman" w:hAnsi="Times New Roman"/>
          <w:sz w:val="22"/>
          <w:szCs w:val="22"/>
        </w:rPr>
        <w:t>Výdavky v oddiele sociálne zabezpečenie tvorili</w:t>
      </w:r>
      <w:r>
        <w:rPr>
          <w:rFonts w:ascii="Times New Roman" w:hAnsi="Times New Roman"/>
          <w:sz w:val="22"/>
          <w:szCs w:val="22"/>
        </w:rPr>
        <w:t xml:space="preserve"> 20,9</w:t>
      </w:r>
      <w:r w:rsidRPr="00130717">
        <w:rPr>
          <w:rFonts w:ascii="Times New Roman" w:hAnsi="Times New Roman"/>
          <w:sz w:val="22"/>
          <w:szCs w:val="22"/>
        </w:rPr>
        <w:t xml:space="preserve"> % </w:t>
      </w:r>
      <w:r>
        <w:rPr>
          <w:rFonts w:ascii="Times New Roman" w:hAnsi="Times New Roman"/>
          <w:sz w:val="22"/>
          <w:szCs w:val="22"/>
        </w:rPr>
        <w:t xml:space="preserve">z </w:t>
      </w:r>
      <w:r w:rsidRPr="00130717">
        <w:rPr>
          <w:rFonts w:ascii="Times New Roman" w:hAnsi="Times New Roman"/>
          <w:sz w:val="22"/>
          <w:szCs w:val="22"/>
        </w:rPr>
        <w:t xml:space="preserve">celkových výdavkov. Ide o prostriedky štátneho rozpočtu, ktoré sa vynakladajú na poskytovanie sociálnej ochrany v starobe, na podporu rodiny a detí, na sociálnu pomoc občanom v hmotnej a sociálnej núdzi, na chorobu, invaliditu </w:t>
      </w:r>
      <w:r w:rsidRPr="00F92A80">
        <w:rPr>
          <w:rFonts w:ascii="Times New Roman" w:hAnsi="Times New Roman"/>
          <w:sz w:val="22"/>
          <w:szCs w:val="22"/>
        </w:rPr>
        <w:t xml:space="preserve">a ťažké zdravotné postihnutie a pod. </w:t>
      </w:r>
      <w:r>
        <w:rPr>
          <w:rFonts w:ascii="Times New Roman" w:hAnsi="Times New Roman"/>
          <w:sz w:val="22"/>
          <w:szCs w:val="22"/>
        </w:rPr>
        <w:t xml:space="preserve">Schválený rozpočet bol vo výške 4 277 469 tis. eur, skutočnosť bola o 484 188 tis. eur nižšia. Oproti minulému roku došlo k zníženiu výdavkov o 322 460 tis. eur. </w:t>
      </w:r>
      <w:r w:rsidRPr="00F92A80">
        <w:rPr>
          <w:rFonts w:ascii="Times New Roman" w:hAnsi="Times New Roman"/>
          <w:sz w:val="22"/>
          <w:szCs w:val="22"/>
        </w:rPr>
        <w:t xml:space="preserve">Najväčšia úspora vo výške 428 979 tis. eur bola v skupine Staroba (zariadenia sociálnych služieb, ďalšie sociálne služby, príspevky neštátnym subjektom), na ktorej sa </w:t>
      </w:r>
      <w:r>
        <w:rPr>
          <w:rFonts w:ascii="Times New Roman" w:hAnsi="Times New Roman"/>
          <w:sz w:val="22"/>
          <w:szCs w:val="22"/>
        </w:rPr>
        <w:t xml:space="preserve">kapitola Všeobecná pokladničná správa </w:t>
      </w:r>
      <w:r w:rsidRPr="00F92A80">
        <w:rPr>
          <w:rFonts w:ascii="Times New Roman" w:hAnsi="Times New Roman"/>
          <w:sz w:val="22"/>
          <w:szCs w:val="22"/>
        </w:rPr>
        <w:t>podieľal</w:t>
      </w:r>
      <w:r>
        <w:rPr>
          <w:rFonts w:ascii="Times New Roman" w:hAnsi="Times New Roman"/>
          <w:sz w:val="22"/>
          <w:szCs w:val="22"/>
        </w:rPr>
        <w:t>a</w:t>
      </w:r>
      <w:r w:rsidRPr="00F92A80">
        <w:rPr>
          <w:rFonts w:ascii="Times New Roman" w:hAnsi="Times New Roman"/>
          <w:sz w:val="22"/>
          <w:szCs w:val="22"/>
        </w:rPr>
        <w:t xml:space="preserve"> sumou </w:t>
      </w:r>
      <w:r w:rsidRPr="00E513CD">
        <w:rPr>
          <w:rFonts w:ascii="Times New Roman" w:hAnsi="Times New Roman"/>
          <w:sz w:val="22"/>
          <w:szCs w:val="22"/>
        </w:rPr>
        <w:t>452 655 tis. eur</w:t>
      </w:r>
      <w:r>
        <w:rPr>
          <w:rFonts w:ascii="Times New Roman" w:hAnsi="Times New Roman"/>
          <w:sz w:val="22"/>
          <w:szCs w:val="22"/>
        </w:rPr>
        <w:t>, kde</w:t>
      </w:r>
      <w:r w:rsidRPr="00E513CD">
        <w:rPr>
          <w:rFonts w:ascii="Times New Roman" w:hAnsi="Times New Roman"/>
          <w:sz w:val="22"/>
          <w:szCs w:val="22"/>
        </w:rPr>
        <w:t xml:space="preserve"> </w:t>
      </w:r>
      <w:r>
        <w:rPr>
          <w:rFonts w:ascii="Times New Roman" w:hAnsi="Times New Roman"/>
          <w:sz w:val="22"/>
          <w:szCs w:val="22"/>
        </w:rPr>
        <w:t>k predmetnej úspore došlo z dôvodu zlepšeného výberu poistného od ekonomicky aktívneho obyvateľstva oproti plánovaným predpokladom a z vplyvu otvorenia druhého piliera.</w:t>
      </w:r>
    </w:p>
    <w:p w:rsidR="00E22DF3" w:rsidRPr="003A119C" w:rsidP="00E22DF3">
      <w:pPr>
        <w:bidi w:val="0"/>
        <w:spacing w:after="120" w:line="336" w:lineRule="auto"/>
        <w:jc w:val="both"/>
        <w:rPr>
          <w:rFonts w:ascii="Times New Roman" w:hAnsi="Times New Roman"/>
          <w:sz w:val="22"/>
          <w:szCs w:val="22"/>
        </w:rPr>
      </w:pPr>
      <w:r w:rsidRPr="00E513CD">
        <w:rPr>
          <w:rFonts w:ascii="Times New Roman" w:hAnsi="Times New Roman"/>
          <w:sz w:val="22"/>
          <w:szCs w:val="22"/>
        </w:rPr>
        <w:t xml:space="preserve">Druhou najvyššou úsporou v sume 54 125 tis. eur boli výdavky v skupine Sociálna pomoc občanom v hmotnej a sociálnej núdzi, kde najvyššiu úsporu vykázalo Ministerstvo práce, </w:t>
      </w:r>
      <w:r>
        <w:rPr>
          <w:rFonts w:ascii="Times New Roman" w:hAnsi="Times New Roman"/>
          <w:sz w:val="22"/>
          <w:szCs w:val="22"/>
        </w:rPr>
        <w:t>sociálnych vecí a rodiny SR (55 339 </w:t>
      </w:r>
      <w:r w:rsidRPr="003A119C">
        <w:rPr>
          <w:rFonts w:ascii="Times New Roman" w:hAnsi="Times New Roman"/>
          <w:sz w:val="22"/>
          <w:szCs w:val="22"/>
        </w:rPr>
        <w:t>tis.</w:t>
      </w:r>
      <w:r>
        <w:rPr>
          <w:rFonts w:ascii="Times New Roman" w:hAnsi="Times New Roman"/>
          <w:sz w:val="22"/>
          <w:szCs w:val="22"/>
        </w:rPr>
        <w:t> </w:t>
      </w:r>
      <w:r w:rsidRPr="003A119C">
        <w:rPr>
          <w:rFonts w:ascii="Times New Roman" w:hAnsi="Times New Roman"/>
          <w:sz w:val="22"/>
          <w:szCs w:val="22"/>
        </w:rPr>
        <w:t>eur).</w:t>
      </w:r>
      <w:r>
        <w:rPr>
          <w:rFonts w:ascii="Times New Roman" w:hAnsi="Times New Roman"/>
          <w:sz w:val="22"/>
          <w:szCs w:val="22"/>
        </w:rPr>
        <w:t xml:space="preserve"> </w:t>
      </w:r>
      <w:r w:rsidR="00392253">
        <w:rPr>
          <w:rFonts w:ascii="Times New Roman" w:hAnsi="Times New Roman"/>
          <w:sz w:val="22"/>
          <w:szCs w:val="22"/>
        </w:rPr>
        <w:t xml:space="preserve">Nižšie výdavky ako plánované </w:t>
      </w:r>
      <w:r>
        <w:rPr>
          <w:rFonts w:ascii="Times New Roman" w:hAnsi="Times New Roman"/>
          <w:sz w:val="22"/>
          <w:szCs w:val="22"/>
        </w:rPr>
        <w:t>sa týkal</w:t>
      </w:r>
      <w:r w:rsidR="00392253">
        <w:rPr>
          <w:rFonts w:ascii="Times New Roman" w:hAnsi="Times New Roman"/>
          <w:sz w:val="22"/>
          <w:szCs w:val="22"/>
        </w:rPr>
        <w:t>i</w:t>
      </w:r>
      <w:r>
        <w:rPr>
          <w:rFonts w:ascii="Times New Roman" w:hAnsi="Times New Roman"/>
          <w:sz w:val="22"/>
          <w:szCs w:val="22"/>
        </w:rPr>
        <w:t xml:space="preserve"> dávky v hmotnej núdzi a to najmä z dôvodu poklesu počtu poberateľov dávky, implementáciou zákona o pomoci v hmotnej núdzi, kde sa zaviedla povinnosť odpracovať 32 hodín bez nároku na príjem z tejto činnosti pre získanie dávky. V rámci kapitoly bol schválený rozpočet vo výške 10 142 tis. eur na projekt prostredníctvom Operačného programu FEAD zameraný pre pomoc </w:t>
      </w:r>
      <w:r w:rsidR="004265B5">
        <w:rPr>
          <w:rFonts w:ascii="Times New Roman" w:hAnsi="Times New Roman"/>
          <w:sz w:val="22"/>
          <w:szCs w:val="22"/>
        </w:rPr>
        <w:t>najodkázanejším</w:t>
      </w:r>
      <w:r>
        <w:rPr>
          <w:rFonts w:ascii="Times New Roman" w:hAnsi="Times New Roman"/>
          <w:sz w:val="22"/>
          <w:szCs w:val="22"/>
        </w:rPr>
        <w:t xml:space="preserve"> osobám, kde k čerpaniu výdavkov nedošlo v roku 2015, ale budú sa čerpať v</w:t>
      </w:r>
      <w:r w:rsidR="00392253">
        <w:rPr>
          <w:rFonts w:ascii="Times New Roman" w:hAnsi="Times New Roman"/>
          <w:sz w:val="22"/>
          <w:szCs w:val="22"/>
        </w:rPr>
        <w:t> </w:t>
      </w:r>
      <w:r>
        <w:rPr>
          <w:rFonts w:ascii="Times New Roman" w:hAnsi="Times New Roman"/>
          <w:sz w:val="22"/>
          <w:szCs w:val="22"/>
        </w:rPr>
        <w:t>roku</w:t>
      </w:r>
      <w:r w:rsidR="00392253">
        <w:rPr>
          <w:rFonts w:ascii="Times New Roman" w:hAnsi="Times New Roman"/>
          <w:sz w:val="22"/>
          <w:szCs w:val="22"/>
        </w:rPr>
        <w:t xml:space="preserve"> 2016</w:t>
      </w:r>
      <w:r>
        <w:rPr>
          <w:rFonts w:ascii="Times New Roman" w:hAnsi="Times New Roman"/>
          <w:sz w:val="22"/>
          <w:szCs w:val="22"/>
        </w:rPr>
        <w:t xml:space="preserve">. </w:t>
      </w:r>
    </w:p>
    <w:p w:rsidR="00E22DF3" w:rsidRPr="003A119C" w:rsidP="00E22DF3">
      <w:pPr>
        <w:numPr>
          <w:numId w:val="12"/>
        </w:numPr>
        <w:tabs>
          <w:tab w:val="left" w:pos="284"/>
        </w:tabs>
        <w:bidi w:val="0"/>
        <w:spacing w:after="120" w:line="336" w:lineRule="auto"/>
        <w:ind w:left="0" w:firstLine="0"/>
        <w:jc w:val="both"/>
        <w:rPr>
          <w:rFonts w:ascii="Times New Roman" w:hAnsi="Times New Roman"/>
          <w:sz w:val="22"/>
          <w:szCs w:val="22"/>
        </w:rPr>
      </w:pPr>
      <w:r w:rsidRPr="003A119C">
        <w:rPr>
          <w:rFonts w:ascii="Times New Roman" w:hAnsi="Times New Roman"/>
          <w:b/>
          <w:sz w:val="22"/>
          <w:szCs w:val="22"/>
        </w:rPr>
        <w:t>Všeobecné verejné služby</w:t>
      </w:r>
    </w:p>
    <w:p w:rsidR="00E22DF3" w:rsidP="00E22DF3">
      <w:pPr>
        <w:bidi w:val="0"/>
        <w:spacing w:after="120" w:line="336" w:lineRule="auto"/>
        <w:jc w:val="both"/>
        <w:rPr>
          <w:rFonts w:ascii="Times New Roman" w:hAnsi="Times New Roman"/>
          <w:sz w:val="22"/>
          <w:szCs w:val="22"/>
        </w:rPr>
      </w:pPr>
      <w:r>
        <w:rPr>
          <w:rFonts w:ascii="Times New Roman" w:hAnsi="Times New Roman"/>
          <w:sz w:val="22"/>
          <w:szCs w:val="22"/>
        </w:rPr>
        <w:t xml:space="preserve">Výdavky na všeobecné verejné služby </w:t>
      </w:r>
      <w:r w:rsidRPr="003A119C">
        <w:rPr>
          <w:rFonts w:ascii="Times New Roman" w:hAnsi="Times New Roman"/>
          <w:sz w:val="22"/>
          <w:szCs w:val="22"/>
        </w:rPr>
        <w:t xml:space="preserve">tvorili </w:t>
      </w:r>
      <w:r>
        <w:rPr>
          <w:rFonts w:ascii="Times New Roman" w:hAnsi="Times New Roman"/>
          <w:sz w:val="22"/>
          <w:szCs w:val="22"/>
        </w:rPr>
        <w:t>19,9</w:t>
      </w:r>
      <w:r w:rsidRPr="003A119C">
        <w:rPr>
          <w:rFonts w:ascii="Times New Roman" w:hAnsi="Times New Roman"/>
          <w:sz w:val="22"/>
          <w:szCs w:val="22"/>
        </w:rPr>
        <w:t xml:space="preserve"> % podiel z celkových výdavkov</w:t>
      </w:r>
      <w:r>
        <w:rPr>
          <w:rFonts w:ascii="Times New Roman" w:hAnsi="Times New Roman"/>
          <w:sz w:val="22"/>
          <w:szCs w:val="22"/>
        </w:rPr>
        <w:t xml:space="preserve"> </w:t>
      </w:r>
      <w:r w:rsidRPr="003A119C">
        <w:rPr>
          <w:rFonts w:ascii="Times New Roman" w:hAnsi="Times New Roman"/>
          <w:sz w:val="22"/>
          <w:szCs w:val="22"/>
        </w:rPr>
        <w:t>štátneho rozpočtu. Tieto výdavky zahr</w:t>
      </w:r>
      <w:r>
        <w:rPr>
          <w:rFonts w:ascii="Times New Roman" w:hAnsi="Times New Roman"/>
          <w:sz w:val="22"/>
          <w:szCs w:val="22"/>
        </w:rPr>
        <w:t>ň</w:t>
      </w:r>
      <w:r w:rsidRPr="003A119C">
        <w:rPr>
          <w:rFonts w:ascii="Times New Roman" w:hAnsi="Times New Roman"/>
          <w:sz w:val="22"/>
          <w:szCs w:val="22"/>
        </w:rPr>
        <w:t xml:space="preserve">ujú prostriedky verejnej správy na činnosť vymedzeného okruhu ústredných orgánov štátnej správy, </w:t>
      </w:r>
      <w:r w:rsidRPr="003A119C">
        <w:rPr>
          <w:rFonts w:ascii="Times New Roman" w:hAnsi="Times New Roman"/>
          <w:b/>
          <w:sz w:val="22"/>
          <w:szCs w:val="22"/>
        </w:rPr>
        <w:t>výdavky na správu štátneho dlhu</w:t>
      </w:r>
      <w:r w:rsidRPr="003A119C">
        <w:rPr>
          <w:rFonts w:ascii="Times New Roman" w:hAnsi="Times New Roman"/>
          <w:sz w:val="22"/>
          <w:szCs w:val="22"/>
        </w:rPr>
        <w:t>, na základný výskum, na zahraničnú hospodársku pomoc rozvojovým krajinám a krajinám v procese transformácie a pod.</w:t>
      </w:r>
      <w:r>
        <w:rPr>
          <w:rFonts w:ascii="Times New Roman" w:hAnsi="Times New Roman"/>
          <w:sz w:val="22"/>
          <w:szCs w:val="22"/>
        </w:rPr>
        <w:t xml:space="preserve"> Schválený štátny rozpočet bol vo výške 3 861 834 tis. eur, skutočné výdavky boli vo výške 3 611 678 tis. eur. V porovnaní s minulým rokom došlo k navýšeniu výdavkov o 265 239 tis. eur.</w:t>
      </w:r>
      <w:r w:rsidRPr="003A119C">
        <w:rPr>
          <w:rFonts w:ascii="Times New Roman" w:hAnsi="Times New Roman"/>
          <w:sz w:val="22"/>
          <w:szCs w:val="22"/>
        </w:rPr>
        <w:t xml:space="preserve"> Najvýraznejšiu úsporu v porovnaní so schváleným rozpočtom v roku 2015 zaznamenal</w:t>
      </w:r>
      <w:r>
        <w:rPr>
          <w:rFonts w:ascii="Times New Roman" w:hAnsi="Times New Roman"/>
          <w:sz w:val="22"/>
          <w:szCs w:val="22"/>
        </w:rPr>
        <w:t xml:space="preserve">a kapitola Všeobecná pokladničná správa </w:t>
      </w:r>
      <w:r w:rsidRPr="003A119C">
        <w:rPr>
          <w:rFonts w:ascii="Times New Roman" w:hAnsi="Times New Roman"/>
          <w:sz w:val="22"/>
          <w:szCs w:val="22"/>
        </w:rPr>
        <w:t xml:space="preserve">v sume 882 825 tis. eur, z toho </w:t>
      </w:r>
      <w:r>
        <w:rPr>
          <w:rFonts w:ascii="Times New Roman" w:hAnsi="Times New Roman"/>
          <w:sz w:val="22"/>
          <w:szCs w:val="22"/>
        </w:rPr>
        <w:t>746 542</w:t>
      </w:r>
      <w:r w:rsidRPr="003A119C">
        <w:rPr>
          <w:rFonts w:ascii="Times New Roman" w:hAnsi="Times New Roman"/>
          <w:sz w:val="22"/>
          <w:szCs w:val="22"/>
        </w:rPr>
        <w:t xml:space="preserve"> tis. eur v </w:t>
      </w:r>
      <w:r w:rsidRPr="002706FB">
        <w:rPr>
          <w:rFonts w:ascii="Times New Roman" w:hAnsi="Times New Roman"/>
          <w:sz w:val="22"/>
          <w:szCs w:val="22"/>
        </w:rPr>
        <w:t>skupine Výkonné a zákonodarné orgány, finančné a rozpočtové záležitosti a zahraničné vzťahy. Prekročenie upraveného rozpočtu zaznamenala skupina Základný výskum o 3</w:t>
      </w:r>
      <w:r>
        <w:rPr>
          <w:rFonts w:ascii="Times New Roman" w:hAnsi="Times New Roman"/>
          <w:sz w:val="22"/>
          <w:szCs w:val="22"/>
        </w:rPr>
        <w:t>3</w:t>
      </w:r>
      <w:r w:rsidRPr="002706FB">
        <w:rPr>
          <w:rFonts w:ascii="Times New Roman" w:hAnsi="Times New Roman"/>
          <w:sz w:val="22"/>
          <w:szCs w:val="22"/>
        </w:rPr>
        <w:t xml:space="preserve">6 751 tis. eur, na ktorom sa </w:t>
      </w:r>
      <w:r>
        <w:rPr>
          <w:rFonts w:ascii="Times New Roman" w:hAnsi="Times New Roman"/>
          <w:sz w:val="22"/>
          <w:szCs w:val="22"/>
        </w:rPr>
        <w:t>sumou 245</w:t>
      </w:r>
      <w:r w:rsidRPr="002706FB">
        <w:rPr>
          <w:rFonts w:ascii="Times New Roman" w:hAnsi="Times New Roman"/>
          <w:sz w:val="22"/>
          <w:szCs w:val="22"/>
        </w:rPr>
        <w:t> </w:t>
      </w:r>
      <w:r>
        <w:rPr>
          <w:rFonts w:ascii="Times New Roman" w:hAnsi="Times New Roman"/>
          <w:sz w:val="22"/>
          <w:szCs w:val="22"/>
        </w:rPr>
        <w:t>08</w:t>
      </w:r>
      <w:r w:rsidRPr="002706FB">
        <w:rPr>
          <w:rFonts w:ascii="Times New Roman" w:hAnsi="Times New Roman"/>
          <w:sz w:val="22"/>
          <w:szCs w:val="22"/>
        </w:rPr>
        <w:t>5 tis. eur podieľalo Ministerstvo školstva, vedy, výskumu a športu SR</w:t>
      </w:r>
      <w:r>
        <w:rPr>
          <w:rFonts w:ascii="Times New Roman" w:hAnsi="Times New Roman"/>
          <w:sz w:val="22"/>
          <w:szCs w:val="22"/>
        </w:rPr>
        <w:t>.</w:t>
      </w:r>
    </w:p>
    <w:p w:rsidR="00E22DF3" w:rsidRPr="00DF4601" w:rsidP="00E22DF3">
      <w:pPr>
        <w:bidi w:val="0"/>
        <w:spacing w:after="120" w:line="336" w:lineRule="auto"/>
        <w:jc w:val="both"/>
        <w:rPr>
          <w:rFonts w:ascii="Times New Roman" w:hAnsi="Times New Roman"/>
          <w:sz w:val="22"/>
          <w:szCs w:val="22"/>
        </w:rPr>
      </w:pPr>
      <w:r w:rsidRPr="00C5353B">
        <w:rPr>
          <w:rFonts w:ascii="Times New Roman" w:hAnsi="Times New Roman"/>
          <w:sz w:val="22"/>
          <w:szCs w:val="22"/>
        </w:rPr>
        <w:t>Najviac finančných prostriedkov bolo čerpaných v oblasti Vý</w:t>
      </w:r>
      <w:r>
        <w:rPr>
          <w:rFonts w:ascii="Times New Roman" w:hAnsi="Times New Roman"/>
          <w:sz w:val="22"/>
          <w:szCs w:val="22"/>
        </w:rPr>
        <w:t xml:space="preserve">konné a zákonodarné orgány, finančné a rozpočtové záležitosti, zahraničné vzťahy </w:t>
      </w:r>
      <w:r w:rsidRPr="00C5353B">
        <w:rPr>
          <w:rFonts w:ascii="Times New Roman" w:hAnsi="Times New Roman"/>
          <w:sz w:val="22"/>
          <w:szCs w:val="22"/>
        </w:rPr>
        <w:t xml:space="preserve">(1 524 339 tis. eur), kde odvody do rozpočtu </w:t>
      </w:r>
      <w:r w:rsidRPr="00DF4601">
        <w:rPr>
          <w:rFonts w:ascii="Times New Roman" w:hAnsi="Times New Roman"/>
          <w:sz w:val="22"/>
          <w:szCs w:val="22"/>
        </w:rPr>
        <w:t>Európskej únie založené na dani z pridanej hodnoty a hrubom národnom produkte dosiahli v kapitole Všeobecná pokladničná správa 599 165 tis. eur. Výdavky Ministerstva financií SR predstavovali 493 958 tis. eur.</w:t>
      </w:r>
      <w:r w:rsidRPr="00DF4601" w:rsidR="00F154AA">
        <w:rPr>
          <w:rFonts w:ascii="Times New Roman" w:hAnsi="Times New Roman"/>
          <w:sz w:val="22"/>
          <w:szCs w:val="22"/>
        </w:rPr>
        <w:t xml:space="preserve"> z toho výdavky na nákup, rekonštrukciu a modernizáciu softvéru boli bo výške 110 864 tis. eur, výdavky na rutinnú a štandardnú údržbu majetku boli 60 999 tis. eur, výdavky na nákup strojov, prístrojov, zaria</w:t>
      </w:r>
      <w:r w:rsidR="00DF4601">
        <w:rPr>
          <w:rFonts w:ascii="Times New Roman" w:hAnsi="Times New Roman"/>
          <w:sz w:val="22"/>
          <w:szCs w:val="22"/>
        </w:rPr>
        <w:t>dení a náradia boli vo výške 41 </w:t>
      </w:r>
      <w:r w:rsidRPr="00DF4601" w:rsidR="00F154AA">
        <w:rPr>
          <w:rFonts w:ascii="Times New Roman" w:hAnsi="Times New Roman"/>
          <w:sz w:val="22"/>
          <w:szCs w:val="22"/>
        </w:rPr>
        <w:t>720 tis. eur.</w:t>
      </w:r>
    </w:p>
    <w:p w:rsidR="00E22DF3" w:rsidRPr="00DF4601" w:rsidP="00E22DF3">
      <w:pPr>
        <w:bidi w:val="0"/>
        <w:spacing w:after="120" w:line="336" w:lineRule="auto"/>
        <w:jc w:val="both"/>
        <w:rPr>
          <w:rFonts w:ascii="Times New Roman" w:hAnsi="Times New Roman"/>
          <w:sz w:val="22"/>
          <w:szCs w:val="22"/>
        </w:rPr>
      </w:pPr>
      <w:r w:rsidRPr="00DF4601">
        <w:rPr>
          <w:rFonts w:ascii="Times New Roman" w:hAnsi="Times New Roman"/>
          <w:sz w:val="22"/>
          <w:szCs w:val="22"/>
        </w:rPr>
        <w:t>V oblasti Transakcie verejného dlhu došlo v kapitole Všeobecná pokladničná správa k</w:t>
      </w:r>
      <w:r w:rsidRPr="00DF4601" w:rsidR="00392253">
        <w:rPr>
          <w:rFonts w:ascii="Times New Roman" w:hAnsi="Times New Roman"/>
          <w:sz w:val="22"/>
          <w:szCs w:val="22"/>
        </w:rPr>
        <w:t xml:space="preserve"> čerpaniu </w:t>
      </w:r>
      <w:r w:rsidRPr="00DF4601">
        <w:rPr>
          <w:rFonts w:ascii="Times New Roman" w:hAnsi="Times New Roman"/>
          <w:sz w:val="22"/>
          <w:szCs w:val="22"/>
        </w:rPr>
        <w:t>výdavk</w:t>
      </w:r>
      <w:r w:rsidRPr="00DF4601" w:rsidR="00392253">
        <w:rPr>
          <w:rFonts w:ascii="Times New Roman" w:hAnsi="Times New Roman"/>
          <w:sz w:val="22"/>
          <w:szCs w:val="22"/>
        </w:rPr>
        <w:t>ov</w:t>
      </w:r>
      <w:r w:rsidRPr="00DF4601">
        <w:rPr>
          <w:rFonts w:ascii="Times New Roman" w:hAnsi="Times New Roman"/>
          <w:sz w:val="22"/>
          <w:szCs w:val="22"/>
        </w:rPr>
        <w:t xml:space="preserve"> v hodnote 1 159 664 tis. eur. </w:t>
      </w:r>
    </w:p>
    <w:p w:rsidR="00E22DF3" w:rsidRPr="00CD1956" w:rsidP="00305EAF">
      <w:pPr>
        <w:numPr>
          <w:numId w:val="12"/>
        </w:numPr>
        <w:bidi w:val="0"/>
        <w:spacing w:after="120" w:line="336" w:lineRule="auto"/>
        <w:ind w:left="284" w:hanging="284"/>
        <w:jc w:val="both"/>
        <w:rPr>
          <w:rFonts w:ascii="Times New Roman" w:hAnsi="Times New Roman"/>
          <w:b/>
          <w:sz w:val="22"/>
          <w:szCs w:val="22"/>
        </w:rPr>
      </w:pPr>
      <w:r w:rsidRPr="00CD1956">
        <w:rPr>
          <w:rFonts w:ascii="Times New Roman" w:hAnsi="Times New Roman"/>
          <w:b/>
          <w:sz w:val="22"/>
          <w:szCs w:val="22"/>
        </w:rPr>
        <w:t>Vzdelávanie</w:t>
      </w:r>
    </w:p>
    <w:p w:rsidR="00E22DF3" w:rsidRPr="00CD1956" w:rsidP="00E22DF3">
      <w:pPr>
        <w:bidi w:val="0"/>
        <w:spacing w:after="120" w:line="336" w:lineRule="auto"/>
        <w:jc w:val="both"/>
        <w:rPr>
          <w:rFonts w:ascii="Times New Roman" w:hAnsi="Times New Roman"/>
          <w:sz w:val="22"/>
          <w:szCs w:val="22"/>
        </w:rPr>
      </w:pPr>
      <w:r w:rsidRPr="00CD1956">
        <w:rPr>
          <w:rFonts w:ascii="Times New Roman" w:hAnsi="Times New Roman"/>
          <w:sz w:val="22"/>
          <w:szCs w:val="22"/>
        </w:rPr>
        <w:t xml:space="preserve">Výdavky na vzdelávanie v roku 2015 </w:t>
      </w:r>
      <w:r>
        <w:rPr>
          <w:rFonts w:ascii="Times New Roman" w:hAnsi="Times New Roman"/>
          <w:sz w:val="22"/>
          <w:szCs w:val="22"/>
        </w:rPr>
        <w:t>predstavovali 11,5 % z celkových výdavkov.</w:t>
      </w:r>
      <w:r w:rsidRPr="00CD1956">
        <w:rPr>
          <w:rFonts w:ascii="Times New Roman" w:hAnsi="Times New Roman"/>
          <w:sz w:val="22"/>
          <w:szCs w:val="22"/>
        </w:rPr>
        <w:t xml:space="preserve"> Okrem financovania všetkých stupňov vzdelávania sa </w:t>
      </w:r>
      <w:r>
        <w:rPr>
          <w:rFonts w:ascii="Times New Roman" w:hAnsi="Times New Roman"/>
          <w:sz w:val="22"/>
          <w:szCs w:val="22"/>
        </w:rPr>
        <w:t xml:space="preserve">výdavky </w:t>
      </w:r>
      <w:r w:rsidRPr="00CD1956">
        <w:rPr>
          <w:rFonts w:ascii="Times New Roman" w:hAnsi="Times New Roman"/>
          <w:sz w:val="22"/>
          <w:szCs w:val="22"/>
        </w:rPr>
        <w:t xml:space="preserve">vynaložili aj na služby v školstve, napr. v oblasti stravovania, dopravy, lekárskej starostlivosti a na činnosť orgánov a organizácií, ktoré vzdelávanie zabezpečujú. </w:t>
      </w:r>
      <w:r>
        <w:rPr>
          <w:rFonts w:ascii="Times New Roman" w:hAnsi="Times New Roman"/>
          <w:sz w:val="22"/>
          <w:szCs w:val="22"/>
        </w:rPr>
        <w:t>Schválený rozpočet bol vo výške 2 121 977 tis. eur, s</w:t>
      </w:r>
      <w:r w:rsidRPr="00CD1956">
        <w:rPr>
          <w:rFonts w:ascii="Times New Roman" w:hAnsi="Times New Roman"/>
          <w:sz w:val="22"/>
          <w:szCs w:val="22"/>
        </w:rPr>
        <w:t>kutočné výdavky v porovnaní so schváleným rozpočtom poklesli o 39 967</w:t>
      </w:r>
      <w:r>
        <w:rPr>
          <w:rFonts w:ascii="Times New Roman" w:hAnsi="Times New Roman"/>
          <w:sz w:val="22"/>
          <w:szCs w:val="22"/>
        </w:rPr>
        <w:t xml:space="preserve"> tis. eur. Oproti minulému roku výdavky vzrástli o 104 451 tis. eur. Najvyššie výdavky boli na kapitole Ministerstva vnútra SR (1 080 748 tis. eur) a kapitole Ministerstva školstva, vedy, výskumu a športu SR (982 203 tis. eur). Najvyššie výdavky boli v oblasti Vzdelávanie inde neklasifikované boli vo výške 1 101 684 tis. eur, Sekundárne vzdelávanie vo výške 485 624 tis. eur a Terciárne vzdelávanie vo výške 324 568 tis. eur.</w:t>
      </w:r>
    </w:p>
    <w:p w:rsidR="00E22DF3" w:rsidRPr="00CD1956" w:rsidP="00E22DF3">
      <w:pPr>
        <w:bidi w:val="0"/>
        <w:spacing w:after="120" w:line="336" w:lineRule="auto"/>
        <w:jc w:val="both"/>
        <w:rPr>
          <w:rFonts w:ascii="Times New Roman" w:hAnsi="Times New Roman"/>
          <w:sz w:val="22"/>
          <w:szCs w:val="22"/>
        </w:rPr>
      </w:pPr>
      <w:r w:rsidRPr="00CD1956">
        <w:rPr>
          <w:rFonts w:ascii="Times New Roman" w:hAnsi="Times New Roman"/>
          <w:sz w:val="22"/>
          <w:szCs w:val="22"/>
        </w:rPr>
        <w:t xml:space="preserve">Výdavky Ministerstva vnútra SR boli </w:t>
      </w:r>
      <w:r>
        <w:rPr>
          <w:rFonts w:ascii="Times New Roman" w:hAnsi="Times New Roman"/>
          <w:sz w:val="22"/>
          <w:szCs w:val="22"/>
        </w:rPr>
        <w:t>oproti schválenému rozpočtu o 94 275 tis. eur</w:t>
      </w:r>
      <w:r w:rsidRPr="00CD1956">
        <w:rPr>
          <w:rFonts w:ascii="Times New Roman" w:hAnsi="Times New Roman"/>
          <w:sz w:val="22"/>
          <w:szCs w:val="22"/>
        </w:rPr>
        <w:t xml:space="preserve"> </w:t>
      </w:r>
      <w:r>
        <w:rPr>
          <w:rFonts w:ascii="Times New Roman" w:hAnsi="Times New Roman"/>
          <w:sz w:val="22"/>
          <w:szCs w:val="22"/>
        </w:rPr>
        <w:t xml:space="preserve">vyššie </w:t>
      </w:r>
      <w:r w:rsidRPr="00CD1956">
        <w:rPr>
          <w:rFonts w:ascii="Times New Roman" w:hAnsi="Times New Roman"/>
          <w:sz w:val="22"/>
          <w:szCs w:val="22"/>
        </w:rPr>
        <w:t xml:space="preserve">v súlade so zákonom o rozpočtových pravidlách verejnej správy o prostriedky prijaté od zákonných zástupcov žiakov z čiastočných úhrad nákladov na stravu a boli použité na zabezpečenie stravovacích prevádzok. Ďalší rozpočtový limit výdavkov bol prekročený v súlade so zákonom o rozpočtových pravidlách verejnej správy o prostriedky prijaté na základe darovacej zmluvy, grantu, dotácie na učebné pomôcky, školenia, prípadne o prostriedky získané z podnikateľskej činnosti, ktoré boli použité na úhradu energií, poistného, na mzdy a nákup interiérového vybavenia. </w:t>
      </w:r>
    </w:p>
    <w:p w:rsidR="00E22DF3" w:rsidRPr="008F72B6" w:rsidP="00E22DF3">
      <w:pPr>
        <w:numPr>
          <w:numId w:val="21"/>
        </w:numPr>
        <w:bidi w:val="0"/>
        <w:spacing w:after="120" w:line="336" w:lineRule="auto"/>
        <w:ind w:left="284" w:hanging="284"/>
        <w:jc w:val="both"/>
        <w:rPr>
          <w:rFonts w:ascii="Times New Roman" w:hAnsi="Times New Roman"/>
          <w:b/>
          <w:sz w:val="22"/>
          <w:szCs w:val="22"/>
        </w:rPr>
      </w:pPr>
      <w:r w:rsidRPr="008F72B6">
        <w:rPr>
          <w:rFonts w:ascii="Times New Roman" w:hAnsi="Times New Roman"/>
          <w:b/>
          <w:sz w:val="22"/>
          <w:szCs w:val="22"/>
        </w:rPr>
        <w:t>Verejný poriadok a bezpečnosť</w:t>
      </w:r>
    </w:p>
    <w:p w:rsidR="00E22DF3" w:rsidRPr="000B74E0" w:rsidP="00E22DF3">
      <w:pPr>
        <w:bidi w:val="0"/>
        <w:spacing w:after="120" w:line="336" w:lineRule="auto"/>
        <w:jc w:val="both"/>
        <w:rPr>
          <w:rFonts w:ascii="Times New Roman" w:hAnsi="Times New Roman"/>
          <w:sz w:val="22"/>
          <w:szCs w:val="22"/>
          <w:highlight w:val="green"/>
        </w:rPr>
      </w:pPr>
      <w:r>
        <w:rPr>
          <w:rFonts w:ascii="Times New Roman" w:hAnsi="Times New Roman"/>
          <w:sz w:val="22"/>
          <w:szCs w:val="22"/>
        </w:rPr>
        <w:t xml:space="preserve">Výdavky predstavovali 9,8 % z celkových výdavkov. </w:t>
      </w:r>
      <w:r w:rsidRPr="000B74E0">
        <w:rPr>
          <w:rFonts w:ascii="Times New Roman" w:hAnsi="Times New Roman"/>
          <w:sz w:val="22"/>
          <w:szCs w:val="22"/>
        </w:rPr>
        <w:t xml:space="preserve">Ide o oblasť činností štátnej polície, súdov, potreby väzenstva, ochranu pred požiarmi ako aj financovanie ústredných orgánov, ktoré tieto činnosti kompetenčne zabezpečujú. </w:t>
      </w:r>
      <w:r>
        <w:rPr>
          <w:rFonts w:ascii="Times New Roman" w:hAnsi="Times New Roman"/>
          <w:sz w:val="22"/>
          <w:szCs w:val="22"/>
        </w:rPr>
        <w:t xml:space="preserve">Schválený rozpočet bol vo výške 1 430 934 tis. eur, skutočnosť o 342 793 tis. eur vyššia. Výdavky oproti minulému roku vzrástli o 311 505 tis. eur. </w:t>
      </w:r>
      <w:r w:rsidRPr="000B74E0">
        <w:rPr>
          <w:rFonts w:ascii="Times New Roman" w:hAnsi="Times New Roman"/>
          <w:sz w:val="22"/>
          <w:szCs w:val="22"/>
        </w:rPr>
        <w:t>Podstatnú časť prekročených výdavkov tvoria výdavky</w:t>
      </w:r>
      <w:r>
        <w:rPr>
          <w:rFonts w:ascii="Times New Roman" w:hAnsi="Times New Roman"/>
          <w:sz w:val="22"/>
          <w:szCs w:val="22"/>
        </w:rPr>
        <w:t xml:space="preserve"> na</w:t>
      </w:r>
      <w:r w:rsidRPr="000B74E0">
        <w:rPr>
          <w:rFonts w:ascii="Times New Roman" w:hAnsi="Times New Roman"/>
          <w:sz w:val="22"/>
          <w:szCs w:val="22"/>
        </w:rPr>
        <w:t xml:space="preserve"> verejný poriadok a bezpečnosť v sume 182 772 tis. eur a na </w:t>
      </w:r>
      <w:r>
        <w:rPr>
          <w:rFonts w:ascii="Times New Roman" w:hAnsi="Times New Roman"/>
          <w:sz w:val="22"/>
          <w:szCs w:val="22"/>
        </w:rPr>
        <w:t>ochranu pred požiarmi</w:t>
      </w:r>
      <w:r w:rsidRPr="000B74E0">
        <w:rPr>
          <w:rFonts w:ascii="Times New Roman" w:hAnsi="Times New Roman"/>
          <w:sz w:val="22"/>
          <w:szCs w:val="22"/>
        </w:rPr>
        <w:t xml:space="preserve"> v sume 95 759 tis. eur. Na prekročení týchto výdavkov sa podieľala najmä kapitola Ministerstva vnútra SR</w:t>
      </w:r>
      <w:r w:rsidR="00EA04F9">
        <w:rPr>
          <w:rFonts w:ascii="Times New Roman" w:hAnsi="Times New Roman"/>
          <w:sz w:val="22"/>
          <w:szCs w:val="22"/>
        </w:rPr>
        <w:t xml:space="preserve"> najmä výdavkami na obstaranie techniky</w:t>
      </w:r>
      <w:r w:rsidRPr="000B74E0">
        <w:rPr>
          <w:rFonts w:ascii="Times New Roman" w:hAnsi="Times New Roman"/>
          <w:sz w:val="22"/>
          <w:szCs w:val="22"/>
        </w:rPr>
        <w:t xml:space="preserve">. </w:t>
      </w:r>
    </w:p>
    <w:p w:rsidR="00E22DF3" w:rsidRPr="00F61EBB" w:rsidP="00E22DF3">
      <w:pPr>
        <w:numPr>
          <w:numId w:val="21"/>
        </w:numPr>
        <w:bidi w:val="0"/>
        <w:spacing w:after="120" w:line="336" w:lineRule="auto"/>
        <w:ind w:left="284" w:hanging="284"/>
        <w:jc w:val="both"/>
        <w:rPr>
          <w:rFonts w:ascii="Times New Roman" w:hAnsi="Times New Roman"/>
          <w:sz w:val="22"/>
          <w:szCs w:val="22"/>
        </w:rPr>
      </w:pPr>
      <w:r w:rsidRPr="00F61EBB">
        <w:rPr>
          <w:rFonts w:ascii="Times New Roman" w:hAnsi="Times New Roman"/>
          <w:b/>
          <w:sz w:val="22"/>
          <w:szCs w:val="22"/>
        </w:rPr>
        <w:t>Obrana</w:t>
      </w:r>
    </w:p>
    <w:p w:rsidR="00E22DF3" w:rsidP="00E22DF3">
      <w:pPr>
        <w:bidi w:val="0"/>
        <w:spacing w:after="120" w:line="336" w:lineRule="auto"/>
        <w:jc w:val="both"/>
        <w:rPr>
          <w:rFonts w:ascii="Times New Roman" w:hAnsi="Times New Roman"/>
          <w:sz w:val="22"/>
          <w:szCs w:val="22"/>
        </w:rPr>
      </w:pPr>
      <w:r w:rsidRPr="00F61EBB">
        <w:rPr>
          <w:rFonts w:ascii="Times New Roman" w:hAnsi="Times New Roman"/>
          <w:sz w:val="22"/>
          <w:szCs w:val="22"/>
        </w:rPr>
        <w:t xml:space="preserve">Výdavky v oddiele Obrana </w:t>
      </w:r>
      <w:r>
        <w:rPr>
          <w:rFonts w:ascii="Times New Roman" w:hAnsi="Times New Roman"/>
          <w:sz w:val="22"/>
          <w:szCs w:val="22"/>
        </w:rPr>
        <w:t>tvoria 4,2 %</w:t>
      </w:r>
      <w:r w:rsidRPr="00F61EBB">
        <w:rPr>
          <w:rFonts w:ascii="Times New Roman" w:hAnsi="Times New Roman"/>
          <w:sz w:val="22"/>
          <w:szCs w:val="22"/>
        </w:rPr>
        <w:t xml:space="preserve"> </w:t>
      </w:r>
      <w:r>
        <w:rPr>
          <w:rFonts w:ascii="Times New Roman" w:hAnsi="Times New Roman"/>
          <w:sz w:val="22"/>
          <w:szCs w:val="22"/>
        </w:rPr>
        <w:t xml:space="preserve">z celkových výdavkov. Ide hlavne o výdavky na vojenskú </w:t>
      </w:r>
      <w:r w:rsidRPr="001C3C6F">
        <w:rPr>
          <w:rFonts w:ascii="Times New Roman" w:hAnsi="Times New Roman"/>
          <w:sz w:val="22"/>
          <w:szCs w:val="22"/>
        </w:rPr>
        <w:t>a civilnú ochranu a zahraničnú vojenskú pomoc. Schválený rozpočet bol vo výške 694 567 tis. eur, skutočnosť bola o 62 565 tis. eur vyššia. Výdavky na vojenskú obranu dosiahli 720 104 tis. eur, z toho výdavky Ministerstva obrany SR boli v</w:t>
      </w:r>
      <w:r>
        <w:rPr>
          <w:rFonts w:ascii="Times New Roman" w:hAnsi="Times New Roman"/>
          <w:sz w:val="22"/>
          <w:szCs w:val="22"/>
        </w:rPr>
        <w:t xml:space="preserve"> celkovej </w:t>
      </w:r>
      <w:r w:rsidRPr="001C3C6F">
        <w:rPr>
          <w:rFonts w:ascii="Times New Roman" w:hAnsi="Times New Roman"/>
          <w:sz w:val="22"/>
          <w:szCs w:val="22"/>
        </w:rPr>
        <w:t xml:space="preserve">hodnote 714 905 tis. eur a z toho na mzdové prostriedky </w:t>
      </w:r>
      <w:r>
        <w:rPr>
          <w:rFonts w:ascii="Times New Roman" w:hAnsi="Times New Roman"/>
          <w:sz w:val="22"/>
          <w:szCs w:val="22"/>
        </w:rPr>
        <w:t>sa použilo</w:t>
      </w:r>
      <w:r w:rsidRPr="001C3C6F">
        <w:rPr>
          <w:rFonts w:ascii="Times New Roman" w:hAnsi="Times New Roman"/>
          <w:sz w:val="22"/>
          <w:szCs w:val="22"/>
        </w:rPr>
        <w:t xml:space="preserve"> 225 512 tis. eur a na obstaranie tovarov a služieb 176 489 tis. eur.</w:t>
      </w:r>
    </w:p>
    <w:p w:rsidR="00E22DF3" w:rsidRPr="00F00BCE" w:rsidP="00E22DF3">
      <w:pPr>
        <w:numPr>
          <w:numId w:val="12"/>
        </w:numPr>
        <w:tabs>
          <w:tab w:val="left" w:pos="284"/>
        </w:tabs>
        <w:bidi w:val="0"/>
        <w:spacing w:after="120" w:line="336" w:lineRule="auto"/>
        <w:ind w:left="0" w:firstLine="0"/>
        <w:jc w:val="both"/>
        <w:rPr>
          <w:rFonts w:ascii="Times New Roman" w:hAnsi="Times New Roman"/>
          <w:b/>
          <w:sz w:val="22"/>
          <w:szCs w:val="22"/>
        </w:rPr>
      </w:pPr>
      <w:r w:rsidRPr="00F00BCE">
        <w:rPr>
          <w:rFonts w:ascii="Times New Roman" w:hAnsi="Times New Roman"/>
          <w:b/>
          <w:sz w:val="22"/>
          <w:szCs w:val="22"/>
        </w:rPr>
        <w:t>Ochrana životného prostredia</w:t>
      </w:r>
    </w:p>
    <w:p w:rsidR="00E22DF3" w:rsidRPr="00F00BCE" w:rsidP="00E22DF3">
      <w:pPr>
        <w:bidi w:val="0"/>
        <w:spacing w:after="120" w:line="336" w:lineRule="auto"/>
        <w:jc w:val="both"/>
        <w:rPr>
          <w:rFonts w:ascii="Times New Roman" w:hAnsi="Times New Roman"/>
          <w:sz w:val="22"/>
          <w:szCs w:val="22"/>
        </w:rPr>
      </w:pPr>
      <w:r>
        <w:rPr>
          <w:rFonts w:ascii="Times New Roman" w:hAnsi="Times New Roman"/>
          <w:sz w:val="22"/>
          <w:szCs w:val="22"/>
        </w:rPr>
        <w:t xml:space="preserve">Výdavky v tomto oddiele tvoria 3,4 % z celkových výdavkov. </w:t>
      </w:r>
      <w:r w:rsidRPr="00F00BCE">
        <w:rPr>
          <w:rFonts w:ascii="Times New Roman" w:hAnsi="Times New Roman"/>
          <w:sz w:val="22"/>
          <w:szCs w:val="22"/>
        </w:rPr>
        <w:t>V tomto odvetví boli výdavky v hodnote 621</w:t>
      </w:r>
      <w:r>
        <w:rPr>
          <w:rFonts w:ascii="Times New Roman" w:hAnsi="Times New Roman"/>
          <w:sz w:val="22"/>
          <w:szCs w:val="22"/>
        </w:rPr>
        <w:t> </w:t>
      </w:r>
      <w:r w:rsidRPr="00F00BCE">
        <w:rPr>
          <w:rFonts w:ascii="Times New Roman" w:hAnsi="Times New Roman"/>
          <w:sz w:val="22"/>
          <w:szCs w:val="22"/>
        </w:rPr>
        <w:t>309 tis.</w:t>
      </w:r>
      <w:r>
        <w:rPr>
          <w:rFonts w:ascii="Times New Roman" w:hAnsi="Times New Roman"/>
          <w:sz w:val="22"/>
          <w:szCs w:val="22"/>
        </w:rPr>
        <w:t> </w:t>
      </w:r>
      <w:r w:rsidRPr="00F00BCE">
        <w:rPr>
          <w:rFonts w:ascii="Times New Roman" w:hAnsi="Times New Roman"/>
          <w:sz w:val="22"/>
          <w:szCs w:val="22"/>
        </w:rPr>
        <w:t>eur rovnako ako v predchádzajúcich rozpočtových obdobiach vynaložené najmä na nakladanie s odpadovými vodami</w:t>
      </w:r>
      <w:r>
        <w:rPr>
          <w:rFonts w:ascii="Times New Roman" w:hAnsi="Times New Roman"/>
          <w:sz w:val="22"/>
          <w:szCs w:val="22"/>
        </w:rPr>
        <w:t xml:space="preserve"> (311 340 tis. eur)</w:t>
      </w:r>
      <w:r w:rsidRPr="00F00BCE">
        <w:rPr>
          <w:rFonts w:ascii="Times New Roman" w:hAnsi="Times New Roman"/>
          <w:sz w:val="22"/>
          <w:szCs w:val="22"/>
        </w:rPr>
        <w:t xml:space="preserve"> a nakladanie s</w:t>
      </w:r>
      <w:r>
        <w:rPr>
          <w:rFonts w:ascii="Times New Roman" w:hAnsi="Times New Roman"/>
          <w:sz w:val="22"/>
          <w:szCs w:val="22"/>
        </w:rPr>
        <w:t> </w:t>
      </w:r>
      <w:r w:rsidRPr="00F00BCE">
        <w:rPr>
          <w:rFonts w:ascii="Times New Roman" w:hAnsi="Times New Roman"/>
          <w:sz w:val="22"/>
          <w:szCs w:val="22"/>
        </w:rPr>
        <w:t>odpadmi</w:t>
      </w:r>
      <w:r>
        <w:rPr>
          <w:rFonts w:ascii="Times New Roman" w:hAnsi="Times New Roman"/>
          <w:sz w:val="22"/>
          <w:szCs w:val="22"/>
        </w:rPr>
        <w:t xml:space="preserve"> (161 005 tis. eur)</w:t>
      </w:r>
      <w:r w:rsidRPr="00F00BCE">
        <w:rPr>
          <w:rFonts w:ascii="Times New Roman" w:hAnsi="Times New Roman"/>
          <w:sz w:val="22"/>
          <w:szCs w:val="22"/>
        </w:rPr>
        <w:t>.</w:t>
      </w:r>
      <w:r>
        <w:rPr>
          <w:rFonts w:ascii="Times New Roman" w:hAnsi="Times New Roman"/>
          <w:sz w:val="22"/>
          <w:szCs w:val="22"/>
        </w:rPr>
        <w:t xml:space="preserve"> Výdavky vzrástli oproti minulému roku o 398 419 tis. eur. </w:t>
      </w:r>
    </w:p>
    <w:p w:rsidR="00E22DF3" w:rsidRPr="00F00BCE" w:rsidP="00E22DF3">
      <w:pPr>
        <w:numPr>
          <w:numId w:val="12"/>
        </w:numPr>
        <w:tabs>
          <w:tab w:val="left" w:pos="284"/>
        </w:tabs>
        <w:bidi w:val="0"/>
        <w:spacing w:after="120" w:line="336" w:lineRule="auto"/>
        <w:ind w:left="0" w:firstLine="0"/>
        <w:jc w:val="both"/>
        <w:rPr>
          <w:rFonts w:ascii="Times New Roman" w:hAnsi="Times New Roman"/>
          <w:b/>
          <w:sz w:val="22"/>
          <w:szCs w:val="22"/>
        </w:rPr>
      </w:pPr>
      <w:r w:rsidR="00F46377">
        <w:rPr>
          <w:rFonts w:ascii="Times New Roman" w:hAnsi="Times New Roman"/>
          <w:b/>
          <w:sz w:val="22"/>
          <w:szCs w:val="22"/>
        </w:rPr>
        <w:br w:type="page"/>
      </w:r>
      <w:r w:rsidRPr="00F00BCE">
        <w:rPr>
          <w:rFonts w:ascii="Times New Roman" w:hAnsi="Times New Roman"/>
          <w:b/>
          <w:sz w:val="22"/>
          <w:szCs w:val="22"/>
        </w:rPr>
        <w:t>Rekreácia, kultúra a náboženstvo</w:t>
      </w:r>
    </w:p>
    <w:p w:rsidR="00E22DF3" w:rsidRPr="00130717" w:rsidP="00E22DF3">
      <w:pPr>
        <w:bidi w:val="0"/>
        <w:spacing w:after="120" w:line="336" w:lineRule="auto"/>
        <w:jc w:val="both"/>
        <w:rPr>
          <w:rFonts w:ascii="Times New Roman" w:hAnsi="Times New Roman"/>
          <w:sz w:val="22"/>
          <w:szCs w:val="22"/>
          <w:highlight w:val="yellow"/>
        </w:rPr>
      </w:pPr>
      <w:r w:rsidRPr="00BA3E4A">
        <w:rPr>
          <w:rFonts w:ascii="Times New Roman" w:hAnsi="Times New Roman"/>
          <w:sz w:val="22"/>
          <w:szCs w:val="22"/>
        </w:rPr>
        <w:t xml:space="preserve">Výdavky na rekreáciu, kultúru a náboženstvo boli realizované vo výške 336 886 tis. eur, čo predstavovalo nárast </w:t>
      </w:r>
      <w:r>
        <w:rPr>
          <w:rFonts w:ascii="Times New Roman" w:hAnsi="Times New Roman"/>
          <w:sz w:val="22"/>
          <w:szCs w:val="22"/>
        </w:rPr>
        <w:t xml:space="preserve">skutočnosti </w:t>
      </w:r>
      <w:r w:rsidRPr="00BA3E4A">
        <w:rPr>
          <w:rFonts w:ascii="Times New Roman" w:hAnsi="Times New Roman"/>
          <w:sz w:val="22"/>
          <w:szCs w:val="22"/>
        </w:rPr>
        <w:t>o 54 616 tis. eur v porovnaní so schváleným rozpočtom. Najväčšia časť výdavkov bola v kapitole Ministerstva kultúry SR (232 149</w:t>
      </w:r>
      <w:r>
        <w:rPr>
          <w:rFonts w:ascii="Times New Roman" w:hAnsi="Times New Roman"/>
          <w:sz w:val="22"/>
          <w:szCs w:val="22"/>
        </w:rPr>
        <w:t xml:space="preserve"> tis. eur). Najvyššie výdavky boli v</w:t>
      </w:r>
      <w:r w:rsidRPr="00BA3E4A">
        <w:rPr>
          <w:rFonts w:ascii="Times New Roman" w:hAnsi="Times New Roman"/>
          <w:sz w:val="22"/>
          <w:szCs w:val="22"/>
        </w:rPr>
        <w:t> oblasti kultúrnych služieb</w:t>
      </w:r>
      <w:r>
        <w:rPr>
          <w:rFonts w:ascii="Times New Roman" w:hAnsi="Times New Roman"/>
          <w:sz w:val="22"/>
          <w:szCs w:val="22"/>
        </w:rPr>
        <w:t xml:space="preserve"> v celkovej výške 178 405 </w:t>
      </w:r>
      <w:r w:rsidRPr="00BA3E4A">
        <w:rPr>
          <w:rFonts w:ascii="Times New Roman" w:hAnsi="Times New Roman"/>
          <w:sz w:val="22"/>
          <w:szCs w:val="22"/>
        </w:rPr>
        <w:t xml:space="preserve">tis. eur. </w:t>
      </w:r>
    </w:p>
    <w:p w:rsidR="00E22DF3" w:rsidRPr="00BA3E4A" w:rsidP="00E22DF3">
      <w:pPr>
        <w:numPr>
          <w:numId w:val="12"/>
        </w:numPr>
        <w:tabs>
          <w:tab w:val="left" w:pos="284"/>
        </w:tabs>
        <w:bidi w:val="0"/>
        <w:spacing w:after="120" w:line="336" w:lineRule="auto"/>
        <w:ind w:left="0" w:firstLine="0"/>
        <w:jc w:val="both"/>
        <w:rPr>
          <w:rFonts w:ascii="Times New Roman" w:hAnsi="Times New Roman"/>
          <w:sz w:val="22"/>
          <w:szCs w:val="22"/>
        </w:rPr>
      </w:pPr>
      <w:r w:rsidRPr="00BA3E4A">
        <w:rPr>
          <w:rFonts w:ascii="Times New Roman" w:hAnsi="Times New Roman"/>
          <w:b/>
          <w:sz w:val="22"/>
          <w:szCs w:val="22"/>
        </w:rPr>
        <w:t>Bývanie a občianska vybavenosť</w:t>
      </w:r>
    </w:p>
    <w:p w:rsidR="00E22DF3" w:rsidRPr="00BA3E4A" w:rsidP="00E22DF3">
      <w:pPr>
        <w:bidi w:val="0"/>
        <w:spacing w:after="120" w:line="336" w:lineRule="auto"/>
        <w:jc w:val="both"/>
        <w:rPr>
          <w:rFonts w:ascii="Times New Roman" w:hAnsi="Times New Roman"/>
          <w:sz w:val="22"/>
          <w:szCs w:val="22"/>
        </w:rPr>
      </w:pPr>
      <w:r w:rsidRPr="00BA3E4A">
        <w:rPr>
          <w:rFonts w:ascii="Times New Roman" w:hAnsi="Times New Roman"/>
          <w:sz w:val="22"/>
          <w:szCs w:val="22"/>
        </w:rPr>
        <w:t>Výdavky v tomto oddiele dosiahli výšku 173 317 tis. eur a v rozhodujúcej miere sa na nich podieľalo Ministerstvo dopravy, výstavby a regionálneho rozvoja SR (137 561 tis. eur). Výdavky boli použité na výstavbu a obnovu bytového fondu, pre Štátny fond rozvoja bývania, na štátnu prémiu k stavebnému sporeniu, na štátny príspevok k hypotekárnemu úveru, na náhradné nájomné byty a na výskum a vývoj v oblasti bývania a občianskej vybavenosti.</w:t>
      </w:r>
      <w:r>
        <w:rPr>
          <w:rFonts w:ascii="Times New Roman" w:hAnsi="Times New Roman"/>
          <w:sz w:val="22"/>
          <w:szCs w:val="22"/>
        </w:rPr>
        <w:t xml:space="preserve"> Výdavky na rozvoj bývania predstavovali výšku 136 708 tis. eur a výdavky na rozvoj obcí predstavovali 35 364 tis. eur.</w:t>
      </w:r>
    </w:p>
    <w:p w:rsidR="00E22DF3" w:rsidRPr="00BA3E4A" w:rsidP="00E22DF3">
      <w:pPr>
        <w:numPr>
          <w:numId w:val="12"/>
        </w:numPr>
        <w:tabs>
          <w:tab w:val="left" w:pos="284"/>
        </w:tabs>
        <w:bidi w:val="0"/>
        <w:spacing w:after="120" w:line="336" w:lineRule="auto"/>
        <w:ind w:left="0" w:firstLine="0"/>
        <w:jc w:val="both"/>
        <w:rPr>
          <w:rFonts w:ascii="Times New Roman" w:hAnsi="Times New Roman"/>
          <w:b/>
          <w:sz w:val="22"/>
          <w:szCs w:val="22"/>
        </w:rPr>
      </w:pPr>
      <w:r w:rsidRPr="00BA3E4A">
        <w:rPr>
          <w:rFonts w:ascii="Times New Roman" w:hAnsi="Times New Roman"/>
          <w:b/>
          <w:sz w:val="22"/>
          <w:szCs w:val="22"/>
        </w:rPr>
        <w:t>Zdravotníctvo</w:t>
      </w:r>
    </w:p>
    <w:p w:rsidR="00E22DF3" w:rsidRPr="00130717" w:rsidP="00E22DF3">
      <w:pPr>
        <w:bidi w:val="0"/>
        <w:spacing w:after="120" w:line="336" w:lineRule="auto"/>
        <w:jc w:val="both"/>
        <w:rPr>
          <w:rFonts w:ascii="Times New Roman" w:hAnsi="Times New Roman"/>
          <w:sz w:val="22"/>
          <w:szCs w:val="22"/>
          <w:highlight w:val="yellow"/>
        </w:rPr>
      </w:pPr>
      <w:r>
        <w:rPr>
          <w:rFonts w:ascii="Times New Roman" w:hAnsi="Times New Roman"/>
          <w:sz w:val="22"/>
          <w:szCs w:val="22"/>
        </w:rPr>
        <w:t xml:space="preserve">Výdavky v tomto oddiele tvorili len 0,7 % z celkových výdavkov. </w:t>
      </w:r>
      <w:r w:rsidRPr="00BA3E4A">
        <w:rPr>
          <w:rFonts w:ascii="Times New Roman" w:hAnsi="Times New Roman"/>
          <w:sz w:val="22"/>
          <w:szCs w:val="22"/>
        </w:rPr>
        <w:t xml:space="preserve">Do tohto oddielu patria výdavky, ktoré zahŕňajú činnosti ako je ústavná a ambulantná zdravotná starostlivosť, verejné zdravotné služby (prevádzka krvnej banky, zisťovanie chorôb, zber </w:t>
      </w:r>
      <w:r w:rsidRPr="0009576A">
        <w:rPr>
          <w:rFonts w:ascii="Times New Roman" w:hAnsi="Times New Roman"/>
          <w:sz w:val="22"/>
          <w:szCs w:val="22"/>
        </w:rPr>
        <w:t>epidemiologických údajov). Na výdavkoch sa najväčšou mierou podieľalo Ministerstvo zdravotníctva SR (110 421 tis. eur), ktoré v skupine Zdravotníctvo inde neklasifikované realizovalo výdavky vo výške 67 825 tis. eur najmä v oblasti drogovej problematiky, farmácie, informatiky (e</w:t>
      </w:r>
      <w:r w:rsidR="00DF5CB2">
        <w:rPr>
          <w:rFonts w:ascii="Times New Roman" w:hAnsi="Times New Roman"/>
          <w:sz w:val="22"/>
          <w:szCs w:val="22"/>
        </w:rPr>
        <w:t>-</w:t>
      </w:r>
      <w:r w:rsidRPr="0009576A">
        <w:rPr>
          <w:rFonts w:ascii="Times New Roman" w:hAnsi="Times New Roman"/>
          <w:sz w:val="22"/>
          <w:szCs w:val="22"/>
        </w:rPr>
        <w:t xml:space="preserve">Health), na činnosť Inšpektorátu kúpeľov a žriediel, ako aj Národného centra zdravotníckych informácií, Národnej transplantačnej organizácie a Štátneho ústavu pre kontrolu liečiv. V skupine Ochrana, podpora a rozvoj verejného zdravia čerpalo Ministerstvo zdravotníctva SR výdavky vo výške 29 815 tis. eur určené pre regionálne úrady verejného zdravotníctva a Úrad verejného zdravotníctva SR. </w:t>
      </w:r>
    </w:p>
    <w:p w:rsidR="00E22DF3" w:rsidRPr="006E50E2" w:rsidP="00E22DF3">
      <w:pPr>
        <w:bidi w:val="0"/>
        <w:spacing w:after="120" w:line="336" w:lineRule="auto"/>
        <w:rPr>
          <w:rFonts w:ascii="Times New Roman" w:hAnsi="Times New Roman"/>
        </w:rPr>
      </w:pPr>
      <w:r w:rsidRPr="00BA3E4A">
        <w:rPr>
          <w:rFonts w:ascii="Times New Roman" w:hAnsi="Times New Roman"/>
          <w:i/>
          <w:sz w:val="22"/>
          <w:szCs w:val="22"/>
        </w:rPr>
        <w:t>Podrobný prehľad o výdavkov štátneho rozpočtu podľa funkčnej klasifikácie je uvedený v tab. č. 11 tabuľkovej prílohy štátneho záverečného účtu.</w:t>
      </w:r>
    </w:p>
    <w:p w:rsidR="00F91007" w:rsidP="008D72D9">
      <w:pPr>
        <w:pStyle w:val="Heading3"/>
        <w:numPr>
          <w:ilvl w:val="2"/>
          <w:numId w:val="20"/>
        </w:numPr>
        <w:bidi w:val="0"/>
        <w:spacing w:line="336" w:lineRule="auto"/>
        <w:rPr>
          <w:rFonts w:ascii="Times New Roman" w:hAnsi="Times New Roman"/>
          <w:lang w:val="sk-SK"/>
        </w:rPr>
      </w:pPr>
      <w:bookmarkStart w:id="32" w:name="_Toc449622840"/>
      <w:r w:rsidRPr="006E50E2">
        <w:rPr>
          <w:rFonts w:ascii="Times New Roman" w:hAnsi="Times New Roman"/>
          <w:lang w:val="sk-SK"/>
        </w:rPr>
        <w:t>Vzťahy štátneho rozpočtu k</w:t>
      </w:r>
      <w:r w:rsidR="0027279E">
        <w:rPr>
          <w:rFonts w:ascii="Times New Roman" w:hAnsi="Times New Roman"/>
          <w:lang w:val="sk-SK"/>
        </w:rPr>
        <w:t> </w:t>
      </w:r>
      <w:r w:rsidRPr="006E50E2">
        <w:rPr>
          <w:rFonts w:ascii="Times New Roman" w:hAnsi="Times New Roman"/>
          <w:lang w:val="sk-SK"/>
        </w:rPr>
        <w:t>obciam</w:t>
      </w:r>
      <w:bookmarkEnd w:id="32"/>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V roku 2015 bolo z rozpočtov jednotlivých kapitol do rozpočtov obcí poskytnutých 1 311 577 tis. eur vo forme bežných a kapitálových grantov a transferov, z toho bežné granty a transfery tvorili sumu 855 634 tis. eur a kapitálové granty a transfery čiastku 455 943 tis. eur. V porovnaní so skutočnosťou 2014 je to v úhrne za všetky zdroje výdavkov (vrátane EÚ a </w:t>
      </w:r>
      <w:r w:rsidR="00392253">
        <w:rPr>
          <w:rFonts w:ascii="Times New Roman" w:hAnsi="Times New Roman"/>
          <w:color w:val="000000"/>
          <w:sz w:val="22"/>
          <w:szCs w:val="22"/>
        </w:rPr>
        <w:t xml:space="preserve">mimorozpočtových zdrojov) viac </w:t>
      </w:r>
      <w:r w:rsidRPr="0027279E">
        <w:rPr>
          <w:rFonts w:ascii="Times New Roman" w:hAnsi="Times New Roman"/>
          <w:color w:val="000000"/>
          <w:sz w:val="22"/>
          <w:szCs w:val="22"/>
        </w:rPr>
        <w:t>o 255 834 tis. eur, zo štátneho rozpočtu o 28 466 tis. eur viac.</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Granty a transfery zo štátn</w:t>
      </w:r>
      <w:r w:rsidR="007856FD">
        <w:rPr>
          <w:rFonts w:ascii="Times New Roman" w:hAnsi="Times New Roman"/>
          <w:color w:val="000000"/>
          <w:sz w:val="22"/>
          <w:szCs w:val="22"/>
        </w:rPr>
        <w:t>eho</w:t>
      </w:r>
      <w:r w:rsidRPr="0027279E">
        <w:rPr>
          <w:rFonts w:ascii="Times New Roman" w:hAnsi="Times New Roman"/>
          <w:color w:val="000000"/>
          <w:sz w:val="22"/>
          <w:szCs w:val="22"/>
        </w:rPr>
        <w:t xml:space="preserve"> rozpoč</w:t>
      </w:r>
      <w:r w:rsidR="007856FD">
        <w:rPr>
          <w:rFonts w:ascii="Times New Roman" w:hAnsi="Times New Roman"/>
          <w:color w:val="000000"/>
          <w:sz w:val="22"/>
          <w:szCs w:val="22"/>
        </w:rPr>
        <w:t>tu</w:t>
      </w:r>
      <w:r w:rsidRPr="0027279E">
        <w:rPr>
          <w:rFonts w:ascii="Times New Roman" w:hAnsi="Times New Roman"/>
          <w:color w:val="000000"/>
          <w:sz w:val="22"/>
          <w:szCs w:val="22"/>
        </w:rPr>
        <w:t xml:space="preserve"> boli poskytnuté v sume 891 978 tis. eur.</w:t>
      </w:r>
      <w:r w:rsidRPr="00990212">
        <w:rPr>
          <w:rFonts w:ascii="Times New Roman" w:hAnsi="Times New Roman"/>
          <w:color w:val="FF0000"/>
          <w:sz w:val="22"/>
          <w:szCs w:val="22"/>
        </w:rPr>
        <w:t xml:space="preserve"> </w:t>
      </w:r>
      <w:r w:rsidRPr="0027279E">
        <w:rPr>
          <w:rFonts w:ascii="Times New Roman" w:hAnsi="Times New Roman"/>
          <w:color w:val="000000"/>
          <w:sz w:val="22"/>
          <w:szCs w:val="22"/>
        </w:rPr>
        <w:t>Z toho bežné granty a transfery tvorili čiastku 828 645 tis. eur a kapitálové granty a transfery sumu 63 333 tis. eur. Na financovanie kompetencií preneseného výkonu štátnej správy bolo poskytnutých 756 305 tis. eur len v rámci bežných transferov, a to v kapitolách Ministerstva vnútra SR (749 876 tis. eur) a Ministerstva dopravy, výstavby a regionálneho rozvoja SR (6 429 tis. eur). Z tejto sumy najviac prostriedkov smerovalo do oblasti školstva (738 506 tis. eur),</w:t>
      </w:r>
      <w:r w:rsidRPr="00990212">
        <w:rPr>
          <w:rFonts w:ascii="Times New Roman" w:hAnsi="Times New Roman"/>
          <w:color w:val="FF0000"/>
          <w:sz w:val="22"/>
          <w:szCs w:val="22"/>
        </w:rPr>
        <w:t xml:space="preserve"> </w:t>
      </w:r>
      <w:r w:rsidRPr="0027279E">
        <w:rPr>
          <w:rFonts w:ascii="Times New Roman" w:hAnsi="Times New Roman"/>
          <w:color w:val="000000"/>
          <w:sz w:val="22"/>
          <w:szCs w:val="22"/>
        </w:rPr>
        <w:t xml:space="preserve">ostatné na všeobecné verejné služby (matrika, register obyvateľov) a do ekonomickej oblasti na výstavbu a cestnú dopravu. Na ostatné činnosti zabezpečované obcami v rámci ich samosprávnej pôsobnosti, napr. na podporu regionálneho rozvoja, cestovného ruchu, rozvoja bývania, obnovy infraštruktúry a podobne sa vynaložilo 135 673 tis. eur. V tejto sume sú zahrnuté aj finančné prostriedky poskytnuté z jednotlivých kapitol na financovanie spoločných projektov v rámci EÚ. </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Súhrnný prehľad grantov a transferov poskytnutých obciam podľa jednotlivých oddielov funkčnej klasifikácie poskytujú údaje v nasledujúcej tabuľke:</w:t>
      </w:r>
    </w:p>
    <w:tbl>
      <w:tblPr>
        <w:tblStyle w:val="TableNormal"/>
        <w:tblW w:w="8946" w:type="dxa"/>
        <w:tblInd w:w="55" w:type="dxa"/>
        <w:tblLayout w:type="fixed"/>
        <w:tblCellMar>
          <w:left w:w="70" w:type="dxa"/>
          <w:right w:w="70" w:type="dxa"/>
        </w:tblCellMar>
        <w:tblLook w:val="04A0"/>
      </w:tblPr>
      <w:tblGrid>
        <w:gridCol w:w="2283"/>
        <w:gridCol w:w="1134"/>
        <w:gridCol w:w="993"/>
        <w:gridCol w:w="992"/>
        <w:gridCol w:w="992"/>
        <w:gridCol w:w="992"/>
        <w:gridCol w:w="851"/>
        <w:gridCol w:w="709"/>
      </w:tblGrid>
      <w:tr>
        <w:tblPrEx>
          <w:tblW w:w="8946" w:type="dxa"/>
          <w:tblInd w:w="55" w:type="dxa"/>
          <w:tblLayout w:type="fixed"/>
          <w:tblCellMar>
            <w:left w:w="70" w:type="dxa"/>
            <w:right w:w="70" w:type="dxa"/>
          </w:tblCellMar>
          <w:tblLook w:val="04A0"/>
        </w:tblPrEx>
        <w:trPr>
          <w:trHeight w:val="330"/>
        </w:trPr>
        <w:tc>
          <w:tcPr>
            <w:tcW w:w="8946" w:type="dxa"/>
            <w:gridSpan w:val="8"/>
            <w:tcBorders>
              <w:top w:val="nil"/>
              <w:left w:val="single" w:sz="8" w:space="0" w:color="auto"/>
              <w:bottom w:val="nil"/>
              <w:right w:val="nil"/>
            </w:tcBorders>
            <w:shd w:val="clear" w:color="000000" w:fill="000000"/>
            <w:textDirection w:val="lrTb"/>
            <w:vAlign w:val="center"/>
            <w:hideMark/>
          </w:tcPr>
          <w:p w:rsidR="00CF6C2F" w:rsidRPr="00CE0B64" w:rsidP="00CF6C2F">
            <w:pPr>
              <w:bidi w:val="0"/>
              <w:rPr>
                <w:rFonts w:ascii="Times New Roman" w:hAnsi="Times New Roman"/>
                <w:b/>
                <w:bCs/>
                <w:color w:val="FFFFFF"/>
                <w:sz w:val="18"/>
                <w:szCs w:val="18"/>
              </w:rPr>
            </w:pPr>
            <w:bookmarkStart w:id="33" w:name="RANGE!B5:I18"/>
            <w:r w:rsidRPr="00CE0B64">
              <w:rPr>
                <w:rFonts w:ascii="Times New Roman" w:hAnsi="Times New Roman"/>
                <w:b/>
                <w:bCs/>
                <w:color w:val="FFFFFF"/>
                <w:sz w:val="18"/>
                <w:szCs w:val="18"/>
              </w:rPr>
              <w:t>Granty a transfery poskytnuté obciam podľa oddielov funkčnej klasifikácie</w:t>
            </w:r>
            <w:bookmarkEnd w:id="33"/>
            <w:r w:rsidRPr="00CE0B64">
              <w:rPr>
                <w:rFonts w:ascii="Times New Roman" w:hAnsi="Times New Roman"/>
                <w:b/>
                <w:bCs/>
                <w:color w:val="FFFFFF"/>
                <w:sz w:val="18"/>
                <w:szCs w:val="18"/>
              </w:rPr>
              <w:t xml:space="preserve">                         </w:t>
            </w:r>
            <w:r w:rsidR="00502F15">
              <w:rPr>
                <w:rFonts w:ascii="Times New Roman" w:hAnsi="Times New Roman"/>
                <w:b/>
                <w:bCs/>
                <w:color w:val="FFFFFF"/>
                <w:sz w:val="18"/>
                <w:szCs w:val="18"/>
              </w:rPr>
              <w:t xml:space="preserve">           </w:t>
            </w:r>
            <w:r w:rsidRPr="00CE0B64">
              <w:rPr>
                <w:rFonts w:ascii="Times New Roman" w:hAnsi="Times New Roman"/>
                <w:b/>
                <w:bCs/>
                <w:color w:val="FFFFFF"/>
                <w:sz w:val="18"/>
                <w:szCs w:val="18"/>
              </w:rPr>
              <w:t xml:space="preserve">           v tis. eur</w:t>
            </w:r>
          </w:p>
        </w:tc>
      </w:tr>
      <w:tr>
        <w:tblPrEx>
          <w:tblW w:w="8946" w:type="dxa"/>
          <w:tblInd w:w="55" w:type="dxa"/>
          <w:tblLayout w:type="fixed"/>
          <w:tblCellMar>
            <w:left w:w="70" w:type="dxa"/>
            <w:right w:w="70" w:type="dxa"/>
          </w:tblCellMar>
          <w:tblLook w:val="04A0"/>
        </w:tblPrEx>
        <w:trPr>
          <w:trHeight w:val="510"/>
        </w:trPr>
        <w:tc>
          <w:tcPr>
            <w:tcW w:w="2283" w:type="dxa"/>
            <w:tcBorders>
              <w:top w:val="nil"/>
              <w:left w:val="nil"/>
              <w:bottom w:val="nil"/>
              <w:right w:val="nil"/>
            </w:tcBorders>
            <w:shd w:val="clear" w:color="000000" w:fill="BFBFBF"/>
            <w:textDirection w:val="lrTb"/>
            <w:vAlign w:val="center"/>
            <w:hideMark/>
          </w:tcPr>
          <w:p w:rsidR="0027279E" w:rsidRPr="00CE0B64" w:rsidP="0027279E">
            <w:pPr>
              <w:bidi w:val="0"/>
              <w:rPr>
                <w:rFonts w:ascii="Times New Roman" w:hAnsi="Times New Roman"/>
                <w:b/>
                <w:bCs/>
                <w:color w:val="FFFFFF"/>
                <w:sz w:val="18"/>
                <w:szCs w:val="18"/>
              </w:rPr>
            </w:pPr>
            <w:r w:rsidRPr="00CE0B64">
              <w:rPr>
                <w:rFonts w:ascii="Times New Roman" w:hAnsi="Times New Roman"/>
                <w:b/>
                <w:bCs/>
                <w:color w:val="FFFFFF"/>
                <w:sz w:val="18"/>
                <w:szCs w:val="18"/>
              </w:rPr>
              <w:t> </w:t>
            </w:r>
          </w:p>
        </w:tc>
        <w:tc>
          <w:tcPr>
            <w:tcW w:w="2127" w:type="dxa"/>
            <w:gridSpan w:val="2"/>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Skutočnosť</w:t>
            </w:r>
          </w:p>
        </w:tc>
        <w:tc>
          <w:tcPr>
            <w:tcW w:w="992"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Rozpočet</w:t>
            </w:r>
          </w:p>
        </w:tc>
        <w:tc>
          <w:tcPr>
            <w:tcW w:w="1984" w:type="dxa"/>
            <w:gridSpan w:val="2"/>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Skutočnosť</w:t>
            </w:r>
          </w:p>
        </w:tc>
        <w:tc>
          <w:tcPr>
            <w:tcW w:w="1560" w:type="dxa"/>
            <w:gridSpan w:val="2"/>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Rozdiel</w:t>
            </w:r>
          </w:p>
        </w:tc>
      </w:tr>
      <w:tr>
        <w:tblPrEx>
          <w:tblW w:w="8946" w:type="dxa"/>
          <w:tblInd w:w="55" w:type="dxa"/>
          <w:tblLayout w:type="fixed"/>
          <w:tblCellMar>
            <w:left w:w="70" w:type="dxa"/>
            <w:right w:w="70" w:type="dxa"/>
          </w:tblCellMar>
          <w:tblLook w:val="04A0"/>
        </w:tblPrEx>
        <w:trPr>
          <w:trHeight w:val="510"/>
        </w:trPr>
        <w:tc>
          <w:tcPr>
            <w:tcW w:w="2283"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sz w:val="18"/>
                <w:szCs w:val="18"/>
              </w:rPr>
            </w:pPr>
            <w:r w:rsidRPr="00CE0B64">
              <w:rPr>
                <w:rFonts w:ascii="Times New Roman" w:hAnsi="Times New Roman"/>
                <w:b/>
                <w:bCs/>
                <w:sz w:val="18"/>
                <w:szCs w:val="18"/>
              </w:rPr>
              <w:t> </w:t>
            </w:r>
          </w:p>
        </w:tc>
        <w:tc>
          <w:tcPr>
            <w:tcW w:w="1134"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2013</w:t>
            </w:r>
          </w:p>
        </w:tc>
        <w:tc>
          <w:tcPr>
            <w:tcW w:w="993"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2014</w:t>
            </w:r>
          </w:p>
        </w:tc>
        <w:tc>
          <w:tcPr>
            <w:tcW w:w="992"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2015</w:t>
            </w:r>
          </w:p>
        </w:tc>
        <w:tc>
          <w:tcPr>
            <w:tcW w:w="992"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2015</w:t>
            </w:r>
          </w:p>
        </w:tc>
        <w:tc>
          <w:tcPr>
            <w:tcW w:w="992"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z toho: zdroj 111*</w:t>
            </w:r>
          </w:p>
        </w:tc>
        <w:tc>
          <w:tcPr>
            <w:tcW w:w="851"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 xml:space="preserve"> v tis. eur</w:t>
            </w:r>
          </w:p>
        </w:tc>
        <w:tc>
          <w:tcPr>
            <w:tcW w:w="709" w:type="dxa"/>
            <w:tcBorders>
              <w:top w:val="nil"/>
              <w:left w:val="nil"/>
              <w:bottom w:val="nil"/>
              <w:right w:val="nil"/>
            </w:tcBorders>
            <w:shd w:val="clear" w:color="000000" w:fill="BFBFBF"/>
            <w:textDirection w:val="lrTb"/>
            <w:vAlign w:val="center"/>
            <w:hideMark/>
          </w:tcPr>
          <w:p w:rsidR="0027279E" w:rsidRPr="00CE0B64" w:rsidP="0027279E">
            <w:pPr>
              <w:bidi w:val="0"/>
              <w:jc w:val="center"/>
              <w:rPr>
                <w:rFonts w:ascii="Times New Roman" w:hAnsi="Times New Roman"/>
                <w:b/>
                <w:bCs/>
                <w:color w:val="000000"/>
                <w:sz w:val="18"/>
                <w:szCs w:val="18"/>
              </w:rPr>
            </w:pPr>
            <w:r w:rsidRPr="00CE0B64">
              <w:rPr>
                <w:rFonts w:ascii="Times New Roman" w:hAnsi="Times New Roman"/>
                <w:b/>
                <w:bCs/>
                <w:color w:val="000000"/>
                <w:sz w:val="18"/>
                <w:szCs w:val="18"/>
              </w:rPr>
              <w:t>v %</w:t>
            </w:r>
          </w:p>
        </w:tc>
      </w:tr>
      <w:tr>
        <w:tblPrEx>
          <w:tblW w:w="8946" w:type="dxa"/>
          <w:tblInd w:w="55" w:type="dxa"/>
          <w:tblLayout w:type="fixed"/>
          <w:tblCellMar>
            <w:left w:w="70" w:type="dxa"/>
            <w:right w:w="70" w:type="dxa"/>
          </w:tblCellMar>
          <w:tblLook w:val="04A0"/>
        </w:tblPrEx>
        <w:trPr>
          <w:trHeight w:val="345"/>
        </w:trPr>
        <w:tc>
          <w:tcPr>
            <w:tcW w:w="2283" w:type="dxa"/>
            <w:tcBorders>
              <w:top w:val="nil"/>
              <w:left w:val="nil"/>
              <w:bottom w:val="single" w:sz="8" w:space="0" w:color="auto"/>
              <w:right w:val="nil"/>
            </w:tcBorders>
            <w:shd w:val="clear" w:color="000000" w:fill="BFBFBF"/>
            <w:textDirection w:val="lrTb"/>
            <w:vAlign w:val="center"/>
            <w:hideMark/>
          </w:tcPr>
          <w:p w:rsidR="0027279E" w:rsidRPr="00CE0B64" w:rsidP="0027279E">
            <w:pPr>
              <w:bidi w:val="0"/>
              <w:rPr>
                <w:rFonts w:ascii="Times New Roman" w:hAnsi="Times New Roman"/>
                <w:b/>
                <w:bCs/>
                <w:color w:val="FFFFFF"/>
                <w:sz w:val="18"/>
                <w:szCs w:val="18"/>
              </w:rPr>
            </w:pPr>
            <w:r w:rsidRPr="00CE0B64">
              <w:rPr>
                <w:rFonts w:ascii="Times New Roman" w:hAnsi="Times New Roman"/>
                <w:b/>
                <w:bCs/>
                <w:color w:val="FFFFFF"/>
                <w:sz w:val="18"/>
                <w:szCs w:val="18"/>
              </w:rPr>
              <w:t> </w:t>
            </w:r>
          </w:p>
        </w:tc>
        <w:tc>
          <w:tcPr>
            <w:tcW w:w="1134" w:type="dxa"/>
            <w:tcBorders>
              <w:top w:val="nil"/>
              <w:left w:val="nil"/>
              <w:bottom w:val="single" w:sz="8" w:space="0" w:color="auto"/>
              <w:right w:val="nil"/>
            </w:tcBorders>
            <w:shd w:val="clear" w:color="000000" w:fill="BFBFBF"/>
            <w:textDirection w:val="lrTb"/>
            <w:vAlign w:val="center"/>
            <w:hideMark/>
          </w:tcPr>
          <w:p w:rsidR="0027279E" w:rsidRPr="00CE0B64" w:rsidP="0027279E">
            <w:pPr>
              <w:bidi w:val="0"/>
              <w:jc w:val="center"/>
              <w:rPr>
                <w:rFonts w:ascii="Times New Roman" w:hAnsi="Times New Roman"/>
                <w:b/>
                <w:bCs/>
                <w:sz w:val="18"/>
                <w:szCs w:val="18"/>
              </w:rPr>
            </w:pPr>
            <w:r w:rsidRPr="00CE0B64">
              <w:rPr>
                <w:rFonts w:ascii="Times New Roman" w:hAnsi="Times New Roman"/>
                <w:b/>
                <w:bCs/>
                <w:sz w:val="18"/>
                <w:szCs w:val="18"/>
              </w:rPr>
              <w:t>1</w:t>
            </w:r>
          </w:p>
        </w:tc>
        <w:tc>
          <w:tcPr>
            <w:tcW w:w="993" w:type="dxa"/>
            <w:tcBorders>
              <w:top w:val="nil"/>
              <w:left w:val="nil"/>
              <w:bottom w:val="single" w:sz="8" w:space="0" w:color="auto"/>
              <w:right w:val="nil"/>
            </w:tcBorders>
            <w:shd w:val="clear" w:color="000000" w:fill="BFBFBF"/>
            <w:textDirection w:val="lrTb"/>
            <w:vAlign w:val="center"/>
            <w:hideMark/>
          </w:tcPr>
          <w:p w:rsidR="0027279E" w:rsidRPr="00CE0B64" w:rsidP="0027279E">
            <w:pPr>
              <w:bidi w:val="0"/>
              <w:jc w:val="center"/>
              <w:rPr>
                <w:rFonts w:ascii="Times New Roman" w:hAnsi="Times New Roman"/>
                <w:b/>
                <w:bCs/>
                <w:sz w:val="18"/>
                <w:szCs w:val="18"/>
              </w:rPr>
            </w:pPr>
            <w:r w:rsidRPr="00CE0B64">
              <w:rPr>
                <w:rFonts w:ascii="Times New Roman" w:hAnsi="Times New Roman"/>
                <w:b/>
                <w:bCs/>
                <w:sz w:val="18"/>
                <w:szCs w:val="18"/>
              </w:rPr>
              <w:t>2</w:t>
            </w:r>
          </w:p>
        </w:tc>
        <w:tc>
          <w:tcPr>
            <w:tcW w:w="992" w:type="dxa"/>
            <w:tcBorders>
              <w:top w:val="nil"/>
              <w:left w:val="nil"/>
              <w:bottom w:val="single" w:sz="8" w:space="0" w:color="auto"/>
              <w:right w:val="nil"/>
            </w:tcBorders>
            <w:shd w:val="clear" w:color="000000" w:fill="BFBFBF"/>
            <w:textDirection w:val="lrTb"/>
            <w:vAlign w:val="center"/>
            <w:hideMark/>
          </w:tcPr>
          <w:p w:rsidR="0027279E" w:rsidRPr="00CE0B64" w:rsidP="0027279E">
            <w:pPr>
              <w:bidi w:val="0"/>
              <w:jc w:val="center"/>
              <w:rPr>
                <w:rFonts w:ascii="Times New Roman" w:hAnsi="Times New Roman"/>
                <w:b/>
                <w:bCs/>
                <w:sz w:val="18"/>
                <w:szCs w:val="18"/>
              </w:rPr>
            </w:pPr>
            <w:r w:rsidRPr="00CE0B64">
              <w:rPr>
                <w:rFonts w:ascii="Times New Roman" w:hAnsi="Times New Roman"/>
                <w:b/>
                <w:bCs/>
                <w:sz w:val="18"/>
                <w:szCs w:val="18"/>
              </w:rPr>
              <w:t>3</w:t>
            </w:r>
          </w:p>
        </w:tc>
        <w:tc>
          <w:tcPr>
            <w:tcW w:w="992" w:type="dxa"/>
            <w:tcBorders>
              <w:top w:val="nil"/>
              <w:left w:val="nil"/>
              <w:bottom w:val="single" w:sz="8" w:space="0" w:color="auto"/>
              <w:right w:val="nil"/>
            </w:tcBorders>
            <w:shd w:val="clear" w:color="000000" w:fill="BFBFBF"/>
            <w:textDirection w:val="lrTb"/>
            <w:vAlign w:val="center"/>
            <w:hideMark/>
          </w:tcPr>
          <w:p w:rsidR="0027279E" w:rsidRPr="00CE0B64" w:rsidP="0027279E">
            <w:pPr>
              <w:bidi w:val="0"/>
              <w:jc w:val="center"/>
              <w:rPr>
                <w:rFonts w:ascii="Times New Roman" w:hAnsi="Times New Roman"/>
                <w:b/>
                <w:bCs/>
                <w:sz w:val="18"/>
                <w:szCs w:val="18"/>
              </w:rPr>
            </w:pPr>
            <w:r w:rsidRPr="00CE0B64">
              <w:rPr>
                <w:rFonts w:ascii="Times New Roman" w:hAnsi="Times New Roman"/>
                <w:b/>
                <w:bCs/>
                <w:sz w:val="18"/>
                <w:szCs w:val="18"/>
              </w:rPr>
              <w:t>4</w:t>
            </w:r>
          </w:p>
        </w:tc>
        <w:tc>
          <w:tcPr>
            <w:tcW w:w="992" w:type="dxa"/>
            <w:tcBorders>
              <w:top w:val="nil"/>
              <w:left w:val="nil"/>
              <w:bottom w:val="single" w:sz="8" w:space="0" w:color="auto"/>
              <w:right w:val="nil"/>
            </w:tcBorders>
            <w:shd w:val="clear" w:color="000000" w:fill="BFBFBF"/>
            <w:textDirection w:val="lrTb"/>
            <w:vAlign w:val="center"/>
            <w:hideMark/>
          </w:tcPr>
          <w:p w:rsidR="0027279E" w:rsidRPr="00CE0B64" w:rsidP="0027279E">
            <w:pPr>
              <w:bidi w:val="0"/>
              <w:jc w:val="center"/>
              <w:rPr>
                <w:rFonts w:ascii="Times New Roman" w:hAnsi="Times New Roman"/>
                <w:b/>
                <w:bCs/>
                <w:sz w:val="18"/>
                <w:szCs w:val="18"/>
              </w:rPr>
            </w:pPr>
            <w:r w:rsidRPr="00CE0B64">
              <w:rPr>
                <w:rFonts w:ascii="Times New Roman" w:hAnsi="Times New Roman"/>
                <w:b/>
                <w:bCs/>
                <w:sz w:val="18"/>
                <w:szCs w:val="18"/>
              </w:rPr>
              <w:t>5</w:t>
            </w:r>
          </w:p>
        </w:tc>
        <w:tc>
          <w:tcPr>
            <w:tcW w:w="851" w:type="dxa"/>
            <w:tcBorders>
              <w:top w:val="nil"/>
              <w:left w:val="nil"/>
              <w:bottom w:val="single" w:sz="8" w:space="0" w:color="auto"/>
              <w:right w:val="nil"/>
            </w:tcBorders>
            <w:shd w:val="clear" w:color="000000" w:fill="BFBFBF"/>
            <w:textDirection w:val="lrTb"/>
            <w:vAlign w:val="center"/>
            <w:hideMark/>
          </w:tcPr>
          <w:p w:rsidR="0027279E" w:rsidRPr="00CE0B64" w:rsidP="0027279E">
            <w:pPr>
              <w:bidi w:val="0"/>
              <w:jc w:val="center"/>
              <w:rPr>
                <w:rFonts w:ascii="Times New Roman" w:hAnsi="Times New Roman"/>
                <w:b/>
                <w:bCs/>
                <w:sz w:val="18"/>
                <w:szCs w:val="18"/>
              </w:rPr>
            </w:pPr>
            <w:r w:rsidRPr="00CE0B64">
              <w:rPr>
                <w:rFonts w:ascii="Times New Roman" w:hAnsi="Times New Roman"/>
                <w:b/>
                <w:bCs/>
                <w:sz w:val="18"/>
                <w:szCs w:val="18"/>
              </w:rPr>
              <w:t>6=4-3</w:t>
            </w:r>
          </w:p>
        </w:tc>
        <w:tc>
          <w:tcPr>
            <w:tcW w:w="709" w:type="dxa"/>
            <w:tcBorders>
              <w:top w:val="nil"/>
              <w:left w:val="nil"/>
              <w:bottom w:val="single" w:sz="8" w:space="0" w:color="auto"/>
              <w:right w:val="nil"/>
            </w:tcBorders>
            <w:shd w:val="clear" w:color="000000" w:fill="BFBFBF"/>
            <w:textDirection w:val="lrTb"/>
            <w:vAlign w:val="center"/>
            <w:hideMark/>
          </w:tcPr>
          <w:p w:rsidR="0027279E" w:rsidRPr="00CE0B64" w:rsidP="0027279E">
            <w:pPr>
              <w:bidi w:val="0"/>
              <w:jc w:val="center"/>
              <w:rPr>
                <w:rFonts w:ascii="Times New Roman" w:hAnsi="Times New Roman"/>
                <w:b/>
                <w:bCs/>
                <w:sz w:val="18"/>
                <w:szCs w:val="18"/>
              </w:rPr>
            </w:pPr>
            <w:r w:rsidRPr="00CE0B64">
              <w:rPr>
                <w:rFonts w:ascii="Times New Roman" w:hAnsi="Times New Roman"/>
                <w:b/>
                <w:bCs/>
                <w:sz w:val="18"/>
                <w:szCs w:val="18"/>
              </w:rPr>
              <w:t>7=4-3</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noWrap/>
            <w:textDirection w:val="lrTb"/>
            <w:vAlign w:val="center"/>
            <w:hideMark/>
          </w:tcPr>
          <w:p w:rsidR="0027279E" w:rsidRPr="00CE0B64" w:rsidP="009C35AD">
            <w:pPr>
              <w:bidi w:val="0"/>
              <w:rPr>
                <w:rFonts w:ascii="Times New Roman" w:hAnsi="Times New Roman"/>
                <w:color w:val="000000"/>
                <w:sz w:val="18"/>
                <w:szCs w:val="18"/>
              </w:rPr>
            </w:pPr>
            <w:r w:rsidRPr="00CE0B64">
              <w:rPr>
                <w:rFonts w:ascii="Times New Roman" w:hAnsi="Times New Roman"/>
                <w:color w:val="000000"/>
                <w:sz w:val="18"/>
                <w:szCs w:val="18"/>
              </w:rPr>
              <w:t>Všeobecné verejné služby</w:t>
            </w:r>
          </w:p>
        </w:tc>
        <w:tc>
          <w:tcPr>
            <w:tcW w:w="1134" w:type="dxa"/>
            <w:tcBorders>
              <w:top w:val="nil"/>
              <w:left w:val="nil"/>
              <w:bottom w:val="nil"/>
              <w:right w:val="nil"/>
            </w:tcBorders>
            <w:shd w:val="clear" w:color="000000" w:fill="FFFFFF"/>
            <w:noWrap/>
            <w:textDirection w:val="lrTb"/>
            <w:vAlign w:val="center"/>
            <w:hideMark/>
          </w:tcPr>
          <w:p w:rsidR="0027279E" w:rsidRPr="00CE0B64" w:rsidP="009C35AD">
            <w:pPr>
              <w:bidi w:val="0"/>
              <w:jc w:val="right"/>
              <w:rPr>
                <w:rFonts w:ascii="Times New Roman" w:hAnsi="Times New Roman"/>
                <w:color w:val="000000"/>
                <w:sz w:val="18"/>
                <w:szCs w:val="18"/>
              </w:rPr>
            </w:pPr>
            <w:r w:rsidRPr="00CE0B64">
              <w:rPr>
                <w:rFonts w:ascii="Times New Roman" w:hAnsi="Times New Roman"/>
                <w:color w:val="000000"/>
                <w:sz w:val="18"/>
                <w:szCs w:val="18"/>
              </w:rPr>
              <w:t>23 230</w:t>
            </w:r>
          </w:p>
        </w:tc>
        <w:tc>
          <w:tcPr>
            <w:tcW w:w="993" w:type="dxa"/>
            <w:tcBorders>
              <w:top w:val="nil"/>
              <w:left w:val="nil"/>
              <w:bottom w:val="nil"/>
              <w:right w:val="nil"/>
            </w:tcBorders>
            <w:shd w:val="clear" w:color="000000" w:fill="FFFFFF"/>
            <w:noWrap/>
            <w:textDirection w:val="lrTb"/>
            <w:vAlign w:val="center"/>
            <w:hideMark/>
          </w:tcPr>
          <w:p w:rsidR="0027279E" w:rsidRPr="00CE0B64" w:rsidP="009C35AD">
            <w:pPr>
              <w:bidi w:val="0"/>
              <w:jc w:val="right"/>
              <w:rPr>
                <w:rFonts w:ascii="Times New Roman" w:hAnsi="Times New Roman"/>
                <w:color w:val="000000"/>
                <w:sz w:val="18"/>
                <w:szCs w:val="18"/>
              </w:rPr>
            </w:pPr>
            <w:r w:rsidRPr="00CE0B64">
              <w:rPr>
                <w:rFonts w:ascii="Times New Roman" w:hAnsi="Times New Roman"/>
                <w:color w:val="000000"/>
                <w:sz w:val="18"/>
                <w:szCs w:val="18"/>
              </w:rPr>
              <w:t>35 523</w:t>
            </w:r>
          </w:p>
        </w:tc>
        <w:tc>
          <w:tcPr>
            <w:tcW w:w="992" w:type="dxa"/>
            <w:tcBorders>
              <w:top w:val="nil"/>
              <w:left w:val="nil"/>
              <w:bottom w:val="nil"/>
              <w:right w:val="nil"/>
            </w:tcBorders>
            <w:shd w:val="clear" w:color="000000" w:fill="FFFFFF"/>
            <w:noWrap/>
            <w:textDirection w:val="lrTb"/>
            <w:vAlign w:val="center"/>
            <w:hideMark/>
          </w:tcPr>
          <w:p w:rsidR="0027279E" w:rsidRPr="00CE0B64" w:rsidP="009C35AD">
            <w:pPr>
              <w:bidi w:val="0"/>
              <w:jc w:val="right"/>
              <w:rPr>
                <w:rFonts w:ascii="Times New Roman" w:hAnsi="Times New Roman"/>
                <w:color w:val="000000"/>
                <w:sz w:val="18"/>
                <w:szCs w:val="18"/>
              </w:rPr>
            </w:pPr>
            <w:r w:rsidRPr="00CE0B64">
              <w:rPr>
                <w:rFonts w:ascii="Times New Roman" w:hAnsi="Times New Roman"/>
                <w:color w:val="000000"/>
                <w:sz w:val="18"/>
                <w:szCs w:val="18"/>
              </w:rPr>
              <w:t>11 626</w:t>
            </w:r>
          </w:p>
        </w:tc>
        <w:tc>
          <w:tcPr>
            <w:tcW w:w="992" w:type="dxa"/>
            <w:tcBorders>
              <w:top w:val="nil"/>
              <w:left w:val="nil"/>
              <w:bottom w:val="nil"/>
              <w:right w:val="nil"/>
            </w:tcBorders>
            <w:shd w:val="clear" w:color="000000" w:fill="BFBFBF"/>
            <w:noWrap/>
            <w:textDirection w:val="lrTb"/>
            <w:vAlign w:val="center"/>
            <w:hideMark/>
          </w:tcPr>
          <w:p w:rsidR="0027279E" w:rsidRPr="00CE0B64" w:rsidP="009C35AD">
            <w:pPr>
              <w:bidi w:val="0"/>
              <w:jc w:val="right"/>
              <w:rPr>
                <w:rFonts w:ascii="Times New Roman" w:hAnsi="Times New Roman"/>
                <w:color w:val="000000"/>
                <w:sz w:val="18"/>
                <w:szCs w:val="18"/>
              </w:rPr>
            </w:pPr>
            <w:r w:rsidRPr="00CE0B64">
              <w:rPr>
                <w:rFonts w:ascii="Times New Roman" w:hAnsi="Times New Roman"/>
                <w:color w:val="000000"/>
                <w:sz w:val="18"/>
                <w:szCs w:val="18"/>
              </w:rPr>
              <w:t>31 643</w:t>
            </w:r>
          </w:p>
        </w:tc>
        <w:tc>
          <w:tcPr>
            <w:tcW w:w="992" w:type="dxa"/>
            <w:tcBorders>
              <w:top w:val="nil"/>
              <w:left w:val="nil"/>
              <w:bottom w:val="nil"/>
              <w:right w:val="nil"/>
            </w:tcBorders>
            <w:shd w:val="clear" w:color="000000" w:fill="BFBFBF"/>
            <w:noWrap/>
            <w:textDirection w:val="lrTb"/>
            <w:vAlign w:val="center"/>
            <w:hideMark/>
          </w:tcPr>
          <w:p w:rsidR="0027279E" w:rsidRPr="00CE0B64" w:rsidP="009C35AD">
            <w:pPr>
              <w:bidi w:val="0"/>
              <w:jc w:val="right"/>
              <w:rPr>
                <w:rFonts w:ascii="Times New Roman" w:hAnsi="Times New Roman"/>
                <w:color w:val="000000"/>
                <w:sz w:val="18"/>
                <w:szCs w:val="18"/>
              </w:rPr>
            </w:pPr>
            <w:r w:rsidRPr="00CE0B64">
              <w:rPr>
                <w:rFonts w:ascii="Times New Roman" w:hAnsi="Times New Roman"/>
                <w:color w:val="000000"/>
                <w:sz w:val="18"/>
                <w:szCs w:val="18"/>
              </w:rPr>
              <w:t>27 435</w:t>
            </w:r>
          </w:p>
        </w:tc>
        <w:tc>
          <w:tcPr>
            <w:tcW w:w="851" w:type="dxa"/>
            <w:tcBorders>
              <w:top w:val="nil"/>
              <w:left w:val="nil"/>
              <w:bottom w:val="nil"/>
              <w:right w:val="nil"/>
            </w:tcBorders>
            <w:shd w:val="clear" w:color="000000" w:fill="FFFFFF"/>
            <w:textDirection w:val="lrTb"/>
            <w:vAlign w:val="center"/>
            <w:hideMark/>
          </w:tcPr>
          <w:p w:rsidR="0027279E" w:rsidRPr="00CE0B64" w:rsidP="009C35AD">
            <w:pPr>
              <w:bidi w:val="0"/>
              <w:jc w:val="right"/>
              <w:rPr>
                <w:rFonts w:ascii="Times New Roman" w:hAnsi="Times New Roman"/>
                <w:color w:val="000000"/>
                <w:sz w:val="18"/>
                <w:szCs w:val="18"/>
              </w:rPr>
            </w:pPr>
            <w:r w:rsidRPr="00CE0B64">
              <w:rPr>
                <w:rFonts w:ascii="Times New Roman" w:hAnsi="Times New Roman"/>
                <w:color w:val="000000"/>
                <w:sz w:val="18"/>
                <w:szCs w:val="18"/>
              </w:rPr>
              <w:t>20 017</w:t>
            </w:r>
          </w:p>
        </w:tc>
        <w:tc>
          <w:tcPr>
            <w:tcW w:w="709" w:type="dxa"/>
            <w:tcBorders>
              <w:top w:val="nil"/>
              <w:left w:val="nil"/>
              <w:bottom w:val="nil"/>
              <w:right w:val="nil"/>
            </w:tcBorders>
            <w:shd w:val="clear" w:color="000000" w:fill="FFFFFF"/>
            <w:textDirection w:val="lrTb"/>
            <w:vAlign w:val="center"/>
            <w:hideMark/>
          </w:tcPr>
          <w:p w:rsidR="0027279E" w:rsidRPr="00CE0B64" w:rsidP="009C35AD">
            <w:pPr>
              <w:bidi w:val="0"/>
              <w:jc w:val="right"/>
              <w:rPr>
                <w:rFonts w:ascii="Times New Roman" w:hAnsi="Times New Roman"/>
                <w:color w:val="000000"/>
                <w:sz w:val="18"/>
                <w:szCs w:val="18"/>
              </w:rPr>
            </w:pPr>
            <w:r w:rsidRPr="00CE0B64">
              <w:rPr>
                <w:rFonts w:ascii="Times New Roman" w:hAnsi="Times New Roman"/>
                <w:color w:val="000000"/>
                <w:sz w:val="18"/>
                <w:szCs w:val="18"/>
              </w:rPr>
              <w:t>172,2</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noWrap/>
            <w:textDirection w:val="lrTb"/>
            <w:vAlign w:val="center"/>
            <w:hideMark/>
          </w:tcPr>
          <w:p w:rsidR="0027279E" w:rsidRPr="00CE0B64" w:rsidP="0027279E">
            <w:pPr>
              <w:bidi w:val="0"/>
              <w:rPr>
                <w:rFonts w:ascii="Times New Roman" w:hAnsi="Times New Roman"/>
                <w:color w:val="000000"/>
                <w:sz w:val="18"/>
                <w:szCs w:val="18"/>
              </w:rPr>
            </w:pPr>
            <w:r w:rsidRPr="00CE0B64">
              <w:rPr>
                <w:rFonts w:ascii="Times New Roman" w:hAnsi="Times New Roman"/>
                <w:color w:val="000000"/>
                <w:sz w:val="18"/>
                <w:szCs w:val="18"/>
              </w:rPr>
              <w:t>Verejný poriadok a bezpečnosť</w:t>
            </w:r>
          </w:p>
        </w:tc>
        <w:tc>
          <w:tcPr>
            <w:tcW w:w="1134"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5 189</w:t>
            </w:r>
          </w:p>
        </w:tc>
        <w:tc>
          <w:tcPr>
            <w:tcW w:w="993"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3 896</w:t>
            </w:r>
          </w:p>
        </w:tc>
        <w:tc>
          <w:tcPr>
            <w:tcW w:w="992"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192</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3 200</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3 186</w:t>
            </w:r>
          </w:p>
        </w:tc>
        <w:tc>
          <w:tcPr>
            <w:tcW w:w="851"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3 008</w:t>
            </w:r>
          </w:p>
        </w:tc>
        <w:tc>
          <w:tcPr>
            <w:tcW w:w="709"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1 566,7</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noWrap/>
            <w:textDirection w:val="lrTb"/>
            <w:vAlign w:val="center"/>
            <w:hideMark/>
          </w:tcPr>
          <w:p w:rsidR="0027279E" w:rsidRPr="00CE0B64" w:rsidP="0027279E">
            <w:pPr>
              <w:bidi w:val="0"/>
              <w:rPr>
                <w:rFonts w:ascii="Times New Roman" w:hAnsi="Times New Roman"/>
                <w:color w:val="000000"/>
                <w:sz w:val="18"/>
                <w:szCs w:val="18"/>
              </w:rPr>
            </w:pPr>
            <w:r w:rsidRPr="00CE0B64">
              <w:rPr>
                <w:rFonts w:ascii="Times New Roman" w:hAnsi="Times New Roman"/>
                <w:color w:val="000000"/>
                <w:sz w:val="18"/>
                <w:szCs w:val="18"/>
              </w:rPr>
              <w:t>Ekonomická oblasť</w:t>
            </w:r>
          </w:p>
        </w:tc>
        <w:tc>
          <w:tcPr>
            <w:tcW w:w="1134"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190 345</w:t>
            </w:r>
          </w:p>
        </w:tc>
        <w:tc>
          <w:tcPr>
            <w:tcW w:w="993"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114 993</w:t>
            </w:r>
          </w:p>
        </w:tc>
        <w:tc>
          <w:tcPr>
            <w:tcW w:w="992"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237 813</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292 166</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9 161</w:t>
            </w:r>
          </w:p>
        </w:tc>
        <w:tc>
          <w:tcPr>
            <w:tcW w:w="851"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54 353</w:t>
            </w:r>
          </w:p>
        </w:tc>
        <w:tc>
          <w:tcPr>
            <w:tcW w:w="709"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22,9</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textDirection w:val="lrTb"/>
            <w:vAlign w:val="center"/>
            <w:hideMark/>
          </w:tcPr>
          <w:p w:rsidR="0027279E" w:rsidRPr="00CE0B64" w:rsidP="0027279E">
            <w:pPr>
              <w:bidi w:val="0"/>
              <w:rPr>
                <w:rFonts w:ascii="Times New Roman" w:hAnsi="Times New Roman"/>
                <w:color w:val="000000"/>
                <w:sz w:val="18"/>
                <w:szCs w:val="18"/>
              </w:rPr>
            </w:pPr>
            <w:r w:rsidRPr="00CE0B64">
              <w:rPr>
                <w:rFonts w:ascii="Times New Roman" w:hAnsi="Times New Roman"/>
                <w:color w:val="000000"/>
                <w:sz w:val="18"/>
                <w:szCs w:val="18"/>
              </w:rPr>
              <w:t>Ochrana životného prostredia</w:t>
            </w:r>
          </w:p>
        </w:tc>
        <w:tc>
          <w:tcPr>
            <w:tcW w:w="1134"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106 013</w:t>
            </w:r>
          </w:p>
        </w:tc>
        <w:tc>
          <w:tcPr>
            <w:tcW w:w="993"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72 543</w:t>
            </w:r>
          </w:p>
        </w:tc>
        <w:tc>
          <w:tcPr>
            <w:tcW w:w="992"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78 050</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107 704</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130</w:t>
            </w:r>
          </w:p>
        </w:tc>
        <w:tc>
          <w:tcPr>
            <w:tcW w:w="851"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29 654</w:t>
            </w:r>
          </w:p>
        </w:tc>
        <w:tc>
          <w:tcPr>
            <w:tcW w:w="709"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38,0</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textDirection w:val="lrTb"/>
            <w:vAlign w:val="center"/>
            <w:hideMark/>
          </w:tcPr>
          <w:p w:rsidR="0027279E" w:rsidRPr="00CE0B64" w:rsidP="0027279E">
            <w:pPr>
              <w:bidi w:val="0"/>
              <w:rPr>
                <w:rFonts w:ascii="Times New Roman" w:hAnsi="Times New Roman"/>
                <w:color w:val="000000"/>
                <w:sz w:val="18"/>
                <w:szCs w:val="18"/>
              </w:rPr>
            </w:pPr>
            <w:r w:rsidRPr="00CE0B64">
              <w:rPr>
                <w:rFonts w:ascii="Times New Roman" w:hAnsi="Times New Roman"/>
                <w:color w:val="000000"/>
                <w:sz w:val="18"/>
                <w:szCs w:val="18"/>
              </w:rPr>
              <w:t>Bývanie a občianska vybavenosť</w:t>
            </w:r>
          </w:p>
        </w:tc>
        <w:tc>
          <w:tcPr>
            <w:tcW w:w="1134"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26 717</w:t>
            </w:r>
          </w:p>
        </w:tc>
        <w:tc>
          <w:tcPr>
            <w:tcW w:w="993"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54 856</w:t>
            </w:r>
          </w:p>
        </w:tc>
        <w:tc>
          <w:tcPr>
            <w:tcW w:w="992"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47 285</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53 858</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33 494</w:t>
            </w:r>
          </w:p>
        </w:tc>
        <w:tc>
          <w:tcPr>
            <w:tcW w:w="851"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6 573</w:t>
            </w:r>
          </w:p>
        </w:tc>
        <w:tc>
          <w:tcPr>
            <w:tcW w:w="709"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13,9</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textDirection w:val="lrTb"/>
            <w:vAlign w:val="center"/>
            <w:hideMark/>
          </w:tcPr>
          <w:p w:rsidR="0027279E" w:rsidRPr="00CE0B64" w:rsidP="0027279E">
            <w:pPr>
              <w:bidi w:val="0"/>
              <w:rPr>
                <w:rFonts w:ascii="Times New Roman" w:hAnsi="Times New Roman"/>
                <w:color w:val="000000"/>
                <w:sz w:val="18"/>
                <w:szCs w:val="18"/>
              </w:rPr>
            </w:pPr>
            <w:r w:rsidRPr="00CE0B64">
              <w:rPr>
                <w:rFonts w:ascii="Times New Roman" w:hAnsi="Times New Roman"/>
                <w:color w:val="000000"/>
                <w:sz w:val="18"/>
                <w:szCs w:val="18"/>
              </w:rPr>
              <w:t>Zdravotníctvo</w:t>
            </w:r>
          </w:p>
        </w:tc>
        <w:tc>
          <w:tcPr>
            <w:tcW w:w="1134"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1 770</w:t>
            </w:r>
          </w:p>
        </w:tc>
        <w:tc>
          <w:tcPr>
            <w:tcW w:w="993"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734</w:t>
            </w:r>
          </w:p>
        </w:tc>
        <w:tc>
          <w:tcPr>
            <w:tcW w:w="992"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0</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3 340</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26</w:t>
            </w:r>
          </w:p>
        </w:tc>
        <w:tc>
          <w:tcPr>
            <w:tcW w:w="851"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3 340</w:t>
            </w:r>
          </w:p>
        </w:tc>
        <w:tc>
          <w:tcPr>
            <w:tcW w:w="709"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sidR="00140C50">
              <w:rPr>
                <w:rFonts w:ascii="Times New Roman" w:hAnsi="Times New Roman"/>
                <w:color w:val="000000"/>
                <w:sz w:val="18"/>
                <w:szCs w:val="18"/>
              </w:rPr>
              <w:t>-</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textDirection w:val="lrTb"/>
            <w:vAlign w:val="center"/>
            <w:hideMark/>
          </w:tcPr>
          <w:p w:rsidR="0027279E" w:rsidRPr="00CE0B64" w:rsidP="0027279E">
            <w:pPr>
              <w:bidi w:val="0"/>
              <w:rPr>
                <w:rFonts w:ascii="Times New Roman" w:hAnsi="Times New Roman"/>
                <w:color w:val="000000"/>
                <w:sz w:val="18"/>
                <w:szCs w:val="18"/>
              </w:rPr>
            </w:pPr>
            <w:r w:rsidRPr="00CE0B64">
              <w:rPr>
                <w:rFonts w:ascii="Times New Roman" w:hAnsi="Times New Roman"/>
                <w:color w:val="000000"/>
                <w:sz w:val="18"/>
                <w:szCs w:val="18"/>
              </w:rPr>
              <w:t>Rekreácia, kultúra a náboženstvo</w:t>
            </w:r>
          </w:p>
        </w:tc>
        <w:tc>
          <w:tcPr>
            <w:tcW w:w="1134"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2 856</w:t>
            </w:r>
          </w:p>
        </w:tc>
        <w:tc>
          <w:tcPr>
            <w:tcW w:w="993"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6 285</w:t>
            </w:r>
          </w:p>
        </w:tc>
        <w:tc>
          <w:tcPr>
            <w:tcW w:w="992"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3 524</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6 410</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6 359</w:t>
            </w:r>
          </w:p>
        </w:tc>
        <w:tc>
          <w:tcPr>
            <w:tcW w:w="851"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2 886</w:t>
            </w:r>
          </w:p>
        </w:tc>
        <w:tc>
          <w:tcPr>
            <w:tcW w:w="709"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81,9</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textDirection w:val="lrTb"/>
            <w:vAlign w:val="center"/>
            <w:hideMark/>
          </w:tcPr>
          <w:p w:rsidR="0027279E" w:rsidRPr="00CE0B64" w:rsidP="0027279E">
            <w:pPr>
              <w:bidi w:val="0"/>
              <w:rPr>
                <w:rFonts w:ascii="Times New Roman" w:hAnsi="Times New Roman"/>
                <w:color w:val="000000"/>
                <w:sz w:val="18"/>
                <w:szCs w:val="18"/>
              </w:rPr>
            </w:pPr>
            <w:r w:rsidRPr="00CE0B64">
              <w:rPr>
                <w:rFonts w:ascii="Times New Roman" w:hAnsi="Times New Roman"/>
                <w:color w:val="000000"/>
                <w:sz w:val="18"/>
                <w:szCs w:val="18"/>
              </w:rPr>
              <w:t>Vzdelávanie</w:t>
            </w:r>
          </w:p>
        </w:tc>
        <w:tc>
          <w:tcPr>
            <w:tcW w:w="1134"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704 492</w:t>
            </w:r>
          </w:p>
        </w:tc>
        <w:tc>
          <w:tcPr>
            <w:tcW w:w="993"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714 735</w:t>
            </w:r>
          </w:p>
        </w:tc>
        <w:tc>
          <w:tcPr>
            <w:tcW w:w="992"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692 354</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760 683</w:t>
            </w:r>
          </w:p>
        </w:tc>
        <w:tc>
          <w:tcPr>
            <w:tcW w:w="992" w:type="dxa"/>
            <w:tcBorders>
              <w:top w:val="nil"/>
              <w:left w:val="nil"/>
              <w:bottom w:val="nil"/>
              <w:right w:val="nil"/>
            </w:tcBorders>
            <w:shd w:val="clear" w:color="000000" w:fill="BFBFB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759 614</w:t>
            </w:r>
          </w:p>
        </w:tc>
        <w:tc>
          <w:tcPr>
            <w:tcW w:w="851"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68 329</w:t>
            </w:r>
          </w:p>
        </w:tc>
        <w:tc>
          <w:tcPr>
            <w:tcW w:w="709"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9,9</w:t>
            </w:r>
          </w:p>
        </w:tc>
      </w:tr>
      <w:tr>
        <w:tblPrEx>
          <w:tblW w:w="8946" w:type="dxa"/>
          <w:tblInd w:w="55" w:type="dxa"/>
          <w:tblLayout w:type="fixed"/>
          <w:tblCellMar>
            <w:left w:w="70" w:type="dxa"/>
            <w:right w:w="70" w:type="dxa"/>
          </w:tblCellMar>
          <w:tblLook w:val="04A0"/>
        </w:tblPrEx>
        <w:trPr>
          <w:trHeight w:val="330"/>
        </w:trPr>
        <w:tc>
          <w:tcPr>
            <w:tcW w:w="2283" w:type="dxa"/>
            <w:tcBorders>
              <w:top w:val="nil"/>
              <w:left w:val="nil"/>
              <w:bottom w:val="nil"/>
              <w:right w:val="nil"/>
            </w:tcBorders>
            <w:shd w:val="clear" w:color="000000" w:fill="FFFFFF"/>
            <w:noWrap/>
            <w:textDirection w:val="lrTb"/>
            <w:vAlign w:val="center"/>
            <w:hideMark/>
          </w:tcPr>
          <w:p w:rsidR="0027279E" w:rsidRPr="00CE0B64" w:rsidP="0027279E">
            <w:pPr>
              <w:bidi w:val="0"/>
              <w:rPr>
                <w:rFonts w:ascii="Times New Roman" w:hAnsi="Times New Roman"/>
                <w:color w:val="000000"/>
                <w:sz w:val="18"/>
                <w:szCs w:val="18"/>
              </w:rPr>
            </w:pPr>
            <w:r w:rsidRPr="00CE0B64">
              <w:rPr>
                <w:rFonts w:ascii="Times New Roman" w:hAnsi="Times New Roman"/>
                <w:color w:val="000000"/>
                <w:sz w:val="18"/>
                <w:szCs w:val="18"/>
              </w:rPr>
              <w:t>Sociálne zabezpečenie</w:t>
            </w:r>
          </w:p>
        </w:tc>
        <w:tc>
          <w:tcPr>
            <w:tcW w:w="1134"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65 072</w:t>
            </w:r>
          </w:p>
        </w:tc>
        <w:tc>
          <w:tcPr>
            <w:tcW w:w="993"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52 178</w:t>
            </w:r>
          </w:p>
        </w:tc>
        <w:tc>
          <w:tcPr>
            <w:tcW w:w="992" w:type="dxa"/>
            <w:tcBorders>
              <w:top w:val="nil"/>
              <w:left w:val="nil"/>
              <w:bottom w:val="nil"/>
              <w:right w:val="nil"/>
            </w:tcBorders>
            <w:shd w:val="clear" w:color="000000" w:fill="FFFFFF"/>
            <w:noWrap/>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53 618</w:t>
            </w:r>
          </w:p>
        </w:tc>
        <w:tc>
          <w:tcPr>
            <w:tcW w:w="992" w:type="dxa"/>
            <w:tcBorders>
              <w:top w:val="nil"/>
              <w:left w:val="nil"/>
              <w:bottom w:val="nil"/>
              <w:right w:val="nil"/>
            </w:tcBorders>
            <w:shd w:val="clear" w:color="000000" w:fill="BFBFBF"/>
            <w:noWrap/>
            <w:textDirection w:val="lrTb"/>
            <w:vAlign w:val="center"/>
            <w:hideMark/>
          </w:tcPr>
          <w:p w:rsidR="0027279E" w:rsidRPr="00CE0B64" w:rsidP="00502F15">
            <w:pPr>
              <w:bidi w:val="0"/>
              <w:jc w:val="right"/>
              <w:rPr>
                <w:rFonts w:ascii="Times New Roman" w:hAnsi="Times New Roman"/>
                <w:color w:val="000000"/>
                <w:sz w:val="18"/>
                <w:szCs w:val="18"/>
              </w:rPr>
            </w:pPr>
            <w:r w:rsidRPr="00CE0B64">
              <w:rPr>
                <w:rFonts w:ascii="Times New Roman" w:hAnsi="Times New Roman"/>
                <w:color w:val="000000"/>
                <w:sz w:val="18"/>
                <w:szCs w:val="18"/>
              </w:rPr>
              <w:t>52 573</w:t>
            </w:r>
          </w:p>
        </w:tc>
        <w:tc>
          <w:tcPr>
            <w:tcW w:w="992" w:type="dxa"/>
            <w:tcBorders>
              <w:top w:val="nil"/>
              <w:left w:val="nil"/>
              <w:bottom w:val="nil"/>
              <w:right w:val="nil"/>
            </w:tcBorders>
            <w:shd w:val="clear" w:color="000000" w:fill="BFBFBF"/>
            <w:noWrap/>
            <w:textDirection w:val="lrTb"/>
            <w:vAlign w:val="center"/>
            <w:hideMark/>
          </w:tcPr>
          <w:p w:rsidR="0027279E" w:rsidRPr="00CE0B64" w:rsidP="00502F15">
            <w:pPr>
              <w:bidi w:val="0"/>
              <w:jc w:val="right"/>
              <w:rPr>
                <w:rFonts w:ascii="Times New Roman" w:hAnsi="Times New Roman"/>
                <w:color w:val="000000"/>
                <w:sz w:val="18"/>
                <w:szCs w:val="18"/>
              </w:rPr>
            </w:pPr>
            <w:r w:rsidRPr="00CE0B64">
              <w:rPr>
                <w:rFonts w:ascii="Times New Roman" w:hAnsi="Times New Roman"/>
                <w:color w:val="000000"/>
                <w:sz w:val="18"/>
                <w:szCs w:val="18"/>
              </w:rPr>
              <w:t>52 573</w:t>
            </w:r>
          </w:p>
        </w:tc>
        <w:tc>
          <w:tcPr>
            <w:tcW w:w="851"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-1 045</w:t>
            </w:r>
          </w:p>
        </w:tc>
        <w:tc>
          <w:tcPr>
            <w:tcW w:w="709" w:type="dxa"/>
            <w:tcBorders>
              <w:top w:val="nil"/>
              <w:left w:val="nil"/>
              <w:bottom w:val="nil"/>
              <w:right w:val="nil"/>
            </w:tcBorders>
            <w:shd w:val="clear" w:color="000000" w:fill="FFFFFF"/>
            <w:textDirection w:val="lrTb"/>
            <w:vAlign w:val="center"/>
            <w:hideMark/>
          </w:tcPr>
          <w:p w:rsidR="0027279E" w:rsidRPr="00CE0B64" w:rsidP="0027279E">
            <w:pPr>
              <w:bidi w:val="0"/>
              <w:jc w:val="right"/>
              <w:rPr>
                <w:rFonts w:ascii="Times New Roman" w:hAnsi="Times New Roman"/>
                <w:color w:val="000000"/>
                <w:sz w:val="18"/>
                <w:szCs w:val="18"/>
              </w:rPr>
            </w:pPr>
            <w:r w:rsidRPr="00CE0B64">
              <w:rPr>
                <w:rFonts w:ascii="Times New Roman" w:hAnsi="Times New Roman"/>
                <w:color w:val="000000"/>
                <w:sz w:val="18"/>
                <w:szCs w:val="18"/>
              </w:rPr>
              <w:t>-1,9</w:t>
            </w:r>
          </w:p>
        </w:tc>
      </w:tr>
      <w:tr>
        <w:tblPrEx>
          <w:tblW w:w="8946" w:type="dxa"/>
          <w:tblInd w:w="55" w:type="dxa"/>
          <w:tblLayout w:type="fixed"/>
          <w:tblCellMar>
            <w:left w:w="70" w:type="dxa"/>
            <w:right w:w="70" w:type="dxa"/>
          </w:tblCellMar>
          <w:tblLook w:val="04A0"/>
        </w:tblPrEx>
        <w:trPr>
          <w:trHeight w:val="345"/>
        </w:trPr>
        <w:tc>
          <w:tcPr>
            <w:tcW w:w="2283" w:type="dxa"/>
            <w:tcBorders>
              <w:top w:val="single" w:sz="4" w:space="0" w:color="auto"/>
              <w:left w:val="nil"/>
              <w:bottom w:val="single" w:sz="8" w:space="0" w:color="auto"/>
              <w:right w:val="nil"/>
            </w:tcBorders>
            <w:shd w:val="clear" w:color="000000" w:fill="FFFFFF"/>
            <w:noWrap/>
            <w:textDirection w:val="lrTb"/>
            <w:vAlign w:val="center"/>
            <w:hideMark/>
          </w:tcPr>
          <w:p w:rsidR="0027279E" w:rsidRPr="00CE0B64" w:rsidP="0027279E">
            <w:pPr>
              <w:bidi w:val="0"/>
              <w:rPr>
                <w:rFonts w:ascii="Times New Roman" w:hAnsi="Times New Roman"/>
                <w:b/>
                <w:bCs/>
                <w:color w:val="000000"/>
                <w:sz w:val="18"/>
                <w:szCs w:val="18"/>
              </w:rPr>
            </w:pPr>
            <w:r w:rsidRPr="00CE0B64">
              <w:rPr>
                <w:rFonts w:ascii="Times New Roman" w:hAnsi="Times New Roman"/>
                <w:b/>
                <w:bCs/>
                <w:color w:val="000000"/>
                <w:sz w:val="18"/>
                <w:szCs w:val="18"/>
              </w:rPr>
              <w:t>Spolu</w:t>
            </w:r>
          </w:p>
        </w:tc>
        <w:tc>
          <w:tcPr>
            <w:tcW w:w="1134" w:type="dxa"/>
            <w:tcBorders>
              <w:top w:val="single" w:sz="4" w:space="0" w:color="auto"/>
              <w:left w:val="nil"/>
              <w:bottom w:val="single" w:sz="8" w:space="0" w:color="auto"/>
              <w:right w:val="nil"/>
            </w:tcBorders>
            <w:shd w:val="clear" w:color="000000" w:fill="FFFFFF"/>
            <w:noWrap/>
            <w:textDirection w:val="lrTb"/>
            <w:vAlign w:val="center"/>
            <w:hideMark/>
          </w:tcPr>
          <w:p w:rsidR="0027279E" w:rsidRPr="00CE0B64" w:rsidP="0027279E">
            <w:pPr>
              <w:bidi w:val="0"/>
              <w:jc w:val="right"/>
              <w:rPr>
                <w:rFonts w:ascii="Times New Roman" w:hAnsi="Times New Roman"/>
                <w:b/>
                <w:bCs/>
                <w:color w:val="000000"/>
                <w:sz w:val="18"/>
                <w:szCs w:val="18"/>
              </w:rPr>
            </w:pPr>
            <w:r w:rsidRPr="00CE0B64">
              <w:rPr>
                <w:rFonts w:ascii="Times New Roman" w:hAnsi="Times New Roman"/>
                <w:b/>
                <w:bCs/>
                <w:color w:val="000000"/>
                <w:sz w:val="18"/>
                <w:szCs w:val="18"/>
              </w:rPr>
              <w:t>1 125 684</w:t>
            </w:r>
          </w:p>
        </w:tc>
        <w:tc>
          <w:tcPr>
            <w:tcW w:w="993" w:type="dxa"/>
            <w:tcBorders>
              <w:top w:val="single" w:sz="4" w:space="0" w:color="auto"/>
              <w:left w:val="nil"/>
              <w:bottom w:val="single" w:sz="8" w:space="0" w:color="auto"/>
              <w:right w:val="nil"/>
            </w:tcBorders>
            <w:shd w:val="clear" w:color="000000" w:fill="FFFFFF"/>
            <w:noWrap/>
            <w:textDirection w:val="lrTb"/>
            <w:vAlign w:val="center"/>
            <w:hideMark/>
          </w:tcPr>
          <w:p w:rsidR="0027279E" w:rsidRPr="00CE0B64" w:rsidP="0027279E">
            <w:pPr>
              <w:bidi w:val="0"/>
              <w:jc w:val="right"/>
              <w:rPr>
                <w:rFonts w:ascii="Times New Roman" w:hAnsi="Times New Roman"/>
                <w:b/>
                <w:bCs/>
                <w:color w:val="000000"/>
                <w:sz w:val="18"/>
                <w:szCs w:val="18"/>
              </w:rPr>
            </w:pPr>
            <w:r w:rsidRPr="00CE0B64">
              <w:rPr>
                <w:rFonts w:ascii="Times New Roman" w:hAnsi="Times New Roman"/>
                <w:b/>
                <w:bCs/>
                <w:color w:val="000000"/>
                <w:sz w:val="18"/>
                <w:szCs w:val="18"/>
              </w:rPr>
              <w:t>1 055 743</w:t>
            </w:r>
          </w:p>
        </w:tc>
        <w:tc>
          <w:tcPr>
            <w:tcW w:w="992" w:type="dxa"/>
            <w:tcBorders>
              <w:top w:val="single" w:sz="4" w:space="0" w:color="auto"/>
              <w:left w:val="nil"/>
              <w:bottom w:val="single" w:sz="8" w:space="0" w:color="auto"/>
              <w:right w:val="nil"/>
            </w:tcBorders>
            <w:shd w:val="clear" w:color="000000" w:fill="FFFFFF"/>
            <w:noWrap/>
            <w:textDirection w:val="lrTb"/>
            <w:vAlign w:val="center"/>
            <w:hideMark/>
          </w:tcPr>
          <w:p w:rsidR="0027279E" w:rsidRPr="00CE0B64" w:rsidP="0027279E">
            <w:pPr>
              <w:bidi w:val="0"/>
              <w:jc w:val="right"/>
              <w:rPr>
                <w:rFonts w:ascii="Times New Roman" w:hAnsi="Times New Roman"/>
                <w:b/>
                <w:bCs/>
                <w:color w:val="000000"/>
                <w:sz w:val="18"/>
                <w:szCs w:val="18"/>
              </w:rPr>
            </w:pPr>
            <w:r w:rsidRPr="00CE0B64">
              <w:rPr>
                <w:rFonts w:ascii="Times New Roman" w:hAnsi="Times New Roman"/>
                <w:b/>
                <w:bCs/>
                <w:color w:val="000000"/>
                <w:sz w:val="18"/>
                <w:szCs w:val="18"/>
              </w:rPr>
              <w:t>1 124 462</w:t>
            </w:r>
          </w:p>
        </w:tc>
        <w:tc>
          <w:tcPr>
            <w:tcW w:w="992" w:type="dxa"/>
            <w:tcBorders>
              <w:top w:val="single" w:sz="4" w:space="0" w:color="auto"/>
              <w:left w:val="nil"/>
              <w:bottom w:val="single" w:sz="8" w:space="0" w:color="auto"/>
              <w:right w:val="nil"/>
            </w:tcBorders>
            <w:shd w:val="clear" w:color="000000" w:fill="BFBFBF"/>
            <w:noWrap/>
            <w:textDirection w:val="lrTb"/>
            <w:vAlign w:val="center"/>
            <w:hideMark/>
          </w:tcPr>
          <w:p w:rsidR="0027279E" w:rsidRPr="00CE0B64" w:rsidP="0027279E">
            <w:pPr>
              <w:bidi w:val="0"/>
              <w:jc w:val="right"/>
              <w:rPr>
                <w:rFonts w:ascii="Times New Roman" w:hAnsi="Times New Roman"/>
                <w:b/>
                <w:bCs/>
                <w:color w:val="000000"/>
                <w:sz w:val="18"/>
                <w:szCs w:val="18"/>
              </w:rPr>
            </w:pPr>
            <w:r w:rsidRPr="00CE0B64">
              <w:rPr>
                <w:rFonts w:ascii="Times New Roman" w:hAnsi="Times New Roman"/>
                <w:b/>
                <w:bCs/>
                <w:color w:val="000000"/>
                <w:sz w:val="18"/>
                <w:szCs w:val="18"/>
              </w:rPr>
              <w:t>1 311 577</w:t>
            </w:r>
          </w:p>
        </w:tc>
        <w:tc>
          <w:tcPr>
            <w:tcW w:w="992" w:type="dxa"/>
            <w:tcBorders>
              <w:top w:val="single" w:sz="4" w:space="0" w:color="auto"/>
              <w:left w:val="nil"/>
              <w:bottom w:val="single" w:sz="8" w:space="0" w:color="auto"/>
              <w:right w:val="nil"/>
            </w:tcBorders>
            <w:shd w:val="clear" w:color="000000" w:fill="BFBFBF"/>
            <w:noWrap/>
            <w:textDirection w:val="lrTb"/>
            <w:vAlign w:val="center"/>
            <w:hideMark/>
          </w:tcPr>
          <w:p w:rsidR="0027279E" w:rsidRPr="00CE0B64" w:rsidP="0027279E">
            <w:pPr>
              <w:bidi w:val="0"/>
              <w:jc w:val="right"/>
              <w:rPr>
                <w:rFonts w:ascii="Times New Roman" w:hAnsi="Times New Roman"/>
                <w:b/>
                <w:bCs/>
                <w:color w:val="000000"/>
                <w:sz w:val="18"/>
                <w:szCs w:val="18"/>
              </w:rPr>
            </w:pPr>
            <w:r w:rsidRPr="00CE0B64">
              <w:rPr>
                <w:rFonts w:ascii="Times New Roman" w:hAnsi="Times New Roman"/>
                <w:b/>
                <w:bCs/>
                <w:color w:val="000000"/>
                <w:sz w:val="18"/>
                <w:szCs w:val="18"/>
              </w:rPr>
              <w:t>891 978</w:t>
            </w:r>
          </w:p>
        </w:tc>
        <w:tc>
          <w:tcPr>
            <w:tcW w:w="851" w:type="dxa"/>
            <w:tcBorders>
              <w:top w:val="single" w:sz="4" w:space="0" w:color="auto"/>
              <w:left w:val="nil"/>
              <w:bottom w:val="single" w:sz="8" w:space="0" w:color="auto"/>
              <w:right w:val="nil"/>
            </w:tcBorders>
            <w:shd w:val="clear" w:color="000000" w:fill="FFFFFF"/>
            <w:noWrap/>
            <w:textDirection w:val="lrTb"/>
            <w:vAlign w:val="center"/>
            <w:hideMark/>
          </w:tcPr>
          <w:p w:rsidR="0027279E" w:rsidRPr="00CE0B64" w:rsidP="0027279E">
            <w:pPr>
              <w:bidi w:val="0"/>
              <w:jc w:val="right"/>
              <w:rPr>
                <w:rFonts w:ascii="Times New Roman" w:hAnsi="Times New Roman"/>
                <w:b/>
                <w:bCs/>
                <w:color w:val="000000"/>
                <w:sz w:val="18"/>
                <w:szCs w:val="18"/>
              </w:rPr>
            </w:pPr>
            <w:r w:rsidRPr="00CE0B64">
              <w:rPr>
                <w:rFonts w:ascii="Times New Roman" w:hAnsi="Times New Roman"/>
                <w:b/>
                <w:bCs/>
                <w:color w:val="000000"/>
                <w:sz w:val="18"/>
                <w:szCs w:val="18"/>
              </w:rPr>
              <w:t>187 115</w:t>
            </w:r>
          </w:p>
        </w:tc>
        <w:tc>
          <w:tcPr>
            <w:tcW w:w="709" w:type="dxa"/>
            <w:tcBorders>
              <w:top w:val="single" w:sz="4" w:space="0" w:color="auto"/>
              <w:left w:val="nil"/>
              <w:bottom w:val="single" w:sz="8" w:space="0" w:color="auto"/>
              <w:right w:val="nil"/>
            </w:tcBorders>
            <w:shd w:val="clear" w:color="000000" w:fill="FFFFFF"/>
            <w:noWrap/>
            <w:textDirection w:val="lrTb"/>
            <w:vAlign w:val="center"/>
            <w:hideMark/>
          </w:tcPr>
          <w:p w:rsidR="0027279E" w:rsidRPr="00CE0B64" w:rsidP="0027279E">
            <w:pPr>
              <w:bidi w:val="0"/>
              <w:jc w:val="right"/>
              <w:rPr>
                <w:rFonts w:ascii="Times New Roman" w:hAnsi="Times New Roman"/>
                <w:b/>
                <w:bCs/>
                <w:color w:val="000000"/>
                <w:sz w:val="18"/>
                <w:szCs w:val="18"/>
              </w:rPr>
            </w:pPr>
            <w:r w:rsidRPr="00CE0B64">
              <w:rPr>
                <w:rFonts w:ascii="Times New Roman" w:hAnsi="Times New Roman"/>
                <w:b/>
                <w:bCs/>
                <w:color w:val="000000"/>
                <w:sz w:val="18"/>
                <w:szCs w:val="18"/>
              </w:rPr>
              <w:t>16,6</w:t>
            </w:r>
          </w:p>
        </w:tc>
      </w:tr>
    </w:tbl>
    <w:p w:rsidR="0027279E" w:rsidRPr="0027279E" w:rsidP="00CE0B64">
      <w:pPr>
        <w:suppressAutoHyphens/>
        <w:bidi w:val="0"/>
        <w:spacing w:after="120" w:line="336" w:lineRule="auto"/>
        <w:jc w:val="both"/>
        <w:rPr>
          <w:rFonts w:ascii="Times New Roman" w:hAnsi="Times New Roman"/>
          <w:color w:val="000000"/>
          <w:sz w:val="18"/>
          <w:szCs w:val="18"/>
        </w:rPr>
      </w:pPr>
      <w:r w:rsidRPr="0027279E">
        <w:rPr>
          <w:rFonts w:ascii="Times New Roman" w:hAnsi="Times New Roman"/>
          <w:color w:val="000000"/>
          <w:sz w:val="18"/>
          <w:szCs w:val="18"/>
        </w:rPr>
        <w:t>Poznámka: * len</w:t>
      </w:r>
      <w:r w:rsidR="00CE0B64">
        <w:rPr>
          <w:rFonts w:ascii="Times New Roman" w:hAnsi="Times New Roman"/>
          <w:color w:val="000000"/>
          <w:sz w:val="18"/>
          <w:szCs w:val="18"/>
        </w:rPr>
        <w:t xml:space="preserve"> prostriedky štátneho rozpočtu</w:t>
        <w:tab/>
        <w:tab/>
        <w:tab/>
        <w:tab/>
        <w:tab/>
        <w:tab/>
        <w:t xml:space="preserve">               Zdroj: MF </w:t>
      </w:r>
      <w:r w:rsidRPr="0027279E">
        <w:rPr>
          <w:rFonts w:ascii="Times New Roman" w:hAnsi="Times New Roman"/>
          <w:color w:val="000000"/>
          <w:sz w:val="18"/>
          <w:szCs w:val="18"/>
        </w:rPr>
        <w:t>SR</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Do rozpočtov obcí boli poskytnuté granty a transfery z jednotlivých rozpočtových kapitol v nasledovnom členení:</w:t>
      </w:r>
    </w:p>
    <w:tbl>
      <w:tblPr>
        <w:tblStyle w:val="TableNormal"/>
        <w:tblW w:w="0" w:type="auto"/>
        <w:tblInd w:w="55" w:type="dxa"/>
        <w:tblCellMar>
          <w:left w:w="70" w:type="dxa"/>
          <w:right w:w="70" w:type="dxa"/>
        </w:tblCellMar>
        <w:tblLook w:val="04A0"/>
      </w:tblPr>
      <w:tblGrid>
        <w:gridCol w:w="2997"/>
        <w:gridCol w:w="860"/>
        <w:gridCol w:w="860"/>
        <w:gridCol w:w="860"/>
        <w:gridCol w:w="860"/>
        <w:gridCol w:w="1028"/>
        <w:gridCol w:w="774"/>
        <w:gridCol w:w="634"/>
      </w:tblGrid>
      <w:tr>
        <w:tblPrEx>
          <w:tblW w:w="0" w:type="auto"/>
          <w:tblInd w:w="55" w:type="dxa"/>
          <w:tblCellMar>
            <w:left w:w="70" w:type="dxa"/>
            <w:right w:w="70" w:type="dxa"/>
          </w:tblCellMar>
          <w:tblLook w:val="04A0"/>
        </w:tblPrEx>
        <w:trPr>
          <w:trHeight w:val="330"/>
        </w:trPr>
        <w:tc>
          <w:tcPr>
            <w:tcW w:w="0" w:type="auto"/>
            <w:gridSpan w:val="8"/>
            <w:tcBorders>
              <w:top w:val="nil"/>
              <w:left w:val="single" w:sz="8" w:space="0" w:color="auto"/>
              <w:bottom w:val="nil"/>
              <w:right w:val="nil"/>
            </w:tcBorders>
            <w:shd w:val="clear" w:color="000000" w:fill="000000"/>
            <w:textDirection w:val="lrTb"/>
            <w:vAlign w:val="center"/>
            <w:hideMark/>
          </w:tcPr>
          <w:p w:rsidR="00CF6C2F" w:rsidRPr="00BF273A" w:rsidP="00DF5CB2">
            <w:pPr>
              <w:bidi w:val="0"/>
              <w:rPr>
                <w:rFonts w:ascii="Times New Roman" w:hAnsi="Times New Roman"/>
                <w:b/>
                <w:bCs/>
                <w:color w:val="FFFFFF"/>
                <w:sz w:val="18"/>
                <w:szCs w:val="18"/>
              </w:rPr>
            </w:pPr>
            <w:bookmarkStart w:id="34" w:name="RANGE!B5:I22"/>
            <w:r w:rsidRPr="00BF273A">
              <w:rPr>
                <w:rFonts w:ascii="Times New Roman" w:hAnsi="Times New Roman"/>
                <w:b/>
                <w:bCs/>
                <w:color w:val="FFFFFF"/>
                <w:sz w:val="18"/>
                <w:szCs w:val="18"/>
              </w:rPr>
              <w:t>Granty a transfery poskytnuté obciam podľa kapitol ŠR</w:t>
            </w:r>
            <w:bookmarkEnd w:id="34"/>
            <w:r>
              <w:rPr>
                <w:rFonts w:ascii="Times New Roman" w:hAnsi="Times New Roman"/>
                <w:b/>
                <w:bCs/>
                <w:color w:val="FFFFFF"/>
                <w:sz w:val="18"/>
                <w:szCs w:val="18"/>
              </w:rPr>
              <w:t xml:space="preserve">                                                                                   </w:t>
            </w:r>
            <w:r w:rsidRPr="00BF273A">
              <w:rPr>
                <w:rFonts w:ascii="Times New Roman" w:hAnsi="Times New Roman"/>
                <w:b/>
                <w:bCs/>
                <w:color w:val="FFFFFF"/>
                <w:sz w:val="18"/>
                <w:szCs w:val="18"/>
              </w:rPr>
              <w:t>v tis.</w:t>
            </w:r>
            <w:r>
              <w:rPr>
                <w:rFonts w:ascii="Times New Roman" w:hAnsi="Times New Roman"/>
                <w:b/>
                <w:bCs/>
                <w:color w:val="FFFFFF"/>
                <w:sz w:val="18"/>
                <w:szCs w:val="18"/>
              </w:rPr>
              <w:t xml:space="preserve"> </w:t>
            </w:r>
            <w:r w:rsidRPr="00BF273A">
              <w:rPr>
                <w:rFonts w:ascii="Times New Roman" w:hAnsi="Times New Roman"/>
                <w:b/>
                <w:bCs/>
                <w:color w:val="FFFFFF"/>
                <w:sz w:val="18"/>
                <w:szCs w:val="18"/>
              </w:rPr>
              <w:t>eur</w:t>
            </w:r>
          </w:p>
        </w:tc>
      </w:tr>
      <w:tr>
        <w:tblPrEx>
          <w:tblW w:w="0" w:type="auto"/>
          <w:tblInd w:w="55" w:type="dxa"/>
          <w:tblCellMar>
            <w:left w:w="70" w:type="dxa"/>
            <w:right w:w="70" w:type="dxa"/>
          </w:tblCellMar>
          <w:tblLook w:val="04A0"/>
        </w:tblPrEx>
        <w:trPr>
          <w:trHeight w:val="510"/>
        </w:trPr>
        <w:tc>
          <w:tcPr>
            <w:tcW w:w="0" w:type="auto"/>
            <w:tcBorders>
              <w:top w:val="nil"/>
              <w:left w:val="nil"/>
              <w:bottom w:val="nil"/>
              <w:right w:val="nil"/>
            </w:tcBorders>
            <w:shd w:val="clear" w:color="000000" w:fill="BFBFBF"/>
            <w:textDirection w:val="lrTb"/>
            <w:vAlign w:val="center"/>
            <w:hideMark/>
          </w:tcPr>
          <w:p w:rsidR="00BF273A" w:rsidRPr="00BF273A" w:rsidP="00BF273A">
            <w:pPr>
              <w:bidi w:val="0"/>
              <w:rPr>
                <w:rFonts w:ascii="Times New Roman" w:hAnsi="Times New Roman"/>
                <w:b/>
                <w:bCs/>
                <w:color w:val="FFFFFF"/>
                <w:sz w:val="18"/>
                <w:szCs w:val="18"/>
              </w:rPr>
            </w:pPr>
            <w:r w:rsidRPr="00BF273A">
              <w:rPr>
                <w:rFonts w:ascii="Times New Roman" w:hAnsi="Times New Roman"/>
                <w:b/>
                <w:bCs/>
                <w:color w:val="FFFFFF"/>
                <w:sz w:val="18"/>
                <w:szCs w:val="18"/>
              </w:rPr>
              <w:t> </w:t>
            </w:r>
          </w:p>
        </w:tc>
        <w:tc>
          <w:tcPr>
            <w:tcW w:w="0" w:type="auto"/>
            <w:gridSpan w:val="2"/>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Rozpočet</w:t>
            </w:r>
          </w:p>
        </w:tc>
        <w:tc>
          <w:tcPr>
            <w:tcW w:w="0" w:type="auto"/>
            <w:gridSpan w:val="2"/>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Skutočnosť</w:t>
            </w:r>
          </w:p>
        </w:tc>
        <w:tc>
          <w:tcPr>
            <w:tcW w:w="0" w:type="auto"/>
            <w:gridSpan w:val="2"/>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Rozdiel</w:t>
            </w:r>
          </w:p>
        </w:tc>
      </w:tr>
      <w:tr>
        <w:tblPrEx>
          <w:tblW w:w="0" w:type="auto"/>
          <w:tblInd w:w="55" w:type="dxa"/>
          <w:tblCellMar>
            <w:left w:w="70" w:type="dxa"/>
            <w:right w:w="70" w:type="dxa"/>
          </w:tblCellMar>
          <w:tblLook w:val="04A0"/>
        </w:tblPrEx>
        <w:trPr>
          <w:trHeight w:val="510"/>
        </w:trPr>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sz w:val="18"/>
                <w:szCs w:val="18"/>
              </w:rPr>
            </w:pPr>
            <w:r w:rsidRPr="00BF273A">
              <w:rPr>
                <w:rFonts w:ascii="Times New Roman" w:hAnsi="Times New Roman"/>
                <w:b/>
                <w:bCs/>
                <w:sz w:val="18"/>
                <w:szCs w:val="18"/>
              </w:rPr>
              <w:t> </w:t>
            </w:r>
          </w:p>
        </w:tc>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2013</w:t>
            </w:r>
          </w:p>
        </w:tc>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z toho: zdroj 111</w:t>
            </w:r>
            <w:r w:rsidRPr="00BF273A">
              <w:rPr>
                <w:rFonts w:ascii="Arial Narrow" w:hAnsi="Arial Narrow"/>
                <w:b/>
                <w:bCs/>
                <w:color w:val="000000"/>
                <w:sz w:val="18"/>
                <w:szCs w:val="18"/>
              </w:rPr>
              <w:t>*</w:t>
            </w:r>
          </w:p>
        </w:tc>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 xml:space="preserve"> v tis. eur</w:t>
            </w:r>
          </w:p>
        </w:tc>
        <w:tc>
          <w:tcPr>
            <w:tcW w:w="0" w:type="auto"/>
            <w:tcBorders>
              <w:top w:val="nil"/>
              <w:left w:val="nil"/>
              <w:bottom w:val="nil"/>
              <w:right w:val="nil"/>
            </w:tcBorders>
            <w:shd w:val="clear" w:color="000000" w:fill="BFBFBF"/>
            <w:textDirection w:val="lrTb"/>
            <w:vAlign w:val="center"/>
            <w:hideMark/>
          </w:tcPr>
          <w:p w:rsidR="00BF273A" w:rsidRPr="00BF273A" w:rsidP="00BF273A">
            <w:pPr>
              <w:bidi w:val="0"/>
              <w:jc w:val="center"/>
              <w:rPr>
                <w:rFonts w:ascii="Times New Roman" w:hAnsi="Times New Roman"/>
                <w:b/>
                <w:bCs/>
                <w:color w:val="000000"/>
                <w:sz w:val="18"/>
                <w:szCs w:val="18"/>
              </w:rPr>
            </w:pPr>
            <w:r w:rsidRPr="00BF273A">
              <w:rPr>
                <w:rFonts w:ascii="Times New Roman" w:hAnsi="Times New Roman"/>
                <w:b/>
                <w:bCs/>
                <w:color w:val="000000"/>
                <w:sz w:val="18"/>
                <w:szCs w:val="18"/>
              </w:rPr>
              <w:t>v %</w:t>
            </w:r>
          </w:p>
        </w:tc>
      </w:tr>
      <w:tr>
        <w:tblPrEx>
          <w:tblW w:w="0" w:type="auto"/>
          <w:tblInd w:w="55" w:type="dxa"/>
          <w:tblCellMar>
            <w:left w:w="70" w:type="dxa"/>
            <w:right w:w="70" w:type="dxa"/>
          </w:tblCellMar>
          <w:tblLook w:val="04A0"/>
        </w:tblPrEx>
        <w:trPr>
          <w:trHeight w:val="345"/>
        </w:trPr>
        <w:tc>
          <w:tcPr>
            <w:tcW w:w="0" w:type="auto"/>
            <w:tcBorders>
              <w:top w:val="nil"/>
              <w:left w:val="nil"/>
              <w:bottom w:val="single" w:sz="8" w:space="0" w:color="auto"/>
              <w:right w:val="nil"/>
            </w:tcBorders>
            <w:shd w:val="clear" w:color="000000" w:fill="BFBFBF"/>
            <w:textDirection w:val="lrTb"/>
            <w:vAlign w:val="center"/>
            <w:hideMark/>
          </w:tcPr>
          <w:p w:rsidR="00BF273A" w:rsidRPr="00BF273A" w:rsidP="00BF273A">
            <w:pPr>
              <w:bidi w:val="0"/>
              <w:rPr>
                <w:rFonts w:ascii="Times New Roman" w:hAnsi="Times New Roman"/>
                <w:b/>
                <w:bCs/>
                <w:color w:val="FFFFFF"/>
                <w:sz w:val="18"/>
                <w:szCs w:val="18"/>
              </w:rPr>
            </w:pPr>
            <w:r w:rsidRPr="00BF273A">
              <w:rPr>
                <w:rFonts w:ascii="Times New Roman" w:hAnsi="Times New Roman"/>
                <w:b/>
                <w:bCs/>
                <w:color w:val="FFFFFF"/>
                <w:sz w:val="18"/>
                <w:szCs w:val="18"/>
              </w:rPr>
              <w:t> </w:t>
            </w:r>
          </w:p>
        </w:tc>
        <w:tc>
          <w:tcPr>
            <w:tcW w:w="0" w:type="auto"/>
            <w:tcBorders>
              <w:top w:val="nil"/>
              <w:left w:val="nil"/>
              <w:bottom w:val="single" w:sz="8" w:space="0" w:color="auto"/>
              <w:right w:val="nil"/>
            </w:tcBorders>
            <w:shd w:val="clear" w:color="000000" w:fill="BFBFBF"/>
            <w:textDirection w:val="lrTb"/>
            <w:vAlign w:val="center"/>
            <w:hideMark/>
          </w:tcPr>
          <w:p w:rsidR="00BF273A" w:rsidRPr="00BF273A" w:rsidP="00BF273A">
            <w:pPr>
              <w:bidi w:val="0"/>
              <w:jc w:val="center"/>
              <w:rPr>
                <w:rFonts w:ascii="Times New Roman" w:hAnsi="Times New Roman"/>
                <w:b/>
                <w:bCs/>
                <w:sz w:val="18"/>
                <w:szCs w:val="18"/>
              </w:rPr>
            </w:pPr>
            <w:r w:rsidRPr="00BF273A">
              <w:rPr>
                <w:rFonts w:ascii="Times New Roman" w:hAnsi="Times New Roman"/>
                <w:b/>
                <w:bCs/>
                <w:sz w:val="18"/>
                <w:szCs w:val="18"/>
              </w:rPr>
              <w:t>1</w:t>
            </w:r>
          </w:p>
        </w:tc>
        <w:tc>
          <w:tcPr>
            <w:tcW w:w="0" w:type="auto"/>
            <w:tcBorders>
              <w:top w:val="nil"/>
              <w:left w:val="nil"/>
              <w:bottom w:val="single" w:sz="8" w:space="0" w:color="auto"/>
              <w:right w:val="nil"/>
            </w:tcBorders>
            <w:shd w:val="clear" w:color="000000" w:fill="BFBFBF"/>
            <w:textDirection w:val="lrTb"/>
            <w:vAlign w:val="center"/>
            <w:hideMark/>
          </w:tcPr>
          <w:p w:rsidR="00BF273A" w:rsidRPr="00BF273A" w:rsidP="00BF273A">
            <w:pPr>
              <w:bidi w:val="0"/>
              <w:jc w:val="center"/>
              <w:rPr>
                <w:rFonts w:ascii="Times New Roman" w:hAnsi="Times New Roman"/>
                <w:b/>
                <w:bCs/>
                <w:sz w:val="18"/>
                <w:szCs w:val="18"/>
              </w:rPr>
            </w:pPr>
            <w:r w:rsidRPr="00BF273A">
              <w:rPr>
                <w:rFonts w:ascii="Times New Roman" w:hAnsi="Times New Roman"/>
                <w:b/>
                <w:bCs/>
                <w:sz w:val="18"/>
                <w:szCs w:val="18"/>
              </w:rPr>
              <w:t>2</w:t>
            </w:r>
          </w:p>
        </w:tc>
        <w:tc>
          <w:tcPr>
            <w:tcW w:w="0" w:type="auto"/>
            <w:tcBorders>
              <w:top w:val="nil"/>
              <w:left w:val="nil"/>
              <w:bottom w:val="single" w:sz="8" w:space="0" w:color="auto"/>
              <w:right w:val="nil"/>
            </w:tcBorders>
            <w:shd w:val="clear" w:color="000000" w:fill="BFBFBF"/>
            <w:textDirection w:val="lrTb"/>
            <w:vAlign w:val="center"/>
            <w:hideMark/>
          </w:tcPr>
          <w:p w:rsidR="00BF273A" w:rsidRPr="00BF273A" w:rsidP="00BF273A">
            <w:pPr>
              <w:bidi w:val="0"/>
              <w:jc w:val="center"/>
              <w:rPr>
                <w:rFonts w:ascii="Times New Roman" w:hAnsi="Times New Roman"/>
                <w:b/>
                <w:bCs/>
                <w:sz w:val="18"/>
                <w:szCs w:val="18"/>
              </w:rPr>
            </w:pPr>
            <w:r w:rsidRPr="00BF273A">
              <w:rPr>
                <w:rFonts w:ascii="Times New Roman" w:hAnsi="Times New Roman"/>
                <w:b/>
                <w:bCs/>
                <w:sz w:val="18"/>
                <w:szCs w:val="18"/>
              </w:rPr>
              <w:t>3</w:t>
            </w:r>
          </w:p>
        </w:tc>
        <w:tc>
          <w:tcPr>
            <w:tcW w:w="0" w:type="auto"/>
            <w:tcBorders>
              <w:top w:val="nil"/>
              <w:left w:val="nil"/>
              <w:bottom w:val="single" w:sz="8" w:space="0" w:color="auto"/>
              <w:right w:val="nil"/>
            </w:tcBorders>
            <w:shd w:val="clear" w:color="000000" w:fill="BFBFBF"/>
            <w:textDirection w:val="lrTb"/>
            <w:vAlign w:val="center"/>
            <w:hideMark/>
          </w:tcPr>
          <w:p w:rsidR="00BF273A" w:rsidRPr="00BF273A" w:rsidP="00BF273A">
            <w:pPr>
              <w:bidi w:val="0"/>
              <w:jc w:val="center"/>
              <w:rPr>
                <w:rFonts w:ascii="Times New Roman" w:hAnsi="Times New Roman"/>
                <w:b/>
                <w:bCs/>
                <w:sz w:val="18"/>
                <w:szCs w:val="18"/>
              </w:rPr>
            </w:pPr>
            <w:r w:rsidRPr="00BF273A">
              <w:rPr>
                <w:rFonts w:ascii="Times New Roman" w:hAnsi="Times New Roman"/>
                <w:b/>
                <w:bCs/>
                <w:sz w:val="18"/>
                <w:szCs w:val="18"/>
              </w:rPr>
              <w:t>4</w:t>
            </w:r>
          </w:p>
        </w:tc>
        <w:tc>
          <w:tcPr>
            <w:tcW w:w="0" w:type="auto"/>
            <w:tcBorders>
              <w:top w:val="nil"/>
              <w:left w:val="nil"/>
              <w:bottom w:val="single" w:sz="8" w:space="0" w:color="auto"/>
              <w:right w:val="nil"/>
            </w:tcBorders>
            <w:shd w:val="clear" w:color="000000" w:fill="BFBFBF"/>
            <w:textDirection w:val="lrTb"/>
            <w:vAlign w:val="center"/>
            <w:hideMark/>
          </w:tcPr>
          <w:p w:rsidR="00BF273A" w:rsidRPr="00BF273A" w:rsidP="00BF273A">
            <w:pPr>
              <w:bidi w:val="0"/>
              <w:jc w:val="center"/>
              <w:rPr>
                <w:rFonts w:ascii="Times New Roman" w:hAnsi="Times New Roman"/>
                <w:b/>
                <w:bCs/>
                <w:sz w:val="18"/>
                <w:szCs w:val="18"/>
              </w:rPr>
            </w:pPr>
            <w:r w:rsidRPr="00BF273A">
              <w:rPr>
                <w:rFonts w:ascii="Times New Roman" w:hAnsi="Times New Roman"/>
                <w:b/>
                <w:bCs/>
                <w:sz w:val="18"/>
                <w:szCs w:val="18"/>
              </w:rPr>
              <w:t>5</w:t>
            </w:r>
          </w:p>
        </w:tc>
        <w:tc>
          <w:tcPr>
            <w:tcW w:w="0" w:type="auto"/>
            <w:tcBorders>
              <w:top w:val="nil"/>
              <w:left w:val="nil"/>
              <w:bottom w:val="single" w:sz="8" w:space="0" w:color="auto"/>
              <w:right w:val="nil"/>
            </w:tcBorders>
            <w:shd w:val="clear" w:color="000000" w:fill="BFBFBF"/>
            <w:textDirection w:val="lrTb"/>
            <w:vAlign w:val="center"/>
            <w:hideMark/>
          </w:tcPr>
          <w:p w:rsidR="00BF273A" w:rsidRPr="00BF273A" w:rsidP="00BF273A">
            <w:pPr>
              <w:bidi w:val="0"/>
              <w:jc w:val="center"/>
              <w:rPr>
                <w:rFonts w:ascii="Times New Roman" w:hAnsi="Times New Roman"/>
                <w:b/>
                <w:bCs/>
                <w:sz w:val="18"/>
                <w:szCs w:val="18"/>
              </w:rPr>
            </w:pPr>
            <w:r w:rsidRPr="00BF273A">
              <w:rPr>
                <w:rFonts w:ascii="Times New Roman" w:hAnsi="Times New Roman"/>
                <w:b/>
                <w:bCs/>
                <w:sz w:val="18"/>
                <w:szCs w:val="18"/>
              </w:rPr>
              <w:t>6=4-3</w:t>
            </w:r>
          </w:p>
        </w:tc>
        <w:tc>
          <w:tcPr>
            <w:tcW w:w="0" w:type="auto"/>
            <w:tcBorders>
              <w:top w:val="nil"/>
              <w:left w:val="nil"/>
              <w:bottom w:val="single" w:sz="8" w:space="0" w:color="auto"/>
              <w:right w:val="nil"/>
            </w:tcBorders>
            <w:shd w:val="clear" w:color="000000" w:fill="BFBFBF"/>
            <w:textDirection w:val="lrTb"/>
            <w:vAlign w:val="center"/>
            <w:hideMark/>
          </w:tcPr>
          <w:p w:rsidR="00BF273A" w:rsidRPr="00BF273A" w:rsidP="00BF273A">
            <w:pPr>
              <w:bidi w:val="0"/>
              <w:jc w:val="center"/>
              <w:rPr>
                <w:rFonts w:ascii="Times New Roman" w:hAnsi="Times New Roman"/>
                <w:b/>
                <w:bCs/>
                <w:sz w:val="18"/>
                <w:szCs w:val="18"/>
              </w:rPr>
            </w:pPr>
            <w:r w:rsidRPr="00BF273A">
              <w:rPr>
                <w:rFonts w:ascii="Times New Roman" w:hAnsi="Times New Roman"/>
                <w:b/>
                <w:bCs/>
                <w:sz w:val="18"/>
                <w:szCs w:val="18"/>
              </w:rPr>
              <w:t>7=4-3</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vnútra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697</w:t>
            </w:r>
            <w:r w:rsidR="009C35AD">
              <w:rPr>
                <w:rFonts w:ascii="Times New Roman" w:hAnsi="Times New Roman"/>
                <w:color w:val="000000"/>
                <w:sz w:val="18"/>
                <w:szCs w:val="18"/>
              </w:rPr>
              <w:t> </w:t>
            </w:r>
            <w:r w:rsidRPr="00BF273A">
              <w:rPr>
                <w:rFonts w:ascii="Times New Roman" w:hAnsi="Times New Roman"/>
                <w:color w:val="000000"/>
                <w:sz w:val="18"/>
                <w:szCs w:val="18"/>
              </w:rPr>
              <w:t>982</w:t>
            </w:r>
          </w:p>
        </w:tc>
        <w:tc>
          <w:tcPr>
            <w:tcW w:w="0" w:type="auto"/>
            <w:tcBorders>
              <w:top w:val="nil"/>
              <w:left w:val="nil"/>
              <w:bottom w:val="nil"/>
              <w:right w:val="nil"/>
            </w:tcBorders>
            <w:shd w:val="clear" w:color="000000" w:fill="FFFFFF"/>
            <w:noWrap/>
            <w:textDirection w:val="lrTb"/>
            <w:vAlign w:val="center"/>
            <w:hideMark/>
          </w:tcPr>
          <w:p w:rsidR="00DF5CB2" w:rsidRPr="00BF273A" w:rsidP="009C35AD">
            <w:pPr>
              <w:bidi w:val="0"/>
              <w:jc w:val="right"/>
              <w:rPr>
                <w:rFonts w:ascii="Times New Roman" w:hAnsi="Times New Roman"/>
                <w:color w:val="000000"/>
                <w:sz w:val="18"/>
                <w:szCs w:val="18"/>
              </w:rPr>
            </w:pPr>
            <w:r w:rsidRPr="00BF273A" w:rsidR="009C35AD">
              <w:rPr>
                <w:rFonts w:ascii="Times New Roman" w:hAnsi="Times New Roman"/>
                <w:color w:val="000000"/>
                <w:sz w:val="18"/>
                <w:szCs w:val="18"/>
              </w:rPr>
              <w:t>744 498</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687 780</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771 199</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770 895</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83 419</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12,1</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pôdohospodárstva a rozvoja vidieka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141</w:t>
            </w:r>
            <w:r w:rsidR="009C35AD">
              <w:rPr>
                <w:rFonts w:ascii="Times New Roman" w:hAnsi="Times New Roman"/>
                <w:color w:val="000000"/>
                <w:sz w:val="18"/>
                <w:szCs w:val="18"/>
              </w:rPr>
              <w:t> </w:t>
            </w:r>
            <w:r w:rsidRPr="00BF273A">
              <w:rPr>
                <w:rFonts w:ascii="Times New Roman" w:hAnsi="Times New Roman"/>
                <w:color w:val="000000"/>
                <w:sz w:val="18"/>
                <w:szCs w:val="18"/>
              </w:rPr>
              <w:t>917</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sidR="009C35AD">
              <w:rPr>
                <w:rFonts w:ascii="Times New Roman" w:hAnsi="Times New Roman"/>
                <w:color w:val="000000"/>
                <w:sz w:val="18"/>
                <w:szCs w:val="18"/>
              </w:rPr>
              <w:t>72 482</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115 669</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134 400</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2 052</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18 731</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16,2</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dopravy, výstavby a region.rozvoja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34</w:t>
            </w:r>
            <w:r w:rsidR="009C35AD">
              <w:rPr>
                <w:rFonts w:ascii="Times New Roman" w:hAnsi="Times New Roman"/>
                <w:color w:val="000000"/>
                <w:sz w:val="18"/>
                <w:szCs w:val="18"/>
              </w:rPr>
              <w:t> </w:t>
            </w:r>
            <w:r w:rsidRPr="00BF273A">
              <w:rPr>
                <w:rFonts w:ascii="Times New Roman" w:hAnsi="Times New Roman"/>
                <w:color w:val="000000"/>
                <w:sz w:val="18"/>
                <w:szCs w:val="18"/>
              </w:rPr>
              <w:t>040</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009C35AD">
              <w:rPr>
                <w:rFonts w:ascii="Times New Roman" w:hAnsi="Times New Roman"/>
                <w:color w:val="000000"/>
                <w:sz w:val="18"/>
                <w:szCs w:val="18"/>
              </w:rPr>
              <w:t>56 976</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32 184</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133 883</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27 905</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101 699</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316,0</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životného prostredia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121</w:t>
            </w:r>
            <w:r w:rsidR="009C35AD">
              <w:rPr>
                <w:rFonts w:ascii="Times New Roman" w:hAnsi="Times New Roman"/>
                <w:color w:val="000000"/>
                <w:sz w:val="18"/>
                <w:szCs w:val="18"/>
              </w:rPr>
              <w:t> </w:t>
            </w:r>
            <w:r w:rsidRPr="00BF273A">
              <w:rPr>
                <w:rFonts w:ascii="Times New Roman" w:hAnsi="Times New Roman"/>
                <w:color w:val="000000"/>
                <w:sz w:val="18"/>
                <w:szCs w:val="18"/>
              </w:rPr>
              <w:t>793</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009C35AD">
              <w:rPr>
                <w:rFonts w:ascii="Times New Roman" w:hAnsi="Times New Roman"/>
                <w:color w:val="000000"/>
                <w:sz w:val="18"/>
                <w:szCs w:val="18"/>
              </w:rPr>
              <w:t>76 720</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183 311</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127 089</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-56 222</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-30,7</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práce, soc.</w:t>
            </w:r>
            <w:r>
              <w:rPr>
                <w:rFonts w:ascii="Times New Roman" w:hAnsi="Times New Roman"/>
                <w:color w:val="000000"/>
                <w:sz w:val="18"/>
                <w:szCs w:val="18"/>
              </w:rPr>
              <w:t xml:space="preserve"> </w:t>
            </w:r>
            <w:r w:rsidRPr="00BF273A">
              <w:rPr>
                <w:rFonts w:ascii="Times New Roman" w:hAnsi="Times New Roman"/>
                <w:color w:val="000000"/>
                <w:sz w:val="18"/>
                <w:szCs w:val="18"/>
              </w:rPr>
              <w:t>vecí a rodiny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72 856</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009C35AD">
              <w:rPr>
                <w:rFonts w:ascii="Times New Roman" w:hAnsi="Times New Roman"/>
                <w:color w:val="000000"/>
                <w:sz w:val="18"/>
                <w:szCs w:val="18"/>
              </w:rPr>
              <w:t>63 196</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53 614</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68 692</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52 523</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15 078</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28,1</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hospodárstva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14 043</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000E06D9">
              <w:rPr>
                <w:rFonts w:ascii="Times New Roman" w:hAnsi="Times New Roman"/>
                <w:color w:val="000000"/>
                <w:sz w:val="18"/>
                <w:szCs w:val="18"/>
              </w:rPr>
              <w:t>11 554</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29 284</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28 917</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-367</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-1,3</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Všeobecná pokladničná správa</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22 271</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16 322</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4 700</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17 293</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16 850</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12 593</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267,9</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školstva, vedy, výskumu a športu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10 978</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000E06D9">
              <w:rPr>
                <w:rFonts w:ascii="Times New Roman" w:hAnsi="Times New Roman"/>
                <w:color w:val="000000"/>
                <w:sz w:val="18"/>
                <w:szCs w:val="18"/>
              </w:rPr>
              <w:t>6 825</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16 346</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11 231</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10 162</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-5 115</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-31,3</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noWrap/>
            <w:textDirection w:val="lrTb"/>
            <w:vAlign w:val="center"/>
            <w:hideMark/>
          </w:tcPr>
          <w:p w:rsidR="00BF273A" w:rsidRPr="00BF273A" w:rsidP="00D86EB5">
            <w:pPr>
              <w:bidi w:val="0"/>
              <w:rPr>
                <w:rFonts w:ascii="Times New Roman" w:hAnsi="Times New Roman"/>
                <w:color w:val="000000"/>
                <w:sz w:val="18"/>
                <w:szCs w:val="18"/>
              </w:rPr>
            </w:pPr>
            <w:r w:rsidRPr="00BF273A">
              <w:rPr>
                <w:rFonts w:ascii="Times New Roman" w:hAnsi="Times New Roman"/>
                <w:color w:val="000000"/>
                <w:sz w:val="18"/>
                <w:szCs w:val="18"/>
              </w:rPr>
              <w:t>Úrad vlády SR</w:t>
            </w:r>
          </w:p>
        </w:tc>
        <w:tc>
          <w:tcPr>
            <w:tcW w:w="0" w:type="auto"/>
            <w:tcBorders>
              <w:top w:val="nil"/>
              <w:left w:val="nil"/>
              <w:bottom w:val="nil"/>
              <w:right w:val="nil"/>
            </w:tcBorders>
            <w:shd w:val="clear" w:color="000000" w:fill="FFFFFF"/>
            <w:noWrap/>
            <w:textDirection w:val="lrTb"/>
            <w:vAlign w:val="center"/>
            <w:hideMark/>
          </w:tcPr>
          <w:p w:rsidR="00BF273A" w:rsidRPr="00BF273A" w:rsidP="00D86EB5">
            <w:pPr>
              <w:bidi w:val="0"/>
              <w:jc w:val="right"/>
              <w:rPr>
                <w:rFonts w:ascii="Times New Roman" w:hAnsi="Times New Roman"/>
                <w:color w:val="000000"/>
                <w:sz w:val="18"/>
                <w:szCs w:val="18"/>
              </w:rPr>
            </w:pPr>
            <w:r w:rsidRPr="00BF273A">
              <w:rPr>
                <w:rFonts w:ascii="Times New Roman" w:hAnsi="Times New Roman"/>
                <w:color w:val="000000"/>
                <w:sz w:val="18"/>
                <w:szCs w:val="18"/>
              </w:rPr>
              <w:t>5 063</w:t>
            </w:r>
          </w:p>
        </w:tc>
        <w:tc>
          <w:tcPr>
            <w:tcW w:w="0" w:type="auto"/>
            <w:tcBorders>
              <w:top w:val="nil"/>
              <w:left w:val="nil"/>
              <w:bottom w:val="nil"/>
              <w:right w:val="nil"/>
            </w:tcBorders>
            <w:shd w:val="clear" w:color="000000" w:fill="FFFFFF"/>
            <w:noWrap/>
            <w:textDirection w:val="lrTb"/>
            <w:vAlign w:val="center"/>
            <w:hideMark/>
          </w:tcPr>
          <w:p w:rsidR="00BF273A" w:rsidRPr="00BF273A" w:rsidP="00D86EB5">
            <w:pPr>
              <w:bidi w:val="0"/>
              <w:jc w:val="right"/>
              <w:rPr>
                <w:rFonts w:ascii="Times New Roman" w:hAnsi="Times New Roman"/>
                <w:color w:val="000000"/>
                <w:sz w:val="18"/>
                <w:szCs w:val="18"/>
              </w:rPr>
            </w:pPr>
            <w:r w:rsidRPr="00BF273A">
              <w:rPr>
                <w:rFonts w:ascii="Times New Roman" w:hAnsi="Times New Roman"/>
                <w:color w:val="000000"/>
                <w:sz w:val="18"/>
                <w:szCs w:val="18"/>
              </w:rPr>
              <w:t>2 848</w:t>
            </w:r>
          </w:p>
        </w:tc>
        <w:tc>
          <w:tcPr>
            <w:tcW w:w="0" w:type="auto"/>
            <w:tcBorders>
              <w:top w:val="nil"/>
              <w:left w:val="nil"/>
              <w:bottom w:val="nil"/>
              <w:right w:val="nil"/>
            </w:tcBorders>
            <w:shd w:val="clear" w:color="000000" w:fill="FFFFFF"/>
            <w:noWrap/>
            <w:textDirection w:val="lrTb"/>
            <w:vAlign w:val="center"/>
            <w:hideMark/>
          </w:tcPr>
          <w:p w:rsidR="00BF273A" w:rsidRPr="00BF273A" w:rsidP="00D86EB5">
            <w:pPr>
              <w:bidi w:val="0"/>
              <w:jc w:val="right"/>
              <w:rPr>
                <w:rFonts w:ascii="Times New Roman" w:hAnsi="Times New Roman"/>
                <w:color w:val="000000"/>
                <w:sz w:val="18"/>
                <w:szCs w:val="18"/>
              </w:rPr>
            </w:pPr>
            <w:r w:rsidRPr="00BF273A">
              <w:rPr>
                <w:rFonts w:ascii="Times New Roman" w:hAnsi="Times New Roman"/>
                <w:color w:val="000000"/>
                <w:sz w:val="18"/>
                <w:szCs w:val="18"/>
              </w:rPr>
              <w:t>50</w:t>
            </w:r>
          </w:p>
        </w:tc>
        <w:tc>
          <w:tcPr>
            <w:tcW w:w="0" w:type="auto"/>
            <w:tcBorders>
              <w:top w:val="nil"/>
              <w:left w:val="nil"/>
              <w:bottom w:val="nil"/>
              <w:right w:val="nil"/>
            </w:tcBorders>
            <w:shd w:val="clear" w:color="000000" w:fill="BFBFBF"/>
            <w:noWrap/>
            <w:textDirection w:val="lrTb"/>
            <w:vAlign w:val="center"/>
            <w:hideMark/>
          </w:tcPr>
          <w:p w:rsidR="00BF273A" w:rsidRPr="00BF273A" w:rsidP="00D86EB5">
            <w:pPr>
              <w:bidi w:val="0"/>
              <w:jc w:val="right"/>
              <w:rPr>
                <w:rFonts w:ascii="Times New Roman" w:hAnsi="Times New Roman"/>
                <w:color w:val="000000"/>
                <w:sz w:val="18"/>
                <w:szCs w:val="18"/>
              </w:rPr>
            </w:pPr>
            <w:r w:rsidRPr="00BF273A">
              <w:rPr>
                <w:rFonts w:ascii="Times New Roman" w:hAnsi="Times New Roman"/>
                <w:color w:val="000000"/>
                <w:sz w:val="18"/>
                <w:szCs w:val="18"/>
              </w:rPr>
              <w:t>8 477</w:t>
            </w:r>
          </w:p>
        </w:tc>
        <w:tc>
          <w:tcPr>
            <w:tcW w:w="0" w:type="auto"/>
            <w:tcBorders>
              <w:top w:val="nil"/>
              <w:left w:val="nil"/>
              <w:bottom w:val="nil"/>
              <w:right w:val="nil"/>
            </w:tcBorders>
            <w:shd w:val="clear" w:color="000000" w:fill="BFBFBF"/>
            <w:noWrap/>
            <w:textDirection w:val="lrTb"/>
            <w:vAlign w:val="center"/>
            <w:hideMark/>
          </w:tcPr>
          <w:p w:rsidR="00BF273A" w:rsidRPr="00BF273A" w:rsidP="00D86EB5">
            <w:pPr>
              <w:bidi w:val="0"/>
              <w:jc w:val="right"/>
              <w:rPr>
                <w:rFonts w:ascii="Times New Roman" w:hAnsi="Times New Roman"/>
                <w:color w:val="000000"/>
                <w:sz w:val="18"/>
                <w:szCs w:val="18"/>
              </w:rPr>
            </w:pPr>
            <w:r w:rsidRPr="00BF273A">
              <w:rPr>
                <w:rFonts w:ascii="Times New Roman" w:hAnsi="Times New Roman"/>
                <w:color w:val="000000"/>
                <w:sz w:val="18"/>
                <w:szCs w:val="18"/>
              </w:rPr>
              <w:t>8 461</w:t>
            </w:r>
          </w:p>
        </w:tc>
        <w:tc>
          <w:tcPr>
            <w:tcW w:w="0" w:type="auto"/>
            <w:tcBorders>
              <w:top w:val="nil"/>
              <w:left w:val="nil"/>
              <w:bottom w:val="nil"/>
              <w:right w:val="nil"/>
            </w:tcBorders>
            <w:shd w:val="clear" w:color="000000" w:fill="FFFFFF"/>
            <w:textDirection w:val="lrTb"/>
            <w:vAlign w:val="center"/>
            <w:hideMark/>
          </w:tcPr>
          <w:p w:rsidR="00BF273A" w:rsidRPr="00BF273A" w:rsidP="00D86EB5">
            <w:pPr>
              <w:bidi w:val="0"/>
              <w:jc w:val="right"/>
              <w:rPr>
                <w:rFonts w:ascii="Times New Roman" w:hAnsi="Times New Roman"/>
                <w:color w:val="000000"/>
                <w:sz w:val="18"/>
                <w:szCs w:val="18"/>
              </w:rPr>
            </w:pPr>
            <w:r w:rsidRPr="00BF273A">
              <w:rPr>
                <w:rFonts w:ascii="Times New Roman" w:hAnsi="Times New Roman"/>
                <w:color w:val="000000"/>
                <w:sz w:val="18"/>
                <w:szCs w:val="18"/>
              </w:rPr>
              <w:t>8 427</w:t>
            </w:r>
          </w:p>
        </w:tc>
        <w:tc>
          <w:tcPr>
            <w:tcW w:w="0" w:type="auto"/>
            <w:tcBorders>
              <w:top w:val="nil"/>
              <w:left w:val="nil"/>
              <w:bottom w:val="nil"/>
              <w:right w:val="nil"/>
            </w:tcBorders>
            <w:shd w:val="clear" w:color="000000" w:fill="FFFFFF"/>
            <w:textDirection w:val="lrTb"/>
            <w:vAlign w:val="center"/>
            <w:hideMark/>
          </w:tcPr>
          <w:p w:rsidR="00BF273A" w:rsidRPr="00BF273A" w:rsidP="00D86EB5">
            <w:pPr>
              <w:bidi w:val="0"/>
              <w:jc w:val="right"/>
              <w:rPr>
                <w:rFonts w:ascii="Times New Roman" w:hAnsi="Times New Roman"/>
                <w:color w:val="000000"/>
                <w:sz w:val="18"/>
                <w:szCs w:val="18"/>
              </w:rPr>
            </w:pPr>
            <w:r w:rsidRPr="00BF273A">
              <w:rPr>
                <w:rFonts w:ascii="Times New Roman" w:hAnsi="Times New Roman"/>
                <w:color w:val="000000"/>
                <w:sz w:val="18"/>
                <w:szCs w:val="18"/>
              </w:rPr>
              <w:t>16 854,0</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financií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3 902</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3 902</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zdravotníctva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1 770</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000E06D9">
              <w:rPr>
                <w:rFonts w:ascii="Times New Roman" w:hAnsi="Times New Roman"/>
                <w:color w:val="000000"/>
                <w:sz w:val="18"/>
                <w:szCs w:val="18"/>
              </w:rPr>
              <w:t>734</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3 340</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26</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3 340</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Ministerstvo kultúry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2 629</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000E06D9">
              <w:rPr>
                <w:rFonts w:ascii="Times New Roman" w:hAnsi="Times New Roman"/>
                <w:color w:val="000000"/>
                <w:sz w:val="18"/>
                <w:szCs w:val="18"/>
              </w:rPr>
              <w:t>3 583</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1 524</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3 154</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3 104</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1 630</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107,0</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tcPr>
          <w:p w:rsidR="000E06D9" w:rsidRPr="00BF273A" w:rsidP="000E06D9">
            <w:pPr>
              <w:bidi w:val="0"/>
              <w:rPr>
                <w:rFonts w:ascii="Times New Roman" w:hAnsi="Times New Roman"/>
                <w:color w:val="000000"/>
                <w:sz w:val="18"/>
                <w:szCs w:val="18"/>
              </w:rPr>
            </w:pPr>
            <w:r>
              <w:rPr>
                <w:rFonts w:ascii="Times New Roman" w:hAnsi="Times New Roman"/>
                <w:color w:val="000000"/>
                <w:sz w:val="18"/>
                <w:szCs w:val="18"/>
              </w:rPr>
              <w:t>Ministerstvo zahr. vecí a európ. záležitostí</w:t>
            </w:r>
          </w:p>
        </w:tc>
        <w:tc>
          <w:tcPr>
            <w:tcW w:w="0" w:type="auto"/>
            <w:tcBorders>
              <w:top w:val="nil"/>
              <w:left w:val="nil"/>
              <w:bottom w:val="nil"/>
              <w:right w:val="nil"/>
            </w:tcBorders>
            <w:shd w:val="clear" w:color="000000" w:fill="FFFFFF"/>
            <w:noWrap/>
            <w:textDirection w:val="lrTb"/>
            <w:vAlign w:val="center"/>
          </w:tcPr>
          <w:p w:rsidR="000E06D9" w:rsidRPr="00BF273A" w:rsidP="00D265F6">
            <w:pPr>
              <w:bidi w:val="0"/>
              <w:jc w:val="right"/>
              <w:rPr>
                <w:rFonts w:ascii="Times New Roman" w:hAnsi="Times New Roman"/>
                <w:color w:val="000000"/>
                <w:sz w:val="18"/>
                <w:szCs w:val="18"/>
              </w:rPr>
            </w:pPr>
            <w:r w:rsidR="00CE65C6">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tcPr>
          <w:p w:rsidR="000E06D9" w:rsidP="00D265F6">
            <w:pPr>
              <w:bidi w:val="0"/>
              <w:jc w:val="right"/>
              <w:rPr>
                <w:rFonts w:ascii="Times New Roman" w:hAnsi="Times New Roman"/>
                <w:color w:val="000000"/>
                <w:sz w:val="18"/>
                <w:szCs w:val="18"/>
              </w:rPr>
            </w:pPr>
            <w:r w:rsidR="00CE65C6">
              <w:rPr>
                <w:rFonts w:ascii="Times New Roman" w:hAnsi="Times New Roman"/>
                <w:color w:val="000000"/>
                <w:sz w:val="18"/>
                <w:szCs w:val="18"/>
              </w:rPr>
              <w:t>5</w:t>
            </w:r>
          </w:p>
        </w:tc>
        <w:tc>
          <w:tcPr>
            <w:tcW w:w="0" w:type="auto"/>
            <w:tcBorders>
              <w:top w:val="nil"/>
              <w:left w:val="nil"/>
              <w:bottom w:val="nil"/>
              <w:right w:val="nil"/>
            </w:tcBorders>
            <w:shd w:val="clear" w:color="000000" w:fill="FFFFFF"/>
            <w:noWrap/>
            <w:textDirection w:val="lrTb"/>
            <w:vAlign w:val="center"/>
          </w:tcPr>
          <w:p w:rsidR="000E06D9" w:rsidRPr="00BF273A" w:rsidP="00D265F6">
            <w:pPr>
              <w:bidi w:val="0"/>
              <w:jc w:val="right"/>
              <w:rPr>
                <w:rFonts w:ascii="Times New Roman" w:hAnsi="Times New Roman"/>
                <w:color w:val="000000"/>
                <w:sz w:val="18"/>
                <w:szCs w:val="18"/>
              </w:rPr>
            </w:pPr>
            <w:r w:rsidR="00CE65C6">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tcPr>
          <w:p w:rsidR="000E06D9" w:rsidRPr="00BF273A" w:rsidP="00D265F6">
            <w:pPr>
              <w:bidi w:val="0"/>
              <w:jc w:val="right"/>
              <w:rPr>
                <w:rFonts w:ascii="Times New Roman" w:hAnsi="Times New Roman"/>
                <w:color w:val="000000"/>
                <w:sz w:val="18"/>
                <w:szCs w:val="18"/>
              </w:rPr>
            </w:pPr>
            <w:r w:rsidR="00CE65C6">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tcPr>
          <w:p w:rsidR="000E06D9" w:rsidRPr="00BF273A" w:rsidP="00D265F6">
            <w:pPr>
              <w:bidi w:val="0"/>
              <w:jc w:val="right"/>
              <w:rPr>
                <w:rFonts w:ascii="Times New Roman" w:hAnsi="Times New Roman"/>
                <w:color w:val="000000"/>
                <w:sz w:val="18"/>
                <w:szCs w:val="18"/>
              </w:rPr>
            </w:pPr>
            <w:r w:rsidR="00CE65C6">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tcPr>
          <w:p w:rsidR="000E06D9" w:rsidRPr="00BF273A" w:rsidP="00D265F6">
            <w:pPr>
              <w:bidi w:val="0"/>
              <w:jc w:val="right"/>
              <w:rPr>
                <w:rFonts w:ascii="Times New Roman" w:hAnsi="Times New Roman"/>
                <w:color w:val="000000"/>
                <w:sz w:val="18"/>
                <w:szCs w:val="18"/>
              </w:rPr>
            </w:pPr>
            <w:r w:rsidR="00CE65C6">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tcPr>
          <w:p w:rsidR="000E06D9" w:rsidRPr="00BF273A" w:rsidP="00D265F6">
            <w:pPr>
              <w:bidi w:val="0"/>
              <w:jc w:val="right"/>
              <w:rPr>
                <w:rFonts w:ascii="Times New Roman" w:hAnsi="Times New Roman"/>
                <w:color w:val="000000"/>
                <w:sz w:val="18"/>
                <w:szCs w:val="18"/>
              </w:rPr>
            </w:pPr>
            <w:r w:rsidR="00CE65C6">
              <w:rPr>
                <w:rFonts w:ascii="Times New Roman" w:hAnsi="Times New Roman"/>
                <w:color w:val="000000"/>
                <w:sz w:val="18"/>
                <w:szCs w:val="18"/>
              </w:rPr>
              <w:t>0</w:t>
            </w:r>
          </w:p>
        </w:tc>
      </w:tr>
      <w:tr>
        <w:tblPrEx>
          <w:tblW w:w="0" w:type="auto"/>
          <w:tblInd w:w="55" w:type="dxa"/>
          <w:tblCellMar>
            <w:left w:w="70" w:type="dxa"/>
            <w:right w:w="70" w:type="dxa"/>
          </w:tblCellMar>
          <w:tblLook w:val="04A0"/>
        </w:tblPrEx>
        <w:trPr>
          <w:trHeight w:val="414"/>
        </w:trPr>
        <w:tc>
          <w:tcPr>
            <w:tcW w:w="0" w:type="auto"/>
            <w:tcBorders>
              <w:top w:val="nil"/>
              <w:left w:val="nil"/>
              <w:bottom w:val="nil"/>
              <w:right w:val="nil"/>
            </w:tcBorders>
            <w:shd w:val="clear" w:color="000000" w:fill="FFFFFF"/>
            <w:textDirection w:val="lrTb"/>
            <w:vAlign w:val="center"/>
            <w:hideMark/>
          </w:tcPr>
          <w:p w:rsidR="00DF5CB2" w:rsidRPr="00BF273A" w:rsidP="00D265F6">
            <w:pPr>
              <w:bidi w:val="0"/>
              <w:rPr>
                <w:rFonts w:ascii="Times New Roman" w:hAnsi="Times New Roman"/>
                <w:color w:val="000000"/>
                <w:sz w:val="18"/>
                <w:szCs w:val="18"/>
              </w:rPr>
            </w:pPr>
            <w:r w:rsidRPr="00BF273A">
              <w:rPr>
                <w:rFonts w:ascii="Times New Roman" w:hAnsi="Times New Roman"/>
                <w:color w:val="000000"/>
                <w:sz w:val="18"/>
                <w:szCs w:val="18"/>
              </w:rPr>
              <w:t>Úrad geodézie, kartografie a katastra SR</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342</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000E06D9">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sidRPr="00BF273A">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hideMark/>
          </w:tcPr>
          <w:p w:rsidR="00DF5CB2" w:rsidRPr="00BF273A"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414"/>
        </w:trPr>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BF273A" w:rsidRPr="00BF273A" w:rsidP="00BF273A">
            <w:pPr>
              <w:bidi w:val="0"/>
              <w:rPr>
                <w:rFonts w:ascii="Times New Roman" w:hAnsi="Times New Roman"/>
                <w:b/>
                <w:bCs/>
                <w:color w:val="000000"/>
                <w:sz w:val="18"/>
                <w:szCs w:val="18"/>
              </w:rPr>
            </w:pPr>
            <w:r w:rsidRPr="00BF273A">
              <w:rPr>
                <w:rFonts w:ascii="Times New Roman" w:hAnsi="Times New Roman"/>
                <w:b/>
                <w:bCs/>
                <w:color w:val="000000"/>
                <w:sz w:val="18"/>
                <w:szCs w:val="18"/>
              </w:rPr>
              <w:t>Spolu</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BF273A" w:rsidRPr="00BF273A" w:rsidP="00BF273A">
            <w:pPr>
              <w:bidi w:val="0"/>
              <w:jc w:val="right"/>
              <w:rPr>
                <w:rFonts w:ascii="Times New Roman" w:hAnsi="Times New Roman"/>
                <w:b/>
                <w:bCs/>
                <w:color w:val="000000"/>
                <w:sz w:val="18"/>
                <w:szCs w:val="18"/>
              </w:rPr>
            </w:pPr>
            <w:r w:rsidRPr="00BF273A">
              <w:rPr>
                <w:rFonts w:ascii="Times New Roman" w:hAnsi="Times New Roman"/>
                <w:b/>
                <w:bCs/>
                <w:color w:val="000000"/>
                <w:sz w:val="18"/>
                <w:szCs w:val="18"/>
              </w:rPr>
              <w:t>1 125 684</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BF273A" w:rsidRPr="00BF273A" w:rsidP="00BF273A">
            <w:pPr>
              <w:bidi w:val="0"/>
              <w:jc w:val="right"/>
              <w:rPr>
                <w:rFonts w:ascii="Times New Roman" w:hAnsi="Times New Roman"/>
                <w:b/>
                <w:bCs/>
                <w:color w:val="000000"/>
                <w:sz w:val="18"/>
                <w:szCs w:val="18"/>
              </w:rPr>
            </w:pPr>
            <w:r w:rsidRPr="00BF273A">
              <w:rPr>
                <w:rFonts w:ascii="Times New Roman" w:hAnsi="Times New Roman"/>
                <w:b/>
                <w:bCs/>
                <w:color w:val="000000"/>
                <w:sz w:val="18"/>
                <w:szCs w:val="18"/>
              </w:rPr>
              <w:t>1 055 743</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BF273A" w:rsidRPr="00BF273A" w:rsidP="00BF273A">
            <w:pPr>
              <w:bidi w:val="0"/>
              <w:jc w:val="right"/>
              <w:rPr>
                <w:rFonts w:ascii="Times New Roman" w:hAnsi="Times New Roman"/>
                <w:b/>
                <w:bCs/>
                <w:color w:val="000000"/>
                <w:sz w:val="18"/>
                <w:szCs w:val="18"/>
              </w:rPr>
            </w:pPr>
            <w:r w:rsidRPr="00BF273A">
              <w:rPr>
                <w:rFonts w:ascii="Times New Roman" w:hAnsi="Times New Roman"/>
                <w:b/>
                <w:bCs/>
                <w:color w:val="000000"/>
                <w:sz w:val="18"/>
                <w:szCs w:val="18"/>
              </w:rPr>
              <w:t>1 124 462</w:t>
            </w:r>
          </w:p>
        </w:tc>
        <w:tc>
          <w:tcPr>
            <w:tcW w:w="0" w:type="auto"/>
            <w:tcBorders>
              <w:top w:val="single" w:sz="4" w:space="0" w:color="auto"/>
              <w:left w:val="nil"/>
              <w:bottom w:val="single" w:sz="8" w:space="0" w:color="auto"/>
              <w:right w:val="nil"/>
            </w:tcBorders>
            <w:shd w:val="clear" w:color="000000" w:fill="BFBFBF"/>
            <w:noWrap/>
            <w:textDirection w:val="lrTb"/>
            <w:vAlign w:val="center"/>
            <w:hideMark/>
          </w:tcPr>
          <w:p w:rsidR="00BF273A" w:rsidRPr="00BF273A" w:rsidP="00BF273A">
            <w:pPr>
              <w:bidi w:val="0"/>
              <w:jc w:val="right"/>
              <w:rPr>
                <w:rFonts w:ascii="Times New Roman" w:hAnsi="Times New Roman"/>
                <w:b/>
                <w:bCs/>
                <w:color w:val="000000"/>
                <w:sz w:val="18"/>
                <w:szCs w:val="18"/>
              </w:rPr>
            </w:pPr>
            <w:r w:rsidRPr="00BF273A">
              <w:rPr>
                <w:rFonts w:ascii="Times New Roman" w:hAnsi="Times New Roman"/>
                <w:b/>
                <w:bCs/>
                <w:color w:val="000000"/>
                <w:sz w:val="18"/>
                <w:szCs w:val="18"/>
              </w:rPr>
              <w:t>1 311 577</w:t>
            </w:r>
          </w:p>
        </w:tc>
        <w:tc>
          <w:tcPr>
            <w:tcW w:w="0" w:type="auto"/>
            <w:tcBorders>
              <w:top w:val="single" w:sz="4" w:space="0" w:color="auto"/>
              <w:left w:val="nil"/>
              <w:bottom w:val="single" w:sz="8" w:space="0" w:color="auto"/>
              <w:right w:val="nil"/>
            </w:tcBorders>
            <w:shd w:val="clear" w:color="000000" w:fill="BFBFBF"/>
            <w:noWrap/>
            <w:textDirection w:val="lrTb"/>
            <w:vAlign w:val="center"/>
            <w:hideMark/>
          </w:tcPr>
          <w:p w:rsidR="00BF273A" w:rsidRPr="00BF273A" w:rsidP="00BF273A">
            <w:pPr>
              <w:bidi w:val="0"/>
              <w:jc w:val="right"/>
              <w:rPr>
                <w:rFonts w:ascii="Times New Roman" w:hAnsi="Times New Roman"/>
                <w:b/>
                <w:bCs/>
                <w:color w:val="000000"/>
                <w:sz w:val="18"/>
                <w:szCs w:val="18"/>
              </w:rPr>
            </w:pPr>
            <w:r w:rsidRPr="00BF273A">
              <w:rPr>
                <w:rFonts w:ascii="Times New Roman" w:hAnsi="Times New Roman"/>
                <w:b/>
                <w:bCs/>
                <w:color w:val="000000"/>
                <w:sz w:val="18"/>
                <w:szCs w:val="18"/>
              </w:rPr>
              <w:t>891 978</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BF273A" w:rsidRPr="00BF273A" w:rsidP="00BF273A">
            <w:pPr>
              <w:bidi w:val="0"/>
              <w:jc w:val="right"/>
              <w:rPr>
                <w:rFonts w:ascii="Times New Roman" w:hAnsi="Times New Roman"/>
                <w:b/>
                <w:bCs/>
                <w:color w:val="000000"/>
                <w:sz w:val="18"/>
                <w:szCs w:val="18"/>
              </w:rPr>
            </w:pPr>
            <w:r w:rsidRPr="00BF273A">
              <w:rPr>
                <w:rFonts w:ascii="Times New Roman" w:hAnsi="Times New Roman"/>
                <w:b/>
                <w:bCs/>
                <w:color w:val="000000"/>
                <w:sz w:val="18"/>
                <w:szCs w:val="18"/>
              </w:rPr>
              <w:t>187 115</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BF273A" w:rsidRPr="00BF273A" w:rsidP="00BF273A">
            <w:pPr>
              <w:bidi w:val="0"/>
              <w:jc w:val="right"/>
              <w:rPr>
                <w:rFonts w:ascii="Times New Roman" w:hAnsi="Times New Roman"/>
                <w:b/>
                <w:bCs/>
                <w:color w:val="000000"/>
                <w:sz w:val="18"/>
                <w:szCs w:val="18"/>
              </w:rPr>
            </w:pPr>
            <w:r w:rsidRPr="00BF273A">
              <w:rPr>
                <w:rFonts w:ascii="Times New Roman" w:hAnsi="Times New Roman"/>
                <w:b/>
                <w:bCs/>
                <w:color w:val="000000"/>
                <w:sz w:val="18"/>
                <w:szCs w:val="18"/>
              </w:rPr>
              <w:t>16,6</w:t>
            </w:r>
          </w:p>
        </w:tc>
      </w:tr>
    </w:tbl>
    <w:p w:rsidR="00196F75" w:rsidRPr="0027279E" w:rsidP="00196F75">
      <w:pPr>
        <w:suppressAutoHyphens/>
        <w:bidi w:val="0"/>
        <w:spacing w:after="120" w:line="336" w:lineRule="auto"/>
        <w:jc w:val="both"/>
        <w:rPr>
          <w:rFonts w:ascii="Times New Roman" w:hAnsi="Times New Roman"/>
          <w:color w:val="000000"/>
          <w:sz w:val="18"/>
          <w:szCs w:val="18"/>
        </w:rPr>
      </w:pPr>
      <w:r w:rsidRPr="0027279E" w:rsidR="0027279E">
        <w:rPr>
          <w:rFonts w:ascii="Times New Roman" w:hAnsi="Times New Roman"/>
          <w:color w:val="000000"/>
          <w:sz w:val="18"/>
          <w:szCs w:val="18"/>
        </w:rPr>
        <w:t>Poznámka: * len prostriedky štátneho rozpočtu</w:t>
      </w:r>
      <w:r>
        <w:rPr>
          <w:rFonts w:ascii="Times New Roman" w:hAnsi="Times New Roman"/>
          <w:color w:val="000000"/>
          <w:sz w:val="18"/>
          <w:szCs w:val="18"/>
        </w:rPr>
        <w:t xml:space="preserve">                                                                                                </w:t>
      </w:r>
      <w:r w:rsidRPr="0027279E" w:rsidR="0027279E">
        <w:rPr>
          <w:rFonts w:ascii="Times New Roman" w:hAnsi="Times New Roman"/>
          <w:color w:val="000000"/>
          <w:sz w:val="18"/>
          <w:szCs w:val="18"/>
        </w:rPr>
        <w:t xml:space="preserve"> </w:t>
      </w:r>
      <w:r w:rsidRPr="0027279E">
        <w:rPr>
          <w:rFonts w:ascii="Times New Roman" w:hAnsi="Times New Roman"/>
          <w:color w:val="000000"/>
          <w:sz w:val="18"/>
          <w:szCs w:val="18"/>
        </w:rPr>
        <w:t>Zdroj: MF SR</w:t>
      </w:r>
    </w:p>
    <w:p w:rsidR="0027279E" w:rsidRPr="0027279E" w:rsidP="0027279E">
      <w:pPr>
        <w:suppressAutoHyphens/>
        <w:bidi w:val="0"/>
        <w:spacing w:after="120" w:line="336" w:lineRule="auto"/>
        <w:jc w:val="both"/>
        <w:rPr>
          <w:rFonts w:ascii="Times New Roman" w:hAnsi="Times New Roman"/>
          <w:color w:val="000000"/>
          <w:sz w:val="22"/>
          <w:szCs w:val="22"/>
        </w:rPr>
      </w:pPr>
      <w:r w:rsidRPr="002D5BBE">
        <w:rPr>
          <w:rFonts w:ascii="Times New Roman" w:hAnsi="Times New Roman"/>
          <w:sz w:val="22"/>
          <w:szCs w:val="22"/>
        </w:rPr>
        <w:t xml:space="preserve">Na celkovom objeme poskytnutých grantov a transferov obciam sa najväčšou sumou podieľalo </w:t>
      </w:r>
      <w:r w:rsidRPr="002D5BBE">
        <w:rPr>
          <w:rFonts w:ascii="Times New Roman" w:hAnsi="Times New Roman"/>
          <w:b/>
          <w:sz w:val="22"/>
          <w:szCs w:val="22"/>
        </w:rPr>
        <w:t>Ministerstvo vnútra SR</w:t>
      </w:r>
      <w:r w:rsidRPr="002D5BBE">
        <w:rPr>
          <w:rFonts w:ascii="Times New Roman" w:hAnsi="Times New Roman"/>
          <w:sz w:val="22"/>
          <w:szCs w:val="22"/>
        </w:rPr>
        <w:t>, ktoré na tento účel vynaložilo 771 199 tis. eur</w:t>
      </w:r>
      <w:r>
        <w:rPr>
          <w:rFonts w:ascii="Times New Roman" w:hAnsi="Times New Roman"/>
          <w:sz w:val="22"/>
          <w:szCs w:val="22"/>
        </w:rPr>
        <w:t>, z toho sumu 749 876 tis. eur na úhradu nákladov preneseného výkonu štátnej správy na úseku školstva</w:t>
      </w:r>
      <w:r w:rsidRPr="002D5BBE">
        <w:rPr>
          <w:rFonts w:ascii="Times New Roman" w:hAnsi="Times New Roman"/>
          <w:sz w:val="22"/>
          <w:szCs w:val="22"/>
        </w:rPr>
        <w:t xml:space="preserve">. </w:t>
      </w:r>
      <w:r w:rsidRPr="0027279E">
        <w:rPr>
          <w:rFonts w:ascii="Times New Roman" w:hAnsi="Times New Roman"/>
          <w:color w:val="000000"/>
          <w:sz w:val="22"/>
          <w:szCs w:val="22"/>
        </w:rPr>
        <w:t xml:space="preserve">Tieto prostriedky boli určené najmä na zvýšenie platov pre pedagogických, odborných a nepedagogických zamestnancov škôl a školských zariadení, na vyplatenie mimoriadnych odmien zamestnancom škôl a na dofinancovanie normatívnych a nenormatívnych finančných prostriedkov pre školy a školské zariadenia. </w:t>
      </w:r>
    </w:p>
    <w:p w:rsidR="0027279E" w:rsidRPr="006961C6" w:rsidP="0027279E">
      <w:pPr>
        <w:suppressAutoHyphens/>
        <w:bidi w:val="0"/>
        <w:spacing w:after="120" w:line="336" w:lineRule="auto"/>
        <w:jc w:val="both"/>
        <w:rPr>
          <w:rFonts w:ascii="Times New Roman" w:hAnsi="Times New Roman"/>
          <w:sz w:val="22"/>
          <w:szCs w:val="22"/>
        </w:rPr>
      </w:pPr>
      <w:r w:rsidRPr="006961C6">
        <w:rPr>
          <w:rFonts w:ascii="Times New Roman" w:hAnsi="Times New Roman"/>
          <w:sz w:val="22"/>
          <w:szCs w:val="22"/>
        </w:rPr>
        <w:t xml:space="preserve">Z kapitoly </w:t>
      </w:r>
      <w:r w:rsidRPr="006961C6">
        <w:rPr>
          <w:rFonts w:ascii="Times New Roman" w:hAnsi="Times New Roman"/>
          <w:b/>
          <w:sz w:val="22"/>
          <w:szCs w:val="22"/>
        </w:rPr>
        <w:t xml:space="preserve">Ministerstva životného prostredia SR </w:t>
      </w:r>
      <w:r w:rsidRPr="006961C6">
        <w:rPr>
          <w:rFonts w:ascii="Times New Roman" w:hAnsi="Times New Roman"/>
          <w:sz w:val="22"/>
          <w:szCs w:val="22"/>
        </w:rPr>
        <w:t>smerovala obciam suma 127 089 tis. eur, z toho najmä na nakladanie s odpadovými vodami 69 862 tis. eur a na nakladanie s odpadmi 30 077 tis. eur.</w:t>
      </w:r>
    </w:p>
    <w:p w:rsidR="0027279E" w:rsidRPr="000744B6" w:rsidP="0027279E">
      <w:pPr>
        <w:suppressAutoHyphens/>
        <w:bidi w:val="0"/>
        <w:spacing w:after="120" w:line="336" w:lineRule="auto"/>
        <w:jc w:val="both"/>
        <w:rPr>
          <w:rFonts w:ascii="Times New Roman" w:hAnsi="Times New Roman"/>
          <w:sz w:val="22"/>
          <w:szCs w:val="22"/>
        </w:rPr>
      </w:pPr>
      <w:r w:rsidRPr="000744B6">
        <w:rPr>
          <w:rFonts w:ascii="Times New Roman" w:hAnsi="Times New Roman"/>
          <w:sz w:val="22"/>
          <w:szCs w:val="22"/>
        </w:rPr>
        <w:t xml:space="preserve">V rozpočtovej kapitole </w:t>
      </w:r>
      <w:r w:rsidRPr="000744B6">
        <w:rPr>
          <w:rFonts w:ascii="Times New Roman" w:hAnsi="Times New Roman"/>
          <w:b/>
          <w:sz w:val="22"/>
          <w:szCs w:val="22"/>
        </w:rPr>
        <w:t>Ministerstva pôdohospodárstva a rozvoja vidieka SR</w:t>
      </w:r>
      <w:r w:rsidRPr="000744B6">
        <w:rPr>
          <w:rFonts w:ascii="Times New Roman" w:hAnsi="Times New Roman"/>
          <w:sz w:val="22"/>
          <w:szCs w:val="22"/>
        </w:rPr>
        <w:t xml:space="preserve"> z celkovej sumy 134 400 tis. eur bolo určených 83 584 tis. eur do všeobecnej pracovnej oblasti, čo zahŕňa ochranu kultúrneho a prírodného dedičstva, podporu mikroprojektov, výstavbu maloplošných komunikácií, cyklistických trás, rozvoj cezhraničného turizmu a iné. Zostatok prostriedkov smeroval do oblasti poľnohospodárstva a lesníctva. </w:t>
      </w:r>
    </w:p>
    <w:p w:rsidR="0027279E" w:rsidRPr="00044696" w:rsidP="0027279E">
      <w:pPr>
        <w:suppressAutoHyphens/>
        <w:bidi w:val="0"/>
        <w:spacing w:after="120" w:line="336" w:lineRule="auto"/>
        <w:jc w:val="both"/>
        <w:rPr>
          <w:rFonts w:ascii="Times New Roman" w:hAnsi="Times New Roman"/>
          <w:sz w:val="22"/>
          <w:szCs w:val="22"/>
        </w:rPr>
      </w:pPr>
      <w:r w:rsidRPr="00044696">
        <w:rPr>
          <w:rFonts w:ascii="Times New Roman" w:hAnsi="Times New Roman"/>
          <w:sz w:val="22"/>
          <w:szCs w:val="22"/>
        </w:rPr>
        <w:t xml:space="preserve">V kapitole </w:t>
      </w:r>
      <w:r w:rsidRPr="00044696">
        <w:rPr>
          <w:rFonts w:ascii="Times New Roman" w:hAnsi="Times New Roman"/>
          <w:b/>
          <w:sz w:val="22"/>
          <w:szCs w:val="22"/>
        </w:rPr>
        <w:t>Ministerstva dopravy, výstavby a regionálneho rozvoja SR</w:t>
      </w:r>
      <w:r w:rsidRPr="00044696">
        <w:rPr>
          <w:rFonts w:ascii="Times New Roman" w:hAnsi="Times New Roman"/>
          <w:sz w:val="22"/>
          <w:szCs w:val="22"/>
        </w:rPr>
        <w:t xml:space="preserve"> boli prostriedky pre obce v sume 133 883 tis. eur vynaložené najmä na železničnú dopravu, rozvoj bývania a výstavbu.</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 xml:space="preserve">Podľa zákona č. 385/2014 Z. z. o štátnom rozpočte na rok 2015 boli obciam schválené dotácie z kapitoly </w:t>
      </w:r>
      <w:r w:rsidRPr="0027279E">
        <w:rPr>
          <w:rFonts w:ascii="Times New Roman" w:hAnsi="Times New Roman"/>
          <w:b/>
          <w:color w:val="000000"/>
          <w:sz w:val="22"/>
          <w:szCs w:val="22"/>
        </w:rPr>
        <w:t>Všeobecná pokladničná správa</w:t>
      </w:r>
      <w:r w:rsidRPr="0027279E">
        <w:rPr>
          <w:rFonts w:ascii="Times New Roman" w:hAnsi="Times New Roman"/>
          <w:color w:val="000000"/>
          <w:sz w:val="22"/>
          <w:szCs w:val="22"/>
        </w:rPr>
        <w:t xml:space="preserve"> v sume 4 700 tis. eur. V skutočnosti boli obciam poskytnuté finančné prostriedky v celkovej sume 17 302 tis. eur. Dotácie obciam boli poskytnuté predovšetkým na aktivity zlepšujúce sociálno-ekonomickú situáciu obcí a na záchranné a zabezpečovacie práce a ďalšie výdavky súvisiace s odstraňovaním následkov spôsobených živelnou pohromou. </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Podľa zákona č. 564/2004 Z. z. o rozpočtovom určení výnosu dane z príjmov územnej samospráve bolo v roku 2015 z celkového výnosu dane z príjmov fyzických osôb príjmom rozpočtov obcí 68,5 % (67 % v roku 2014). Skutočný prevod dane z príjmov fyzických osôb do rozpočtov obcí daňovými úradmi b</w:t>
      </w:r>
      <w:r w:rsidR="00C17B5E">
        <w:rPr>
          <w:rFonts w:ascii="Times New Roman" w:hAnsi="Times New Roman"/>
          <w:color w:val="000000"/>
          <w:sz w:val="22"/>
          <w:szCs w:val="22"/>
        </w:rPr>
        <w:t xml:space="preserve">ol vykonaný vo výške 1 471 699 </w:t>
      </w:r>
      <w:r w:rsidRPr="0027279E">
        <w:rPr>
          <w:rFonts w:ascii="Times New Roman" w:hAnsi="Times New Roman"/>
          <w:color w:val="000000"/>
          <w:sz w:val="22"/>
          <w:szCs w:val="22"/>
        </w:rPr>
        <w:t>tis. eur vrátane zúčtovania za predchádzajúci rok (</w:t>
      </w:r>
      <w:r w:rsidRPr="0027279E" w:rsidR="00140C50">
        <w:rPr>
          <w:rFonts w:ascii="Times New Roman" w:hAnsi="Times New Roman"/>
          <w:color w:val="000000"/>
          <w:sz w:val="22"/>
          <w:szCs w:val="22"/>
        </w:rPr>
        <w:t>2014</w:t>
      </w:r>
      <w:r w:rsidR="00140C50">
        <w:rPr>
          <w:rFonts w:ascii="Times New Roman" w:hAnsi="Times New Roman"/>
          <w:color w:val="000000"/>
          <w:sz w:val="22"/>
          <w:szCs w:val="22"/>
        </w:rPr>
        <w:t xml:space="preserve">: </w:t>
      </w:r>
      <w:r w:rsidRPr="0027279E">
        <w:rPr>
          <w:rFonts w:ascii="Times New Roman" w:hAnsi="Times New Roman"/>
          <w:color w:val="000000"/>
          <w:sz w:val="22"/>
          <w:szCs w:val="22"/>
        </w:rPr>
        <w:t>1 305 439 tis. eur).</w:t>
      </w:r>
    </w:p>
    <w:p w:rsidR="0027279E" w:rsidRPr="0027279E" w:rsidP="0027279E">
      <w:pPr>
        <w:bidi w:val="0"/>
        <w:spacing w:after="120" w:line="336" w:lineRule="auto"/>
        <w:jc w:val="both"/>
        <w:rPr>
          <w:rFonts w:ascii="Times New Roman" w:hAnsi="Times New Roman"/>
          <w:color w:val="000000"/>
        </w:rPr>
      </w:pPr>
      <w:r w:rsidRPr="0027279E">
        <w:rPr>
          <w:rFonts w:ascii="Times New Roman" w:hAnsi="Times New Roman"/>
          <w:i/>
          <w:color w:val="000000"/>
          <w:sz w:val="22"/>
          <w:szCs w:val="22"/>
        </w:rPr>
        <w:t>Prehľad záväzných limitov dotácií obciam za rok 2015 je uvedený v tabuľkovej časti štátneho záverečného účtu SR, v tabuľke č. 20.</w:t>
      </w:r>
    </w:p>
    <w:p w:rsidR="007D043F" w:rsidP="008D72D9">
      <w:pPr>
        <w:pStyle w:val="Heading3"/>
        <w:numPr>
          <w:ilvl w:val="2"/>
          <w:numId w:val="20"/>
        </w:numPr>
        <w:bidi w:val="0"/>
        <w:spacing w:line="336" w:lineRule="auto"/>
        <w:rPr>
          <w:rFonts w:ascii="Times New Roman" w:hAnsi="Times New Roman"/>
          <w:lang w:val="sk-SK"/>
        </w:rPr>
      </w:pPr>
      <w:bookmarkStart w:id="35" w:name="_Toc449622841"/>
      <w:r w:rsidRPr="006E50E2" w:rsidR="00F91007">
        <w:rPr>
          <w:rFonts w:ascii="Times New Roman" w:hAnsi="Times New Roman"/>
          <w:lang w:val="sk-SK"/>
        </w:rPr>
        <w:t>Vzťahy štátneho rozpočtu k</w:t>
      </w:r>
      <w:r w:rsidRPr="006E50E2" w:rsidR="004B01B0">
        <w:rPr>
          <w:rFonts w:ascii="Times New Roman" w:hAnsi="Times New Roman"/>
          <w:lang w:val="sk-SK"/>
        </w:rPr>
        <w:t> vyšším územným celkom</w:t>
      </w:r>
      <w:bookmarkEnd w:id="35"/>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V roku 2015 bolo z rozpočtov jednotlivých kapitol do rozpočtov vyšších územných celkov poskytnutých 482 760 tis. eur vo forme bežných a kapitálových grantov a transferov, z toho bežné granty a transfery tvorili sumu 433 572 tis. eur a kapitálové granty a transfery čiastku 49 188 tis. eur. V porovnaní s rokom 2014 je to v úhrne za všetky zdroje výdavkov viac o 19 246 tis. eur.</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Granty a </w:t>
      </w:r>
      <w:r w:rsidRPr="00CE65C6">
        <w:rPr>
          <w:rFonts w:ascii="Times New Roman" w:hAnsi="Times New Roman"/>
          <w:color w:val="000000"/>
          <w:sz w:val="22"/>
          <w:szCs w:val="22"/>
        </w:rPr>
        <w:t xml:space="preserve">transfery </w:t>
      </w:r>
      <w:r w:rsidRPr="00CE65C6" w:rsidR="00CE65C6">
        <w:rPr>
          <w:rFonts w:ascii="Times New Roman" w:hAnsi="Times New Roman"/>
          <w:color w:val="000000"/>
          <w:sz w:val="22"/>
          <w:szCs w:val="22"/>
        </w:rPr>
        <w:t>zo</w:t>
      </w:r>
      <w:r w:rsidRPr="00CE65C6">
        <w:rPr>
          <w:rFonts w:ascii="Times New Roman" w:hAnsi="Times New Roman"/>
          <w:color w:val="000000"/>
          <w:sz w:val="22"/>
          <w:szCs w:val="22"/>
        </w:rPr>
        <w:t xml:space="preserve"> štátn</w:t>
      </w:r>
      <w:r w:rsidRPr="00CE65C6" w:rsidR="00CE65C6">
        <w:rPr>
          <w:rFonts w:ascii="Times New Roman" w:hAnsi="Times New Roman"/>
          <w:color w:val="000000"/>
          <w:sz w:val="22"/>
          <w:szCs w:val="22"/>
        </w:rPr>
        <w:t>eho</w:t>
      </w:r>
      <w:r w:rsidRPr="0027279E">
        <w:rPr>
          <w:rFonts w:ascii="Times New Roman" w:hAnsi="Times New Roman"/>
          <w:color w:val="000000"/>
          <w:sz w:val="22"/>
          <w:szCs w:val="22"/>
        </w:rPr>
        <w:t xml:space="preserve"> rozpočt</w:t>
      </w:r>
      <w:r w:rsidR="00CE65C6">
        <w:rPr>
          <w:rFonts w:ascii="Times New Roman" w:hAnsi="Times New Roman"/>
          <w:color w:val="000000"/>
          <w:sz w:val="22"/>
          <w:szCs w:val="22"/>
        </w:rPr>
        <w:t>u</w:t>
      </w:r>
      <w:r w:rsidRPr="0027279E">
        <w:rPr>
          <w:rFonts w:ascii="Times New Roman" w:hAnsi="Times New Roman"/>
          <w:color w:val="000000"/>
          <w:sz w:val="22"/>
          <w:szCs w:val="22"/>
        </w:rPr>
        <w:t xml:space="preserve"> boli poskytnuté z jednotlivých kapitol v celkovej sume 413 574 tis. eur, z toho bežné granty a transfery v čiastke 410 894 tis. eur a kapitálové granty a transfery v čiastke 2 680 tis. eur. Takmer celá suma zo zdroja štátny rozpočet (400 881 tis. eur) bola určená na financovanie kompetencií preneseného výkonu štátnej správy v rámci bežných transferov,</w:t>
      </w:r>
      <w:r w:rsidRPr="00F25785">
        <w:rPr>
          <w:rFonts w:ascii="Times New Roman" w:hAnsi="Times New Roman"/>
          <w:color w:val="FF0000"/>
          <w:sz w:val="22"/>
          <w:szCs w:val="22"/>
        </w:rPr>
        <w:t xml:space="preserve"> </w:t>
      </w:r>
      <w:r w:rsidRPr="0027279E">
        <w:rPr>
          <w:rFonts w:ascii="Times New Roman" w:hAnsi="Times New Roman"/>
          <w:color w:val="000000"/>
          <w:sz w:val="22"/>
          <w:szCs w:val="22"/>
        </w:rPr>
        <w:t xml:space="preserve">a to v kapitole Ministerstva školstva, vedy, výskumu a športu SR. Tieto prostriedky boli určené na financovanie kompetencií preneseného výkonu štátnej správy na úseku školstva a na niektoré činnosti zabezpečované VÚC v rámci ich samosprávnej pôsobnosti. Zároveň boli poskytnuté VÚC z jednotlivých kapitol aj finančné prostriedky na financovanie spoločných projektov v rámci EÚ. </w:t>
      </w:r>
    </w:p>
    <w:p w:rsidR="0027279E" w:rsidP="0027279E">
      <w:pPr>
        <w:suppressAutoHyphens/>
        <w:bidi w:val="0"/>
        <w:spacing w:after="120" w:line="336" w:lineRule="auto"/>
        <w:jc w:val="both"/>
        <w:rPr>
          <w:rFonts w:ascii="Times New Roman" w:hAnsi="Times New Roman"/>
          <w:color w:val="000000"/>
          <w:sz w:val="22"/>
          <w:szCs w:val="22"/>
        </w:rPr>
      </w:pPr>
      <w:r w:rsidRPr="006E50E2">
        <w:rPr>
          <w:rFonts w:ascii="Times New Roman" w:hAnsi="Times New Roman"/>
          <w:color w:val="000000"/>
          <w:sz w:val="22"/>
          <w:szCs w:val="22"/>
        </w:rPr>
        <w:t>Súhrnný prehľad grantov a transferov poskytnutých VÚC podľa jednotlivých oddielov funkčnej klasifikácie poskytujú údaje v nasledujúcej tabuľke:</w:t>
      </w:r>
    </w:p>
    <w:tbl>
      <w:tblPr>
        <w:tblStyle w:val="TableNormal"/>
        <w:tblW w:w="0" w:type="auto"/>
        <w:tblInd w:w="55" w:type="dxa"/>
        <w:tblCellMar>
          <w:left w:w="70" w:type="dxa"/>
          <w:right w:w="70" w:type="dxa"/>
        </w:tblCellMar>
        <w:tblLook w:val="04A0"/>
      </w:tblPr>
      <w:tblGrid>
        <w:gridCol w:w="2558"/>
        <w:gridCol w:w="733"/>
        <w:gridCol w:w="733"/>
        <w:gridCol w:w="860"/>
        <w:gridCol w:w="733"/>
        <w:gridCol w:w="1464"/>
        <w:gridCol w:w="983"/>
        <w:gridCol w:w="796"/>
      </w:tblGrid>
      <w:tr>
        <w:tblPrEx>
          <w:tblW w:w="0" w:type="auto"/>
          <w:tblInd w:w="55" w:type="dxa"/>
          <w:tblCellMar>
            <w:left w:w="70" w:type="dxa"/>
            <w:right w:w="70" w:type="dxa"/>
          </w:tblCellMar>
          <w:tblLook w:val="04A0"/>
        </w:tblPrEx>
        <w:trPr>
          <w:trHeight w:val="330"/>
        </w:trPr>
        <w:tc>
          <w:tcPr>
            <w:tcW w:w="0" w:type="auto"/>
            <w:gridSpan w:val="8"/>
            <w:tcBorders>
              <w:top w:val="nil"/>
              <w:left w:val="single" w:sz="8" w:space="0" w:color="auto"/>
              <w:bottom w:val="nil"/>
              <w:right w:val="nil"/>
            </w:tcBorders>
            <w:shd w:val="clear" w:color="000000" w:fill="000000"/>
            <w:textDirection w:val="lrTb"/>
            <w:vAlign w:val="center"/>
            <w:hideMark/>
          </w:tcPr>
          <w:p w:rsidR="00DF5CB2" w:rsidRPr="00140C50" w:rsidP="00E645EA">
            <w:pPr>
              <w:bidi w:val="0"/>
              <w:rPr>
                <w:rFonts w:ascii="Times New Roman" w:hAnsi="Times New Roman"/>
                <w:b/>
                <w:bCs/>
                <w:color w:val="FFFFFF"/>
                <w:sz w:val="18"/>
                <w:szCs w:val="18"/>
              </w:rPr>
            </w:pPr>
            <w:r w:rsidRPr="00140C50">
              <w:rPr>
                <w:rFonts w:ascii="Times New Roman" w:hAnsi="Times New Roman"/>
                <w:b/>
                <w:bCs/>
                <w:color w:val="FFFFFF"/>
                <w:sz w:val="18"/>
                <w:szCs w:val="18"/>
              </w:rPr>
              <w:t>Granty a transfery poskytnuté VÚC podľa oddielov funkčnej klasifikácie</w:t>
            </w:r>
            <w:r>
              <w:rPr>
                <w:rFonts w:ascii="Times New Roman" w:hAnsi="Times New Roman"/>
                <w:b/>
                <w:bCs/>
                <w:color w:val="FFFFFF"/>
                <w:sz w:val="18"/>
                <w:szCs w:val="18"/>
              </w:rPr>
              <w:t xml:space="preserve">                                                      </w:t>
            </w:r>
            <w:r w:rsidRPr="00140C50">
              <w:rPr>
                <w:rFonts w:ascii="Times New Roman" w:hAnsi="Times New Roman"/>
                <w:b/>
                <w:bCs/>
                <w:color w:val="FFFFFF"/>
                <w:sz w:val="18"/>
                <w:szCs w:val="18"/>
              </w:rPr>
              <w:t>v tis.</w:t>
            </w:r>
            <w:r>
              <w:rPr>
                <w:rFonts w:ascii="Times New Roman" w:hAnsi="Times New Roman"/>
                <w:b/>
                <w:bCs/>
                <w:color w:val="FFFFFF"/>
                <w:sz w:val="18"/>
                <w:szCs w:val="18"/>
              </w:rPr>
              <w:t xml:space="preserve"> </w:t>
            </w:r>
            <w:r w:rsidRPr="00140C50">
              <w:rPr>
                <w:rFonts w:ascii="Times New Roman" w:hAnsi="Times New Roman"/>
                <w:b/>
                <w:bCs/>
                <w:color w:val="FFFFFF"/>
                <w:sz w:val="18"/>
                <w:szCs w:val="18"/>
              </w:rPr>
              <w:t>eur</w:t>
            </w:r>
          </w:p>
        </w:tc>
      </w:tr>
      <w:tr>
        <w:tblPrEx>
          <w:tblW w:w="0" w:type="auto"/>
          <w:tblInd w:w="55" w:type="dxa"/>
          <w:tblCellMar>
            <w:left w:w="70" w:type="dxa"/>
            <w:right w:w="70" w:type="dxa"/>
          </w:tblCellMar>
          <w:tblLook w:val="04A0"/>
        </w:tblPrEx>
        <w:trPr>
          <w:trHeight w:val="510"/>
        </w:trPr>
        <w:tc>
          <w:tcPr>
            <w:tcW w:w="0" w:type="auto"/>
            <w:tcBorders>
              <w:top w:val="nil"/>
              <w:left w:val="nil"/>
              <w:bottom w:val="nil"/>
              <w:right w:val="nil"/>
            </w:tcBorders>
            <w:shd w:val="clear" w:color="000000" w:fill="BFBFBF"/>
            <w:textDirection w:val="lrTb"/>
            <w:vAlign w:val="center"/>
            <w:hideMark/>
          </w:tcPr>
          <w:p w:rsidR="0027279E" w:rsidRPr="00140C50" w:rsidP="0027279E">
            <w:pPr>
              <w:bidi w:val="0"/>
              <w:rPr>
                <w:rFonts w:ascii="Times New Roman" w:hAnsi="Times New Roman"/>
                <w:b/>
                <w:bCs/>
                <w:color w:val="FFFFFF"/>
                <w:sz w:val="18"/>
                <w:szCs w:val="18"/>
              </w:rPr>
            </w:pPr>
            <w:r w:rsidRPr="00140C50">
              <w:rPr>
                <w:rFonts w:ascii="Times New Roman" w:hAnsi="Times New Roman"/>
                <w:b/>
                <w:bCs/>
                <w:color w:val="FFFFFF"/>
                <w:sz w:val="18"/>
                <w:szCs w:val="18"/>
              </w:rPr>
              <w:t> </w:t>
            </w:r>
          </w:p>
        </w:tc>
        <w:tc>
          <w:tcPr>
            <w:tcW w:w="0" w:type="auto"/>
            <w:gridSpan w:val="2"/>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Rozpočet</w:t>
            </w:r>
          </w:p>
        </w:tc>
        <w:tc>
          <w:tcPr>
            <w:tcW w:w="2185" w:type="dxa"/>
            <w:gridSpan w:val="2"/>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Skutočnosť</w:t>
            </w:r>
          </w:p>
        </w:tc>
        <w:tc>
          <w:tcPr>
            <w:tcW w:w="1757" w:type="dxa"/>
            <w:gridSpan w:val="2"/>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Rozdiel</w:t>
            </w:r>
          </w:p>
        </w:tc>
      </w:tr>
      <w:tr>
        <w:tblPrEx>
          <w:tblW w:w="0" w:type="auto"/>
          <w:tblInd w:w="55" w:type="dxa"/>
          <w:tblCellMar>
            <w:left w:w="70" w:type="dxa"/>
            <w:right w:w="70" w:type="dxa"/>
          </w:tblCellMar>
          <w:tblLook w:val="04A0"/>
        </w:tblPrEx>
        <w:trPr>
          <w:trHeight w:val="510"/>
        </w:trPr>
        <w:tc>
          <w:tcPr>
            <w:tcW w:w="0" w:type="auto"/>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sz w:val="18"/>
                <w:szCs w:val="18"/>
              </w:rPr>
            </w:pPr>
            <w:r w:rsidRPr="00140C50">
              <w:rPr>
                <w:rFonts w:ascii="Times New Roman" w:hAnsi="Times New Roman"/>
                <w:b/>
                <w:bCs/>
                <w:sz w:val="18"/>
                <w:szCs w:val="18"/>
              </w:rPr>
              <w:t> </w:t>
            </w:r>
          </w:p>
        </w:tc>
        <w:tc>
          <w:tcPr>
            <w:tcW w:w="0" w:type="auto"/>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2013</w:t>
            </w:r>
          </w:p>
        </w:tc>
        <w:tc>
          <w:tcPr>
            <w:tcW w:w="0" w:type="auto"/>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2015</w:t>
            </w:r>
          </w:p>
        </w:tc>
        <w:tc>
          <w:tcPr>
            <w:tcW w:w="1447" w:type="dxa"/>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z toho: zdroj 111*</w:t>
            </w:r>
          </w:p>
        </w:tc>
        <w:tc>
          <w:tcPr>
            <w:tcW w:w="972" w:type="dxa"/>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 xml:space="preserve"> v tis. eur</w:t>
            </w:r>
          </w:p>
        </w:tc>
        <w:tc>
          <w:tcPr>
            <w:tcW w:w="0" w:type="auto"/>
            <w:tcBorders>
              <w:top w:val="nil"/>
              <w:left w:val="nil"/>
              <w:bottom w:val="nil"/>
              <w:right w:val="nil"/>
            </w:tcBorders>
            <w:shd w:val="clear" w:color="000000" w:fill="BFBFBF"/>
            <w:textDirection w:val="lrTb"/>
            <w:vAlign w:val="center"/>
            <w:hideMark/>
          </w:tcPr>
          <w:p w:rsidR="0027279E" w:rsidRPr="00140C50" w:rsidP="0027279E">
            <w:pPr>
              <w:bidi w:val="0"/>
              <w:jc w:val="center"/>
              <w:rPr>
                <w:rFonts w:ascii="Times New Roman" w:hAnsi="Times New Roman"/>
                <w:b/>
                <w:bCs/>
                <w:color w:val="000000"/>
                <w:sz w:val="18"/>
                <w:szCs w:val="18"/>
              </w:rPr>
            </w:pPr>
            <w:r w:rsidRPr="00140C50">
              <w:rPr>
                <w:rFonts w:ascii="Times New Roman" w:hAnsi="Times New Roman"/>
                <w:b/>
                <w:bCs/>
                <w:color w:val="000000"/>
                <w:sz w:val="18"/>
                <w:szCs w:val="18"/>
              </w:rPr>
              <w:t>v %</w:t>
            </w:r>
          </w:p>
        </w:tc>
      </w:tr>
      <w:tr>
        <w:tblPrEx>
          <w:tblW w:w="0" w:type="auto"/>
          <w:tblInd w:w="55" w:type="dxa"/>
          <w:tblCellMar>
            <w:left w:w="70" w:type="dxa"/>
            <w:right w:w="70" w:type="dxa"/>
          </w:tblCellMar>
          <w:tblLook w:val="04A0"/>
        </w:tblPrEx>
        <w:trPr>
          <w:trHeight w:val="345"/>
        </w:trPr>
        <w:tc>
          <w:tcPr>
            <w:tcW w:w="0" w:type="auto"/>
            <w:tcBorders>
              <w:top w:val="nil"/>
              <w:left w:val="nil"/>
              <w:bottom w:val="single" w:sz="8" w:space="0" w:color="auto"/>
              <w:right w:val="nil"/>
            </w:tcBorders>
            <w:shd w:val="clear" w:color="000000" w:fill="BFBFBF"/>
            <w:textDirection w:val="lrTb"/>
            <w:vAlign w:val="center"/>
            <w:hideMark/>
          </w:tcPr>
          <w:p w:rsidR="0027279E" w:rsidRPr="00140C50" w:rsidP="0027279E">
            <w:pPr>
              <w:bidi w:val="0"/>
              <w:rPr>
                <w:rFonts w:ascii="Times New Roman" w:hAnsi="Times New Roman"/>
                <w:b/>
                <w:bCs/>
                <w:color w:val="FFFFFF"/>
                <w:sz w:val="18"/>
                <w:szCs w:val="18"/>
              </w:rPr>
            </w:pPr>
            <w:r w:rsidRPr="00140C50">
              <w:rPr>
                <w:rFonts w:ascii="Times New Roman" w:hAnsi="Times New Roman"/>
                <w:b/>
                <w:bCs/>
                <w:color w:val="FFFFFF"/>
                <w:sz w:val="18"/>
                <w:szCs w:val="18"/>
              </w:rPr>
              <w:t> </w:t>
            </w:r>
          </w:p>
        </w:tc>
        <w:tc>
          <w:tcPr>
            <w:tcW w:w="0" w:type="auto"/>
            <w:tcBorders>
              <w:top w:val="nil"/>
              <w:left w:val="nil"/>
              <w:bottom w:val="single" w:sz="8" w:space="0" w:color="auto"/>
              <w:right w:val="nil"/>
            </w:tcBorders>
            <w:shd w:val="clear" w:color="000000" w:fill="BFBFBF"/>
            <w:textDirection w:val="lrTb"/>
            <w:vAlign w:val="center"/>
            <w:hideMark/>
          </w:tcPr>
          <w:p w:rsidR="0027279E" w:rsidRPr="00140C50" w:rsidP="0027279E">
            <w:pPr>
              <w:bidi w:val="0"/>
              <w:jc w:val="center"/>
              <w:rPr>
                <w:rFonts w:ascii="Times New Roman" w:hAnsi="Times New Roman"/>
                <w:b/>
                <w:bCs/>
                <w:sz w:val="18"/>
                <w:szCs w:val="18"/>
              </w:rPr>
            </w:pPr>
            <w:r w:rsidRPr="00140C50">
              <w:rPr>
                <w:rFonts w:ascii="Times New Roman" w:hAnsi="Times New Roman"/>
                <w:b/>
                <w:bCs/>
                <w:sz w:val="18"/>
                <w:szCs w:val="18"/>
              </w:rPr>
              <w:t>1</w:t>
            </w:r>
          </w:p>
        </w:tc>
        <w:tc>
          <w:tcPr>
            <w:tcW w:w="0" w:type="auto"/>
            <w:tcBorders>
              <w:top w:val="nil"/>
              <w:left w:val="nil"/>
              <w:bottom w:val="single" w:sz="8" w:space="0" w:color="auto"/>
              <w:right w:val="nil"/>
            </w:tcBorders>
            <w:shd w:val="clear" w:color="000000" w:fill="BFBFBF"/>
            <w:textDirection w:val="lrTb"/>
            <w:vAlign w:val="center"/>
            <w:hideMark/>
          </w:tcPr>
          <w:p w:rsidR="0027279E" w:rsidRPr="00140C50" w:rsidP="0027279E">
            <w:pPr>
              <w:bidi w:val="0"/>
              <w:jc w:val="center"/>
              <w:rPr>
                <w:rFonts w:ascii="Times New Roman" w:hAnsi="Times New Roman"/>
                <w:b/>
                <w:bCs/>
                <w:sz w:val="18"/>
                <w:szCs w:val="18"/>
              </w:rPr>
            </w:pPr>
            <w:r w:rsidRPr="00140C50">
              <w:rPr>
                <w:rFonts w:ascii="Times New Roman" w:hAnsi="Times New Roman"/>
                <w:b/>
                <w:bCs/>
                <w:sz w:val="18"/>
                <w:szCs w:val="18"/>
              </w:rPr>
              <w:t>2</w:t>
            </w:r>
          </w:p>
        </w:tc>
        <w:tc>
          <w:tcPr>
            <w:tcW w:w="0" w:type="auto"/>
            <w:tcBorders>
              <w:top w:val="nil"/>
              <w:left w:val="nil"/>
              <w:bottom w:val="single" w:sz="8" w:space="0" w:color="auto"/>
              <w:right w:val="nil"/>
            </w:tcBorders>
            <w:shd w:val="clear" w:color="000000" w:fill="BFBFBF"/>
            <w:textDirection w:val="lrTb"/>
            <w:vAlign w:val="center"/>
            <w:hideMark/>
          </w:tcPr>
          <w:p w:rsidR="0027279E" w:rsidRPr="00140C50" w:rsidP="0027279E">
            <w:pPr>
              <w:bidi w:val="0"/>
              <w:jc w:val="center"/>
              <w:rPr>
                <w:rFonts w:ascii="Times New Roman" w:hAnsi="Times New Roman"/>
                <w:b/>
                <w:bCs/>
                <w:sz w:val="18"/>
                <w:szCs w:val="18"/>
              </w:rPr>
            </w:pPr>
            <w:r w:rsidRPr="00140C50">
              <w:rPr>
                <w:rFonts w:ascii="Times New Roman" w:hAnsi="Times New Roman"/>
                <w:b/>
                <w:bCs/>
                <w:sz w:val="18"/>
                <w:szCs w:val="18"/>
              </w:rPr>
              <w:t>3</w:t>
            </w:r>
          </w:p>
        </w:tc>
        <w:tc>
          <w:tcPr>
            <w:tcW w:w="0" w:type="auto"/>
            <w:tcBorders>
              <w:top w:val="nil"/>
              <w:left w:val="nil"/>
              <w:bottom w:val="single" w:sz="8" w:space="0" w:color="auto"/>
              <w:right w:val="nil"/>
            </w:tcBorders>
            <w:shd w:val="clear" w:color="000000" w:fill="BFBFBF"/>
            <w:textDirection w:val="lrTb"/>
            <w:vAlign w:val="center"/>
            <w:hideMark/>
          </w:tcPr>
          <w:p w:rsidR="0027279E" w:rsidRPr="00140C50" w:rsidP="00502F15">
            <w:pPr>
              <w:bidi w:val="0"/>
              <w:jc w:val="right"/>
              <w:rPr>
                <w:rFonts w:ascii="Times New Roman" w:hAnsi="Times New Roman"/>
                <w:b/>
                <w:bCs/>
                <w:sz w:val="18"/>
                <w:szCs w:val="18"/>
              </w:rPr>
            </w:pPr>
            <w:r w:rsidRPr="00140C50">
              <w:rPr>
                <w:rFonts w:ascii="Times New Roman" w:hAnsi="Times New Roman"/>
                <w:b/>
                <w:bCs/>
                <w:sz w:val="18"/>
                <w:szCs w:val="18"/>
              </w:rPr>
              <w:t>4</w:t>
            </w:r>
          </w:p>
        </w:tc>
        <w:tc>
          <w:tcPr>
            <w:tcW w:w="1447" w:type="dxa"/>
            <w:tcBorders>
              <w:top w:val="nil"/>
              <w:left w:val="nil"/>
              <w:bottom w:val="single" w:sz="8" w:space="0" w:color="auto"/>
              <w:right w:val="nil"/>
            </w:tcBorders>
            <w:shd w:val="clear" w:color="000000" w:fill="BFBFBF"/>
            <w:textDirection w:val="lrTb"/>
            <w:vAlign w:val="center"/>
            <w:hideMark/>
          </w:tcPr>
          <w:p w:rsidR="0027279E" w:rsidRPr="00140C50" w:rsidP="0027279E">
            <w:pPr>
              <w:bidi w:val="0"/>
              <w:jc w:val="center"/>
              <w:rPr>
                <w:rFonts w:ascii="Times New Roman" w:hAnsi="Times New Roman"/>
                <w:b/>
                <w:bCs/>
                <w:sz w:val="18"/>
                <w:szCs w:val="18"/>
              </w:rPr>
            </w:pPr>
            <w:r w:rsidRPr="00140C50">
              <w:rPr>
                <w:rFonts w:ascii="Times New Roman" w:hAnsi="Times New Roman"/>
                <w:b/>
                <w:bCs/>
                <w:sz w:val="18"/>
                <w:szCs w:val="18"/>
              </w:rPr>
              <w:t>5</w:t>
            </w:r>
          </w:p>
        </w:tc>
        <w:tc>
          <w:tcPr>
            <w:tcW w:w="972" w:type="dxa"/>
            <w:tcBorders>
              <w:top w:val="nil"/>
              <w:left w:val="nil"/>
              <w:bottom w:val="single" w:sz="8" w:space="0" w:color="auto"/>
              <w:right w:val="nil"/>
            </w:tcBorders>
            <w:shd w:val="clear" w:color="000000" w:fill="BFBFBF"/>
            <w:textDirection w:val="lrTb"/>
            <w:vAlign w:val="center"/>
            <w:hideMark/>
          </w:tcPr>
          <w:p w:rsidR="0027279E" w:rsidRPr="00140C50" w:rsidP="0027279E">
            <w:pPr>
              <w:bidi w:val="0"/>
              <w:jc w:val="center"/>
              <w:rPr>
                <w:rFonts w:ascii="Times New Roman" w:hAnsi="Times New Roman"/>
                <w:b/>
                <w:bCs/>
                <w:sz w:val="18"/>
                <w:szCs w:val="18"/>
              </w:rPr>
            </w:pPr>
            <w:r w:rsidRPr="00140C50">
              <w:rPr>
                <w:rFonts w:ascii="Times New Roman" w:hAnsi="Times New Roman"/>
                <w:b/>
                <w:bCs/>
                <w:sz w:val="18"/>
                <w:szCs w:val="18"/>
              </w:rPr>
              <w:t>6=4-3</w:t>
            </w:r>
          </w:p>
        </w:tc>
        <w:tc>
          <w:tcPr>
            <w:tcW w:w="0" w:type="auto"/>
            <w:tcBorders>
              <w:top w:val="nil"/>
              <w:left w:val="nil"/>
              <w:bottom w:val="single" w:sz="8" w:space="0" w:color="auto"/>
              <w:right w:val="nil"/>
            </w:tcBorders>
            <w:shd w:val="clear" w:color="000000" w:fill="BFBFBF"/>
            <w:textDirection w:val="lrTb"/>
            <w:vAlign w:val="center"/>
            <w:hideMark/>
          </w:tcPr>
          <w:p w:rsidR="0027279E" w:rsidRPr="00140C50" w:rsidP="0027279E">
            <w:pPr>
              <w:bidi w:val="0"/>
              <w:jc w:val="center"/>
              <w:rPr>
                <w:rFonts w:ascii="Times New Roman" w:hAnsi="Times New Roman"/>
                <w:b/>
                <w:bCs/>
                <w:sz w:val="18"/>
                <w:szCs w:val="18"/>
              </w:rPr>
            </w:pPr>
            <w:r w:rsidRPr="00140C50">
              <w:rPr>
                <w:rFonts w:ascii="Times New Roman" w:hAnsi="Times New Roman"/>
                <w:b/>
                <w:bCs/>
                <w:sz w:val="18"/>
                <w:szCs w:val="18"/>
              </w:rPr>
              <w:t>7=4-3</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rPr>
                <w:rFonts w:ascii="Times New Roman" w:hAnsi="Times New Roman"/>
                <w:color w:val="000000"/>
                <w:sz w:val="18"/>
                <w:szCs w:val="18"/>
              </w:rPr>
            </w:pPr>
            <w:r w:rsidRPr="00140C50">
              <w:rPr>
                <w:rFonts w:ascii="Times New Roman" w:hAnsi="Times New Roman"/>
                <w:color w:val="000000"/>
                <w:sz w:val="18"/>
                <w:szCs w:val="18"/>
              </w:rPr>
              <w:t>Všeobecné verejné služby</w:t>
            </w:r>
          </w:p>
        </w:tc>
        <w:tc>
          <w:tcPr>
            <w:tcW w:w="0" w:type="auto"/>
            <w:tcBorders>
              <w:top w:val="nil"/>
              <w:left w:val="nil"/>
              <w:bottom w:val="nil"/>
              <w:right w:val="nil"/>
            </w:tcBorders>
            <w:shd w:val="clear" w:color="000000" w:fill="FFFFFF"/>
            <w:noWrap/>
            <w:textDirection w:val="lrTb"/>
            <w:vAlign w:val="top"/>
            <w:hideMark/>
          </w:tcPr>
          <w:p w:rsidR="0027279E" w:rsidRPr="00140C50" w:rsidP="00E645EA">
            <w:pPr>
              <w:bidi w:val="0"/>
              <w:jc w:val="right"/>
              <w:rPr>
                <w:rFonts w:ascii="Times New Roman" w:hAnsi="Times New Roman"/>
                <w:color w:val="000000"/>
                <w:sz w:val="18"/>
                <w:szCs w:val="18"/>
              </w:rPr>
            </w:pPr>
            <w:r w:rsidRPr="00140C50">
              <w:rPr>
                <w:rFonts w:ascii="Times New Roman" w:hAnsi="Times New Roman"/>
                <w:color w:val="000000"/>
                <w:sz w:val="18"/>
                <w:szCs w:val="18"/>
              </w:rPr>
              <w:t>15 052</w:t>
            </w:r>
          </w:p>
        </w:tc>
        <w:tc>
          <w:tcPr>
            <w:tcW w:w="0" w:type="auto"/>
            <w:tcBorders>
              <w:top w:val="nil"/>
              <w:left w:val="nil"/>
              <w:bottom w:val="nil"/>
              <w:right w:val="nil"/>
            </w:tcBorders>
            <w:shd w:val="clear" w:color="000000" w:fill="FFFFFF"/>
            <w:noWrap/>
            <w:textDirection w:val="lrTb"/>
            <w:vAlign w:val="top"/>
            <w:hideMark/>
          </w:tcPr>
          <w:p w:rsidR="0027279E" w:rsidRPr="00140C50" w:rsidP="00E645EA">
            <w:pPr>
              <w:bidi w:val="0"/>
              <w:jc w:val="right"/>
              <w:rPr>
                <w:rFonts w:ascii="Times New Roman" w:hAnsi="Times New Roman"/>
                <w:color w:val="000000"/>
                <w:sz w:val="18"/>
                <w:szCs w:val="18"/>
              </w:rPr>
            </w:pPr>
            <w:r w:rsidRPr="00140C50">
              <w:rPr>
                <w:rFonts w:ascii="Times New Roman" w:hAnsi="Times New Roman"/>
                <w:color w:val="000000"/>
                <w:sz w:val="18"/>
                <w:szCs w:val="18"/>
              </w:rPr>
              <w:t>5 751</w:t>
            </w:r>
          </w:p>
        </w:tc>
        <w:tc>
          <w:tcPr>
            <w:tcW w:w="0" w:type="auto"/>
            <w:tcBorders>
              <w:top w:val="nil"/>
              <w:left w:val="nil"/>
              <w:bottom w:val="nil"/>
              <w:right w:val="nil"/>
            </w:tcBorders>
            <w:shd w:val="clear" w:color="000000" w:fill="FFFFFF"/>
            <w:noWrap/>
            <w:textDirection w:val="lrTb"/>
            <w:vAlign w:val="top"/>
            <w:hideMark/>
          </w:tcPr>
          <w:p w:rsidR="0027279E" w:rsidRPr="00140C50" w:rsidP="00E645EA">
            <w:pPr>
              <w:bidi w:val="0"/>
              <w:jc w:val="right"/>
              <w:rPr>
                <w:rFonts w:ascii="Times New Roman" w:hAnsi="Times New Roman"/>
                <w:color w:val="000000"/>
                <w:sz w:val="18"/>
                <w:szCs w:val="18"/>
              </w:rPr>
            </w:pPr>
            <w:r w:rsidRPr="00140C50">
              <w:rPr>
                <w:rFonts w:ascii="Times New Roman" w:hAnsi="Times New Roman"/>
                <w:color w:val="000000"/>
                <w:sz w:val="18"/>
                <w:szCs w:val="18"/>
              </w:rPr>
              <w:t>10</w:t>
            </w:r>
          </w:p>
        </w:tc>
        <w:tc>
          <w:tcPr>
            <w:tcW w:w="0" w:type="auto"/>
            <w:tcBorders>
              <w:top w:val="nil"/>
              <w:left w:val="nil"/>
              <w:bottom w:val="nil"/>
              <w:right w:val="nil"/>
            </w:tcBorders>
            <w:shd w:val="clear" w:color="000000" w:fill="BFBFBF"/>
            <w:noWrap/>
            <w:textDirection w:val="lrTb"/>
            <w:vAlign w:val="top"/>
            <w:hideMark/>
          </w:tcPr>
          <w:p w:rsidR="0027279E" w:rsidRPr="00140C50" w:rsidP="00E645EA">
            <w:pPr>
              <w:bidi w:val="0"/>
              <w:jc w:val="right"/>
              <w:rPr>
                <w:rFonts w:ascii="Times New Roman" w:hAnsi="Times New Roman"/>
                <w:color w:val="000000"/>
                <w:sz w:val="18"/>
                <w:szCs w:val="18"/>
              </w:rPr>
            </w:pPr>
            <w:r w:rsidRPr="00140C50">
              <w:rPr>
                <w:rFonts w:ascii="Times New Roman" w:hAnsi="Times New Roman"/>
                <w:color w:val="000000"/>
                <w:sz w:val="18"/>
                <w:szCs w:val="18"/>
              </w:rPr>
              <w:t>1 860</w:t>
            </w:r>
          </w:p>
        </w:tc>
        <w:tc>
          <w:tcPr>
            <w:tcW w:w="1447" w:type="dxa"/>
            <w:tcBorders>
              <w:top w:val="nil"/>
              <w:left w:val="nil"/>
              <w:bottom w:val="nil"/>
              <w:right w:val="nil"/>
            </w:tcBorders>
            <w:shd w:val="clear" w:color="000000" w:fill="BFBFBF"/>
            <w:noWrap/>
            <w:textDirection w:val="lrTb"/>
            <w:vAlign w:val="top"/>
            <w:hideMark/>
          </w:tcPr>
          <w:p w:rsidR="0027279E" w:rsidRPr="00140C50" w:rsidP="00E645EA">
            <w:pPr>
              <w:bidi w:val="0"/>
              <w:jc w:val="right"/>
              <w:rPr>
                <w:rFonts w:ascii="Times New Roman" w:hAnsi="Times New Roman"/>
                <w:color w:val="000000"/>
                <w:sz w:val="18"/>
                <w:szCs w:val="18"/>
              </w:rPr>
            </w:pPr>
            <w:r w:rsidRPr="00140C50">
              <w:rPr>
                <w:rFonts w:ascii="Times New Roman" w:hAnsi="Times New Roman"/>
                <w:color w:val="000000"/>
                <w:sz w:val="18"/>
                <w:szCs w:val="18"/>
              </w:rPr>
              <w:t>310</w:t>
            </w:r>
          </w:p>
        </w:tc>
        <w:tc>
          <w:tcPr>
            <w:tcW w:w="972" w:type="dxa"/>
            <w:tcBorders>
              <w:top w:val="nil"/>
              <w:left w:val="nil"/>
              <w:bottom w:val="nil"/>
              <w:right w:val="nil"/>
            </w:tcBorders>
            <w:shd w:val="clear" w:color="000000" w:fill="FFFFFF"/>
            <w:textDirection w:val="lrTb"/>
            <w:vAlign w:val="top"/>
            <w:hideMark/>
          </w:tcPr>
          <w:p w:rsidR="0027279E" w:rsidRPr="00140C50" w:rsidP="00E645EA">
            <w:pPr>
              <w:bidi w:val="0"/>
              <w:jc w:val="right"/>
              <w:rPr>
                <w:rFonts w:ascii="Times New Roman" w:hAnsi="Times New Roman"/>
                <w:color w:val="000000"/>
                <w:sz w:val="18"/>
                <w:szCs w:val="18"/>
              </w:rPr>
            </w:pPr>
            <w:r w:rsidRPr="00140C50">
              <w:rPr>
                <w:rFonts w:ascii="Times New Roman" w:hAnsi="Times New Roman"/>
                <w:color w:val="000000"/>
                <w:sz w:val="18"/>
                <w:szCs w:val="18"/>
              </w:rPr>
              <w:t>1 850</w:t>
            </w:r>
          </w:p>
        </w:tc>
        <w:tc>
          <w:tcPr>
            <w:tcW w:w="0" w:type="auto"/>
            <w:tcBorders>
              <w:top w:val="nil"/>
              <w:left w:val="nil"/>
              <w:bottom w:val="nil"/>
              <w:right w:val="nil"/>
            </w:tcBorders>
            <w:shd w:val="clear" w:color="000000" w:fill="FFFFFF"/>
            <w:textDirection w:val="lrTb"/>
            <w:vAlign w:val="top"/>
            <w:hideMark/>
          </w:tcPr>
          <w:p w:rsidR="0027279E" w:rsidRPr="00140C50" w:rsidP="00E645EA">
            <w:pPr>
              <w:bidi w:val="0"/>
              <w:jc w:val="right"/>
              <w:rPr>
                <w:rFonts w:ascii="Times New Roman" w:hAnsi="Times New Roman"/>
                <w:color w:val="000000"/>
                <w:sz w:val="18"/>
                <w:szCs w:val="18"/>
              </w:rPr>
            </w:pPr>
            <w:r w:rsidRPr="00140C50">
              <w:rPr>
                <w:rFonts w:ascii="Times New Roman" w:hAnsi="Times New Roman"/>
                <w:color w:val="000000"/>
                <w:sz w:val="18"/>
                <w:szCs w:val="18"/>
              </w:rPr>
              <w:t>18 500,0</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rPr>
                <w:rFonts w:ascii="Times New Roman" w:hAnsi="Times New Roman"/>
                <w:color w:val="000000"/>
                <w:sz w:val="18"/>
                <w:szCs w:val="18"/>
              </w:rPr>
            </w:pPr>
            <w:r w:rsidRPr="00140C50">
              <w:rPr>
                <w:rFonts w:ascii="Times New Roman" w:hAnsi="Times New Roman"/>
                <w:color w:val="000000"/>
                <w:sz w:val="18"/>
                <w:szCs w:val="18"/>
              </w:rPr>
              <w:t>Verejný poriadok a bezpečnosť</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8</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1</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00E645EA">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8</w:t>
            </w:r>
          </w:p>
        </w:tc>
        <w:tc>
          <w:tcPr>
            <w:tcW w:w="1447" w:type="dxa"/>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8</w:t>
            </w:r>
          </w:p>
        </w:tc>
        <w:tc>
          <w:tcPr>
            <w:tcW w:w="972" w:type="dxa"/>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8</w:t>
            </w:r>
          </w:p>
        </w:tc>
        <w:tc>
          <w:tcPr>
            <w:tcW w:w="0" w:type="auto"/>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00140C50">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rPr>
                <w:rFonts w:ascii="Times New Roman" w:hAnsi="Times New Roman"/>
                <w:color w:val="000000"/>
                <w:sz w:val="18"/>
                <w:szCs w:val="18"/>
              </w:rPr>
            </w:pPr>
            <w:r w:rsidRPr="00140C50">
              <w:rPr>
                <w:rFonts w:ascii="Times New Roman" w:hAnsi="Times New Roman"/>
                <w:color w:val="000000"/>
                <w:sz w:val="18"/>
                <w:szCs w:val="18"/>
              </w:rPr>
              <w:t>Ekonomická oblasť</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41 349</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40 988</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55 997</w:t>
            </w:r>
          </w:p>
        </w:tc>
        <w:tc>
          <w:tcPr>
            <w:tcW w:w="1447" w:type="dxa"/>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5 741</w:t>
            </w:r>
          </w:p>
        </w:tc>
        <w:tc>
          <w:tcPr>
            <w:tcW w:w="972" w:type="dxa"/>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55 997</w:t>
            </w:r>
          </w:p>
        </w:tc>
        <w:tc>
          <w:tcPr>
            <w:tcW w:w="0" w:type="auto"/>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00140C50">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27279E" w:rsidRPr="00140C50" w:rsidP="0027279E">
            <w:pPr>
              <w:bidi w:val="0"/>
              <w:rPr>
                <w:rFonts w:ascii="Times New Roman" w:hAnsi="Times New Roman"/>
                <w:color w:val="000000"/>
                <w:sz w:val="18"/>
                <w:szCs w:val="18"/>
              </w:rPr>
            </w:pPr>
            <w:r w:rsidRPr="00140C50">
              <w:rPr>
                <w:rFonts w:ascii="Times New Roman" w:hAnsi="Times New Roman"/>
                <w:color w:val="000000"/>
                <w:sz w:val="18"/>
                <w:szCs w:val="18"/>
              </w:rPr>
              <w:t>Ochrana životného prostredia</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137</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2 048</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 </w:t>
            </w:r>
            <w:r w:rsidR="00E645EA">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 </w:t>
            </w:r>
          </w:p>
        </w:tc>
        <w:tc>
          <w:tcPr>
            <w:tcW w:w="1447" w:type="dxa"/>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 </w:t>
            </w:r>
          </w:p>
        </w:tc>
        <w:tc>
          <w:tcPr>
            <w:tcW w:w="972" w:type="dxa"/>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004A5C06">
              <w:rPr>
                <w:rFonts w:ascii="Times New Roman" w:hAnsi="Times New Roman"/>
                <w:color w:val="000000"/>
                <w:sz w:val="18"/>
                <w:szCs w:val="18"/>
              </w:rPr>
              <w:t>-</w:t>
            </w:r>
          </w:p>
        </w:tc>
        <w:tc>
          <w:tcPr>
            <w:tcW w:w="0" w:type="auto"/>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00140C50">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27279E" w:rsidRPr="00140C50" w:rsidP="0027279E">
            <w:pPr>
              <w:bidi w:val="0"/>
              <w:rPr>
                <w:rFonts w:ascii="Times New Roman" w:hAnsi="Times New Roman"/>
                <w:color w:val="000000"/>
                <w:sz w:val="18"/>
                <w:szCs w:val="18"/>
              </w:rPr>
            </w:pPr>
            <w:r w:rsidRPr="00140C50">
              <w:rPr>
                <w:rFonts w:ascii="Times New Roman" w:hAnsi="Times New Roman"/>
                <w:color w:val="000000"/>
                <w:sz w:val="18"/>
                <w:szCs w:val="18"/>
              </w:rPr>
              <w:t>Bývanie a občianska vybavenosť</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 </w:t>
            </w:r>
            <w:r w:rsidR="00E645EA">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 </w:t>
            </w:r>
          </w:p>
        </w:tc>
        <w:tc>
          <w:tcPr>
            <w:tcW w:w="1447" w:type="dxa"/>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 </w:t>
            </w:r>
          </w:p>
        </w:tc>
        <w:tc>
          <w:tcPr>
            <w:tcW w:w="972" w:type="dxa"/>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004A5C06">
              <w:rPr>
                <w:rFonts w:ascii="Times New Roman" w:hAnsi="Times New Roman"/>
                <w:color w:val="000000"/>
                <w:sz w:val="18"/>
                <w:szCs w:val="18"/>
              </w:rPr>
              <w:t>-</w:t>
            </w:r>
          </w:p>
        </w:tc>
        <w:tc>
          <w:tcPr>
            <w:tcW w:w="0" w:type="auto"/>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00140C50">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27279E" w:rsidRPr="00140C50" w:rsidP="0027279E">
            <w:pPr>
              <w:bidi w:val="0"/>
              <w:rPr>
                <w:rFonts w:ascii="Times New Roman" w:hAnsi="Times New Roman"/>
                <w:color w:val="000000"/>
                <w:sz w:val="18"/>
                <w:szCs w:val="18"/>
              </w:rPr>
            </w:pPr>
            <w:r w:rsidRPr="00140C50">
              <w:rPr>
                <w:rFonts w:ascii="Times New Roman" w:hAnsi="Times New Roman"/>
                <w:color w:val="000000"/>
                <w:sz w:val="18"/>
                <w:szCs w:val="18"/>
              </w:rPr>
              <w:t>Zdravotníctvo</w:t>
            </w:r>
          </w:p>
        </w:tc>
        <w:tc>
          <w:tcPr>
            <w:tcW w:w="0" w:type="auto"/>
            <w:tcBorders>
              <w:top w:val="nil"/>
              <w:left w:val="nil"/>
              <w:bottom w:val="nil"/>
              <w:right w:val="nil"/>
            </w:tcBorders>
            <w:shd w:val="clear" w:color="000000" w:fill="FFFFFF"/>
            <w:noWrap/>
            <w:textDirection w:val="lrTb"/>
            <w:vAlign w:val="center"/>
            <w:hideMark/>
          </w:tcPr>
          <w:p w:rsidR="0027279E" w:rsidRPr="00140C50" w:rsidP="00E645EA">
            <w:pPr>
              <w:bidi w:val="0"/>
              <w:jc w:val="right"/>
              <w:rPr>
                <w:rFonts w:ascii="Times New Roman" w:hAnsi="Times New Roman"/>
                <w:color w:val="000000"/>
                <w:sz w:val="18"/>
                <w:szCs w:val="18"/>
              </w:rPr>
            </w:pPr>
            <w:r w:rsidR="00E645EA">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27279E" w:rsidRPr="00140C50" w:rsidP="00E645EA">
            <w:pPr>
              <w:bidi w:val="0"/>
              <w:jc w:val="right"/>
              <w:rPr>
                <w:rFonts w:ascii="Times New Roman" w:hAnsi="Times New Roman"/>
                <w:color w:val="000000"/>
                <w:sz w:val="18"/>
                <w:szCs w:val="18"/>
              </w:rPr>
            </w:pPr>
            <w:r w:rsidR="00E645EA">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500</w:t>
            </w:r>
          </w:p>
        </w:tc>
        <w:tc>
          <w:tcPr>
            <w:tcW w:w="1447" w:type="dxa"/>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500</w:t>
            </w:r>
          </w:p>
        </w:tc>
        <w:tc>
          <w:tcPr>
            <w:tcW w:w="972" w:type="dxa"/>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500</w:t>
            </w:r>
          </w:p>
        </w:tc>
        <w:tc>
          <w:tcPr>
            <w:tcW w:w="0" w:type="auto"/>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00140C50">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27279E" w:rsidRPr="00140C50" w:rsidP="0027279E">
            <w:pPr>
              <w:bidi w:val="0"/>
              <w:rPr>
                <w:rFonts w:ascii="Times New Roman" w:hAnsi="Times New Roman"/>
                <w:color w:val="000000"/>
                <w:sz w:val="18"/>
                <w:szCs w:val="18"/>
              </w:rPr>
            </w:pPr>
            <w:r w:rsidRPr="00140C50">
              <w:rPr>
                <w:rFonts w:ascii="Times New Roman" w:hAnsi="Times New Roman"/>
                <w:color w:val="000000"/>
                <w:sz w:val="18"/>
                <w:szCs w:val="18"/>
              </w:rPr>
              <w:t>Rekreácia, kultúra a náboženstvo</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2 392</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3 072</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5 204</w:t>
            </w:r>
          </w:p>
        </w:tc>
        <w:tc>
          <w:tcPr>
            <w:tcW w:w="1447" w:type="dxa"/>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3 170</w:t>
            </w:r>
          </w:p>
        </w:tc>
        <w:tc>
          <w:tcPr>
            <w:tcW w:w="972" w:type="dxa"/>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5 204</w:t>
            </w:r>
          </w:p>
        </w:tc>
        <w:tc>
          <w:tcPr>
            <w:tcW w:w="0" w:type="auto"/>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00140C50">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27279E" w:rsidRPr="00140C50" w:rsidP="0027279E">
            <w:pPr>
              <w:bidi w:val="0"/>
              <w:rPr>
                <w:rFonts w:ascii="Times New Roman" w:hAnsi="Times New Roman"/>
                <w:color w:val="000000"/>
                <w:sz w:val="18"/>
                <w:szCs w:val="18"/>
              </w:rPr>
            </w:pPr>
            <w:r w:rsidRPr="00140C50">
              <w:rPr>
                <w:rFonts w:ascii="Times New Roman" w:hAnsi="Times New Roman"/>
                <w:color w:val="000000"/>
                <w:sz w:val="18"/>
                <w:szCs w:val="18"/>
              </w:rPr>
              <w:t>Vzdelávanie</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395 326</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409 874</w:t>
            </w:r>
          </w:p>
        </w:tc>
        <w:tc>
          <w:tcPr>
            <w:tcW w:w="0" w:type="auto"/>
            <w:tcBorders>
              <w:top w:val="nil"/>
              <w:left w:val="nil"/>
              <w:bottom w:val="nil"/>
              <w:right w:val="nil"/>
            </w:tcBorders>
            <w:shd w:val="clear" w:color="000000" w:fill="FFFFF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421 149</w:t>
            </w:r>
          </w:p>
        </w:tc>
        <w:tc>
          <w:tcPr>
            <w:tcW w:w="0" w:type="auto"/>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417 266</w:t>
            </w:r>
          </w:p>
        </w:tc>
        <w:tc>
          <w:tcPr>
            <w:tcW w:w="1447" w:type="dxa"/>
            <w:tcBorders>
              <w:top w:val="nil"/>
              <w:left w:val="nil"/>
              <w:bottom w:val="nil"/>
              <w:right w:val="nil"/>
            </w:tcBorders>
            <w:shd w:val="clear" w:color="000000" w:fill="BFBFBF"/>
            <w:noWrap/>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401 920</w:t>
            </w:r>
          </w:p>
        </w:tc>
        <w:tc>
          <w:tcPr>
            <w:tcW w:w="972" w:type="dxa"/>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-3 883</w:t>
            </w:r>
          </w:p>
        </w:tc>
        <w:tc>
          <w:tcPr>
            <w:tcW w:w="0" w:type="auto"/>
            <w:tcBorders>
              <w:top w:val="nil"/>
              <w:left w:val="nil"/>
              <w:bottom w:val="nil"/>
              <w:right w:val="nil"/>
            </w:tcBorders>
            <w:shd w:val="clear" w:color="000000" w:fill="FFFFFF"/>
            <w:textDirection w:val="lrTb"/>
            <w:vAlign w:val="center"/>
            <w:hideMark/>
          </w:tcPr>
          <w:p w:rsidR="0027279E" w:rsidRPr="00140C50" w:rsidP="0027279E">
            <w:pPr>
              <w:bidi w:val="0"/>
              <w:jc w:val="right"/>
              <w:rPr>
                <w:rFonts w:ascii="Times New Roman" w:hAnsi="Times New Roman"/>
                <w:color w:val="000000"/>
                <w:sz w:val="18"/>
                <w:szCs w:val="18"/>
              </w:rPr>
            </w:pPr>
            <w:r w:rsidRPr="00140C50">
              <w:rPr>
                <w:rFonts w:ascii="Times New Roman" w:hAnsi="Times New Roman"/>
                <w:color w:val="000000"/>
                <w:sz w:val="18"/>
                <w:szCs w:val="18"/>
              </w:rPr>
              <w:t>-0,9</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27279E" w:rsidRPr="00140C50" w:rsidP="002A333B">
            <w:pPr>
              <w:bidi w:val="0"/>
              <w:rPr>
                <w:rFonts w:ascii="Times New Roman" w:hAnsi="Times New Roman"/>
                <w:color w:val="000000"/>
                <w:sz w:val="18"/>
                <w:szCs w:val="18"/>
              </w:rPr>
            </w:pPr>
            <w:r w:rsidRPr="00140C50">
              <w:rPr>
                <w:rFonts w:ascii="Times New Roman" w:hAnsi="Times New Roman"/>
                <w:color w:val="000000"/>
                <w:sz w:val="18"/>
                <w:szCs w:val="18"/>
              </w:rPr>
              <w:t>Sociálne zabezpečenie</w:t>
            </w:r>
          </w:p>
        </w:tc>
        <w:tc>
          <w:tcPr>
            <w:tcW w:w="0" w:type="auto"/>
            <w:tcBorders>
              <w:top w:val="nil"/>
              <w:left w:val="nil"/>
              <w:bottom w:val="nil"/>
              <w:right w:val="nil"/>
            </w:tcBorders>
            <w:shd w:val="clear" w:color="000000" w:fill="FFFFFF"/>
            <w:noWrap/>
            <w:textDirection w:val="lrTb"/>
            <w:vAlign w:val="center"/>
            <w:hideMark/>
          </w:tcPr>
          <w:p w:rsidR="0027279E" w:rsidRPr="00140C50" w:rsidP="002A333B">
            <w:pPr>
              <w:bidi w:val="0"/>
              <w:jc w:val="right"/>
              <w:rPr>
                <w:rFonts w:ascii="Times New Roman" w:hAnsi="Times New Roman"/>
                <w:color w:val="000000"/>
                <w:sz w:val="18"/>
                <w:szCs w:val="18"/>
              </w:rPr>
            </w:pPr>
            <w:r w:rsidRPr="00140C50">
              <w:rPr>
                <w:rFonts w:ascii="Times New Roman" w:hAnsi="Times New Roman"/>
                <w:color w:val="000000"/>
                <w:sz w:val="18"/>
                <w:szCs w:val="18"/>
              </w:rPr>
              <w:t>1 665</w:t>
            </w:r>
          </w:p>
        </w:tc>
        <w:tc>
          <w:tcPr>
            <w:tcW w:w="0" w:type="auto"/>
            <w:tcBorders>
              <w:top w:val="nil"/>
              <w:left w:val="nil"/>
              <w:bottom w:val="nil"/>
              <w:right w:val="nil"/>
            </w:tcBorders>
            <w:shd w:val="clear" w:color="000000" w:fill="FFFFFF"/>
            <w:noWrap/>
            <w:textDirection w:val="lrTb"/>
            <w:vAlign w:val="center"/>
            <w:hideMark/>
          </w:tcPr>
          <w:p w:rsidR="0027279E" w:rsidRPr="00140C50" w:rsidP="002A333B">
            <w:pPr>
              <w:bidi w:val="0"/>
              <w:jc w:val="right"/>
              <w:rPr>
                <w:rFonts w:ascii="Times New Roman" w:hAnsi="Times New Roman"/>
                <w:color w:val="000000"/>
                <w:sz w:val="18"/>
                <w:szCs w:val="18"/>
              </w:rPr>
            </w:pPr>
            <w:r w:rsidRPr="00140C50">
              <w:rPr>
                <w:rFonts w:ascii="Times New Roman" w:hAnsi="Times New Roman"/>
                <w:color w:val="000000"/>
                <w:sz w:val="18"/>
                <w:szCs w:val="18"/>
              </w:rPr>
              <w:t>1 780</w:t>
            </w:r>
          </w:p>
        </w:tc>
        <w:tc>
          <w:tcPr>
            <w:tcW w:w="0" w:type="auto"/>
            <w:tcBorders>
              <w:top w:val="nil"/>
              <w:left w:val="nil"/>
              <w:bottom w:val="nil"/>
              <w:right w:val="nil"/>
            </w:tcBorders>
            <w:shd w:val="clear" w:color="000000" w:fill="FFFFFF"/>
            <w:noWrap/>
            <w:textDirection w:val="lrTb"/>
            <w:vAlign w:val="center"/>
            <w:hideMark/>
          </w:tcPr>
          <w:p w:rsidR="0027279E" w:rsidRPr="00140C50" w:rsidP="002A333B">
            <w:pPr>
              <w:bidi w:val="0"/>
              <w:jc w:val="right"/>
              <w:rPr>
                <w:rFonts w:ascii="Times New Roman" w:hAnsi="Times New Roman"/>
                <w:color w:val="000000"/>
                <w:sz w:val="18"/>
                <w:szCs w:val="18"/>
              </w:rPr>
            </w:pPr>
            <w:r w:rsidRPr="00140C50">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27279E" w:rsidRPr="00140C50" w:rsidP="002A333B">
            <w:pPr>
              <w:bidi w:val="0"/>
              <w:jc w:val="right"/>
              <w:rPr>
                <w:rFonts w:ascii="Times New Roman" w:hAnsi="Times New Roman"/>
                <w:color w:val="000000"/>
                <w:sz w:val="18"/>
                <w:szCs w:val="18"/>
              </w:rPr>
            </w:pPr>
            <w:r w:rsidRPr="00140C50">
              <w:rPr>
                <w:rFonts w:ascii="Times New Roman" w:hAnsi="Times New Roman"/>
                <w:color w:val="000000"/>
                <w:sz w:val="18"/>
                <w:szCs w:val="18"/>
              </w:rPr>
              <w:t>1 925</w:t>
            </w:r>
          </w:p>
        </w:tc>
        <w:tc>
          <w:tcPr>
            <w:tcW w:w="1447" w:type="dxa"/>
            <w:tcBorders>
              <w:top w:val="nil"/>
              <w:left w:val="nil"/>
              <w:bottom w:val="nil"/>
              <w:right w:val="nil"/>
            </w:tcBorders>
            <w:shd w:val="clear" w:color="000000" w:fill="BFBFBF"/>
            <w:noWrap/>
            <w:textDirection w:val="lrTb"/>
            <w:vAlign w:val="center"/>
            <w:hideMark/>
          </w:tcPr>
          <w:p w:rsidR="0027279E" w:rsidRPr="00140C50" w:rsidP="002A333B">
            <w:pPr>
              <w:bidi w:val="0"/>
              <w:jc w:val="right"/>
              <w:rPr>
                <w:rFonts w:ascii="Times New Roman" w:hAnsi="Times New Roman"/>
                <w:color w:val="000000"/>
                <w:sz w:val="18"/>
                <w:szCs w:val="18"/>
              </w:rPr>
            </w:pPr>
            <w:r w:rsidRPr="00140C50">
              <w:rPr>
                <w:rFonts w:ascii="Times New Roman" w:hAnsi="Times New Roman"/>
                <w:color w:val="000000"/>
                <w:sz w:val="18"/>
                <w:szCs w:val="18"/>
              </w:rPr>
              <w:t>1 925</w:t>
            </w:r>
          </w:p>
        </w:tc>
        <w:tc>
          <w:tcPr>
            <w:tcW w:w="972" w:type="dxa"/>
            <w:tcBorders>
              <w:top w:val="nil"/>
              <w:left w:val="nil"/>
              <w:bottom w:val="nil"/>
              <w:right w:val="nil"/>
            </w:tcBorders>
            <w:shd w:val="clear" w:color="000000" w:fill="FFFFFF"/>
            <w:textDirection w:val="lrTb"/>
            <w:vAlign w:val="center"/>
            <w:hideMark/>
          </w:tcPr>
          <w:p w:rsidR="0027279E" w:rsidRPr="00140C50" w:rsidP="002A333B">
            <w:pPr>
              <w:bidi w:val="0"/>
              <w:jc w:val="right"/>
              <w:rPr>
                <w:rFonts w:ascii="Times New Roman" w:hAnsi="Times New Roman"/>
                <w:color w:val="000000"/>
                <w:sz w:val="18"/>
                <w:szCs w:val="18"/>
              </w:rPr>
            </w:pPr>
            <w:r w:rsidRPr="00140C50">
              <w:rPr>
                <w:rFonts w:ascii="Times New Roman" w:hAnsi="Times New Roman"/>
                <w:color w:val="000000"/>
                <w:sz w:val="18"/>
                <w:szCs w:val="18"/>
              </w:rPr>
              <w:t>1 925</w:t>
            </w:r>
          </w:p>
        </w:tc>
        <w:tc>
          <w:tcPr>
            <w:tcW w:w="0" w:type="auto"/>
            <w:tcBorders>
              <w:top w:val="nil"/>
              <w:left w:val="nil"/>
              <w:bottom w:val="nil"/>
              <w:right w:val="nil"/>
            </w:tcBorders>
            <w:shd w:val="clear" w:color="000000" w:fill="FFFFFF"/>
            <w:textDirection w:val="lrTb"/>
            <w:vAlign w:val="center"/>
            <w:hideMark/>
          </w:tcPr>
          <w:p w:rsidR="0027279E" w:rsidRPr="00140C50" w:rsidP="002A333B">
            <w:pPr>
              <w:bidi w:val="0"/>
              <w:jc w:val="right"/>
              <w:rPr>
                <w:rFonts w:ascii="Times New Roman" w:hAnsi="Times New Roman"/>
                <w:color w:val="000000"/>
                <w:sz w:val="18"/>
                <w:szCs w:val="18"/>
              </w:rPr>
            </w:pPr>
            <w:r w:rsidR="00140C50">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45"/>
        </w:trPr>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27279E" w:rsidRPr="00140C50" w:rsidP="0027279E">
            <w:pPr>
              <w:bidi w:val="0"/>
              <w:rPr>
                <w:rFonts w:ascii="Times New Roman" w:hAnsi="Times New Roman"/>
                <w:b/>
                <w:bCs/>
                <w:color w:val="000000"/>
                <w:sz w:val="18"/>
                <w:szCs w:val="18"/>
              </w:rPr>
            </w:pPr>
            <w:r w:rsidRPr="00140C50">
              <w:rPr>
                <w:rFonts w:ascii="Times New Roman" w:hAnsi="Times New Roman"/>
                <w:b/>
                <w:bCs/>
                <w:color w:val="000000"/>
                <w:sz w:val="18"/>
                <w:szCs w:val="18"/>
              </w:rPr>
              <w:t>Spolu</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27279E" w:rsidRPr="00140C50" w:rsidP="0027279E">
            <w:pPr>
              <w:bidi w:val="0"/>
              <w:jc w:val="right"/>
              <w:rPr>
                <w:rFonts w:ascii="Times New Roman" w:hAnsi="Times New Roman"/>
                <w:b/>
                <w:bCs/>
                <w:color w:val="000000"/>
                <w:sz w:val="18"/>
                <w:szCs w:val="18"/>
              </w:rPr>
            </w:pPr>
            <w:r w:rsidRPr="00140C50">
              <w:rPr>
                <w:rFonts w:ascii="Times New Roman" w:hAnsi="Times New Roman"/>
                <w:b/>
                <w:bCs/>
                <w:color w:val="000000"/>
                <w:sz w:val="18"/>
                <w:szCs w:val="18"/>
              </w:rPr>
              <w:t>455 934</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27279E" w:rsidRPr="00140C50" w:rsidP="0027279E">
            <w:pPr>
              <w:bidi w:val="0"/>
              <w:jc w:val="right"/>
              <w:rPr>
                <w:rFonts w:ascii="Times New Roman" w:hAnsi="Times New Roman"/>
                <w:b/>
                <w:bCs/>
                <w:color w:val="000000"/>
                <w:sz w:val="18"/>
                <w:szCs w:val="18"/>
              </w:rPr>
            </w:pPr>
            <w:r w:rsidRPr="00140C50">
              <w:rPr>
                <w:rFonts w:ascii="Times New Roman" w:hAnsi="Times New Roman"/>
                <w:b/>
                <w:bCs/>
                <w:color w:val="000000"/>
                <w:sz w:val="18"/>
                <w:szCs w:val="18"/>
              </w:rPr>
              <w:t>463 514</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27279E" w:rsidRPr="00140C50" w:rsidP="0027279E">
            <w:pPr>
              <w:bidi w:val="0"/>
              <w:jc w:val="right"/>
              <w:rPr>
                <w:rFonts w:ascii="Times New Roman" w:hAnsi="Times New Roman"/>
                <w:b/>
                <w:bCs/>
                <w:color w:val="000000"/>
                <w:sz w:val="18"/>
                <w:szCs w:val="18"/>
              </w:rPr>
            </w:pPr>
            <w:r w:rsidRPr="00140C50">
              <w:rPr>
                <w:rFonts w:ascii="Times New Roman" w:hAnsi="Times New Roman"/>
                <w:b/>
                <w:bCs/>
                <w:color w:val="000000"/>
                <w:sz w:val="18"/>
                <w:szCs w:val="18"/>
              </w:rPr>
              <w:t>421 159</w:t>
            </w:r>
          </w:p>
        </w:tc>
        <w:tc>
          <w:tcPr>
            <w:tcW w:w="0" w:type="auto"/>
            <w:tcBorders>
              <w:top w:val="single" w:sz="4" w:space="0" w:color="auto"/>
              <w:left w:val="nil"/>
              <w:bottom w:val="single" w:sz="8" w:space="0" w:color="auto"/>
              <w:right w:val="nil"/>
            </w:tcBorders>
            <w:shd w:val="clear" w:color="000000" w:fill="BFBFBF"/>
            <w:noWrap/>
            <w:textDirection w:val="lrTb"/>
            <w:vAlign w:val="center"/>
            <w:hideMark/>
          </w:tcPr>
          <w:p w:rsidR="0027279E" w:rsidRPr="00140C50" w:rsidP="0027279E">
            <w:pPr>
              <w:bidi w:val="0"/>
              <w:jc w:val="right"/>
              <w:rPr>
                <w:rFonts w:ascii="Times New Roman" w:hAnsi="Times New Roman"/>
                <w:b/>
                <w:bCs/>
                <w:color w:val="000000"/>
                <w:sz w:val="18"/>
                <w:szCs w:val="18"/>
              </w:rPr>
            </w:pPr>
            <w:r w:rsidRPr="00140C50">
              <w:rPr>
                <w:rFonts w:ascii="Times New Roman" w:hAnsi="Times New Roman"/>
                <w:b/>
                <w:bCs/>
                <w:color w:val="000000"/>
                <w:sz w:val="18"/>
                <w:szCs w:val="18"/>
              </w:rPr>
              <w:t>482 760</w:t>
            </w:r>
          </w:p>
        </w:tc>
        <w:tc>
          <w:tcPr>
            <w:tcW w:w="1447" w:type="dxa"/>
            <w:tcBorders>
              <w:top w:val="single" w:sz="4" w:space="0" w:color="auto"/>
              <w:left w:val="nil"/>
              <w:bottom w:val="single" w:sz="8" w:space="0" w:color="auto"/>
              <w:right w:val="nil"/>
            </w:tcBorders>
            <w:shd w:val="clear" w:color="000000" w:fill="BFBFBF"/>
            <w:noWrap/>
            <w:textDirection w:val="lrTb"/>
            <w:vAlign w:val="center"/>
            <w:hideMark/>
          </w:tcPr>
          <w:p w:rsidR="0027279E" w:rsidRPr="00140C50" w:rsidP="0027279E">
            <w:pPr>
              <w:bidi w:val="0"/>
              <w:jc w:val="right"/>
              <w:rPr>
                <w:rFonts w:ascii="Times New Roman" w:hAnsi="Times New Roman"/>
                <w:b/>
                <w:bCs/>
                <w:color w:val="000000"/>
                <w:sz w:val="18"/>
                <w:szCs w:val="18"/>
              </w:rPr>
            </w:pPr>
            <w:r w:rsidRPr="00140C50">
              <w:rPr>
                <w:rFonts w:ascii="Times New Roman" w:hAnsi="Times New Roman"/>
                <w:b/>
                <w:bCs/>
                <w:color w:val="000000"/>
                <w:sz w:val="18"/>
                <w:szCs w:val="18"/>
              </w:rPr>
              <w:t>413 574</w:t>
            </w:r>
          </w:p>
        </w:tc>
        <w:tc>
          <w:tcPr>
            <w:tcW w:w="972" w:type="dxa"/>
            <w:tcBorders>
              <w:top w:val="single" w:sz="4" w:space="0" w:color="auto"/>
              <w:left w:val="nil"/>
              <w:bottom w:val="single" w:sz="8" w:space="0" w:color="auto"/>
              <w:right w:val="nil"/>
            </w:tcBorders>
            <w:shd w:val="clear" w:color="000000" w:fill="FFFFFF"/>
            <w:noWrap/>
            <w:textDirection w:val="lrTb"/>
            <w:vAlign w:val="center"/>
            <w:hideMark/>
          </w:tcPr>
          <w:p w:rsidR="0027279E" w:rsidRPr="00140C50" w:rsidP="0027279E">
            <w:pPr>
              <w:bidi w:val="0"/>
              <w:jc w:val="right"/>
              <w:rPr>
                <w:rFonts w:ascii="Times New Roman" w:hAnsi="Times New Roman"/>
                <w:b/>
                <w:bCs/>
                <w:color w:val="000000"/>
                <w:sz w:val="18"/>
                <w:szCs w:val="18"/>
              </w:rPr>
            </w:pPr>
            <w:r w:rsidRPr="00140C50">
              <w:rPr>
                <w:rFonts w:ascii="Times New Roman" w:hAnsi="Times New Roman"/>
                <w:b/>
                <w:bCs/>
                <w:color w:val="000000"/>
                <w:sz w:val="18"/>
                <w:szCs w:val="18"/>
              </w:rPr>
              <w:t>61 601</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27279E" w:rsidRPr="00140C50" w:rsidP="0027279E">
            <w:pPr>
              <w:bidi w:val="0"/>
              <w:jc w:val="right"/>
              <w:rPr>
                <w:rFonts w:ascii="Times New Roman" w:hAnsi="Times New Roman"/>
                <w:b/>
                <w:bCs/>
                <w:color w:val="000000"/>
                <w:sz w:val="18"/>
                <w:szCs w:val="18"/>
              </w:rPr>
            </w:pPr>
            <w:r w:rsidRPr="00140C50">
              <w:rPr>
                <w:rFonts w:ascii="Times New Roman" w:hAnsi="Times New Roman"/>
                <w:b/>
                <w:bCs/>
                <w:color w:val="000000"/>
                <w:sz w:val="18"/>
                <w:szCs w:val="18"/>
              </w:rPr>
              <w:t>14,6</w:t>
            </w:r>
          </w:p>
        </w:tc>
      </w:tr>
    </w:tbl>
    <w:p w:rsidR="00196F75" w:rsidP="00196F75">
      <w:pPr>
        <w:suppressAutoHyphens/>
        <w:bidi w:val="0"/>
        <w:spacing w:after="120" w:line="336" w:lineRule="auto"/>
        <w:jc w:val="both"/>
        <w:rPr>
          <w:rFonts w:ascii="Times New Roman" w:hAnsi="Times New Roman"/>
          <w:color w:val="000000"/>
          <w:sz w:val="18"/>
          <w:szCs w:val="18"/>
        </w:rPr>
      </w:pPr>
      <w:r w:rsidRPr="006E50E2" w:rsidR="0027279E">
        <w:rPr>
          <w:rFonts w:ascii="Times New Roman" w:hAnsi="Times New Roman"/>
          <w:color w:val="000000"/>
          <w:sz w:val="18"/>
          <w:szCs w:val="18"/>
        </w:rPr>
        <w:t xml:space="preserve">Poznámka: * len prostriedky štátneho rozpočtu </w:t>
      </w:r>
      <w:r>
        <w:rPr>
          <w:rFonts w:ascii="Times New Roman" w:hAnsi="Times New Roman"/>
          <w:color w:val="000000"/>
          <w:sz w:val="18"/>
          <w:szCs w:val="18"/>
        </w:rPr>
        <w:t xml:space="preserve">                                                                                                </w:t>
      </w:r>
      <w:r w:rsidRPr="006E50E2">
        <w:rPr>
          <w:rFonts w:ascii="Times New Roman" w:hAnsi="Times New Roman"/>
          <w:color w:val="000000"/>
          <w:sz w:val="18"/>
          <w:szCs w:val="18"/>
        </w:rPr>
        <w:t>Zdroj: MF SR</w:t>
      </w:r>
    </w:p>
    <w:p w:rsidR="00CF6C2F" w:rsidP="0027279E">
      <w:pPr>
        <w:suppressAutoHyphens/>
        <w:bidi w:val="0"/>
        <w:spacing w:after="120" w:line="336" w:lineRule="auto"/>
        <w:jc w:val="both"/>
        <w:rPr>
          <w:rFonts w:ascii="Times New Roman" w:hAnsi="Times New Roman"/>
          <w:color w:val="000000"/>
          <w:sz w:val="22"/>
          <w:szCs w:val="22"/>
        </w:rPr>
      </w:pPr>
      <w:r w:rsidR="00F46377">
        <w:rPr>
          <w:rFonts w:ascii="Times New Roman" w:hAnsi="Times New Roman"/>
          <w:color w:val="000000"/>
          <w:sz w:val="22"/>
          <w:szCs w:val="22"/>
        </w:rPr>
        <w:br w:type="page"/>
      </w:r>
      <w:r w:rsidRPr="006E50E2" w:rsidR="0027279E">
        <w:rPr>
          <w:rFonts w:ascii="Times New Roman" w:hAnsi="Times New Roman"/>
          <w:color w:val="000000"/>
          <w:sz w:val="22"/>
          <w:szCs w:val="22"/>
        </w:rPr>
        <w:t>Do rozpočtov VÚC boli poskytnuté granty a transfery z jednotlivých rozpočtových kapitol v nasledovnom členení:</w:t>
      </w:r>
    </w:p>
    <w:tbl>
      <w:tblPr>
        <w:tblStyle w:val="TableNormal"/>
        <w:tblW w:w="0" w:type="auto"/>
        <w:tblInd w:w="55" w:type="dxa"/>
        <w:tblCellMar>
          <w:left w:w="70" w:type="dxa"/>
          <w:right w:w="70" w:type="dxa"/>
        </w:tblCellMar>
        <w:tblLook w:val="04A0"/>
      </w:tblPr>
      <w:tblGrid>
        <w:gridCol w:w="3333"/>
        <w:gridCol w:w="725"/>
        <w:gridCol w:w="725"/>
        <w:gridCol w:w="850"/>
        <w:gridCol w:w="725"/>
        <w:gridCol w:w="1144"/>
        <w:gridCol w:w="752"/>
        <w:gridCol w:w="619"/>
      </w:tblGrid>
      <w:tr>
        <w:tblPrEx>
          <w:tblW w:w="0" w:type="auto"/>
          <w:tblInd w:w="55" w:type="dxa"/>
          <w:tblCellMar>
            <w:left w:w="70" w:type="dxa"/>
            <w:right w:w="70" w:type="dxa"/>
          </w:tblCellMar>
          <w:tblLook w:val="04A0"/>
        </w:tblPrEx>
        <w:trPr>
          <w:trHeight w:val="330"/>
        </w:trPr>
        <w:tc>
          <w:tcPr>
            <w:tcW w:w="0" w:type="auto"/>
            <w:gridSpan w:val="8"/>
            <w:tcBorders>
              <w:top w:val="nil"/>
              <w:left w:val="single" w:sz="8" w:space="0" w:color="auto"/>
              <w:bottom w:val="nil"/>
              <w:right w:val="nil"/>
            </w:tcBorders>
            <w:shd w:val="clear" w:color="000000" w:fill="000000"/>
            <w:textDirection w:val="lrTb"/>
            <w:vAlign w:val="center"/>
            <w:hideMark/>
          </w:tcPr>
          <w:p w:rsidR="00CF6C2F" w:rsidRPr="00CF6C2F" w:rsidP="00E645EA">
            <w:pPr>
              <w:bidi w:val="0"/>
              <w:rPr>
                <w:rFonts w:ascii="Times New Roman" w:hAnsi="Times New Roman"/>
                <w:b/>
                <w:bCs/>
                <w:color w:val="FFFFFF"/>
                <w:sz w:val="18"/>
                <w:szCs w:val="18"/>
              </w:rPr>
            </w:pPr>
            <w:r w:rsidRPr="00CF6C2F">
              <w:rPr>
                <w:rFonts w:ascii="Times New Roman" w:hAnsi="Times New Roman"/>
                <w:b/>
                <w:bCs/>
                <w:color w:val="FFFFFF"/>
                <w:sz w:val="18"/>
                <w:szCs w:val="18"/>
              </w:rPr>
              <w:t>Granty a transfery poskytnuté VÚC podľa kapitol ŠR</w:t>
            </w:r>
            <w:r>
              <w:rPr>
                <w:rFonts w:ascii="Times New Roman" w:hAnsi="Times New Roman"/>
                <w:b/>
                <w:bCs/>
                <w:color w:val="FFFFFF"/>
                <w:sz w:val="18"/>
                <w:szCs w:val="18"/>
              </w:rPr>
              <w:t xml:space="preserve">                                                                                      </w:t>
            </w:r>
            <w:r w:rsidRPr="00CF6C2F">
              <w:rPr>
                <w:rFonts w:ascii="Times New Roman" w:hAnsi="Times New Roman"/>
                <w:b/>
                <w:bCs/>
                <w:color w:val="FFFFFF"/>
                <w:sz w:val="18"/>
                <w:szCs w:val="18"/>
              </w:rPr>
              <w:t>v tis.</w:t>
            </w:r>
            <w:r>
              <w:rPr>
                <w:rFonts w:ascii="Times New Roman" w:hAnsi="Times New Roman"/>
                <w:b/>
                <w:bCs/>
                <w:color w:val="FFFFFF"/>
                <w:sz w:val="18"/>
                <w:szCs w:val="18"/>
              </w:rPr>
              <w:t xml:space="preserve"> </w:t>
            </w:r>
            <w:r w:rsidRPr="00CF6C2F">
              <w:rPr>
                <w:rFonts w:ascii="Times New Roman" w:hAnsi="Times New Roman"/>
                <w:b/>
                <w:bCs/>
                <w:color w:val="FFFFFF"/>
                <w:sz w:val="18"/>
                <w:szCs w:val="18"/>
              </w:rPr>
              <w:t>eur</w:t>
            </w:r>
          </w:p>
        </w:tc>
      </w:tr>
      <w:tr>
        <w:tblPrEx>
          <w:tblW w:w="0" w:type="auto"/>
          <w:tblInd w:w="55" w:type="dxa"/>
          <w:tblCellMar>
            <w:left w:w="70" w:type="dxa"/>
            <w:right w:w="70" w:type="dxa"/>
          </w:tblCellMar>
          <w:tblLook w:val="04A0"/>
        </w:tblPrEx>
        <w:trPr>
          <w:trHeight w:val="510"/>
        </w:trPr>
        <w:tc>
          <w:tcPr>
            <w:tcW w:w="0" w:type="auto"/>
            <w:tcBorders>
              <w:top w:val="nil"/>
              <w:left w:val="nil"/>
              <w:bottom w:val="nil"/>
              <w:right w:val="nil"/>
            </w:tcBorders>
            <w:shd w:val="clear" w:color="000000" w:fill="BFBFBF"/>
            <w:textDirection w:val="lrTb"/>
            <w:vAlign w:val="center"/>
            <w:hideMark/>
          </w:tcPr>
          <w:p w:rsidR="00CF6C2F" w:rsidRPr="00CF6C2F" w:rsidP="00CF6C2F">
            <w:pPr>
              <w:bidi w:val="0"/>
              <w:rPr>
                <w:rFonts w:ascii="Times New Roman" w:hAnsi="Times New Roman"/>
                <w:b/>
                <w:bCs/>
                <w:color w:val="FFFFFF"/>
                <w:sz w:val="18"/>
                <w:szCs w:val="18"/>
              </w:rPr>
            </w:pPr>
            <w:r w:rsidRPr="00CF6C2F">
              <w:rPr>
                <w:rFonts w:ascii="Times New Roman" w:hAnsi="Times New Roman"/>
                <w:b/>
                <w:bCs/>
                <w:color w:val="FFFFFF"/>
                <w:sz w:val="18"/>
                <w:szCs w:val="18"/>
              </w:rPr>
              <w:t> </w:t>
            </w:r>
          </w:p>
        </w:tc>
        <w:tc>
          <w:tcPr>
            <w:tcW w:w="0" w:type="auto"/>
            <w:gridSpan w:val="2"/>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Rozpočet</w:t>
            </w:r>
          </w:p>
        </w:tc>
        <w:tc>
          <w:tcPr>
            <w:tcW w:w="0" w:type="auto"/>
            <w:gridSpan w:val="2"/>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Skutočnosť</w:t>
            </w:r>
          </w:p>
        </w:tc>
        <w:tc>
          <w:tcPr>
            <w:tcW w:w="0" w:type="auto"/>
            <w:gridSpan w:val="2"/>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Rozdiel</w:t>
            </w:r>
          </w:p>
        </w:tc>
      </w:tr>
      <w:tr>
        <w:tblPrEx>
          <w:tblW w:w="0" w:type="auto"/>
          <w:tblInd w:w="55" w:type="dxa"/>
          <w:tblCellMar>
            <w:left w:w="70" w:type="dxa"/>
            <w:right w:w="70" w:type="dxa"/>
          </w:tblCellMar>
          <w:tblLook w:val="04A0"/>
        </w:tblPrEx>
        <w:trPr>
          <w:trHeight w:val="510"/>
        </w:trPr>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sz w:val="18"/>
                <w:szCs w:val="18"/>
              </w:rPr>
            </w:pPr>
            <w:r w:rsidRPr="00CF6C2F">
              <w:rPr>
                <w:rFonts w:ascii="Times New Roman" w:hAnsi="Times New Roman"/>
                <w:b/>
                <w:bCs/>
                <w:sz w:val="18"/>
                <w:szCs w:val="18"/>
              </w:rPr>
              <w:t> </w:t>
            </w:r>
          </w:p>
        </w:tc>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2013</w:t>
            </w:r>
          </w:p>
        </w:tc>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2015</w:t>
            </w:r>
          </w:p>
        </w:tc>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z toho: zdroj 111</w:t>
            </w:r>
            <w:r w:rsidRPr="00CF6C2F">
              <w:rPr>
                <w:rFonts w:ascii="Arial Narrow" w:hAnsi="Arial Narrow"/>
                <w:b/>
                <w:bCs/>
                <w:color w:val="000000"/>
                <w:sz w:val="18"/>
                <w:szCs w:val="18"/>
              </w:rPr>
              <w:t>*</w:t>
            </w:r>
          </w:p>
        </w:tc>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 xml:space="preserve"> v tis. eur</w:t>
            </w:r>
          </w:p>
        </w:tc>
        <w:tc>
          <w:tcPr>
            <w:tcW w:w="0" w:type="auto"/>
            <w:tcBorders>
              <w:top w:val="nil"/>
              <w:left w:val="nil"/>
              <w:bottom w:val="nil"/>
              <w:right w:val="nil"/>
            </w:tcBorders>
            <w:shd w:val="clear" w:color="000000" w:fill="BFBFBF"/>
            <w:textDirection w:val="lrTb"/>
            <w:vAlign w:val="center"/>
            <w:hideMark/>
          </w:tcPr>
          <w:p w:rsidR="00CF6C2F" w:rsidRPr="00CF6C2F" w:rsidP="00CF6C2F">
            <w:pPr>
              <w:bidi w:val="0"/>
              <w:jc w:val="center"/>
              <w:rPr>
                <w:rFonts w:ascii="Times New Roman" w:hAnsi="Times New Roman"/>
                <w:b/>
                <w:bCs/>
                <w:color w:val="000000"/>
                <w:sz w:val="18"/>
                <w:szCs w:val="18"/>
              </w:rPr>
            </w:pPr>
            <w:r w:rsidRPr="00CF6C2F">
              <w:rPr>
                <w:rFonts w:ascii="Times New Roman" w:hAnsi="Times New Roman"/>
                <w:b/>
                <w:bCs/>
                <w:color w:val="000000"/>
                <w:sz w:val="18"/>
                <w:szCs w:val="18"/>
              </w:rPr>
              <w:t>v %</w:t>
            </w:r>
          </w:p>
        </w:tc>
      </w:tr>
      <w:tr>
        <w:tblPrEx>
          <w:tblW w:w="0" w:type="auto"/>
          <w:tblInd w:w="55" w:type="dxa"/>
          <w:tblCellMar>
            <w:left w:w="70" w:type="dxa"/>
            <w:right w:w="70" w:type="dxa"/>
          </w:tblCellMar>
          <w:tblLook w:val="04A0"/>
        </w:tblPrEx>
        <w:trPr>
          <w:trHeight w:val="345"/>
        </w:trPr>
        <w:tc>
          <w:tcPr>
            <w:tcW w:w="0" w:type="auto"/>
            <w:tcBorders>
              <w:top w:val="nil"/>
              <w:left w:val="nil"/>
              <w:bottom w:val="single" w:sz="8" w:space="0" w:color="auto"/>
              <w:right w:val="nil"/>
            </w:tcBorders>
            <w:shd w:val="clear" w:color="000000" w:fill="BFBFBF"/>
            <w:textDirection w:val="lrTb"/>
            <w:vAlign w:val="center"/>
            <w:hideMark/>
          </w:tcPr>
          <w:p w:rsidR="00CF6C2F" w:rsidRPr="00CF6C2F" w:rsidP="00CF6C2F">
            <w:pPr>
              <w:bidi w:val="0"/>
              <w:rPr>
                <w:rFonts w:ascii="Times New Roman" w:hAnsi="Times New Roman"/>
                <w:b/>
                <w:bCs/>
                <w:color w:val="FFFFFF"/>
                <w:sz w:val="18"/>
                <w:szCs w:val="18"/>
              </w:rPr>
            </w:pPr>
            <w:r w:rsidRPr="00CF6C2F">
              <w:rPr>
                <w:rFonts w:ascii="Times New Roman" w:hAnsi="Times New Roman"/>
                <w:b/>
                <w:bCs/>
                <w:color w:val="FFFFFF"/>
                <w:sz w:val="18"/>
                <w:szCs w:val="18"/>
              </w:rPr>
              <w:t> </w:t>
            </w:r>
          </w:p>
        </w:tc>
        <w:tc>
          <w:tcPr>
            <w:tcW w:w="0" w:type="auto"/>
            <w:tcBorders>
              <w:top w:val="nil"/>
              <w:left w:val="nil"/>
              <w:bottom w:val="single" w:sz="8" w:space="0" w:color="auto"/>
              <w:right w:val="nil"/>
            </w:tcBorders>
            <w:shd w:val="clear" w:color="000000" w:fill="BFBFBF"/>
            <w:textDirection w:val="lrTb"/>
            <w:vAlign w:val="center"/>
            <w:hideMark/>
          </w:tcPr>
          <w:p w:rsidR="00CF6C2F" w:rsidRPr="00CF6C2F" w:rsidP="00CF6C2F">
            <w:pPr>
              <w:bidi w:val="0"/>
              <w:jc w:val="center"/>
              <w:rPr>
                <w:rFonts w:ascii="Times New Roman" w:hAnsi="Times New Roman"/>
                <w:b/>
                <w:bCs/>
                <w:sz w:val="18"/>
                <w:szCs w:val="18"/>
              </w:rPr>
            </w:pPr>
            <w:r w:rsidRPr="00CF6C2F">
              <w:rPr>
                <w:rFonts w:ascii="Times New Roman" w:hAnsi="Times New Roman"/>
                <w:b/>
                <w:bCs/>
                <w:sz w:val="18"/>
                <w:szCs w:val="18"/>
              </w:rPr>
              <w:t>1</w:t>
            </w:r>
          </w:p>
        </w:tc>
        <w:tc>
          <w:tcPr>
            <w:tcW w:w="0" w:type="auto"/>
            <w:tcBorders>
              <w:top w:val="nil"/>
              <w:left w:val="nil"/>
              <w:bottom w:val="single" w:sz="8" w:space="0" w:color="auto"/>
              <w:right w:val="nil"/>
            </w:tcBorders>
            <w:shd w:val="clear" w:color="000000" w:fill="BFBFBF"/>
            <w:textDirection w:val="lrTb"/>
            <w:vAlign w:val="center"/>
            <w:hideMark/>
          </w:tcPr>
          <w:p w:rsidR="00CF6C2F" w:rsidRPr="00CF6C2F" w:rsidP="00CF6C2F">
            <w:pPr>
              <w:bidi w:val="0"/>
              <w:jc w:val="center"/>
              <w:rPr>
                <w:rFonts w:ascii="Times New Roman" w:hAnsi="Times New Roman"/>
                <w:b/>
                <w:bCs/>
                <w:sz w:val="18"/>
                <w:szCs w:val="18"/>
              </w:rPr>
            </w:pPr>
            <w:r w:rsidRPr="00CF6C2F">
              <w:rPr>
                <w:rFonts w:ascii="Times New Roman" w:hAnsi="Times New Roman"/>
                <w:b/>
                <w:bCs/>
                <w:sz w:val="18"/>
                <w:szCs w:val="18"/>
              </w:rPr>
              <w:t>2</w:t>
            </w:r>
          </w:p>
        </w:tc>
        <w:tc>
          <w:tcPr>
            <w:tcW w:w="0" w:type="auto"/>
            <w:tcBorders>
              <w:top w:val="nil"/>
              <w:left w:val="nil"/>
              <w:bottom w:val="single" w:sz="8" w:space="0" w:color="auto"/>
              <w:right w:val="nil"/>
            </w:tcBorders>
            <w:shd w:val="clear" w:color="000000" w:fill="BFBFBF"/>
            <w:textDirection w:val="lrTb"/>
            <w:vAlign w:val="center"/>
            <w:hideMark/>
          </w:tcPr>
          <w:p w:rsidR="00CF6C2F" w:rsidRPr="00CF6C2F" w:rsidP="00CF6C2F">
            <w:pPr>
              <w:bidi w:val="0"/>
              <w:jc w:val="center"/>
              <w:rPr>
                <w:rFonts w:ascii="Times New Roman" w:hAnsi="Times New Roman"/>
                <w:b/>
                <w:bCs/>
                <w:sz w:val="18"/>
                <w:szCs w:val="18"/>
              </w:rPr>
            </w:pPr>
            <w:r w:rsidRPr="00CF6C2F">
              <w:rPr>
                <w:rFonts w:ascii="Times New Roman" w:hAnsi="Times New Roman"/>
                <w:b/>
                <w:bCs/>
                <w:sz w:val="18"/>
                <w:szCs w:val="18"/>
              </w:rPr>
              <w:t>3</w:t>
            </w:r>
          </w:p>
        </w:tc>
        <w:tc>
          <w:tcPr>
            <w:tcW w:w="0" w:type="auto"/>
            <w:tcBorders>
              <w:top w:val="nil"/>
              <w:left w:val="nil"/>
              <w:bottom w:val="single" w:sz="8" w:space="0" w:color="auto"/>
              <w:right w:val="nil"/>
            </w:tcBorders>
            <w:shd w:val="clear" w:color="000000" w:fill="BFBFBF"/>
            <w:textDirection w:val="lrTb"/>
            <w:vAlign w:val="center"/>
            <w:hideMark/>
          </w:tcPr>
          <w:p w:rsidR="00CF6C2F" w:rsidRPr="00CF6C2F" w:rsidP="00CF6C2F">
            <w:pPr>
              <w:bidi w:val="0"/>
              <w:jc w:val="center"/>
              <w:rPr>
                <w:rFonts w:ascii="Times New Roman" w:hAnsi="Times New Roman"/>
                <w:b/>
                <w:bCs/>
                <w:sz w:val="18"/>
                <w:szCs w:val="18"/>
              </w:rPr>
            </w:pPr>
            <w:r w:rsidRPr="00CF6C2F">
              <w:rPr>
                <w:rFonts w:ascii="Times New Roman" w:hAnsi="Times New Roman"/>
                <w:b/>
                <w:bCs/>
                <w:sz w:val="18"/>
                <w:szCs w:val="18"/>
              </w:rPr>
              <w:t>4</w:t>
            </w:r>
          </w:p>
        </w:tc>
        <w:tc>
          <w:tcPr>
            <w:tcW w:w="0" w:type="auto"/>
            <w:tcBorders>
              <w:top w:val="nil"/>
              <w:left w:val="nil"/>
              <w:bottom w:val="single" w:sz="8" w:space="0" w:color="auto"/>
              <w:right w:val="nil"/>
            </w:tcBorders>
            <w:shd w:val="clear" w:color="000000" w:fill="BFBFBF"/>
            <w:textDirection w:val="lrTb"/>
            <w:vAlign w:val="center"/>
            <w:hideMark/>
          </w:tcPr>
          <w:p w:rsidR="00CF6C2F" w:rsidRPr="00CF6C2F" w:rsidP="00CF6C2F">
            <w:pPr>
              <w:bidi w:val="0"/>
              <w:jc w:val="center"/>
              <w:rPr>
                <w:rFonts w:ascii="Times New Roman" w:hAnsi="Times New Roman"/>
                <w:b/>
                <w:bCs/>
                <w:sz w:val="18"/>
                <w:szCs w:val="18"/>
              </w:rPr>
            </w:pPr>
            <w:r w:rsidRPr="00CF6C2F">
              <w:rPr>
                <w:rFonts w:ascii="Times New Roman" w:hAnsi="Times New Roman"/>
                <w:b/>
                <w:bCs/>
                <w:sz w:val="18"/>
                <w:szCs w:val="18"/>
              </w:rPr>
              <w:t>5</w:t>
            </w:r>
          </w:p>
        </w:tc>
        <w:tc>
          <w:tcPr>
            <w:tcW w:w="0" w:type="auto"/>
            <w:tcBorders>
              <w:top w:val="nil"/>
              <w:left w:val="nil"/>
              <w:bottom w:val="single" w:sz="8" w:space="0" w:color="auto"/>
              <w:right w:val="nil"/>
            </w:tcBorders>
            <w:shd w:val="clear" w:color="000000" w:fill="BFBFBF"/>
            <w:textDirection w:val="lrTb"/>
            <w:vAlign w:val="center"/>
            <w:hideMark/>
          </w:tcPr>
          <w:p w:rsidR="00CF6C2F" w:rsidRPr="00CF6C2F" w:rsidP="00CF6C2F">
            <w:pPr>
              <w:bidi w:val="0"/>
              <w:jc w:val="center"/>
              <w:rPr>
                <w:rFonts w:ascii="Times New Roman" w:hAnsi="Times New Roman"/>
                <w:b/>
                <w:bCs/>
                <w:sz w:val="18"/>
                <w:szCs w:val="18"/>
              </w:rPr>
            </w:pPr>
            <w:r w:rsidRPr="00CF6C2F">
              <w:rPr>
                <w:rFonts w:ascii="Times New Roman" w:hAnsi="Times New Roman"/>
                <w:b/>
                <w:bCs/>
                <w:sz w:val="18"/>
                <w:szCs w:val="18"/>
              </w:rPr>
              <w:t>6=4-3</w:t>
            </w:r>
          </w:p>
        </w:tc>
        <w:tc>
          <w:tcPr>
            <w:tcW w:w="0" w:type="auto"/>
            <w:tcBorders>
              <w:top w:val="nil"/>
              <w:left w:val="nil"/>
              <w:bottom w:val="single" w:sz="8" w:space="0" w:color="auto"/>
              <w:right w:val="nil"/>
            </w:tcBorders>
            <w:shd w:val="clear" w:color="000000" w:fill="BFBFBF"/>
            <w:textDirection w:val="lrTb"/>
            <w:vAlign w:val="center"/>
            <w:hideMark/>
          </w:tcPr>
          <w:p w:rsidR="00CF6C2F" w:rsidRPr="00CF6C2F" w:rsidP="00CF6C2F">
            <w:pPr>
              <w:bidi w:val="0"/>
              <w:jc w:val="center"/>
              <w:rPr>
                <w:rFonts w:ascii="Times New Roman" w:hAnsi="Times New Roman"/>
                <w:b/>
                <w:bCs/>
                <w:sz w:val="18"/>
                <w:szCs w:val="18"/>
              </w:rPr>
            </w:pPr>
            <w:r w:rsidRPr="00CF6C2F">
              <w:rPr>
                <w:rFonts w:ascii="Times New Roman" w:hAnsi="Times New Roman"/>
                <w:b/>
                <w:bCs/>
                <w:sz w:val="18"/>
                <w:szCs w:val="18"/>
              </w:rPr>
              <w:t>7=4-3</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školstva, vedy, výskumu a športu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392 796</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409 654</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421 149</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416 767</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401 421</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-4 382</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-1,0</w:t>
            </w:r>
          </w:p>
        </w:tc>
      </w:tr>
      <w:tr>
        <w:tblPrEx>
          <w:tblW w:w="0" w:type="auto"/>
          <w:tblInd w:w="55" w:type="dxa"/>
          <w:tblCellMar>
            <w:left w:w="70" w:type="dxa"/>
            <w:right w:w="70" w:type="dxa"/>
          </w:tblCellMar>
          <w:tblLook w:val="04A0"/>
        </w:tblPrEx>
        <w:trPr>
          <w:trHeight w:val="300"/>
        </w:trPr>
        <w:tc>
          <w:tcPr>
            <w:tcW w:w="0" w:type="auto"/>
            <w:tcBorders>
              <w:top w:val="nil"/>
              <w:left w:val="nil"/>
              <w:bottom w:val="nil"/>
              <w:right w:val="nil"/>
            </w:tcBorders>
            <w:shd w:val="clear" w:color="000000" w:fill="FFFFFF"/>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pôdohospodárstva a rozvoja vidieka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33 012</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40 754</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49 833</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49 833</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financií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14 214</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4 068</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3 546</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3 546</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Všeobecná pokladničná správa</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9 906</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3 804</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E645EA">
            <w:pPr>
              <w:bidi w:val="0"/>
              <w:jc w:val="right"/>
              <w:rPr>
                <w:rFonts w:ascii="Times New Roman" w:hAnsi="Times New Roman"/>
                <w:color w:val="000000"/>
                <w:sz w:val="18"/>
                <w:szCs w:val="18"/>
              </w:rPr>
            </w:pPr>
            <w:r w:rsidRPr="00CF6C2F">
              <w:rPr>
                <w:rFonts w:ascii="Times New Roman" w:hAnsi="Times New Roman"/>
                <w:color w:val="000000"/>
                <w:sz w:val="18"/>
                <w:szCs w:val="18"/>
              </w:rPr>
              <w:t>6 850</w:t>
            </w:r>
          </w:p>
        </w:tc>
        <w:tc>
          <w:tcPr>
            <w:tcW w:w="0" w:type="auto"/>
            <w:tcBorders>
              <w:top w:val="nil"/>
              <w:left w:val="nil"/>
              <w:bottom w:val="nil"/>
              <w:right w:val="nil"/>
            </w:tcBorders>
            <w:shd w:val="clear" w:color="000000" w:fill="BFBFBF"/>
            <w:noWrap/>
            <w:textDirection w:val="lrTb"/>
            <w:vAlign w:val="center"/>
            <w:hideMark/>
          </w:tcPr>
          <w:p w:rsidR="00E645EA" w:rsidRPr="00CF6C2F" w:rsidP="00E645EA">
            <w:pPr>
              <w:bidi w:val="0"/>
              <w:jc w:val="right"/>
              <w:rPr>
                <w:rFonts w:ascii="Times New Roman" w:hAnsi="Times New Roman"/>
                <w:color w:val="000000"/>
                <w:sz w:val="18"/>
                <w:szCs w:val="18"/>
              </w:rPr>
            </w:pPr>
            <w:r w:rsidRPr="00CF6C2F">
              <w:rPr>
                <w:rFonts w:ascii="Times New Roman" w:hAnsi="Times New Roman"/>
                <w:color w:val="000000"/>
                <w:sz w:val="18"/>
                <w:szCs w:val="18"/>
              </w:rPr>
              <w:t>6 850</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6 850</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kultúry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2 392</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2 837</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3 045</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3 045</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3 045</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práce, soc.vecí a rodiny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1 989</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1 798</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2 224</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1 801</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2 224</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Úrad vlády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187</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260</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333</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296</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323</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3 230,0</w:t>
            </w:r>
          </w:p>
        </w:tc>
      </w:tr>
      <w:tr>
        <w:tblPrEx>
          <w:tblW w:w="0" w:type="auto"/>
          <w:tblInd w:w="55" w:type="dxa"/>
          <w:tblCellMar>
            <w:left w:w="70" w:type="dxa"/>
            <w:right w:w="70" w:type="dxa"/>
          </w:tblCellMar>
          <w:tblLook w:val="04A0"/>
        </w:tblPrEx>
        <w:trPr>
          <w:trHeight w:val="300"/>
        </w:trPr>
        <w:tc>
          <w:tcPr>
            <w:tcW w:w="0" w:type="auto"/>
            <w:tcBorders>
              <w:top w:val="nil"/>
              <w:left w:val="nil"/>
              <w:bottom w:val="nil"/>
              <w:right w:val="nil"/>
            </w:tcBorders>
            <w:shd w:val="clear" w:color="000000" w:fill="FFFFFF"/>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dopravy, výstavby a region.rozvoja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90</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147</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147</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147</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vnútra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229</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9</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9</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9</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480"/>
        </w:trPr>
        <w:tc>
          <w:tcPr>
            <w:tcW w:w="0" w:type="auto"/>
            <w:tcBorders>
              <w:top w:val="nil"/>
              <w:left w:val="nil"/>
              <w:bottom w:val="nil"/>
              <w:right w:val="nil"/>
            </w:tcBorders>
            <w:shd w:val="clear" w:color="000000" w:fill="FFFFFF"/>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zahranič. vecí a európskych záležitostí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17</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5</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5</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5</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E645EA" w:rsidRPr="00CF6C2F" w:rsidP="00D265F6">
            <w:pPr>
              <w:bidi w:val="0"/>
              <w:rPr>
                <w:rFonts w:ascii="Times New Roman" w:hAnsi="Times New Roman"/>
                <w:color w:val="000000"/>
                <w:sz w:val="18"/>
                <w:szCs w:val="18"/>
              </w:rPr>
            </w:pPr>
            <w:r w:rsidRPr="00CF6C2F">
              <w:rPr>
                <w:rFonts w:ascii="Times New Roman" w:hAnsi="Times New Roman"/>
                <w:color w:val="000000"/>
                <w:sz w:val="18"/>
                <w:szCs w:val="18"/>
              </w:rPr>
              <w:t>Ministerstvo zdravotníctva SR</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1 093</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227</w:t>
            </w:r>
          </w:p>
        </w:tc>
        <w:tc>
          <w:tcPr>
            <w:tcW w:w="0" w:type="auto"/>
            <w:tcBorders>
              <w:top w:val="nil"/>
              <w:left w:val="nil"/>
              <w:bottom w:val="nil"/>
              <w:right w:val="nil"/>
            </w:tcBorders>
            <w:shd w:val="clear" w:color="000000" w:fill="FFFFF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w:t>
            </w:r>
          </w:p>
        </w:tc>
        <w:tc>
          <w:tcPr>
            <w:tcW w:w="0" w:type="auto"/>
            <w:tcBorders>
              <w:top w:val="nil"/>
              <w:left w:val="nil"/>
              <w:bottom w:val="nil"/>
              <w:right w:val="nil"/>
            </w:tcBorders>
            <w:shd w:val="clear" w:color="000000" w:fill="BFBFBF"/>
            <w:noWrap/>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0</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sidRPr="00CF6C2F">
              <w:rPr>
                <w:rFonts w:ascii="Times New Roman" w:hAnsi="Times New Roman"/>
                <w:color w:val="000000"/>
                <w:sz w:val="18"/>
                <w:szCs w:val="18"/>
              </w:rPr>
              <w:t>1</w:t>
            </w:r>
          </w:p>
        </w:tc>
        <w:tc>
          <w:tcPr>
            <w:tcW w:w="0" w:type="auto"/>
            <w:tcBorders>
              <w:top w:val="nil"/>
              <w:left w:val="nil"/>
              <w:bottom w:val="nil"/>
              <w:right w:val="nil"/>
            </w:tcBorders>
            <w:shd w:val="clear" w:color="000000" w:fill="FFFFFF"/>
            <w:textDirection w:val="lrTb"/>
            <w:vAlign w:val="center"/>
            <w:hideMark/>
          </w:tcPr>
          <w:p w:rsidR="00E645EA" w:rsidRPr="00CF6C2F" w:rsidP="00D265F6">
            <w:pPr>
              <w:bidi w:val="0"/>
              <w:jc w:val="right"/>
              <w:rPr>
                <w:rFonts w:ascii="Times New Roman" w:hAnsi="Times New Roman"/>
                <w:color w:val="000000"/>
                <w:sz w:val="18"/>
                <w:szCs w:val="18"/>
              </w:rPr>
            </w:pPr>
            <w:r>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45"/>
        </w:trPr>
        <w:tc>
          <w:tcPr>
            <w:tcW w:w="0" w:type="auto"/>
            <w:tcBorders>
              <w:top w:val="nil"/>
              <w:left w:val="nil"/>
              <w:bottom w:val="nil"/>
              <w:right w:val="nil"/>
            </w:tcBorders>
            <w:shd w:val="clear" w:color="000000" w:fill="FFFFFF"/>
            <w:textDirection w:val="lrTb"/>
            <w:vAlign w:val="center"/>
            <w:hideMark/>
          </w:tcPr>
          <w:p w:rsidR="00CF6C2F" w:rsidRPr="00CF6C2F" w:rsidP="00CF6C2F">
            <w:pPr>
              <w:bidi w:val="0"/>
              <w:rPr>
                <w:rFonts w:ascii="Times New Roman" w:hAnsi="Times New Roman"/>
                <w:color w:val="000000"/>
                <w:sz w:val="18"/>
                <w:szCs w:val="18"/>
              </w:rPr>
            </w:pPr>
            <w:r w:rsidRPr="00CF6C2F">
              <w:rPr>
                <w:rFonts w:ascii="Times New Roman" w:hAnsi="Times New Roman"/>
                <w:color w:val="000000"/>
                <w:sz w:val="18"/>
                <w:szCs w:val="18"/>
              </w:rPr>
              <w:t>Ministerstvo životného prostredia SR</w:t>
            </w:r>
          </w:p>
        </w:tc>
        <w:tc>
          <w:tcPr>
            <w:tcW w:w="0" w:type="auto"/>
            <w:tcBorders>
              <w:top w:val="nil"/>
              <w:left w:val="nil"/>
              <w:bottom w:val="nil"/>
              <w:right w:val="nil"/>
            </w:tcBorders>
            <w:shd w:val="clear" w:color="000000" w:fill="FFFFF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13</w:t>
            </w:r>
          </w:p>
        </w:tc>
        <w:tc>
          <w:tcPr>
            <w:tcW w:w="0" w:type="auto"/>
            <w:tcBorders>
              <w:top w:val="nil"/>
              <w:left w:val="nil"/>
              <w:bottom w:val="nil"/>
              <w:right w:val="nil"/>
            </w:tcBorders>
            <w:shd w:val="clear" w:color="000000" w:fill="FFFFF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2</w:t>
            </w:r>
          </w:p>
        </w:tc>
        <w:tc>
          <w:tcPr>
            <w:tcW w:w="0" w:type="auto"/>
            <w:tcBorders>
              <w:top w:val="nil"/>
              <w:left w:val="nil"/>
              <w:bottom w:val="nil"/>
              <w:right w:val="nil"/>
            </w:tcBorders>
            <w:shd w:val="clear" w:color="000000" w:fill="FFFFF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BFBFB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BFBFB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FFFFFF"/>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FFFFFF"/>
            <w:textDirection w:val="lrTb"/>
            <w:vAlign w:val="center"/>
            <w:hideMark/>
          </w:tcPr>
          <w:p w:rsidR="00CF6C2F" w:rsidRPr="00CF6C2F" w:rsidP="00CF6C2F">
            <w:pPr>
              <w:bidi w:val="0"/>
              <w:jc w:val="right"/>
              <w:rPr>
                <w:rFonts w:ascii="Times New Roman" w:hAnsi="Times New Roman"/>
                <w:color w:val="000000"/>
                <w:sz w:val="18"/>
                <w:szCs w:val="18"/>
              </w:rPr>
            </w:pPr>
            <w:r w:rsidR="00634B6D">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textDirection w:val="lrTb"/>
            <w:vAlign w:val="center"/>
            <w:hideMark/>
          </w:tcPr>
          <w:p w:rsidR="00CF6C2F" w:rsidRPr="00CF6C2F" w:rsidP="00CF6C2F">
            <w:pPr>
              <w:bidi w:val="0"/>
              <w:rPr>
                <w:rFonts w:ascii="Times New Roman" w:hAnsi="Times New Roman"/>
                <w:color w:val="000000"/>
                <w:sz w:val="18"/>
                <w:szCs w:val="18"/>
              </w:rPr>
            </w:pPr>
            <w:r w:rsidRPr="00CF6C2F">
              <w:rPr>
                <w:rFonts w:ascii="Times New Roman" w:hAnsi="Times New Roman"/>
                <w:color w:val="000000"/>
                <w:sz w:val="18"/>
                <w:szCs w:val="18"/>
              </w:rPr>
              <w:t>Ministerstvo hospodárstva SR</w:t>
            </w:r>
          </w:p>
        </w:tc>
        <w:tc>
          <w:tcPr>
            <w:tcW w:w="0" w:type="auto"/>
            <w:tcBorders>
              <w:top w:val="nil"/>
              <w:left w:val="nil"/>
              <w:bottom w:val="nil"/>
              <w:right w:val="nil"/>
            </w:tcBorders>
            <w:shd w:val="clear" w:color="000000" w:fill="FFFFF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13</w:t>
            </w:r>
          </w:p>
        </w:tc>
        <w:tc>
          <w:tcPr>
            <w:tcW w:w="0" w:type="auto"/>
            <w:tcBorders>
              <w:top w:val="nil"/>
              <w:left w:val="nil"/>
              <w:bottom w:val="nil"/>
              <w:right w:val="nil"/>
            </w:tcBorders>
            <w:shd w:val="clear" w:color="000000" w:fill="FFFFF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92</w:t>
            </w:r>
          </w:p>
        </w:tc>
        <w:tc>
          <w:tcPr>
            <w:tcW w:w="0" w:type="auto"/>
            <w:tcBorders>
              <w:top w:val="nil"/>
              <w:left w:val="nil"/>
              <w:bottom w:val="nil"/>
              <w:right w:val="nil"/>
            </w:tcBorders>
            <w:shd w:val="clear" w:color="000000" w:fill="FFFFF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BFBFB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BFBFBF"/>
            <w:noWrap/>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FFFFFF"/>
            <w:textDirection w:val="lrTb"/>
            <w:vAlign w:val="center"/>
            <w:hideMark/>
          </w:tcPr>
          <w:p w:rsidR="00CF6C2F" w:rsidRPr="00CF6C2F" w:rsidP="00CF6C2F">
            <w:pPr>
              <w:bidi w:val="0"/>
              <w:jc w:val="right"/>
              <w:rPr>
                <w:rFonts w:ascii="Times New Roman" w:hAnsi="Times New Roman"/>
                <w:color w:val="000000"/>
                <w:sz w:val="18"/>
                <w:szCs w:val="18"/>
              </w:rPr>
            </w:pPr>
            <w:r w:rsidRPr="00CF6C2F">
              <w:rPr>
                <w:rFonts w:ascii="Times New Roman" w:hAnsi="Times New Roman"/>
                <w:color w:val="000000"/>
                <w:sz w:val="18"/>
                <w:szCs w:val="18"/>
              </w:rPr>
              <w:t> </w:t>
            </w:r>
          </w:p>
        </w:tc>
        <w:tc>
          <w:tcPr>
            <w:tcW w:w="0" w:type="auto"/>
            <w:tcBorders>
              <w:top w:val="nil"/>
              <w:left w:val="nil"/>
              <w:bottom w:val="nil"/>
              <w:right w:val="nil"/>
            </w:tcBorders>
            <w:shd w:val="clear" w:color="000000" w:fill="FFFFFF"/>
            <w:textDirection w:val="lrTb"/>
            <w:vAlign w:val="center"/>
            <w:hideMark/>
          </w:tcPr>
          <w:p w:rsidR="00CF6C2F" w:rsidRPr="00CF6C2F" w:rsidP="00CF6C2F">
            <w:pPr>
              <w:bidi w:val="0"/>
              <w:jc w:val="right"/>
              <w:rPr>
                <w:rFonts w:ascii="Times New Roman" w:hAnsi="Times New Roman"/>
                <w:color w:val="000000"/>
                <w:sz w:val="18"/>
                <w:szCs w:val="18"/>
              </w:rPr>
            </w:pPr>
            <w:r w:rsidR="00634B6D">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45"/>
        </w:trPr>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F6C2F" w:rsidRPr="00CF6C2F" w:rsidP="00CF6C2F">
            <w:pPr>
              <w:bidi w:val="0"/>
              <w:rPr>
                <w:rFonts w:ascii="Times New Roman" w:hAnsi="Times New Roman"/>
                <w:b/>
                <w:bCs/>
                <w:color w:val="000000"/>
                <w:sz w:val="18"/>
                <w:szCs w:val="18"/>
              </w:rPr>
            </w:pPr>
            <w:r w:rsidRPr="00CF6C2F">
              <w:rPr>
                <w:rFonts w:ascii="Times New Roman" w:hAnsi="Times New Roman"/>
                <w:b/>
                <w:bCs/>
                <w:color w:val="000000"/>
                <w:sz w:val="18"/>
                <w:szCs w:val="18"/>
              </w:rPr>
              <w:t>Spolu</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F6C2F" w:rsidRPr="00CF6C2F" w:rsidP="00CF6C2F">
            <w:pPr>
              <w:bidi w:val="0"/>
              <w:jc w:val="right"/>
              <w:rPr>
                <w:rFonts w:ascii="Times New Roman" w:hAnsi="Times New Roman"/>
                <w:b/>
                <w:bCs/>
                <w:color w:val="000000"/>
                <w:sz w:val="18"/>
                <w:szCs w:val="18"/>
              </w:rPr>
            </w:pPr>
            <w:r w:rsidRPr="00CF6C2F">
              <w:rPr>
                <w:rFonts w:ascii="Times New Roman" w:hAnsi="Times New Roman"/>
                <w:b/>
                <w:bCs/>
                <w:color w:val="000000"/>
                <w:sz w:val="18"/>
                <w:szCs w:val="18"/>
              </w:rPr>
              <w:t>455 934</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F6C2F" w:rsidRPr="00CF6C2F" w:rsidP="00CF6C2F">
            <w:pPr>
              <w:bidi w:val="0"/>
              <w:jc w:val="right"/>
              <w:rPr>
                <w:rFonts w:ascii="Times New Roman" w:hAnsi="Times New Roman"/>
                <w:b/>
                <w:bCs/>
                <w:color w:val="000000"/>
                <w:sz w:val="18"/>
                <w:szCs w:val="18"/>
              </w:rPr>
            </w:pPr>
            <w:r w:rsidRPr="00CF6C2F">
              <w:rPr>
                <w:rFonts w:ascii="Times New Roman" w:hAnsi="Times New Roman"/>
                <w:b/>
                <w:bCs/>
                <w:color w:val="000000"/>
                <w:sz w:val="18"/>
                <w:szCs w:val="18"/>
              </w:rPr>
              <w:t>463 514</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F6C2F" w:rsidRPr="00CF6C2F" w:rsidP="00CF6C2F">
            <w:pPr>
              <w:bidi w:val="0"/>
              <w:jc w:val="right"/>
              <w:rPr>
                <w:rFonts w:ascii="Times New Roman" w:hAnsi="Times New Roman"/>
                <w:b/>
                <w:bCs/>
                <w:color w:val="000000"/>
                <w:sz w:val="18"/>
                <w:szCs w:val="18"/>
              </w:rPr>
            </w:pPr>
            <w:r w:rsidRPr="00CF6C2F">
              <w:rPr>
                <w:rFonts w:ascii="Times New Roman" w:hAnsi="Times New Roman"/>
                <w:b/>
                <w:bCs/>
                <w:color w:val="000000"/>
                <w:sz w:val="18"/>
                <w:szCs w:val="18"/>
              </w:rPr>
              <w:t>421 159</w:t>
            </w:r>
          </w:p>
        </w:tc>
        <w:tc>
          <w:tcPr>
            <w:tcW w:w="0" w:type="auto"/>
            <w:tcBorders>
              <w:top w:val="single" w:sz="4" w:space="0" w:color="auto"/>
              <w:left w:val="nil"/>
              <w:bottom w:val="single" w:sz="8" w:space="0" w:color="auto"/>
              <w:right w:val="nil"/>
            </w:tcBorders>
            <w:shd w:val="clear" w:color="000000" w:fill="BFBFBF"/>
            <w:noWrap/>
            <w:textDirection w:val="lrTb"/>
            <w:vAlign w:val="center"/>
            <w:hideMark/>
          </w:tcPr>
          <w:p w:rsidR="00CF6C2F" w:rsidRPr="00CF6C2F" w:rsidP="00CF6C2F">
            <w:pPr>
              <w:bidi w:val="0"/>
              <w:jc w:val="right"/>
              <w:rPr>
                <w:rFonts w:ascii="Times New Roman" w:hAnsi="Times New Roman"/>
                <w:b/>
                <w:bCs/>
                <w:color w:val="000000"/>
                <w:sz w:val="18"/>
                <w:szCs w:val="18"/>
              </w:rPr>
            </w:pPr>
            <w:r w:rsidRPr="00CF6C2F">
              <w:rPr>
                <w:rFonts w:ascii="Times New Roman" w:hAnsi="Times New Roman"/>
                <w:b/>
                <w:bCs/>
                <w:color w:val="000000"/>
                <w:sz w:val="18"/>
                <w:szCs w:val="18"/>
              </w:rPr>
              <w:t>482 760</w:t>
            </w:r>
          </w:p>
        </w:tc>
        <w:tc>
          <w:tcPr>
            <w:tcW w:w="0" w:type="auto"/>
            <w:tcBorders>
              <w:top w:val="single" w:sz="4" w:space="0" w:color="auto"/>
              <w:left w:val="nil"/>
              <w:bottom w:val="single" w:sz="8" w:space="0" w:color="auto"/>
              <w:right w:val="nil"/>
            </w:tcBorders>
            <w:shd w:val="clear" w:color="000000" w:fill="BFBFBF"/>
            <w:noWrap/>
            <w:textDirection w:val="lrTb"/>
            <w:vAlign w:val="center"/>
            <w:hideMark/>
          </w:tcPr>
          <w:p w:rsidR="00CF6C2F" w:rsidRPr="00CF6C2F" w:rsidP="00CF6C2F">
            <w:pPr>
              <w:bidi w:val="0"/>
              <w:jc w:val="right"/>
              <w:rPr>
                <w:rFonts w:ascii="Times New Roman" w:hAnsi="Times New Roman"/>
                <w:b/>
                <w:bCs/>
                <w:color w:val="000000"/>
                <w:sz w:val="18"/>
                <w:szCs w:val="18"/>
              </w:rPr>
            </w:pPr>
            <w:r w:rsidRPr="00CF6C2F">
              <w:rPr>
                <w:rFonts w:ascii="Times New Roman" w:hAnsi="Times New Roman"/>
                <w:b/>
                <w:bCs/>
                <w:color w:val="000000"/>
                <w:sz w:val="18"/>
                <w:szCs w:val="18"/>
              </w:rPr>
              <w:t>413 574</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F6C2F" w:rsidRPr="00CF6C2F" w:rsidP="00CF6C2F">
            <w:pPr>
              <w:bidi w:val="0"/>
              <w:jc w:val="right"/>
              <w:rPr>
                <w:rFonts w:ascii="Times New Roman" w:hAnsi="Times New Roman"/>
                <w:b/>
                <w:bCs/>
                <w:color w:val="000000"/>
                <w:sz w:val="18"/>
                <w:szCs w:val="18"/>
              </w:rPr>
            </w:pPr>
            <w:r w:rsidRPr="00CF6C2F">
              <w:rPr>
                <w:rFonts w:ascii="Times New Roman" w:hAnsi="Times New Roman"/>
                <w:b/>
                <w:bCs/>
                <w:color w:val="000000"/>
                <w:sz w:val="18"/>
                <w:szCs w:val="18"/>
              </w:rPr>
              <w:t>61 601</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CF6C2F" w:rsidRPr="00CF6C2F" w:rsidP="00CF6C2F">
            <w:pPr>
              <w:bidi w:val="0"/>
              <w:jc w:val="right"/>
              <w:rPr>
                <w:rFonts w:ascii="Times New Roman" w:hAnsi="Times New Roman"/>
                <w:b/>
                <w:bCs/>
                <w:color w:val="000000"/>
                <w:sz w:val="18"/>
                <w:szCs w:val="18"/>
              </w:rPr>
            </w:pPr>
            <w:r w:rsidRPr="00CF6C2F">
              <w:rPr>
                <w:rFonts w:ascii="Times New Roman" w:hAnsi="Times New Roman"/>
                <w:b/>
                <w:bCs/>
                <w:color w:val="000000"/>
                <w:sz w:val="18"/>
                <w:szCs w:val="18"/>
              </w:rPr>
              <w:t>14,6</w:t>
            </w:r>
          </w:p>
        </w:tc>
      </w:tr>
    </w:tbl>
    <w:p w:rsidR="00332383" w:rsidRPr="00334D4B" w:rsidP="00332383">
      <w:pPr>
        <w:suppressAutoHyphens/>
        <w:bidi w:val="0"/>
        <w:spacing w:after="120" w:line="336" w:lineRule="auto"/>
        <w:jc w:val="both"/>
        <w:rPr>
          <w:rFonts w:ascii="Times New Roman" w:hAnsi="Times New Roman"/>
          <w:color w:val="000000"/>
          <w:sz w:val="22"/>
          <w:szCs w:val="22"/>
        </w:rPr>
      </w:pPr>
      <w:r w:rsidRPr="006E50E2" w:rsidR="0027279E">
        <w:rPr>
          <w:rFonts w:ascii="Times New Roman" w:hAnsi="Times New Roman"/>
          <w:color w:val="000000"/>
          <w:sz w:val="18"/>
          <w:szCs w:val="18"/>
        </w:rPr>
        <w:t xml:space="preserve">Poznámka: * len prostriedky štátneho rozpočtu </w:t>
      </w:r>
      <w:r>
        <w:rPr>
          <w:rFonts w:ascii="Times New Roman" w:hAnsi="Times New Roman"/>
          <w:color w:val="000000"/>
          <w:sz w:val="18"/>
          <w:szCs w:val="18"/>
        </w:rPr>
        <w:tab/>
        <w:tab/>
        <w:tab/>
        <w:tab/>
        <w:tab/>
        <w:tab/>
        <w:t xml:space="preserve">           </w:t>
      </w:r>
      <w:r w:rsidRPr="006E50E2">
        <w:rPr>
          <w:rFonts w:ascii="Times New Roman" w:hAnsi="Times New Roman"/>
          <w:color w:val="000000"/>
          <w:sz w:val="18"/>
          <w:szCs w:val="18"/>
        </w:rPr>
        <w:t>Zdroj: MF SR</w:t>
      </w:r>
    </w:p>
    <w:p w:rsidR="0027279E" w:rsidP="0027279E">
      <w:pPr>
        <w:suppressAutoHyphens/>
        <w:bidi w:val="0"/>
        <w:jc w:val="both"/>
        <w:rPr>
          <w:rFonts w:ascii="Times New Roman" w:hAnsi="Times New Roman"/>
          <w:color w:val="000000"/>
          <w:sz w:val="22"/>
          <w:szCs w:val="22"/>
        </w:rPr>
      </w:pPr>
    </w:p>
    <w:p w:rsidR="0027279E" w:rsidP="00DE543A">
      <w:pPr>
        <w:suppressAutoHyphens/>
        <w:bidi w:val="0"/>
        <w:spacing w:after="120" w:line="336" w:lineRule="auto"/>
        <w:jc w:val="both"/>
        <w:rPr>
          <w:rFonts w:ascii="Times New Roman" w:hAnsi="Times New Roman"/>
          <w:color w:val="FF0000"/>
          <w:sz w:val="22"/>
          <w:szCs w:val="22"/>
        </w:rPr>
      </w:pPr>
      <w:r w:rsidRPr="0027279E">
        <w:rPr>
          <w:rFonts w:ascii="Times New Roman" w:hAnsi="Times New Roman"/>
          <w:color w:val="000000"/>
          <w:sz w:val="22"/>
          <w:szCs w:val="22"/>
        </w:rPr>
        <w:t xml:space="preserve">Na celkovom objeme poskytnutých grantov a transferov VÚC sa najväčšou sumou podieľalo </w:t>
      </w:r>
      <w:r w:rsidRPr="0027279E">
        <w:rPr>
          <w:rFonts w:ascii="Times New Roman" w:hAnsi="Times New Roman"/>
          <w:b/>
          <w:color w:val="000000"/>
          <w:sz w:val="22"/>
          <w:szCs w:val="22"/>
        </w:rPr>
        <w:t>Ministerstvo školstva, vedy, výskumu a športu SR</w:t>
      </w:r>
      <w:r w:rsidRPr="0027279E">
        <w:rPr>
          <w:rFonts w:ascii="Times New Roman" w:hAnsi="Times New Roman"/>
          <w:color w:val="000000"/>
          <w:sz w:val="22"/>
          <w:szCs w:val="22"/>
        </w:rPr>
        <w:t>, ktoré na tento účel vynaložilo 416 767 tis. eur, čo je za posledné tri sledované roky najvyššia čiastka. Z tejto sumy smerovala čiastka 400 881 tis. eur na financovanie kompetencií preneseného výkonu štátnej správy pre všetky samosprávne kraje (</w:t>
      </w:r>
      <w:r>
        <w:rPr>
          <w:rFonts w:ascii="Times New Roman" w:hAnsi="Times New Roman"/>
          <w:color w:val="000000"/>
          <w:sz w:val="22"/>
          <w:szCs w:val="22"/>
        </w:rPr>
        <w:t>s</w:t>
      </w:r>
      <w:r w:rsidRPr="00E430B8">
        <w:rPr>
          <w:rFonts w:ascii="Times New Roman" w:hAnsi="Times New Roman"/>
          <w:color w:val="000000"/>
          <w:sz w:val="22"/>
          <w:szCs w:val="22"/>
        </w:rPr>
        <w:t>tarostlivosť o pedagogického zamestnanca a odborného zamestnanca, poskytovanie výchovy a vzdel</w:t>
      </w:r>
      <w:r>
        <w:rPr>
          <w:rFonts w:ascii="Times New Roman" w:hAnsi="Times New Roman"/>
          <w:color w:val="000000"/>
          <w:sz w:val="22"/>
          <w:szCs w:val="22"/>
        </w:rPr>
        <w:t>ávania v základných a</w:t>
      </w:r>
      <w:r w:rsidR="009654DD">
        <w:rPr>
          <w:rFonts w:ascii="Times New Roman" w:hAnsi="Times New Roman"/>
          <w:color w:val="000000"/>
          <w:sz w:val="22"/>
          <w:szCs w:val="22"/>
        </w:rPr>
        <w:t xml:space="preserve"> </w:t>
      </w:r>
      <w:r>
        <w:rPr>
          <w:rFonts w:ascii="Times New Roman" w:hAnsi="Times New Roman"/>
          <w:color w:val="000000"/>
          <w:sz w:val="22"/>
          <w:szCs w:val="22"/>
        </w:rPr>
        <w:t>stredných</w:t>
      </w:r>
      <w:r w:rsidR="009654DD">
        <w:rPr>
          <w:rFonts w:ascii="Times New Roman" w:hAnsi="Times New Roman"/>
          <w:color w:val="000000"/>
          <w:sz w:val="22"/>
          <w:szCs w:val="22"/>
        </w:rPr>
        <w:t xml:space="preserve"> školách a zabezpečenie ich </w:t>
      </w:r>
      <w:r>
        <w:rPr>
          <w:rFonts w:ascii="Times New Roman" w:hAnsi="Times New Roman"/>
          <w:color w:val="000000"/>
          <w:sz w:val="22"/>
          <w:szCs w:val="22"/>
        </w:rPr>
        <w:t>prevádzky). Ďalší transfer vo výške 11 145 tis. eur bol určený pre VÚC Prešov, VÚC Košice a VÚC Banská Bystrica na zabezpečenie medzinárodnej sp</w:t>
      </w:r>
      <w:r w:rsidR="009654DD">
        <w:rPr>
          <w:rFonts w:ascii="Times New Roman" w:hAnsi="Times New Roman"/>
          <w:color w:val="000000"/>
          <w:sz w:val="22"/>
          <w:szCs w:val="22"/>
        </w:rPr>
        <w:t xml:space="preserve">olupráce pre vrcholové riadenie </w:t>
      </w:r>
      <w:r>
        <w:rPr>
          <w:rFonts w:ascii="Times New Roman" w:hAnsi="Times New Roman"/>
          <w:color w:val="000000"/>
          <w:sz w:val="22"/>
          <w:szCs w:val="22"/>
        </w:rPr>
        <w:t>programov, usmerňovanie a transformáciu regionálneho školstva, reformu systému vzdelávania a odbornej prípravy v školstve a iné. Suma 344 tis. e</w:t>
      </w:r>
      <w:r w:rsidR="00C17B5E">
        <w:rPr>
          <w:rFonts w:ascii="Times New Roman" w:hAnsi="Times New Roman"/>
          <w:color w:val="000000"/>
          <w:sz w:val="22"/>
          <w:szCs w:val="22"/>
        </w:rPr>
        <w:t xml:space="preserve">ur bola poskytnutá </w:t>
      </w:r>
      <w:r>
        <w:rPr>
          <w:rFonts w:ascii="Times New Roman" w:hAnsi="Times New Roman"/>
          <w:color w:val="000000"/>
          <w:sz w:val="22"/>
          <w:szCs w:val="22"/>
        </w:rPr>
        <w:t>na riešenie havarijných situácií škôl v zriaďovateľskej pôsobnosti samosprávnych krajov.</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 xml:space="preserve">Z kapitoly </w:t>
      </w:r>
      <w:r w:rsidRPr="0027279E">
        <w:rPr>
          <w:rFonts w:ascii="Times New Roman" w:hAnsi="Times New Roman"/>
          <w:b/>
          <w:color w:val="000000"/>
          <w:sz w:val="22"/>
          <w:szCs w:val="22"/>
        </w:rPr>
        <w:t xml:space="preserve">Ministerstva pôdohospodárstva a rozvoja vidieka SR </w:t>
      </w:r>
      <w:r w:rsidRPr="0027279E">
        <w:rPr>
          <w:rFonts w:ascii="Times New Roman" w:hAnsi="Times New Roman"/>
          <w:color w:val="000000"/>
          <w:sz w:val="22"/>
          <w:szCs w:val="22"/>
        </w:rPr>
        <w:t>bola pre vyššie územné celky vyčlenená čiastka 49 833 tis. eur, z toho 48 360 tis. eur smerovalo do všeobecnej pracovnej oblasti (rozvoj cezhraničného turizmu, výstavba maloplošných komunikácií, cyklistických trás, regionálne komunikácie zabezpečujúce dopravnú obslužnosť regiónov, posilnenie kultúrneho potenciálu regiónov a iné) a suma 1 473 tis. eur bola použitá v poľnohospodárstve.</w:t>
      </w:r>
    </w:p>
    <w:p w:rsidR="0027279E" w:rsidRPr="0027279E" w:rsidP="0027279E">
      <w:pPr>
        <w:suppressAutoHyphens/>
        <w:bidi w:val="0"/>
        <w:spacing w:after="120" w:line="336" w:lineRule="auto"/>
        <w:jc w:val="both"/>
        <w:rPr>
          <w:rFonts w:ascii="Times New Roman" w:hAnsi="Times New Roman"/>
          <w:color w:val="000000"/>
          <w:sz w:val="22"/>
          <w:szCs w:val="22"/>
        </w:rPr>
      </w:pPr>
      <w:r w:rsidRPr="00195E48">
        <w:rPr>
          <w:rFonts w:ascii="Times New Roman" w:hAnsi="Times New Roman"/>
          <w:color w:val="000000"/>
          <w:sz w:val="22"/>
          <w:szCs w:val="22"/>
        </w:rPr>
        <w:t xml:space="preserve">V kapitole </w:t>
      </w:r>
      <w:r w:rsidRPr="00195E48">
        <w:rPr>
          <w:rFonts w:ascii="Times New Roman" w:hAnsi="Times New Roman"/>
          <w:b/>
          <w:color w:val="000000"/>
          <w:sz w:val="22"/>
          <w:szCs w:val="22"/>
        </w:rPr>
        <w:t>Všeobecná pokladničná správa</w:t>
      </w:r>
      <w:r w:rsidRPr="00195E48">
        <w:rPr>
          <w:rFonts w:ascii="Times New Roman" w:hAnsi="Times New Roman"/>
          <w:color w:val="000000"/>
          <w:sz w:val="22"/>
          <w:szCs w:val="22"/>
        </w:rPr>
        <w:t xml:space="preserve"> na rok 201</w:t>
      </w:r>
      <w:r>
        <w:rPr>
          <w:rFonts w:ascii="Times New Roman" w:hAnsi="Times New Roman"/>
          <w:color w:val="000000"/>
          <w:sz w:val="22"/>
          <w:szCs w:val="22"/>
        </w:rPr>
        <w:t>5</w:t>
      </w:r>
      <w:r w:rsidRPr="00195E48">
        <w:rPr>
          <w:rFonts w:ascii="Times New Roman" w:hAnsi="Times New Roman"/>
          <w:color w:val="000000"/>
          <w:sz w:val="22"/>
          <w:szCs w:val="22"/>
        </w:rPr>
        <w:t xml:space="preserve"> neboli schválené žiadne </w:t>
      </w:r>
      <w:r>
        <w:rPr>
          <w:rFonts w:ascii="Times New Roman" w:hAnsi="Times New Roman"/>
          <w:color w:val="000000"/>
          <w:sz w:val="22"/>
          <w:szCs w:val="22"/>
        </w:rPr>
        <w:t>dotácie</w:t>
      </w:r>
      <w:r w:rsidRPr="00195E48">
        <w:rPr>
          <w:rFonts w:ascii="Times New Roman" w:hAnsi="Times New Roman"/>
          <w:color w:val="000000"/>
          <w:sz w:val="22"/>
          <w:szCs w:val="22"/>
        </w:rPr>
        <w:t xml:space="preserve"> pre vyššie územné celky.</w:t>
      </w:r>
      <w:r w:rsidRPr="007737F3">
        <w:rPr>
          <w:rFonts w:ascii="Times New Roman" w:hAnsi="Times New Roman"/>
          <w:color w:val="FF0000"/>
          <w:sz w:val="22"/>
          <w:szCs w:val="22"/>
        </w:rPr>
        <w:t xml:space="preserve"> </w:t>
      </w:r>
      <w:r w:rsidRPr="0027279E">
        <w:rPr>
          <w:rFonts w:ascii="Times New Roman" w:hAnsi="Times New Roman"/>
          <w:color w:val="000000"/>
          <w:sz w:val="22"/>
          <w:szCs w:val="22"/>
        </w:rPr>
        <w:t>V skutočnosti boli vyšším územným celkom poskytnuté finančné prostriedky v celkovej sume 6 85</w:t>
      </w:r>
      <w:r w:rsidR="00C918CE">
        <w:rPr>
          <w:rFonts w:ascii="Times New Roman" w:hAnsi="Times New Roman"/>
          <w:color w:val="000000"/>
          <w:sz w:val="22"/>
          <w:szCs w:val="22"/>
        </w:rPr>
        <w:t>9</w:t>
      </w:r>
      <w:r w:rsidRPr="0027279E">
        <w:rPr>
          <w:rFonts w:ascii="Times New Roman" w:hAnsi="Times New Roman"/>
          <w:color w:val="000000"/>
          <w:sz w:val="22"/>
          <w:szCs w:val="22"/>
        </w:rPr>
        <w:t> tis. eur vrátane 9 tis. eur vrátených ako nepoužité prostriedky v roku, v ktorom boli poskytnuté. Dotácie boli určené predovšetkým na aktivity zlepšujúce sociálno-ekonomickú situáciu, na úhradu výdavkov vynaložených na vykonávanie povodňových zabezpečovacích prác a na záchranné a zabezpečovacie prá</w:t>
      </w:r>
      <w:r w:rsidR="004A5C06">
        <w:rPr>
          <w:rFonts w:ascii="Times New Roman" w:hAnsi="Times New Roman"/>
          <w:color w:val="000000"/>
          <w:sz w:val="22"/>
          <w:szCs w:val="22"/>
        </w:rPr>
        <w:t>ce a ďalšie výdavky súvisiace s </w:t>
      </w:r>
      <w:r w:rsidRPr="0027279E">
        <w:rPr>
          <w:rFonts w:ascii="Times New Roman" w:hAnsi="Times New Roman"/>
          <w:color w:val="000000"/>
          <w:sz w:val="22"/>
          <w:szCs w:val="22"/>
        </w:rPr>
        <w:t>odstraňovaním následkov spôsobených živelnou pohromou.</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Podľa zákona č. 564/2004 Z. z. o rozpočtovom určení výnosu dane z príjmov územnej samospráve bolo v roku 2015 z celkového výnosu dane z príjmov fyzických osôb príjmom rozpočtov vyšších územných celkov 29,2 % (21,9 % v roku 2014). Skutočný prevod dane z príjmov fyzických osôb do rozpočtov vyšších územných celkov daňovými úradmi bol vykonaný vo výške 626 394 tis. eur vrátane zúčtovania za predchádzajúci rok (</w:t>
      </w:r>
      <w:r w:rsidRPr="0027279E" w:rsidR="004A5C06">
        <w:rPr>
          <w:rFonts w:ascii="Times New Roman" w:hAnsi="Times New Roman"/>
          <w:color w:val="000000"/>
          <w:sz w:val="22"/>
          <w:szCs w:val="22"/>
        </w:rPr>
        <w:t>2014</w:t>
      </w:r>
      <w:r w:rsidR="004A5C06">
        <w:rPr>
          <w:rFonts w:ascii="Times New Roman" w:hAnsi="Times New Roman"/>
          <w:color w:val="000000"/>
          <w:sz w:val="22"/>
          <w:szCs w:val="22"/>
        </w:rPr>
        <w:t xml:space="preserve">: </w:t>
      </w:r>
      <w:r w:rsidRPr="0027279E">
        <w:rPr>
          <w:rFonts w:ascii="Times New Roman" w:hAnsi="Times New Roman"/>
          <w:color w:val="000000"/>
          <w:sz w:val="22"/>
          <w:szCs w:val="22"/>
        </w:rPr>
        <w:t xml:space="preserve">426 658 tis. eur). </w:t>
      </w:r>
    </w:p>
    <w:p w:rsidR="0027279E" w:rsidRPr="0027279E" w:rsidP="0027279E">
      <w:pPr>
        <w:suppressAutoHyphens/>
        <w:bidi w:val="0"/>
        <w:spacing w:after="120" w:line="336" w:lineRule="auto"/>
        <w:jc w:val="both"/>
        <w:rPr>
          <w:rFonts w:ascii="Times New Roman" w:hAnsi="Times New Roman"/>
          <w:color w:val="000000"/>
          <w:sz w:val="22"/>
          <w:szCs w:val="22"/>
        </w:rPr>
      </w:pPr>
      <w:r w:rsidRPr="0027279E">
        <w:rPr>
          <w:rFonts w:ascii="Times New Roman" w:hAnsi="Times New Roman"/>
          <w:color w:val="000000"/>
          <w:sz w:val="22"/>
          <w:szCs w:val="22"/>
        </w:rPr>
        <w:t xml:space="preserve">Pri výnose dane z motorových vozidiel sa zákonom č. 361/2014 Z. z. s účinnosťou od 1. 1. 2015 zmenilo </w:t>
      </w:r>
      <w:r w:rsidR="004C026A">
        <w:rPr>
          <w:rFonts w:ascii="Times New Roman" w:hAnsi="Times New Roman"/>
          <w:color w:val="000000"/>
          <w:sz w:val="22"/>
          <w:szCs w:val="22"/>
        </w:rPr>
        <w:t>rozpočtové určenie tejto dane a</w:t>
      </w:r>
      <w:r w:rsidRPr="0027279E">
        <w:rPr>
          <w:rFonts w:ascii="Times New Roman" w:hAnsi="Times New Roman"/>
          <w:color w:val="000000"/>
          <w:sz w:val="22"/>
          <w:szCs w:val="22"/>
        </w:rPr>
        <w:t xml:space="preserve"> stala sa príjmom štát</w:t>
      </w:r>
      <w:r w:rsidR="004A5C06">
        <w:rPr>
          <w:rFonts w:ascii="Times New Roman" w:hAnsi="Times New Roman"/>
          <w:color w:val="000000"/>
          <w:sz w:val="22"/>
          <w:szCs w:val="22"/>
        </w:rPr>
        <w:t>neho rozpočtu</w:t>
      </w:r>
      <w:r w:rsidRPr="0027279E">
        <w:rPr>
          <w:rFonts w:ascii="Times New Roman" w:hAnsi="Times New Roman"/>
          <w:color w:val="000000"/>
          <w:sz w:val="22"/>
          <w:szCs w:val="22"/>
        </w:rPr>
        <w:t xml:space="preserve">. Výpadok tejto dane bol kompenzovaný navýšením podielu VÚC na výnose dane z príjmov fyzických osôb. Posledný prevod tejto dane bol uskutočnený v januári 2015 (za december 2014) vo výške 13 786 tis. eur. </w:t>
      </w:r>
    </w:p>
    <w:p w:rsidR="0027279E" w:rsidRPr="006E50E2" w:rsidP="0027279E">
      <w:pPr>
        <w:bidi w:val="0"/>
        <w:spacing w:after="120" w:line="336" w:lineRule="auto"/>
        <w:jc w:val="both"/>
        <w:rPr>
          <w:rFonts w:ascii="Times New Roman" w:hAnsi="Times New Roman"/>
          <w:i/>
          <w:color w:val="000000"/>
          <w:sz w:val="22"/>
          <w:szCs w:val="22"/>
        </w:rPr>
      </w:pPr>
      <w:r w:rsidRPr="006E50E2">
        <w:rPr>
          <w:rFonts w:ascii="Times New Roman" w:hAnsi="Times New Roman"/>
          <w:i/>
          <w:color w:val="000000"/>
          <w:sz w:val="22"/>
          <w:szCs w:val="22"/>
        </w:rPr>
        <w:t>Prehľad záväzných limitov dotácií VÚC za rok 201</w:t>
      </w:r>
      <w:r>
        <w:rPr>
          <w:rFonts w:ascii="Times New Roman" w:hAnsi="Times New Roman"/>
          <w:i/>
          <w:color w:val="000000"/>
          <w:sz w:val="22"/>
          <w:szCs w:val="22"/>
        </w:rPr>
        <w:t>5</w:t>
      </w:r>
      <w:r w:rsidRPr="006E50E2">
        <w:rPr>
          <w:rFonts w:ascii="Times New Roman" w:hAnsi="Times New Roman"/>
          <w:i/>
          <w:color w:val="000000"/>
          <w:sz w:val="22"/>
          <w:szCs w:val="22"/>
        </w:rPr>
        <w:t xml:space="preserve"> je uvedený v tabuľkovej časti štátneho záverečného účtu SR, v tabuľke č. 21.</w:t>
      </w:r>
    </w:p>
    <w:p w:rsidR="007D043F" w:rsidP="008D72D9">
      <w:pPr>
        <w:pStyle w:val="Heading3"/>
        <w:numPr>
          <w:ilvl w:val="2"/>
          <w:numId w:val="20"/>
        </w:numPr>
        <w:bidi w:val="0"/>
        <w:spacing w:line="336" w:lineRule="auto"/>
        <w:rPr>
          <w:rFonts w:ascii="Times New Roman" w:hAnsi="Times New Roman"/>
          <w:lang w:val="sk-SK"/>
        </w:rPr>
      </w:pPr>
      <w:bookmarkStart w:id="36" w:name="_Toc449622842"/>
      <w:r w:rsidRPr="006E50E2">
        <w:rPr>
          <w:rFonts w:ascii="Times New Roman" w:hAnsi="Times New Roman"/>
          <w:lang w:val="sk-SK"/>
        </w:rPr>
        <w:t>Čerpanie rezerv štátneho rozpočtu</w:t>
      </w:r>
      <w:bookmarkEnd w:id="36"/>
    </w:p>
    <w:p w:rsidR="004C026A" w:rsidRPr="004C026A" w:rsidP="004C026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bidi w:val="0"/>
        <w:spacing w:after="120" w:line="336" w:lineRule="auto"/>
        <w:jc w:val="both"/>
        <w:rPr>
          <w:rFonts w:ascii="Times New Roman" w:hAnsi="Times New Roman"/>
          <w:color w:val="000000"/>
          <w:sz w:val="22"/>
          <w:szCs w:val="22"/>
        </w:rPr>
      </w:pPr>
      <w:r w:rsidRPr="004C026A">
        <w:rPr>
          <w:rFonts w:ascii="Times New Roman" w:hAnsi="Times New Roman"/>
          <w:color w:val="000000"/>
          <w:sz w:val="22"/>
          <w:szCs w:val="22"/>
        </w:rPr>
        <w:t xml:space="preserve">V zmysle § 10 zákona č.523/2004 Z. z. o rozpočtových pravidlách verejnej správy sa na krytie nepredvídaných výdavkov nevyhnutných na zabezpečenie rozpočtového hospodárenia alebo na krytie zníženia rozpočtovaných príjmov vytvárajú v štátnom rozpočte rozpočtové rezervy. </w:t>
      </w:r>
    </w:p>
    <w:p w:rsidR="004C026A" w:rsidRPr="004C026A" w:rsidP="004C026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bidi w:val="0"/>
        <w:spacing w:after="120" w:line="336" w:lineRule="auto"/>
        <w:jc w:val="both"/>
        <w:rPr>
          <w:rFonts w:ascii="Times New Roman" w:hAnsi="Times New Roman"/>
          <w:color w:val="000000"/>
          <w:sz w:val="22"/>
          <w:szCs w:val="22"/>
        </w:rPr>
      </w:pPr>
      <w:r w:rsidRPr="004C026A">
        <w:rPr>
          <w:rFonts w:ascii="Times New Roman" w:hAnsi="Times New Roman"/>
          <w:color w:val="000000"/>
          <w:sz w:val="22"/>
          <w:szCs w:val="22"/>
        </w:rPr>
        <w:t>Národná rada SR zákonom o štátnom rozpočte na rok 2015 schválila výšku zákonných rezerv nasledovne:</w:t>
      </w:r>
    </w:p>
    <w:tbl>
      <w:tblPr>
        <w:tblStyle w:val="TableNormal"/>
        <w:tblW w:w="0" w:type="auto"/>
        <w:tblInd w:w="55" w:type="dxa"/>
        <w:tblCellMar>
          <w:left w:w="70" w:type="dxa"/>
          <w:right w:w="70" w:type="dxa"/>
        </w:tblCellMar>
        <w:tblLook w:val="04A0"/>
      </w:tblPr>
      <w:tblGrid>
        <w:gridCol w:w="3934"/>
        <w:gridCol w:w="545"/>
        <w:gridCol w:w="545"/>
        <w:gridCol w:w="850"/>
        <w:gridCol w:w="1208"/>
        <w:gridCol w:w="1155"/>
        <w:gridCol w:w="8"/>
        <w:gridCol w:w="628"/>
      </w:tblGrid>
      <w:tr>
        <w:tblPrEx>
          <w:tblW w:w="0" w:type="auto"/>
          <w:tblInd w:w="55" w:type="dxa"/>
          <w:tblCellMar>
            <w:left w:w="70" w:type="dxa"/>
            <w:right w:w="70" w:type="dxa"/>
          </w:tblCellMar>
          <w:tblLook w:val="04A0"/>
        </w:tblPrEx>
        <w:trPr>
          <w:trHeight w:val="330"/>
        </w:trPr>
        <w:tc>
          <w:tcPr>
            <w:tcW w:w="0" w:type="auto"/>
            <w:gridSpan w:val="7"/>
            <w:tcBorders>
              <w:top w:val="nil"/>
              <w:left w:val="single" w:sz="8" w:space="0" w:color="auto"/>
              <w:bottom w:val="nil"/>
              <w:right w:val="nil"/>
            </w:tcBorders>
            <w:shd w:val="clear" w:color="000000" w:fill="000000"/>
            <w:textDirection w:val="lrTb"/>
            <w:vAlign w:val="center"/>
            <w:hideMark/>
          </w:tcPr>
          <w:p w:rsidR="004C026A" w:rsidRPr="004A5C06" w:rsidP="00464514">
            <w:pPr>
              <w:bidi w:val="0"/>
              <w:rPr>
                <w:rFonts w:ascii="Times New Roman" w:hAnsi="Times New Roman"/>
                <w:b/>
                <w:bCs/>
                <w:color w:val="FFFFFF"/>
                <w:sz w:val="18"/>
                <w:szCs w:val="18"/>
              </w:rPr>
            </w:pPr>
            <w:bookmarkStart w:id="37" w:name="RANGE!B5:H12"/>
            <w:r w:rsidRPr="004A5C06">
              <w:rPr>
                <w:rFonts w:ascii="Times New Roman" w:hAnsi="Times New Roman"/>
                <w:b/>
                <w:bCs/>
                <w:color w:val="FFFFFF"/>
                <w:sz w:val="18"/>
                <w:szCs w:val="18"/>
              </w:rPr>
              <w:t>Zákonné rezervy uvoľnené platobným príkazom</w:t>
            </w:r>
            <w:bookmarkEnd w:id="37"/>
            <w:r w:rsidR="004A5C06">
              <w:rPr>
                <w:rFonts w:ascii="Times New Roman" w:hAnsi="Times New Roman"/>
                <w:b/>
                <w:bCs/>
                <w:color w:val="FFFFFF"/>
                <w:sz w:val="18"/>
                <w:szCs w:val="18"/>
              </w:rPr>
              <w:t xml:space="preserve">                                                                                                 v tis. eur</w:t>
            </w:r>
          </w:p>
        </w:tc>
        <w:tc>
          <w:tcPr>
            <w:tcW w:w="0" w:type="auto"/>
            <w:tcBorders>
              <w:top w:val="nil"/>
              <w:left w:val="nil"/>
              <w:bottom w:val="nil"/>
              <w:right w:val="nil"/>
            </w:tcBorders>
            <w:shd w:val="clear" w:color="000000" w:fill="000000"/>
            <w:noWrap/>
            <w:textDirection w:val="lrTb"/>
            <w:vAlign w:val="bottom"/>
            <w:hideMark/>
          </w:tcPr>
          <w:p w:rsidR="004C026A" w:rsidRPr="004A5C06" w:rsidP="00464514">
            <w:pPr>
              <w:bidi w:val="0"/>
              <w:jc w:val="right"/>
              <w:rPr>
                <w:rFonts w:ascii="Times New Roman" w:hAnsi="Times New Roman"/>
                <w:b/>
                <w:bCs/>
                <w:color w:val="FFFFFF"/>
                <w:sz w:val="18"/>
                <w:szCs w:val="18"/>
              </w:rPr>
            </w:pP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BFBFBF"/>
            <w:textDirection w:val="lrTb"/>
            <w:vAlign w:val="center"/>
            <w:hideMark/>
          </w:tcPr>
          <w:p w:rsidR="004C026A" w:rsidRPr="004A5C06" w:rsidP="00464514">
            <w:pPr>
              <w:bidi w:val="0"/>
              <w:rPr>
                <w:rFonts w:ascii="Times New Roman" w:hAnsi="Times New Roman"/>
                <w:b/>
                <w:bCs/>
                <w:color w:val="FFFFFF"/>
                <w:sz w:val="18"/>
                <w:szCs w:val="18"/>
              </w:rPr>
            </w:pPr>
            <w:r w:rsidRPr="004A5C06">
              <w:rPr>
                <w:rFonts w:ascii="Times New Roman" w:hAnsi="Times New Roman"/>
                <w:b/>
                <w:bCs/>
                <w:color w:val="FFFFFF"/>
                <w:sz w:val="18"/>
                <w:szCs w:val="18"/>
              </w:rPr>
              <w:t> </w:t>
            </w:r>
          </w:p>
        </w:tc>
        <w:tc>
          <w:tcPr>
            <w:tcW w:w="0" w:type="auto"/>
            <w:gridSpan w:val="2"/>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Skutočnosť</w:t>
            </w:r>
          </w:p>
        </w:tc>
        <w:tc>
          <w:tcPr>
            <w:tcW w:w="0" w:type="auto"/>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Rozpočet</w:t>
            </w:r>
          </w:p>
        </w:tc>
        <w:tc>
          <w:tcPr>
            <w:tcW w:w="1165" w:type="dxa"/>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Skutočnosť</w:t>
            </w:r>
          </w:p>
        </w:tc>
        <w:tc>
          <w:tcPr>
            <w:tcW w:w="1638" w:type="dxa"/>
            <w:gridSpan w:val="3"/>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Rozdiel</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sz w:val="18"/>
                <w:szCs w:val="18"/>
              </w:rPr>
            </w:pPr>
            <w:r w:rsidRPr="004A5C06">
              <w:rPr>
                <w:rFonts w:ascii="Times New Roman" w:hAnsi="Times New Roman"/>
                <w:b/>
                <w:bCs/>
                <w:sz w:val="18"/>
                <w:szCs w:val="18"/>
              </w:rPr>
              <w:t> </w:t>
            </w:r>
          </w:p>
        </w:tc>
        <w:tc>
          <w:tcPr>
            <w:tcW w:w="0" w:type="auto"/>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2013</w:t>
            </w:r>
          </w:p>
        </w:tc>
        <w:tc>
          <w:tcPr>
            <w:tcW w:w="0" w:type="auto"/>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2014</w:t>
            </w:r>
          </w:p>
        </w:tc>
        <w:tc>
          <w:tcPr>
            <w:tcW w:w="0" w:type="auto"/>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2015</w:t>
            </w:r>
          </w:p>
        </w:tc>
        <w:tc>
          <w:tcPr>
            <w:tcW w:w="1165" w:type="dxa"/>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2015</w:t>
            </w:r>
          </w:p>
        </w:tc>
        <w:tc>
          <w:tcPr>
            <w:tcW w:w="1002" w:type="dxa"/>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 xml:space="preserve"> v tis. eur</w:t>
            </w:r>
          </w:p>
        </w:tc>
        <w:tc>
          <w:tcPr>
            <w:tcW w:w="636" w:type="dxa"/>
            <w:gridSpan w:val="2"/>
            <w:tcBorders>
              <w:top w:val="nil"/>
              <w:left w:val="nil"/>
              <w:bottom w:val="nil"/>
              <w:right w:val="nil"/>
            </w:tcBorders>
            <w:shd w:val="clear" w:color="000000" w:fill="BFBFBF"/>
            <w:textDirection w:val="lrTb"/>
            <w:vAlign w:val="center"/>
            <w:hideMark/>
          </w:tcPr>
          <w:p w:rsidR="004C026A" w:rsidRPr="004A5C06" w:rsidP="00464514">
            <w:pPr>
              <w:bidi w:val="0"/>
              <w:jc w:val="center"/>
              <w:rPr>
                <w:rFonts w:ascii="Times New Roman" w:hAnsi="Times New Roman"/>
                <w:b/>
                <w:bCs/>
                <w:color w:val="000000"/>
                <w:sz w:val="18"/>
                <w:szCs w:val="18"/>
              </w:rPr>
            </w:pPr>
            <w:r w:rsidRPr="004A5C06">
              <w:rPr>
                <w:rFonts w:ascii="Times New Roman" w:hAnsi="Times New Roman"/>
                <w:b/>
                <w:bCs/>
                <w:color w:val="000000"/>
                <w:sz w:val="18"/>
                <w:szCs w:val="18"/>
              </w:rPr>
              <w:t>v %</w:t>
            </w:r>
          </w:p>
        </w:tc>
      </w:tr>
      <w:tr>
        <w:tblPrEx>
          <w:tblW w:w="0" w:type="auto"/>
          <w:tblInd w:w="55" w:type="dxa"/>
          <w:tblCellMar>
            <w:left w:w="70" w:type="dxa"/>
            <w:right w:w="70" w:type="dxa"/>
          </w:tblCellMar>
          <w:tblLook w:val="04A0"/>
        </w:tblPrEx>
        <w:trPr>
          <w:trHeight w:val="345"/>
        </w:trPr>
        <w:tc>
          <w:tcPr>
            <w:tcW w:w="0" w:type="auto"/>
            <w:tcBorders>
              <w:top w:val="nil"/>
              <w:left w:val="nil"/>
              <w:bottom w:val="single" w:sz="8" w:space="0" w:color="auto"/>
              <w:right w:val="nil"/>
            </w:tcBorders>
            <w:shd w:val="clear" w:color="000000" w:fill="BFBFBF"/>
            <w:textDirection w:val="lrTb"/>
            <w:vAlign w:val="center"/>
            <w:hideMark/>
          </w:tcPr>
          <w:p w:rsidR="004C026A" w:rsidRPr="004A5C06" w:rsidP="00464514">
            <w:pPr>
              <w:bidi w:val="0"/>
              <w:rPr>
                <w:rFonts w:ascii="Times New Roman" w:hAnsi="Times New Roman"/>
                <w:b/>
                <w:bCs/>
                <w:color w:val="FFFFFF"/>
                <w:sz w:val="18"/>
                <w:szCs w:val="18"/>
              </w:rPr>
            </w:pPr>
            <w:r w:rsidRPr="004A5C06">
              <w:rPr>
                <w:rFonts w:ascii="Times New Roman" w:hAnsi="Times New Roman"/>
                <w:b/>
                <w:bCs/>
                <w:color w:val="FFFFFF"/>
                <w:sz w:val="18"/>
                <w:szCs w:val="18"/>
              </w:rPr>
              <w:t> </w:t>
            </w:r>
          </w:p>
        </w:tc>
        <w:tc>
          <w:tcPr>
            <w:tcW w:w="0" w:type="auto"/>
            <w:tcBorders>
              <w:top w:val="nil"/>
              <w:left w:val="nil"/>
              <w:bottom w:val="single" w:sz="8" w:space="0" w:color="auto"/>
              <w:right w:val="nil"/>
            </w:tcBorders>
            <w:shd w:val="clear" w:color="000000" w:fill="BFBFBF"/>
            <w:textDirection w:val="lrTb"/>
            <w:vAlign w:val="center"/>
            <w:hideMark/>
          </w:tcPr>
          <w:p w:rsidR="004C026A" w:rsidRPr="004A5C06" w:rsidP="00464514">
            <w:pPr>
              <w:bidi w:val="0"/>
              <w:jc w:val="center"/>
              <w:rPr>
                <w:rFonts w:ascii="Times New Roman" w:hAnsi="Times New Roman"/>
                <w:b/>
                <w:bCs/>
                <w:sz w:val="18"/>
                <w:szCs w:val="18"/>
              </w:rPr>
            </w:pPr>
            <w:r w:rsidRPr="004A5C06">
              <w:rPr>
                <w:rFonts w:ascii="Times New Roman" w:hAnsi="Times New Roman"/>
                <w:b/>
                <w:bCs/>
                <w:sz w:val="18"/>
                <w:szCs w:val="18"/>
              </w:rPr>
              <w:t>1</w:t>
            </w:r>
          </w:p>
        </w:tc>
        <w:tc>
          <w:tcPr>
            <w:tcW w:w="0" w:type="auto"/>
            <w:tcBorders>
              <w:top w:val="nil"/>
              <w:left w:val="nil"/>
              <w:bottom w:val="single" w:sz="8" w:space="0" w:color="auto"/>
              <w:right w:val="nil"/>
            </w:tcBorders>
            <w:shd w:val="clear" w:color="000000" w:fill="BFBFBF"/>
            <w:textDirection w:val="lrTb"/>
            <w:vAlign w:val="center"/>
            <w:hideMark/>
          </w:tcPr>
          <w:p w:rsidR="004C026A" w:rsidRPr="004A5C06" w:rsidP="00464514">
            <w:pPr>
              <w:bidi w:val="0"/>
              <w:jc w:val="center"/>
              <w:rPr>
                <w:rFonts w:ascii="Times New Roman" w:hAnsi="Times New Roman"/>
                <w:b/>
                <w:bCs/>
                <w:sz w:val="18"/>
                <w:szCs w:val="18"/>
              </w:rPr>
            </w:pPr>
            <w:r w:rsidRPr="004A5C06">
              <w:rPr>
                <w:rFonts w:ascii="Times New Roman" w:hAnsi="Times New Roman"/>
                <w:b/>
                <w:bCs/>
                <w:sz w:val="18"/>
                <w:szCs w:val="18"/>
              </w:rPr>
              <w:t>2</w:t>
            </w:r>
          </w:p>
        </w:tc>
        <w:tc>
          <w:tcPr>
            <w:tcW w:w="0" w:type="auto"/>
            <w:tcBorders>
              <w:top w:val="nil"/>
              <w:left w:val="nil"/>
              <w:bottom w:val="single" w:sz="8" w:space="0" w:color="auto"/>
              <w:right w:val="nil"/>
            </w:tcBorders>
            <w:shd w:val="clear" w:color="000000" w:fill="BFBFBF"/>
            <w:textDirection w:val="lrTb"/>
            <w:vAlign w:val="center"/>
            <w:hideMark/>
          </w:tcPr>
          <w:p w:rsidR="004C026A" w:rsidRPr="004A5C06" w:rsidP="00464514">
            <w:pPr>
              <w:bidi w:val="0"/>
              <w:jc w:val="center"/>
              <w:rPr>
                <w:rFonts w:ascii="Times New Roman" w:hAnsi="Times New Roman"/>
                <w:b/>
                <w:bCs/>
                <w:sz w:val="18"/>
                <w:szCs w:val="18"/>
              </w:rPr>
            </w:pPr>
            <w:r w:rsidRPr="004A5C06">
              <w:rPr>
                <w:rFonts w:ascii="Times New Roman" w:hAnsi="Times New Roman"/>
                <w:b/>
                <w:bCs/>
                <w:sz w:val="18"/>
                <w:szCs w:val="18"/>
              </w:rPr>
              <w:t>3</w:t>
            </w:r>
          </w:p>
        </w:tc>
        <w:tc>
          <w:tcPr>
            <w:tcW w:w="1165" w:type="dxa"/>
            <w:tcBorders>
              <w:top w:val="nil"/>
              <w:left w:val="nil"/>
              <w:bottom w:val="single" w:sz="8" w:space="0" w:color="auto"/>
              <w:right w:val="nil"/>
            </w:tcBorders>
            <w:shd w:val="clear" w:color="000000" w:fill="BFBFBF"/>
            <w:textDirection w:val="lrTb"/>
            <w:vAlign w:val="center"/>
            <w:hideMark/>
          </w:tcPr>
          <w:p w:rsidR="004C026A" w:rsidRPr="004A5C06" w:rsidP="00464514">
            <w:pPr>
              <w:bidi w:val="0"/>
              <w:jc w:val="center"/>
              <w:rPr>
                <w:rFonts w:ascii="Times New Roman" w:hAnsi="Times New Roman"/>
                <w:b/>
                <w:bCs/>
                <w:sz w:val="18"/>
                <w:szCs w:val="18"/>
              </w:rPr>
            </w:pPr>
            <w:r w:rsidRPr="004A5C06">
              <w:rPr>
                <w:rFonts w:ascii="Times New Roman" w:hAnsi="Times New Roman"/>
                <w:b/>
                <w:bCs/>
                <w:sz w:val="18"/>
                <w:szCs w:val="18"/>
              </w:rPr>
              <w:t>4</w:t>
            </w:r>
          </w:p>
        </w:tc>
        <w:tc>
          <w:tcPr>
            <w:tcW w:w="1002" w:type="dxa"/>
            <w:tcBorders>
              <w:top w:val="nil"/>
              <w:left w:val="nil"/>
              <w:bottom w:val="single" w:sz="8" w:space="0" w:color="auto"/>
              <w:right w:val="nil"/>
            </w:tcBorders>
            <w:shd w:val="clear" w:color="000000" w:fill="BFBFBF"/>
            <w:textDirection w:val="lrTb"/>
            <w:vAlign w:val="center"/>
            <w:hideMark/>
          </w:tcPr>
          <w:p w:rsidR="004C026A" w:rsidRPr="004A5C06" w:rsidP="00464514">
            <w:pPr>
              <w:bidi w:val="0"/>
              <w:jc w:val="center"/>
              <w:rPr>
                <w:rFonts w:ascii="Times New Roman" w:hAnsi="Times New Roman"/>
                <w:b/>
                <w:bCs/>
                <w:sz w:val="18"/>
                <w:szCs w:val="18"/>
              </w:rPr>
            </w:pPr>
            <w:r w:rsidRPr="004A5C06">
              <w:rPr>
                <w:rFonts w:ascii="Times New Roman" w:hAnsi="Times New Roman"/>
                <w:b/>
                <w:bCs/>
                <w:sz w:val="18"/>
                <w:szCs w:val="18"/>
              </w:rPr>
              <w:t>5=4-3</w:t>
            </w:r>
          </w:p>
        </w:tc>
        <w:tc>
          <w:tcPr>
            <w:tcW w:w="636" w:type="dxa"/>
            <w:gridSpan w:val="2"/>
            <w:tcBorders>
              <w:top w:val="nil"/>
              <w:left w:val="nil"/>
              <w:bottom w:val="single" w:sz="8" w:space="0" w:color="auto"/>
              <w:right w:val="nil"/>
            </w:tcBorders>
            <w:shd w:val="clear" w:color="000000" w:fill="BFBFBF"/>
            <w:textDirection w:val="lrTb"/>
            <w:vAlign w:val="center"/>
            <w:hideMark/>
          </w:tcPr>
          <w:p w:rsidR="004C026A" w:rsidRPr="004A5C06" w:rsidP="00464514">
            <w:pPr>
              <w:bidi w:val="0"/>
              <w:jc w:val="center"/>
              <w:rPr>
                <w:rFonts w:ascii="Times New Roman" w:hAnsi="Times New Roman"/>
                <w:b/>
                <w:bCs/>
                <w:sz w:val="18"/>
                <w:szCs w:val="18"/>
              </w:rPr>
            </w:pPr>
            <w:r w:rsidRPr="004A5C06">
              <w:rPr>
                <w:rFonts w:ascii="Times New Roman" w:hAnsi="Times New Roman"/>
                <w:b/>
                <w:bCs/>
                <w:sz w:val="18"/>
                <w:szCs w:val="18"/>
              </w:rPr>
              <w:t>6=4-3</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rPr>
                <w:rFonts w:ascii="Times New Roman" w:hAnsi="Times New Roman"/>
                <w:color w:val="000000"/>
                <w:sz w:val="18"/>
                <w:szCs w:val="18"/>
              </w:rPr>
            </w:pPr>
            <w:r w:rsidRPr="004A5C06">
              <w:rPr>
                <w:rFonts w:ascii="Times New Roman" w:hAnsi="Times New Roman"/>
                <w:color w:val="000000"/>
                <w:sz w:val="18"/>
                <w:szCs w:val="18"/>
              </w:rPr>
              <w:t>Rezerva vlády SR</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2 450</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2 050</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0</w:t>
            </w:r>
          </w:p>
        </w:tc>
        <w:tc>
          <w:tcPr>
            <w:tcW w:w="1165" w:type="dxa"/>
            <w:tcBorders>
              <w:top w:val="nil"/>
              <w:left w:val="nil"/>
              <w:bottom w:val="nil"/>
              <w:right w:val="nil"/>
            </w:tcBorders>
            <w:shd w:val="clear" w:color="000000" w:fill="BFBFBF"/>
            <w:noWrap/>
            <w:textDirection w:val="lrTb"/>
            <w:vAlign w:val="center"/>
            <w:hideMark/>
          </w:tcPr>
          <w:p w:rsidR="004C026A" w:rsidRPr="004A5C06" w:rsidP="00DE543A">
            <w:pPr>
              <w:bidi w:val="0"/>
              <w:jc w:val="right"/>
              <w:rPr>
                <w:rFonts w:ascii="Times New Roman" w:hAnsi="Times New Roman"/>
                <w:color w:val="000000"/>
                <w:sz w:val="18"/>
                <w:szCs w:val="18"/>
              </w:rPr>
            </w:pPr>
            <w:r w:rsidRPr="004A5C06">
              <w:rPr>
                <w:rFonts w:ascii="Times New Roman" w:hAnsi="Times New Roman"/>
                <w:color w:val="000000"/>
                <w:sz w:val="18"/>
                <w:szCs w:val="18"/>
              </w:rPr>
              <w:t>0</w:t>
            </w:r>
          </w:p>
        </w:tc>
        <w:tc>
          <w:tcPr>
            <w:tcW w:w="1002" w:type="dxa"/>
            <w:tcBorders>
              <w:top w:val="nil"/>
              <w:left w:val="nil"/>
              <w:bottom w:val="nil"/>
              <w:right w:val="nil"/>
            </w:tcBorders>
            <w:shd w:val="clear" w:color="000000" w:fill="FFFFFF"/>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0</w:t>
            </w:r>
          </w:p>
        </w:tc>
        <w:tc>
          <w:tcPr>
            <w:tcW w:w="636" w:type="dxa"/>
            <w:gridSpan w:val="2"/>
            <w:tcBorders>
              <w:top w:val="nil"/>
              <w:left w:val="nil"/>
              <w:bottom w:val="nil"/>
              <w:right w:val="nil"/>
            </w:tcBorders>
            <w:shd w:val="clear" w:color="000000" w:fill="FFFFFF"/>
            <w:textDirection w:val="lrTb"/>
            <w:vAlign w:val="center"/>
            <w:hideMark/>
          </w:tcPr>
          <w:p w:rsidR="004C026A" w:rsidRPr="004A5C06" w:rsidP="00464514">
            <w:pPr>
              <w:bidi w:val="0"/>
              <w:jc w:val="right"/>
              <w:rPr>
                <w:rFonts w:ascii="Times New Roman" w:hAnsi="Times New Roman"/>
                <w:color w:val="000000"/>
                <w:sz w:val="18"/>
                <w:szCs w:val="18"/>
              </w:rPr>
            </w:pPr>
            <w:r w:rsidR="004A5C06">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rPr>
                <w:rFonts w:ascii="Times New Roman" w:hAnsi="Times New Roman"/>
                <w:color w:val="000000"/>
                <w:sz w:val="18"/>
                <w:szCs w:val="18"/>
              </w:rPr>
            </w:pPr>
            <w:r w:rsidRPr="004A5C06">
              <w:rPr>
                <w:rFonts w:ascii="Times New Roman" w:hAnsi="Times New Roman"/>
                <w:color w:val="000000"/>
                <w:sz w:val="18"/>
                <w:szCs w:val="18"/>
              </w:rPr>
              <w:t>Rezerva predsedu vlády SR</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7 014</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2 388</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0</w:t>
            </w:r>
          </w:p>
        </w:tc>
        <w:tc>
          <w:tcPr>
            <w:tcW w:w="1165" w:type="dxa"/>
            <w:tcBorders>
              <w:top w:val="nil"/>
              <w:left w:val="nil"/>
              <w:bottom w:val="nil"/>
              <w:right w:val="nil"/>
            </w:tcBorders>
            <w:shd w:val="clear" w:color="000000" w:fill="BFBFB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5 620</w:t>
            </w:r>
          </w:p>
        </w:tc>
        <w:tc>
          <w:tcPr>
            <w:tcW w:w="1002" w:type="dxa"/>
            <w:tcBorders>
              <w:top w:val="nil"/>
              <w:left w:val="nil"/>
              <w:bottom w:val="nil"/>
              <w:right w:val="nil"/>
            </w:tcBorders>
            <w:shd w:val="clear" w:color="000000" w:fill="FFFFFF"/>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5 620</w:t>
            </w:r>
          </w:p>
        </w:tc>
        <w:tc>
          <w:tcPr>
            <w:tcW w:w="636" w:type="dxa"/>
            <w:gridSpan w:val="2"/>
            <w:tcBorders>
              <w:top w:val="nil"/>
              <w:left w:val="nil"/>
              <w:bottom w:val="nil"/>
              <w:right w:val="nil"/>
            </w:tcBorders>
            <w:shd w:val="clear" w:color="000000" w:fill="FFFFFF"/>
            <w:textDirection w:val="lrTb"/>
            <w:vAlign w:val="center"/>
            <w:hideMark/>
          </w:tcPr>
          <w:p w:rsidR="004C026A" w:rsidRPr="004A5C06" w:rsidP="00464514">
            <w:pPr>
              <w:bidi w:val="0"/>
              <w:jc w:val="right"/>
              <w:rPr>
                <w:rFonts w:ascii="Times New Roman" w:hAnsi="Times New Roman"/>
                <w:color w:val="000000"/>
                <w:sz w:val="18"/>
                <w:szCs w:val="18"/>
              </w:rPr>
            </w:pPr>
            <w:r w:rsidR="004A5C06">
              <w:rPr>
                <w:rFonts w:ascii="Times New Roman" w:hAnsi="Times New Roman"/>
                <w:color w:val="000000"/>
                <w:sz w:val="18"/>
                <w:szCs w:val="18"/>
              </w:rPr>
              <w:t>-</w:t>
            </w:r>
          </w:p>
        </w:tc>
      </w:tr>
      <w:tr>
        <w:tblPrEx>
          <w:tblW w:w="0" w:type="auto"/>
          <w:tblInd w:w="55" w:type="dxa"/>
          <w:tblCellMar>
            <w:left w:w="70" w:type="dxa"/>
            <w:right w:w="70" w:type="dxa"/>
          </w:tblCellMar>
          <w:tblLook w:val="04A0"/>
        </w:tblPrEx>
        <w:trPr>
          <w:trHeight w:val="330"/>
        </w:trPr>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rPr>
                <w:rFonts w:ascii="Times New Roman" w:hAnsi="Times New Roman"/>
                <w:color w:val="000000"/>
                <w:sz w:val="18"/>
                <w:szCs w:val="18"/>
              </w:rPr>
            </w:pPr>
            <w:r w:rsidRPr="004A5C06">
              <w:rPr>
                <w:rFonts w:ascii="Times New Roman" w:hAnsi="Times New Roman"/>
                <w:color w:val="000000"/>
                <w:sz w:val="18"/>
                <w:szCs w:val="18"/>
              </w:rPr>
              <w:t>Rezerva na prostriedky Európskej únie a odvody EÚ</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0</w:t>
            </w:r>
          </w:p>
        </w:tc>
        <w:tc>
          <w:tcPr>
            <w:tcW w:w="0" w:type="auto"/>
            <w:tcBorders>
              <w:top w:val="nil"/>
              <w:left w:val="nil"/>
              <w:bottom w:val="nil"/>
              <w:right w:val="nil"/>
            </w:tcBorders>
            <w:shd w:val="clear" w:color="000000" w:fill="FFFFFF"/>
            <w:noWrap/>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64 921</w:t>
            </w:r>
          </w:p>
        </w:tc>
        <w:tc>
          <w:tcPr>
            <w:tcW w:w="1165" w:type="dxa"/>
            <w:tcBorders>
              <w:top w:val="nil"/>
              <w:left w:val="nil"/>
              <w:bottom w:val="nil"/>
              <w:right w:val="nil"/>
            </w:tcBorders>
            <w:shd w:val="clear" w:color="000000" w:fill="BFBFBF"/>
            <w:noWrap/>
            <w:textDirection w:val="lrTb"/>
            <w:vAlign w:val="center"/>
            <w:hideMark/>
          </w:tcPr>
          <w:p w:rsidR="004C026A" w:rsidRPr="004A5C06" w:rsidP="00DE543A">
            <w:pPr>
              <w:bidi w:val="0"/>
              <w:jc w:val="right"/>
              <w:rPr>
                <w:rFonts w:ascii="Times New Roman" w:hAnsi="Times New Roman"/>
                <w:color w:val="000000"/>
                <w:sz w:val="18"/>
                <w:szCs w:val="18"/>
              </w:rPr>
            </w:pPr>
            <w:r w:rsidRPr="004A5C06">
              <w:rPr>
                <w:rFonts w:ascii="Times New Roman" w:hAnsi="Times New Roman"/>
                <w:color w:val="000000"/>
                <w:sz w:val="18"/>
                <w:szCs w:val="18"/>
              </w:rPr>
              <w:t>1 809</w:t>
            </w:r>
          </w:p>
        </w:tc>
        <w:tc>
          <w:tcPr>
            <w:tcW w:w="1002" w:type="dxa"/>
            <w:tcBorders>
              <w:top w:val="nil"/>
              <w:left w:val="nil"/>
              <w:bottom w:val="nil"/>
              <w:right w:val="nil"/>
            </w:tcBorders>
            <w:shd w:val="clear" w:color="000000" w:fill="FFFFFF"/>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-63 112</w:t>
            </w:r>
          </w:p>
        </w:tc>
        <w:tc>
          <w:tcPr>
            <w:tcW w:w="636" w:type="dxa"/>
            <w:gridSpan w:val="2"/>
            <w:tcBorders>
              <w:top w:val="nil"/>
              <w:left w:val="nil"/>
              <w:bottom w:val="nil"/>
              <w:right w:val="nil"/>
            </w:tcBorders>
            <w:shd w:val="clear" w:color="000000" w:fill="FFFFFF"/>
            <w:textDirection w:val="lrTb"/>
            <w:vAlign w:val="center"/>
            <w:hideMark/>
          </w:tcPr>
          <w:p w:rsidR="004C026A" w:rsidRPr="004A5C06" w:rsidP="00464514">
            <w:pPr>
              <w:bidi w:val="0"/>
              <w:jc w:val="right"/>
              <w:rPr>
                <w:rFonts w:ascii="Times New Roman" w:hAnsi="Times New Roman"/>
                <w:color w:val="000000"/>
                <w:sz w:val="18"/>
                <w:szCs w:val="18"/>
              </w:rPr>
            </w:pPr>
            <w:r w:rsidRPr="004A5C06">
              <w:rPr>
                <w:rFonts w:ascii="Times New Roman" w:hAnsi="Times New Roman"/>
                <w:color w:val="000000"/>
                <w:sz w:val="18"/>
                <w:szCs w:val="18"/>
              </w:rPr>
              <w:t>-97,2</w:t>
            </w:r>
          </w:p>
        </w:tc>
      </w:tr>
      <w:tr>
        <w:tblPrEx>
          <w:tblW w:w="0" w:type="auto"/>
          <w:tblInd w:w="55" w:type="dxa"/>
          <w:tblCellMar>
            <w:left w:w="70" w:type="dxa"/>
            <w:right w:w="70" w:type="dxa"/>
          </w:tblCellMar>
          <w:tblLook w:val="04A0"/>
        </w:tblPrEx>
        <w:trPr>
          <w:trHeight w:val="345"/>
        </w:trPr>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4C026A" w:rsidRPr="004A5C06" w:rsidP="00464514">
            <w:pPr>
              <w:bidi w:val="0"/>
              <w:rPr>
                <w:rFonts w:ascii="Times New Roman" w:hAnsi="Times New Roman"/>
                <w:b/>
                <w:bCs/>
                <w:color w:val="000000"/>
                <w:sz w:val="18"/>
                <w:szCs w:val="18"/>
              </w:rPr>
            </w:pPr>
            <w:r w:rsidRPr="004A5C06">
              <w:rPr>
                <w:rFonts w:ascii="Times New Roman" w:hAnsi="Times New Roman"/>
                <w:b/>
                <w:bCs/>
                <w:color w:val="000000"/>
                <w:sz w:val="18"/>
                <w:szCs w:val="18"/>
              </w:rPr>
              <w:t>Spolu</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4C026A" w:rsidRPr="004A5C06" w:rsidP="00464514">
            <w:pPr>
              <w:bidi w:val="0"/>
              <w:jc w:val="right"/>
              <w:rPr>
                <w:rFonts w:ascii="Times New Roman" w:hAnsi="Times New Roman"/>
                <w:b/>
                <w:bCs/>
                <w:color w:val="000000"/>
                <w:sz w:val="18"/>
                <w:szCs w:val="18"/>
              </w:rPr>
            </w:pPr>
            <w:r w:rsidRPr="004A5C06">
              <w:rPr>
                <w:rFonts w:ascii="Times New Roman" w:hAnsi="Times New Roman"/>
                <w:b/>
                <w:bCs/>
                <w:color w:val="000000"/>
                <w:sz w:val="18"/>
                <w:szCs w:val="18"/>
              </w:rPr>
              <w:t>9 464</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4C026A" w:rsidRPr="004A5C06" w:rsidP="00464514">
            <w:pPr>
              <w:bidi w:val="0"/>
              <w:jc w:val="right"/>
              <w:rPr>
                <w:rFonts w:ascii="Times New Roman" w:hAnsi="Times New Roman"/>
                <w:b/>
                <w:bCs/>
                <w:color w:val="000000"/>
                <w:sz w:val="18"/>
                <w:szCs w:val="18"/>
              </w:rPr>
            </w:pPr>
            <w:r w:rsidRPr="004A5C06">
              <w:rPr>
                <w:rFonts w:ascii="Times New Roman" w:hAnsi="Times New Roman"/>
                <w:b/>
                <w:bCs/>
                <w:color w:val="000000"/>
                <w:sz w:val="18"/>
                <w:szCs w:val="18"/>
              </w:rPr>
              <w:t>4 438</w:t>
            </w:r>
          </w:p>
        </w:tc>
        <w:tc>
          <w:tcPr>
            <w:tcW w:w="0" w:type="auto"/>
            <w:tcBorders>
              <w:top w:val="single" w:sz="4" w:space="0" w:color="auto"/>
              <w:left w:val="nil"/>
              <w:bottom w:val="single" w:sz="8" w:space="0" w:color="auto"/>
              <w:right w:val="nil"/>
            </w:tcBorders>
            <w:shd w:val="clear" w:color="000000" w:fill="FFFFFF"/>
            <w:noWrap/>
            <w:textDirection w:val="lrTb"/>
            <w:vAlign w:val="center"/>
            <w:hideMark/>
          </w:tcPr>
          <w:p w:rsidR="004C026A" w:rsidRPr="004A5C06" w:rsidP="00464514">
            <w:pPr>
              <w:bidi w:val="0"/>
              <w:jc w:val="right"/>
              <w:rPr>
                <w:rFonts w:ascii="Times New Roman" w:hAnsi="Times New Roman"/>
                <w:b/>
                <w:bCs/>
                <w:color w:val="000000"/>
                <w:sz w:val="18"/>
                <w:szCs w:val="18"/>
              </w:rPr>
            </w:pPr>
            <w:r w:rsidRPr="004A5C06">
              <w:rPr>
                <w:rFonts w:ascii="Times New Roman" w:hAnsi="Times New Roman"/>
                <w:b/>
                <w:bCs/>
                <w:color w:val="000000"/>
                <w:sz w:val="18"/>
                <w:szCs w:val="18"/>
              </w:rPr>
              <w:t>64 921</w:t>
            </w:r>
          </w:p>
        </w:tc>
        <w:tc>
          <w:tcPr>
            <w:tcW w:w="1165" w:type="dxa"/>
            <w:tcBorders>
              <w:top w:val="single" w:sz="4" w:space="0" w:color="auto"/>
              <w:left w:val="nil"/>
              <w:bottom w:val="single" w:sz="8" w:space="0" w:color="auto"/>
              <w:right w:val="nil"/>
            </w:tcBorders>
            <w:shd w:val="clear" w:color="000000" w:fill="BFBFBF"/>
            <w:noWrap/>
            <w:textDirection w:val="lrTb"/>
            <w:vAlign w:val="center"/>
            <w:hideMark/>
          </w:tcPr>
          <w:p w:rsidR="004C026A" w:rsidRPr="004A5C06" w:rsidP="00464514">
            <w:pPr>
              <w:bidi w:val="0"/>
              <w:jc w:val="right"/>
              <w:rPr>
                <w:rFonts w:ascii="Times New Roman" w:hAnsi="Times New Roman"/>
                <w:b/>
                <w:bCs/>
                <w:color w:val="000000"/>
                <w:sz w:val="18"/>
                <w:szCs w:val="18"/>
              </w:rPr>
            </w:pPr>
            <w:r w:rsidRPr="004A5C06">
              <w:rPr>
                <w:rFonts w:ascii="Times New Roman" w:hAnsi="Times New Roman"/>
                <w:b/>
                <w:bCs/>
                <w:color w:val="000000"/>
                <w:sz w:val="18"/>
                <w:szCs w:val="18"/>
              </w:rPr>
              <w:t>7 429</w:t>
            </w:r>
          </w:p>
        </w:tc>
        <w:tc>
          <w:tcPr>
            <w:tcW w:w="1002" w:type="dxa"/>
            <w:tcBorders>
              <w:top w:val="single" w:sz="4" w:space="0" w:color="auto"/>
              <w:left w:val="nil"/>
              <w:bottom w:val="single" w:sz="8" w:space="0" w:color="auto"/>
              <w:right w:val="nil"/>
            </w:tcBorders>
            <w:shd w:val="clear" w:color="000000" w:fill="FFFFFF"/>
            <w:noWrap/>
            <w:textDirection w:val="lrTb"/>
            <w:vAlign w:val="center"/>
            <w:hideMark/>
          </w:tcPr>
          <w:p w:rsidR="004C026A" w:rsidRPr="004A5C06" w:rsidP="00464514">
            <w:pPr>
              <w:bidi w:val="0"/>
              <w:jc w:val="right"/>
              <w:rPr>
                <w:rFonts w:ascii="Times New Roman" w:hAnsi="Times New Roman"/>
                <w:b/>
                <w:bCs/>
                <w:color w:val="000000"/>
                <w:sz w:val="18"/>
                <w:szCs w:val="18"/>
              </w:rPr>
            </w:pPr>
            <w:r w:rsidRPr="004A5C06">
              <w:rPr>
                <w:rFonts w:ascii="Times New Roman" w:hAnsi="Times New Roman"/>
                <w:b/>
                <w:bCs/>
                <w:color w:val="000000"/>
                <w:sz w:val="18"/>
                <w:szCs w:val="18"/>
              </w:rPr>
              <w:t>-57 492</w:t>
            </w:r>
          </w:p>
        </w:tc>
        <w:tc>
          <w:tcPr>
            <w:tcW w:w="636" w:type="dxa"/>
            <w:gridSpan w:val="2"/>
            <w:tcBorders>
              <w:top w:val="single" w:sz="4" w:space="0" w:color="auto"/>
              <w:left w:val="nil"/>
              <w:bottom w:val="single" w:sz="8" w:space="0" w:color="auto"/>
              <w:right w:val="nil"/>
            </w:tcBorders>
            <w:shd w:val="clear" w:color="000000" w:fill="FFFFFF"/>
            <w:noWrap/>
            <w:textDirection w:val="lrTb"/>
            <w:vAlign w:val="center"/>
            <w:hideMark/>
          </w:tcPr>
          <w:p w:rsidR="004C026A" w:rsidRPr="004A5C06" w:rsidP="00464514">
            <w:pPr>
              <w:bidi w:val="0"/>
              <w:jc w:val="right"/>
              <w:rPr>
                <w:rFonts w:ascii="Times New Roman" w:hAnsi="Times New Roman"/>
                <w:b/>
                <w:bCs/>
                <w:color w:val="000000"/>
                <w:sz w:val="18"/>
                <w:szCs w:val="18"/>
              </w:rPr>
            </w:pPr>
            <w:r w:rsidRPr="004A5C06">
              <w:rPr>
                <w:rFonts w:ascii="Times New Roman" w:hAnsi="Times New Roman"/>
                <w:b/>
                <w:bCs/>
                <w:color w:val="000000"/>
                <w:sz w:val="18"/>
                <w:szCs w:val="18"/>
              </w:rPr>
              <w:t>-88,6</w:t>
            </w:r>
          </w:p>
        </w:tc>
      </w:tr>
    </w:tbl>
    <w:p w:rsidR="004C026A" w:rsidP="009654D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bidi w:val="0"/>
        <w:spacing w:after="120" w:line="336" w:lineRule="auto"/>
        <w:jc w:val="right"/>
        <w:rPr>
          <w:rFonts w:ascii="Times New Roman" w:hAnsi="Times New Roman"/>
          <w:color w:val="000000"/>
          <w:sz w:val="18"/>
          <w:szCs w:val="18"/>
        </w:rPr>
      </w:pPr>
      <w:r>
        <w:rPr>
          <w:rFonts w:ascii="Times New Roman" w:hAnsi="Times New Roman"/>
          <w:color w:val="000000"/>
          <w:sz w:val="18"/>
          <w:szCs w:val="18"/>
        </w:rPr>
        <w:t>Zdroj: MF SR</w:t>
      </w:r>
    </w:p>
    <w:p w:rsidR="004C026A" w:rsidRPr="004C026A" w:rsidP="004C026A">
      <w:pPr>
        <w:pStyle w:val="Zkladntext1"/>
        <w:numPr>
          <w:numId w:val="12"/>
        </w:numPr>
        <w:tabs>
          <w:tab w:val="left" w:pos="284"/>
        </w:tabs>
        <w:bidi w:val="0"/>
        <w:spacing w:after="120" w:line="336" w:lineRule="auto"/>
        <w:ind w:left="0" w:firstLine="0"/>
        <w:rPr>
          <w:rFonts w:ascii="Times New Roman" w:hAnsi="Times New Roman"/>
          <w:b/>
          <w:sz w:val="22"/>
          <w:szCs w:val="22"/>
          <w:lang w:val="sk-SK"/>
        </w:rPr>
      </w:pPr>
      <w:r w:rsidRPr="004C026A">
        <w:rPr>
          <w:rFonts w:ascii="Times New Roman" w:hAnsi="Times New Roman"/>
          <w:b/>
          <w:sz w:val="22"/>
          <w:szCs w:val="22"/>
          <w:lang w:val="sk-SK"/>
        </w:rPr>
        <w:t>Čerpanie prostriedkov rezervy vlády Slovenskej republiky</w:t>
      </w:r>
    </w:p>
    <w:p w:rsidR="004C026A" w:rsidRPr="004C026A" w:rsidP="004C026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bidi w:val="0"/>
        <w:spacing w:after="120" w:line="336" w:lineRule="auto"/>
        <w:jc w:val="both"/>
        <w:rPr>
          <w:rFonts w:ascii="Times New Roman" w:hAnsi="Times New Roman"/>
          <w:color w:val="000000"/>
          <w:sz w:val="22"/>
          <w:szCs w:val="22"/>
        </w:rPr>
      </w:pPr>
      <w:r w:rsidRPr="004C026A">
        <w:rPr>
          <w:rFonts w:ascii="Times New Roman" w:hAnsi="Times New Roman"/>
          <w:color w:val="000000"/>
          <w:sz w:val="22"/>
          <w:szCs w:val="22"/>
        </w:rPr>
        <w:t>Rezerva vlády SR je rozpočtovaná na krytie nepredvídaných a mimoriadnych potrieb súvisiacich so zabezpečením plnenia vnútorných a zahraničných úloh Slovenskej republiky. O jej použití rozhoduje vláda SR na návrh ministra financií.</w:t>
      </w:r>
      <w:r w:rsidR="00105EF5">
        <w:rPr>
          <w:rFonts w:ascii="Times New Roman" w:hAnsi="Times New Roman"/>
          <w:color w:val="000000"/>
          <w:sz w:val="22"/>
          <w:szCs w:val="22"/>
        </w:rPr>
        <w:t xml:space="preserve"> </w:t>
      </w:r>
      <w:r w:rsidRPr="004C026A">
        <w:rPr>
          <w:rFonts w:ascii="Times New Roman" w:hAnsi="Times New Roman"/>
          <w:color w:val="000000"/>
          <w:sz w:val="22"/>
          <w:szCs w:val="22"/>
        </w:rPr>
        <w:t>Rezerva vlády SR nebola na rok 2015 rozpočtovaná.</w:t>
      </w:r>
    </w:p>
    <w:p w:rsidR="004C026A" w:rsidRPr="004C026A" w:rsidP="004C026A">
      <w:pPr>
        <w:pStyle w:val="ListParagraph"/>
        <w:numPr>
          <w:numId w:val="12"/>
        </w:num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bidi w:val="0"/>
        <w:spacing w:after="120" w:line="336" w:lineRule="auto"/>
        <w:ind w:left="0" w:firstLine="0"/>
        <w:jc w:val="both"/>
        <w:rPr>
          <w:rFonts w:ascii="Times New Roman" w:hAnsi="Times New Roman"/>
          <w:color w:val="000000"/>
        </w:rPr>
      </w:pPr>
      <w:r w:rsidRPr="004C026A">
        <w:rPr>
          <w:rFonts w:ascii="Times New Roman" w:hAnsi="Times New Roman"/>
          <w:b/>
          <w:color w:val="000000"/>
        </w:rPr>
        <w:t>Rezerva predsedu vlády Slovenskej republiky</w:t>
      </w:r>
    </w:p>
    <w:p w:rsidR="00066234" w:rsidRPr="006F4C94" w:rsidP="00066234">
      <w:pPr>
        <w:pStyle w:val="Zkladntext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bidi w:val="0"/>
        <w:spacing w:after="120" w:line="336" w:lineRule="auto"/>
        <w:jc w:val="both"/>
        <w:rPr>
          <w:rFonts w:ascii="Times New Roman" w:hAnsi="Times New Roman"/>
          <w:color w:val="FF0000"/>
          <w:sz w:val="22"/>
          <w:szCs w:val="22"/>
          <w:lang w:val="sk-SK"/>
        </w:rPr>
      </w:pPr>
      <w:r w:rsidRPr="004C026A" w:rsidR="004C026A">
        <w:rPr>
          <w:rFonts w:ascii="Times New Roman" w:hAnsi="Times New Roman"/>
          <w:sz w:val="22"/>
          <w:szCs w:val="22"/>
          <w:lang w:val="sk-SK"/>
        </w:rPr>
        <w:t xml:space="preserve">Rezerva predsedu vlády SR sa v súlade s § 10 odsek 3 zákona o rozpočtových pravidlách verejnej správy </w:t>
      </w:r>
      <w:r w:rsidRPr="005D2759" w:rsidR="004C026A">
        <w:rPr>
          <w:rFonts w:ascii="Times New Roman" w:hAnsi="Times New Roman"/>
          <w:sz w:val="22"/>
          <w:szCs w:val="22"/>
          <w:lang w:val="sk-SK"/>
        </w:rPr>
        <w:t xml:space="preserve">rozpočtuje a vykazuje v rozpočtovej kapitole Úradu vlády SR. O použití prostriedkov rozhoduje predseda vlády. </w:t>
      </w:r>
      <w:r w:rsidRPr="005D2759">
        <w:rPr>
          <w:rFonts w:ascii="Times New Roman" w:hAnsi="Times New Roman"/>
          <w:sz w:val="22"/>
          <w:szCs w:val="22"/>
          <w:lang w:val="sk-SK"/>
        </w:rPr>
        <w:t xml:space="preserve">Rezerva nebola na rok 2015 rozpočtovaná v zmysle Ústavného zákona č. 493/2011 Z. z. o rozpočtovej zodpovednosti, kedy podľa čl. 10,  ak výška dlhu dosiahne 55 % podielu na hrubom domácom produkte a zároveň nedosiahne 57 % podielu na hrubom domácom produkte, nemožno poskytovať prostriedky z rezervy predsedu vlády a z rezervy vlády. Na základe vývoja dlhu v priebehu rozpočtového roka </w:t>
      </w:r>
      <w:r w:rsidRPr="005D2759" w:rsidR="00265BEF">
        <w:rPr>
          <w:rFonts w:ascii="Times New Roman" w:hAnsi="Times New Roman"/>
          <w:sz w:val="22"/>
          <w:szCs w:val="22"/>
          <w:lang w:val="sk-SK"/>
        </w:rPr>
        <w:t xml:space="preserve">2015 </w:t>
      </w:r>
      <w:r w:rsidRPr="005D2759">
        <w:rPr>
          <w:rFonts w:ascii="Times New Roman" w:hAnsi="Times New Roman"/>
          <w:sz w:val="22"/>
          <w:szCs w:val="22"/>
          <w:lang w:val="sk-SK"/>
        </w:rPr>
        <w:t xml:space="preserve">bolo možné </w:t>
      </w:r>
      <w:r w:rsidRPr="005D2759" w:rsidR="00265BEF">
        <w:rPr>
          <w:rFonts w:ascii="Times New Roman" w:hAnsi="Times New Roman"/>
          <w:sz w:val="22"/>
          <w:szCs w:val="22"/>
          <w:lang w:val="sk-SK"/>
        </w:rPr>
        <w:t xml:space="preserve">čerpať </w:t>
      </w:r>
      <w:r w:rsidRPr="005D2759">
        <w:rPr>
          <w:rFonts w:ascii="Times New Roman" w:hAnsi="Times New Roman"/>
          <w:sz w:val="22"/>
          <w:szCs w:val="22"/>
          <w:lang w:val="sk-SK"/>
        </w:rPr>
        <w:t>obe rezervy</w:t>
      </w:r>
      <w:r w:rsidRPr="005D2759" w:rsidR="00265BEF">
        <w:rPr>
          <w:rFonts w:ascii="Times New Roman" w:hAnsi="Times New Roman"/>
          <w:sz w:val="22"/>
          <w:szCs w:val="22"/>
          <w:lang w:val="sk-SK"/>
        </w:rPr>
        <w:t>.</w:t>
      </w:r>
      <w:r>
        <w:rPr>
          <w:rFonts w:ascii="Times New Roman" w:hAnsi="Times New Roman"/>
          <w:color w:val="FF0000"/>
          <w:sz w:val="22"/>
          <w:szCs w:val="22"/>
          <w:lang w:val="sk-SK"/>
        </w:rPr>
        <w:t xml:space="preserve">   </w:t>
      </w:r>
    </w:p>
    <w:p w:rsidR="004C026A" w:rsidRPr="004C026A" w:rsidP="004C026A">
      <w:pPr>
        <w:pStyle w:val="ListParagraph"/>
        <w:numPr>
          <w:numId w:val="12"/>
        </w:numPr>
        <w:tabs>
          <w:tab w:val="left" w:pos="284"/>
        </w:tabs>
        <w:bidi w:val="0"/>
        <w:spacing w:after="120" w:line="336" w:lineRule="auto"/>
        <w:ind w:left="0" w:firstLine="0"/>
        <w:jc w:val="both"/>
        <w:rPr>
          <w:rFonts w:ascii="Times New Roman" w:hAnsi="Times New Roman"/>
          <w:b/>
          <w:color w:val="000000"/>
        </w:rPr>
      </w:pPr>
      <w:r w:rsidRPr="004C026A">
        <w:rPr>
          <w:rFonts w:ascii="Times New Roman" w:hAnsi="Times New Roman"/>
          <w:b/>
          <w:color w:val="000000"/>
        </w:rPr>
        <w:t>Rezerva na prostriedky EÚ a odvody EÚ</w:t>
      </w:r>
    </w:p>
    <w:p w:rsidR="004C026A" w:rsidRPr="0092533B" w:rsidP="004C026A">
      <w:pPr>
        <w:pStyle w:val="Zkladntext1"/>
        <w:bidi w:val="0"/>
        <w:spacing w:after="240" w:line="360" w:lineRule="atLeast"/>
        <w:jc w:val="both"/>
        <w:rPr>
          <w:rFonts w:ascii="Times New Roman" w:hAnsi="Times New Roman"/>
          <w:sz w:val="22"/>
          <w:szCs w:val="22"/>
          <w:lang w:val="sk-SK"/>
        </w:rPr>
      </w:pPr>
      <w:r w:rsidRPr="00257EF5">
        <w:rPr>
          <w:rFonts w:ascii="Times New Roman" w:hAnsi="Times New Roman"/>
          <w:sz w:val="22"/>
          <w:szCs w:val="22"/>
          <w:lang w:val="sk-SK"/>
        </w:rPr>
        <w:t>Rezerva na prostriedky EÚ a odvody EÚ</w:t>
      </w:r>
      <w:r w:rsidRPr="00F14DF2">
        <w:rPr>
          <w:rFonts w:ascii="Times New Roman" w:hAnsi="Times New Roman"/>
          <w:b/>
          <w:sz w:val="22"/>
          <w:szCs w:val="22"/>
          <w:lang w:val="sk-SK"/>
        </w:rPr>
        <w:t xml:space="preserve"> </w:t>
      </w:r>
      <w:r w:rsidRPr="00F14DF2">
        <w:rPr>
          <w:rFonts w:ascii="Times New Roman" w:hAnsi="Times New Roman"/>
          <w:sz w:val="22"/>
          <w:szCs w:val="22"/>
          <w:lang w:val="sk-SK"/>
        </w:rPr>
        <w:t xml:space="preserve">bola rozpočtovaná na rok 2015 vo výške </w:t>
      </w:r>
      <w:r w:rsidRPr="002F3C08">
        <w:rPr>
          <w:rFonts w:ascii="Times New Roman" w:hAnsi="Times New Roman"/>
          <w:sz w:val="22"/>
          <w:szCs w:val="22"/>
          <w:lang w:val="sk-SK"/>
        </w:rPr>
        <w:t>6</w:t>
      </w:r>
      <w:r>
        <w:rPr>
          <w:rFonts w:ascii="Times New Roman" w:hAnsi="Times New Roman"/>
          <w:sz w:val="22"/>
          <w:szCs w:val="22"/>
          <w:lang w:val="sk-SK"/>
        </w:rPr>
        <w:t>4 </w:t>
      </w:r>
      <w:r w:rsidRPr="002F3C08">
        <w:rPr>
          <w:rFonts w:ascii="Times New Roman" w:hAnsi="Times New Roman"/>
          <w:sz w:val="22"/>
          <w:szCs w:val="22"/>
          <w:lang w:val="sk-SK"/>
        </w:rPr>
        <w:t>921</w:t>
      </w:r>
      <w:r>
        <w:rPr>
          <w:rFonts w:ascii="Times New Roman" w:hAnsi="Times New Roman"/>
          <w:sz w:val="22"/>
          <w:szCs w:val="22"/>
          <w:lang w:val="sk-SK"/>
        </w:rPr>
        <w:t> tis. </w:t>
      </w:r>
      <w:r w:rsidRPr="002F3C08">
        <w:rPr>
          <w:rFonts w:ascii="Times New Roman" w:hAnsi="Times New Roman"/>
          <w:sz w:val="22"/>
          <w:szCs w:val="22"/>
          <w:lang w:val="sk-SK"/>
        </w:rPr>
        <w:t>eur. Fo</w:t>
      </w:r>
      <w:r>
        <w:rPr>
          <w:rFonts w:ascii="Times New Roman" w:hAnsi="Times New Roman"/>
          <w:sz w:val="22"/>
          <w:szCs w:val="22"/>
          <w:lang w:val="sk-SK"/>
        </w:rPr>
        <w:t>rmou rozpočtových opatrení sa v</w:t>
      </w:r>
      <w:r w:rsidRPr="002F3C08">
        <w:rPr>
          <w:rFonts w:ascii="Times New Roman" w:hAnsi="Times New Roman"/>
          <w:sz w:val="22"/>
          <w:szCs w:val="22"/>
          <w:lang w:val="sk-SK"/>
        </w:rPr>
        <w:t xml:space="preserve"> priebehu roka 2015 uvoľnili finančné prostriedky vo výške </w:t>
      </w:r>
      <w:r>
        <w:rPr>
          <w:rFonts w:ascii="Times New Roman" w:hAnsi="Times New Roman"/>
          <w:sz w:val="22"/>
          <w:szCs w:val="22"/>
          <w:lang w:val="sk-SK"/>
        </w:rPr>
        <w:t>52 </w:t>
      </w:r>
      <w:r w:rsidRPr="002F3C08">
        <w:rPr>
          <w:rFonts w:ascii="Times New Roman" w:hAnsi="Times New Roman"/>
          <w:sz w:val="22"/>
          <w:szCs w:val="22"/>
          <w:lang w:val="sk-SK"/>
        </w:rPr>
        <w:t>961</w:t>
      </w:r>
      <w:r>
        <w:rPr>
          <w:rFonts w:ascii="Times New Roman" w:hAnsi="Times New Roman"/>
          <w:sz w:val="22"/>
          <w:szCs w:val="22"/>
          <w:lang w:val="sk-SK"/>
        </w:rPr>
        <w:t xml:space="preserve"> tis. eur a </w:t>
      </w:r>
      <w:r w:rsidRPr="00466ABA">
        <w:rPr>
          <w:rFonts w:ascii="Times New Roman" w:hAnsi="Times New Roman"/>
          <w:sz w:val="22"/>
          <w:szCs w:val="22"/>
          <w:lang w:val="sk-SK"/>
        </w:rPr>
        <w:t>prostredníctvom platobných príkazov</w:t>
      </w:r>
      <w:r>
        <w:rPr>
          <w:rFonts w:ascii="Times New Roman" w:hAnsi="Times New Roman"/>
          <w:sz w:val="22"/>
          <w:szCs w:val="22"/>
          <w:lang w:val="sk-SK"/>
        </w:rPr>
        <w:t xml:space="preserve"> v objeme 1 809 tis. </w:t>
      </w:r>
      <w:r w:rsidRPr="00466ABA">
        <w:rPr>
          <w:rFonts w:ascii="Times New Roman" w:hAnsi="Times New Roman"/>
          <w:sz w:val="22"/>
          <w:szCs w:val="22"/>
          <w:lang w:val="sk-SK"/>
        </w:rPr>
        <w:t>eur</w:t>
      </w:r>
      <w:r w:rsidRPr="002F3C08">
        <w:rPr>
          <w:rFonts w:ascii="Times New Roman" w:hAnsi="Times New Roman"/>
          <w:sz w:val="22"/>
          <w:szCs w:val="22"/>
          <w:lang w:val="sk-SK"/>
        </w:rPr>
        <w:t xml:space="preserve">. Po vykonaných rozpočtových opatreniach a čerpaní platobnými príkazmi bol </w:t>
      </w:r>
      <w:r>
        <w:rPr>
          <w:rFonts w:ascii="Times New Roman" w:hAnsi="Times New Roman"/>
          <w:sz w:val="22"/>
          <w:szCs w:val="22"/>
          <w:lang w:val="sk-SK"/>
        </w:rPr>
        <w:t>zostatok rezervy z roku 2015 vo </w:t>
      </w:r>
      <w:r w:rsidRPr="002F3C08">
        <w:rPr>
          <w:rFonts w:ascii="Times New Roman" w:hAnsi="Times New Roman"/>
          <w:sz w:val="22"/>
          <w:szCs w:val="22"/>
          <w:lang w:val="sk-SK"/>
        </w:rPr>
        <w:t xml:space="preserve">výške </w:t>
      </w:r>
      <w:r>
        <w:rPr>
          <w:rFonts w:ascii="Times New Roman" w:hAnsi="Times New Roman"/>
          <w:sz w:val="22"/>
          <w:szCs w:val="22"/>
          <w:lang w:val="sk-SK"/>
        </w:rPr>
        <w:t>10 15</w:t>
      </w:r>
      <w:r w:rsidR="001F378C">
        <w:rPr>
          <w:rFonts w:ascii="Times New Roman" w:hAnsi="Times New Roman"/>
          <w:sz w:val="22"/>
          <w:szCs w:val="22"/>
          <w:lang w:val="sk-SK"/>
        </w:rPr>
        <w:t>1</w:t>
      </w:r>
      <w:r>
        <w:rPr>
          <w:rFonts w:ascii="Times New Roman" w:hAnsi="Times New Roman"/>
          <w:sz w:val="22"/>
          <w:szCs w:val="22"/>
          <w:lang w:val="sk-SK"/>
        </w:rPr>
        <w:t> tis. </w:t>
      </w:r>
      <w:r w:rsidRPr="002F3C08">
        <w:rPr>
          <w:rFonts w:ascii="Times New Roman" w:hAnsi="Times New Roman"/>
          <w:sz w:val="22"/>
          <w:szCs w:val="22"/>
          <w:lang w:val="sk-SK"/>
        </w:rPr>
        <w:t xml:space="preserve">eur spolu s rozviazanými finančnými prostriedkami z predchádzajúcich rokov vo výške </w:t>
      </w:r>
      <w:r>
        <w:rPr>
          <w:rFonts w:ascii="Times New Roman" w:hAnsi="Times New Roman"/>
          <w:sz w:val="22"/>
          <w:szCs w:val="22"/>
          <w:lang w:val="sk-SK"/>
        </w:rPr>
        <w:t>44 </w:t>
      </w:r>
      <w:r w:rsidRPr="002F3C08">
        <w:rPr>
          <w:rFonts w:ascii="Times New Roman" w:hAnsi="Times New Roman"/>
          <w:sz w:val="22"/>
          <w:szCs w:val="22"/>
          <w:lang w:val="sk-SK"/>
        </w:rPr>
        <w:t>005</w:t>
      </w:r>
      <w:r>
        <w:rPr>
          <w:rFonts w:ascii="Times New Roman" w:hAnsi="Times New Roman"/>
          <w:sz w:val="22"/>
          <w:szCs w:val="22"/>
          <w:lang w:val="sk-SK"/>
        </w:rPr>
        <w:t> tis. </w:t>
      </w:r>
      <w:r w:rsidRPr="002F3C08">
        <w:rPr>
          <w:rFonts w:ascii="Times New Roman" w:hAnsi="Times New Roman"/>
          <w:sz w:val="22"/>
          <w:szCs w:val="22"/>
          <w:lang w:val="sk-SK"/>
        </w:rPr>
        <w:t>eur v zmysle zákona č. 523/2004 Z. z. o rozpočtových pravidlách verejnej správy a o zmene a doplnení niektorých zákonov v znení neskorších predpisov viazaný na použitie v nasledujúcich rokoch</w:t>
      </w:r>
      <w:r>
        <w:rPr>
          <w:rFonts w:ascii="Times New Roman" w:hAnsi="Times New Roman"/>
          <w:sz w:val="22"/>
          <w:szCs w:val="22"/>
          <w:lang w:val="sk-SK"/>
        </w:rPr>
        <w:t>,</w:t>
      </w:r>
      <w:r w:rsidRPr="002F3C08">
        <w:rPr>
          <w:rFonts w:ascii="Times New Roman" w:hAnsi="Times New Roman"/>
          <w:sz w:val="22"/>
          <w:szCs w:val="22"/>
          <w:lang w:val="sk-SK"/>
        </w:rPr>
        <w:t xml:space="preserve"> v </w:t>
      </w:r>
      <w:r w:rsidRPr="0092533B">
        <w:rPr>
          <w:rFonts w:ascii="Times New Roman" w:hAnsi="Times New Roman"/>
          <w:sz w:val="22"/>
          <w:szCs w:val="22"/>
          <w:lang w:val="sk-SK"/>
        </w:rPr>
        <w:t>celkovej výške 54</w:t>
      </w:r>
      <w:r>
        <w:rPr>
          <w:rFonts w:ascii="Times New Roman" w:hAnsi="Times New Roman"/>
          <w:sz w:val="22"/>
          <w:szCs w:val="22"/>
          <w:lang w:val="sk-SK"/>
        </w:rPr>
        <w:t> </w:t>
      </w:r>
      <w:r w:rsidRPr="0092533B">
        <w:rPr>
          <w:rFonts w:ascii="Times New Roman" w:hAnsi="Times New Roman"/>
          <w:sz w:val="22"/>
          <w:szCs w:val="22"/>
          <w:lang w:val="sk-SK"/>
        </w:rPr>
        <w:t>15</w:t>
      </w:r>
      <w:r>
        <w:rPr>
          <w:rFonts w:ascii="Times New Roman" w:hAnsi="Times New Roman"/>
          <w:sz w:val="22"/>
          <w:szCs w:val="22"/>
          <w:lang w:val="sk-SK"/>
        </w:rPr>
        <w:t>6 tis. </w:t>
      </w:r>
      <w:r w:rsidRPr="0092533B">
        <w:rPr>
          <w:rFonts w:ascii="Times New Roman" w:hAnsi="Times New Roman"/>
          <w:sz w:val="22"/>
          <w:szCs w:val="22"/>
          <w:lang w:val="sk-SK"/>
        </w:rPr>
        <w:t>eur.</w:t>
      </w:r>
    </w:p>
    <w:p w:rsidR="00B57C93" w:rsidP="001F5C32">
      <w:pPr>
        <w:pStyle w:val="Heading2"/>
        <w:numPr>
          <w:ilvl w:val="1"/>
          <w:numId w:val="20"/>
        </w:numPr>
        <w:tabs>
          <w:tab w:val="clear" w:pos="1134"/>
        </w:tabs>
        <w:bidi w:val="0"/>
        <w:spacing w:before="0" w:beforeAutospacing="0" w:line="336" w:lineRule="auto"/>
        <w:ind w:left="0" w:firstLine="0"/>
        <w:rPr>
          <w:rFonts w:ascii="Times New Roman" w:hAnsi="Times New Roman"/>
        </w:rPr>
      </w:pPr>
      <w:bookmarkStart w:id="38" w:name="_Toc449622843"/>
      <w:r w:rsidR="0027279E">
        <w:rPr>
          <w:rFonts w:ascii="Times New Roman" w:hAnsi="Times New Roman"/>
        </w:rPr>
        <w:t>Štátne finančné aktíva</w:t>
      </w:r>
      <w:bookmarkEnd w:id="38"/>
    </w:p>
    <w:p w:rsidR="002E5018" w:rsidRPr="002E5018" w:rsidP="004265B5">
      <w:pPr>
        <w:bidi w:val="0"/>
        <w:spacing w:after="120" w:line="336" w:lineRule="auto"/>
        <w:jc w:val="both"/>
        <w:rPr>
          <w:rFonts w:ascii="Times New Roman" w:hAnsi="Times New Roman"/>
          <w:sz w:val="22"/>
          <w:szCs w:val="22"/>
        </w:rPr>
      </w:pPr>
      <w:r w:rsidRPr="002E5018">
        <w:rPr>
          <w:rFonts w:ascii="Times New Roman" w:hAnsi="Times New Roman"/>
          <w:sz w:val="22"/>
          <w:szCs w:val="22"/>
        </w:rPr>
        <w:t>Štátne finančné aktíva resp. štátne finančné pasíva sú súčasťou návrhu štátneho rozpočtu na príslušný rok. Finančné operácie so štátnymi finančnými aktívami a iné operácie, ktoré ovplyvňujú stav štátnych finančných aktív, nie sú súčasťou príjmov štátneho rozpočtu a výdavkov štátneho rozpočtu. Správu štátnych finančných aktív a štátnych finančných pasív vykonáva Ministerstvo financií SR, v rozsahu zákona o rozpočtových pravidlách, pričom na niektoré transakcie sa vyžaduje súhlas vlády a na niektoré dokonca súhlas národnej rady SR</w:t>
      </w:r>
      <w:r>
        <w:rPr>
          <w:rStyle w:val="FootnoteReference"/>
          <w:rFonts w:ascii="Times New Roman" w:hAnsi="Times New Roman"/>
          <w:sz w:val="22"/>
          <w:szCs w:val="22"/>
          <w:rtl w:val="0"/>
        </w:rPr>
        <w:footnoteReference w:id="4"/>
      </w:r>
      <w:r w:rsidRPr="002E5018">
        <w:rPr>
          <w:rFonts w:ascii="Times New Roman" w:hAnsi="Times New Roman"/>
          <w:sz w:val="22"/>
          <w:szCs w:val="22"/>
        </w:rPr>
        <w:t>.</w:t>
      </w:r>
    </w:p>
    <w:p w:rsidR="002E5018" w:rsidRPr="002E5018" w:rsidP="002E5018">
      <w:pPr>
        <w:bidi w:val="0"/>
        <w:spacing w:line="336" w:lineRule="auto"/>
        <w:jc w:val="both"/>
        <w:rPr>
          <w:rFonts w:ascii="Times New Roman" w:hAnsi="Times New Roman"/>
          <w:sz w:val="22"/>
          <w:szCs w:val="22"/>
        </w:rPr>
      </w:pPr>
      <w:r w:rsidRPr="002E5018">
        <w:rPr>
          <w:rFonts w:ascii="Times New Roman" w:hAnsi="Times New Roman"/>
          <w:sz w:val="22"/>
          <w:szCs w:val="22"/>
        </w:rPr>
        <w:t>Podľa zákona o rozpočtových pravidlách sú štátnymi finančnými aktívami:</w:t>
      </w:r>
    </w:p>
    <w:p w:rsidR="002E5018" w:rsidRPr="002E5018" w:rsidP="00E645EA">
      <w:pPr>
        <w:pStyle w:val="ListParagraph"/>
        <w:numPr>
          <w:numId w:val="35"/>
        </w:numPr>
        <w:tabs>
          <w:tab w:val="left" w:pos="284"/>
        </w:tabs>
        <w:bidi w:val="0"/>
        <w:spacing w:after="0" w:line="336" w:lineRule="auto"/>
        <w:ind w:left="0" w:firstLine="0"/>
        <w:jc w:val="both"/>
        <w:rPr>
          <w:rFonts w:ascii="Times New Roman" w:hAnsi="Times New Roman"/>
        </w:rPr>
      </w:pPr>
      <w:r w:rsidRPr="002E5018">
        <w:rPr>
          <w:rFonts w:ascii="Times New Roman" w:hAnsi="Times New Roman"/>
        </w:rPr>
        <w:t>peňažné prostriedky štátu vytvorené z výsledkov rozpočtového hospodárenia štátneho rozpočtu z minulých rokov,</w:t>
      </w:r>
    </w:p>
    <w:p w:rsidR="002E5018" w:rsidRPr="002E5018" w:rsidP="00E645EA">
      <w:pPr>
        <w:pStyle w:val="ListParagraph"/>
        <w:numPr>
          <w:numId w:val="35"/>
        </w:numPr>
        <w:tabs>
          <w:tab w:val="left" w:pos="284"/>
        </w:tabs>
        <w:bidi w:val="0"/>
        <w:spacing w:after="0" w:line="336" w:lineRule="auto"/>
        <w:ind w:left="0" w:firstLine="0"/>
        <w:jc w:val="both"/>
        <w:rPr>
          <w:rFonts w:ascii="Times New Roman" w:hAnsi="Times New Roman"/>
        </w:rPr>
      </w:pPr>
      <w:r w:rsidRPr="002E5018">
        <w:rPr>
          <w:rFonts w:ascii="Times New Roman" w:hAnsi="Times New Roman"/>
        </w:rPr>
        <w:t>peňažné prostriedky štátu zo splácania istín poskytnutých návratných výpomocí a úverov a pôžičiek,</w:t>
      </w:r>
    </w:p>
    <w:p w:rsidR="002E5018" w:rsidRPr="002E5018" w:rsidP="00E645EA">
      <w:pPr>
        <w:pStyle w:val="ListParagraph"/>
        <w:numPr>
          <w:numId w:val="35"/>
        </w:numPr>
        <w:tabs>
          <w:tab w:val="left" w:pos="284"/>
        </w:tabs>
        <w:bidi w:val="0"/>
        <w:spacing w:after="0" w:line="336" w:lineRule="auto"/>
        <w:ind w:left="0" w:firstLine="0"/>
        <w:jc w:val="both"/>
        <w:rPr>
          <w:rFonts w:ascii="Times New Roman" w:hAnsi="Times New Roman"/>
        </w:rPr>
      </w:pPr>
      <w:r w:rsidRPr="002E5018">
        <w:rPr>
          <w:rFonts w:ascii="Times New Roman" w:hAnsi="Times New Roman"/>
        </w:rPr>
        <w:t>majetkové účasti štátu,</w:t>
      </w:r>
    </w:p>
    <w:p w:rsidR="002E5018" w:rsidRPr="002E5018" w:rsidP="00E645EA">
      <w:pPr>
        <w:pStyle w:val="ListParagraph"/>
        <w:numPr>
          <w:numId w:val="35"/>
        </w:numPr>
        <w:tabs>
          <w:tab w:val="left" w:pos="284"/>
        </w:tabs>
        <w:bidi w:val="0"/>
        <w:spacing w:after="0" w:line="336" w:lineRule="auto"/>
        <w:ind w:left="0" w:firstLine="0"/>
        <w:jc w:val="both"/>
        <w:rPr>
          <w:rFonts w:ascii="Times New Roman" w:hAnsi="Times New Roman"/>
        </w:rPr>
      </w:pPr>
      <w:r w:rsidRPr="002E5018">
        <w:rPr>
          <w:rFonts w:ascii="Times New Roman" w:hAnsi="Times New Roman"/>
        </w:rPr>
        <w:t>peňažné prostriedky v pokladnici a na bežných účtoch štátnych rozpočtových organizácií a štátnych príspevkových organizácií a odvod za porušenie finančnej disciplíny pri nakladaní so štátnymi finančnými aktívami,</w:t>
      </w:r>
    </w:p>
    <w:p w:rsidR="002E5018" w:rsidRPr="002E5018" w:rsidP="00E645EA">
      <w:pPr>
        <w:pStyle w:val="ListParagraph"/>
        <w:numPr>
          <w:numId w:val="35"/>
        </w:numPr>
        <w:tabs>
          <w:tab w:val="left" w:pos="284"/>
        </w:tabs>
        <w:bidi w:val="0"/>
        <w:spacing w:after="0" w:line="336" w:lineRule="auto"/>
        <w:ind w:left="0" w:firstLine="0"/>
        <w:jc w:val="both"/>
        <w:rPr>
          <w:rFonts w:ascii="Times New Roman" w:hAnsi="Times New Roman"/>
        </w:rPr>
      </w:pPr>
      <w:r w:rsidRPr="002E5018">
        <w:rPr>
          <w:rFonts w:ascii="Times New Roman" w:hAnsi="Times New Roman"/>
        </w:rPr>
        <w:t>cenné papiere vo vlastníctve štátu,</w:t>
      </w:r>
    </w:p>
    <w:p w:rsidR="002E5018" w:rsidRPr="002E5018" w:rsidP="00E645EA">
      <w:pPr>
        <w:pStyle w:val="ListParagraph"/>
        <w:numPr>
          <w:numId w:val="35"/>
        </w:numPr>
        <w:tabs>
          <w:tab w:val="left" w:pos="284"/>
        </w:tabs>
        <w:bidi w:val="0"/>
        <w:spacing w:after="0" w:line="336" w:lineRule="auto"/>
        <w:ind w:left="0" w:firstLine="0"/>
        <w:jc w:val="both"/>
        <w:rPr>
          <w:rFonts w:ascii="Times New Roman" w:hAnsi="Times New Roman"/>
        </w:rPr>
      </w:pPr>
      <w:r w:rsidRPr="002E5018">
        <w:rPr>
          <w:rFonts w:ascii="Times New Roman" w:hAnsi="Times New Roman"/>
        </w:rPr>
        <w:t>pohľadávky štátu z poskytnutých návratných finančných výpomocí a úverov a pôžičiek,</w:t>
      </w:r>
    </w:p>
    <w:p w:rsidR="002E5018" w:rsidRPr="002E5018" w:rsidP="004265B5">
      <w:pPr>
        <w:pStyle w:val="ListParagraph"/>
        <w:numPr>
          <w:numId w:val="35"/>
        </w:numPr>
        <w:tabs>
          <w:tab w:val="left" w:pos="284"/>
        </w:tabs>
        <w:bidi w:val="0"/>
        <w:spacing w:after="120" w:line="336" w:lineRule="auto"/>
        <w:ind w:left="0" w:firstLine="0"/>
        <w:jc w:val="both"/>
        <w:rPr>
          <w:rFonts w:ascii="Times New Roman" w:hAnsi="Times New Roman"/>
        </w:rPr>
      </w:pPr>
      <w:r w:rsidRPr="002E5018">
        <w:rPr>
          <w:rFonts w:ascii="Times New Roman" w:hAnsi="Times New Roman"/>
        </w:rPr>
        <w:t>ďalšie peňažné prostriedky na základe rozhodnutia vlády alebo národnej rady.</w:t>
      </w:r>
    </w:p>
    <w:p w:rsidR="002E5018" w:rsidRPr="002E5018" w:rsidP="00E645EA">
      <w:pPr>
        <w:bidi w:val="0"/>
        <w:spacing w:line="336" w:lineRule="auto"/>
        <w:jc w:val="both"/>
        <w:rPr>
          <w:rFonts w:ascii="Times New Roman" w:hAnsi="Times New Roman"/>
          <w:sz w:val="22"/>
          <w:szCs w:val="22"/>
        </w:rPr>
      </w:pPr>
      <w:r w:rsidRPr="002E5018">
        <w:rPr>
          <w:rFonts w:ascii="Times New Roman" w:hAnsi="Times New Roman"/>
          <w:sz w:val="22"/>
          <w:szCs w:val="22"/>
        </w:rPr>
        <w:t>Štátne finančné pasíva tvoria:</w:t>
      </w:r>
    </w:p>
    <w:p w:rsidR="002E5018" w:rsidRPr="002E5018" w:rsidP="00E645EA">
      <w:pPr>
        <w:pStyle w:val="ListParagraph"/>
        <w:numPr>
          <w:numId w:val="35"/>
        </w:numPr>
        <w:tabs>
          <w:tab w:val="left" w:pos="284"/>
        </w:tabs>
        <w:bidi w:val="0"/>
        <w:spacing w:after="0" w:line="336" w:lineRule="auto"/>
        <w:ind w:left="0" w:firstLine="0"/>
        <w:jc w:val="both"/>
        <w:rPr>
          <w:rFonts w:ascii="Times New Roman" w:hAnsi="Times New Roman"/>
        </w:rPr>
      </w:pPr>
      <w:r w:rsidRPr="002E5018">
        <w:rPr>
          <w:rFonts w:ascii="Times New Roman" w:hAnsi="Times New Roman"/>
        </w:rPr>
        <w:t>záväzky z vydaných štátnych cenných papierov (dlhopisy, pokladničné poukážky),</w:t>
      </w:r>
    </w:p>
    <w:p w:rsidR="002E5018" w:rsidRPr="002E5018" w:rsidP="00E645EA">
      <w:pPr>
        <w:pStyle w:val="ListParagraph"/>
        <w:numPr>
          <w:numId w:val="35"/>
        </w:numPr>
        <w:tabs>
          <w:tab w:val="left" w:pos="284"/>
        </w:tabs>
        <w:bidi w:val="0"/>
        <w:spacing w:after="0" w:line="336" w:lineRule="auto"/>
        <w:ind w:left="0" w:firstLine="0"/>
        <w:jc w:val="both"/>
        <w:rPr>
          <w:rFonts w:ascii="Times New Roman" w:hAnsi="Times New Roman"/>
        </w:rPr>
      </w:pPr>
      <w:r w:rsidRPr="002E5018">
        <w:rPr>
          <w:rFonts w:ascii="Times New Roman" w:hAnsi="Times New Roman"/>
        </w:rPr>
        <w:t>záväzky z prijatých úverov vlády,</w:t>
      </w:r>
    </w:p>
    <w:p w:rsidR="00E645EA" w:rsidRPr="00E645EA" w:rsidP="00E645EA">
      <w:pPr>
        <w:pStyle w:val="ListParagraph"/>
        <w:numPr>
          <w:numId w:val="35"/>
        </w:numPr>
        <w:tabs>
          <w:tab w:val="left" w:pos="284"/>
        </w:tabs>
        <w:bidi w:val="0"/>
        <w:spacing w:after="120" w:line="336" w:lineRule="auto"/>
        <w:ind w:left="0" w:firstLine="0"/>
        <w:jc w:val="both"/>
        <w:rPr>
          <w:rFonts w:ascii="Times New Roman" w:hAnsi="Times New Roman"/>
        </w:rPr>
      </w:pPr>
      <w:r w:rsidRPr="002E5018" w:rsidR="002E5018">
        <w:rPr>
          <w:rFonts w:ascii="Times New Roman" w:hAnsi="Times New Roman"/>
        </w:rPr>
        <w:t>záväzky štátnych príspevkových organizácií vzniknuté z úverových vzťahov.</w:t>
      </w:r>
    </w:p>
    <w:p w:rsidR="004265B5" w:rsidP="009654DD">
      <w:pPr>
        <w:bidi w:val="0"/>
        <w:spacing w:after="120" w:line="336" w:lineRule="auto"/>
        <w:jc w:val="both"/>
        <w:rPr>
          <w:rFonts w:ascii="Times New Roman" w:hAnsi="Times New Roman"/>
          <w:sz w:val="22"/>
          <w:szCs w:val="22"/>
        </w:rPr>
      </w:pPr>
      <w:r w:rsidRPr="002E5018" w:rsidR="002E5018">
        <w:rPr>
          <w:rFonts w:ascii="Times New Roman" w:hAnsi="Times New Roman"/>
          <w:sz w:val="22"/>
          <w:szCs w:val="22"/>
        </w:rPr>
        <w:t xml:space="preserve">Štátne finančné aktíva sú vedené na samostatných mimorozpočtových účtoch v Štátnej pokladnici a ich zostatok prechádza vždy do nasledujúceho rozpočtového roka. Okrem prostriedkov, ktoré vznikajú z operácií súvisiacich so správou štátneho dlhu, sú rozhodujúcimi položkami dividendy od obchodných spoločností štátu prevedené z bývalého Fondu národného majetku, príjem z predaja </w:t>
      </w:r>
      <w:r w:rsidR="009654DD">
        <w:rPr>
          <w:rFonts w:ascii="Times New Roman" w:hAnsi="Times New Roman"/>
          <w:sz w:val="22"/>
          <w:szCs w:val="22"/>
        </w:rPr>
        <w:t xml:space="preserve">majetkových </w:t>
      </w:r>
      <w:r w:rsidRPr="002E5018" w:rsidR="002E5018">
        <w:rPr>
          <w:rFonts w:ascii="Times New Roman" w:hAnsi="Times New Roman"/>
          <w:sz w:val="22"/>
          <w:szCs w:val="22"/>
        </w:rPr>
        <w:t>podielov v obchodných spoločnostiach štátu, splátky istín z poskytnutých návratných finančných výpomocí, a od roku 2012 osobitný odvod vybraných finančných inštitúcií</w:t>
      </w:r>
      <w:r>
        <w:rPr>
          <w:rStyle w:val="FootnoteReference"/>
          <w:rFonts w:ascii="Times New Roman" w:hAnsi="Times New Roman"/>
          <w:sz w:val="22"/>
          <w:szCs w:val="22"/>
          <w:rtl w:val="0"/>
        </w:rPr>
        <w:footnoteReference w:id="5"/>
      </w:r>
      <w:r w:rsidRPr="002E5018" w:rsidR="002E5018">
        <w:rPr>
          <w:rFonts w:ascii="Times New Roman" w:hAnsi="Times New Roman"/>
          <w:sz w:val="22"/>
          <w:szCs w:val="22"/>
        </w:rPr>
        <w:t xml:space="preserve"> a osobitný odvod z podnikania v regulovaných odvetviach</w:t>
      </w:r>
      <w:r>
        <w:rPr>
          <w:rStyle w:val="FootnoteReference"/>
          <w:rFonts w:ascii="Times New Roman" w:hAnsi="Times New Roman"/>
          <w:sz w:val="22"/>
          <w:szCs w:val="22"/>
          <w:rtl w:val="0"/>
        </w:rPr>
        <w:footnoteReference w:id="6"/>
      </w:r>
      <w:r w:rsidRPr="002E5018" w:rsidR="002E5018">
        <w:rPr>
          <w:rFonts w:ascii="Times New Roman" w:hAnsi="Times New Roman"/>
          <w:sz w:val="22"/>
          <w:szCs w:val="22"/>
        </w:rPr>
        <w:t>. Naopak, výdavky predstavujú poskytnuté návratné finančné výpomoci, prevod prostriedkov do príjmov štátneho rozpočtu na realizáciu rozpočtových výdavkov, úhrada podielov na základnom imaní zahraničných finančných inštitúcií (napríklad Európska investičná banka) a ďalšie transakcie</w:t>
      </w:r>
      <w:r w:rsidR="007603ED">
        <w:rPr>
          <w:rFonts w:ascii="Times New Roman" w:hAnsi="Times New Roman"/>
          <w:sz w:val="22"/>
          <w:szCs w:val="22"/>
        </w:rPr>
        <w:t>.</w:t>
      </w:r>
    </w:p>
    <w:tbl>
      <w:tblPr>
        <w:tblStyle w:val="TableNormal"/>
        <w:tblpPr w:leftFromText="141" w:rightFromText="141" w:vertAnchor="text" w:horzAnchor="margin" w:tblpXSpec="center" w:tblpY="59"/>
        <w:tblW w:w="8993" w:type="dxa"/>
        <w:tblCellMar>
          <w:left w:w="70" w:type="dxa"/>
          <w:right w:w="70" w:type="dxa"/>
        </w:tblCellMar>
        <w:tblLook w:val="04A0"/>
      </w:tblPr>
      <w:tblGrid>
        <w:gridCol w:w="5173"/>
        <w:gridCol w:w="1276"/>
        <w:gridCol w:w="1271"/>
        <w:gridCol w:w="1273"/>
      </w:tblGrid>
      <w:tr>
        <w:tblPrEx>
          <w:tblW w:w="8993" w:type="dxa"/>
          <w:tblCellMar>
            <w:left w:w="70" w:type="dxa"/>
            <w:right w:w="70" w:type="dxa"/>
          </w:tblCellMar>
          <w:tblLook w:val="04A0"/>
        </w:tblPrEx>
        <w:trPr>
          <w:trHeight w:val="279"/>
        </w:trPr>
        <w:tc>
          <w:tcPr>
            <w:tcW w:w="8993" w:type="dxa"/>
            <w:gridSpan w:val="4"/>
            <w:tcBorders>
              <w:top w:val="single" w:sz="4" w:space="0" w:color="auto"/>
              <w:left w:val="nil"/>
              <w:bottom w:val="nil"/>
              <w:right w:val="nil"/>
            </w:tcBorders>
            <w:shd w:val="clear" w:color="000000" w:fill="000000"/>
            <w:noWrap/>
            <w:textDirection w:val="lrTb"/>
            <w:vAlign w:val="center"/>
          </w:tcPr>
          <w:p w:rsidR="002E5018" w:rsidRPr="007603ED" w:rsidP="007603ED">
            <w:pPr>
              <w:bidi w:val="0"/>
              <w:rPr>
                <w:rFonts w:ascii="Times New Roman" w:hAnsi="Times New Roman"/>
                <w:b/>
                <w:bCs/>
                <w:color w:val="FFFFFF"/>
                <w:sz w:val="20"/>
                <w:szCs w:val="20"/>
              </w:rPr>
            </w:pPr>
            <w:r w:rsidR="004265B5">
              <w:rPr>
                <w:rFonts w:ascii="Times New Roman" w:hAnsi="Times New Roman"/>
                <w:sz w:val="22"/>
                <w:szCs w:val="22"/>
              </w:rPr>
              <w:br w:type="page"/>
            </w:r>
            <w:r w:rsidRPr="007603ED">
              <w:rPr>
                <w:rFonts w:ascii="Times New Roman" w:hAnsi="Times New Roman"/>
                <w:b/>
                <w:bCs/>
                <w:sz w:val="20"/>
                <w:szCs w:val="20"/>
              </w:rPr>
              <w:t xml:space="preserve">Vybrané účty štátnych finančných aktív                                                                                              </w:t>
            </w:r>
            <w:r w:rsidRPr="007603ED">
              <w:rPr>
                <w:rFonts w:ascii="Times New Roman" w:hAnsi="Times New Roman"/>
                <w:b/>
                <w:bCs/>
                <w:color w:val="FFFFFF"/>
                <w:sz w:val="20"/>
                <w:szCs w:val="20"/>
              </w:rPr>
              <w:t>v tis. eur</w:t>
            </w:r>
          </w:p>
        </w:tc>
      </w:tr>
      <w:tr>
        <w:tblPrEx>
          <w:tblW w:w="8993" w:type="dxa"/>
          <w:tblCellMar>
            <w:left w:w="70" w:type="dxa"/>
            <w:right w:w="70" w:type="dxa"/>
          </w:tblCellMar>
          <w:tblLook w:val="04A0"/>
        </w:tblPrEx>
        <w:trPr>
          <w:trHeight w:hRule="exact" w:val="284"/>
        </w:trPr>
        <w:tc>
          <w:tcPr>
            <w:tcW w:w="8993" w:type="dxa"/>
            <w:gridSpan w:val="4"/>
            <w:tcBorders>
              <w:top w:val="nil"/>
              <w:left w:val="nil"/>
              <w:bottom w:val="none" w:sz="0" w:space="0" w:color="auto"/>
              <w:right w:val="nil"/>
            </w:tcBorders>
            <w:shd w:val="clear" w:color="000000" w:fill="BFBFBF"/>
            <w:noWrap/>
            <w:textDirection w:val="lrTb"/>
            <w:vAlign w:val="center"/>
          </w:tcPr>
          <w:p w:rsidR="002E5018" w:rsidRPr="007603ED" w:rsidP="007603ED">
            <w:pPr>
              <w:bidi w:val="0"/>
              <w:ind w:firstLine="6804"/>
              <w:jc w:val="both"/>
              <w:rPr>
                <w:rFonts w:ascii="Times New Roman" w:hAnsi="Times New Roman"/>
                <w:b/>
                <w:bCs/>
                <w:color w:val="000000"/>
                <w:sz w:val="20"/>
                <w:szCs w:val="20"/>
              </w:rPr>
            </w:pPr>
            <w:r w:rsidRPr="007603ED">
              <w:rPr>
                <w:rFonts w:ascii="Times New Roman" w:hAnsi="Times New Roman"/>
                <w:b/>
                <w:bCs/>
                <w:color w:val="000000"/>
                <w:sz w:val="20"/>
                <w:szCs w:val="20"/>
              </w:rPr>
              <w:t>Skutočnosť</w:t>
            </w:r>
          </w:p>
        </w:tc>
      </w:tr>
      <w:tr>
        <w:tblPrEx>
          <w:tblW w:w="8993" w:type="dxa"/>
          <w:tblCellMar>
            <w:left w:w="70" w:type="dxa"/>
            <w:right w:w="70" w:type="dxa"/>
          </w:tblCellMar>
          <w:tblLook w:val="04A0"/>
        </w:tblPrEx>
        <w:trPr>
          <w:trHeight w:hRule="exact" w:val="284"/>
        </w:trPr>
        <w:tc>
          <w:tcPr>
            <w:tcW w:w="5173" w:type="dxa"/>
            <w:tcBorders>
              <w:top w:val="nil"/>
              <w:left w:val="nil"/>
              <w:bottom w:val="single" w:sz="4" w:space="0" w:color="auto"/>
              <w:right w:val="nil"/>
            </w:tcBorders>
            <w:shd w:val="clear" w:color="000000" w:fill="BFBFBF"/>
            <w:noWrap/>
            <w:textDirection w:val="lrTb"/>
            <w:vAlign w:val="center"/>
          </w:tcPr>
          <w:p w:rsidR="002E5018" w:rsidRPr="007603ED" w:rsidP="007603ED">
            <w:pPr>
              <w:bidi w:val="0"/>
              <w:rPr>
                <w:rFonts w:ascii="Times New Roman" w:hAnsi="Times New Roman"/>
                <w:color w:val="000000"/>
                <w:sz w:val="20"/>
                <w:szCs w:val="20"/>
              </w:rPr>
            </w:pPr>
            <w:r w:rsidRPr="007603ED">
              <w:rPr>
                <w:rFonts w:ascii="Times New Roman" w:hAnsi="Times New Roman"/>
                <w:color w:val="000000"/>
                <w:sz w:val="20"/>
                <w:szCs w:val="20"/>
              </w:rPr>
              <w:t> </w:t>
            </w:r>
          </w:p>
        </w:tc>
        <w:tc>
          <w:tcPr>
            <w:tcW w:w="1276" w:type="dxa"/>
            <w:tcBorders>
              <w:top w:val="nil"/>
              <w:left w:val="nil"/>
              <w:bottom w:val="single" w:sz="4" w:space="0" w:color="auto"/>
              <w:right w:val="nil"/>
            </w:tcBorders>
            <w:shd w:val="clear" w:color="000000" w:fill="BFBFBF"/>
            <w:noWrap/>
            <w:textDirection w:val="lrTb"/>
            <w:vAlign w:val="center"/>
          </w:tcPr>
          <w:p w:rsidR="002E5018" w:rsidRPr="007603ED" w:rsidP="007603ED">
            <w:pPr>
              <w:bidi w:val="0"/>
              <w:jc w:val="right"/>
              <w:rPr>
                <w:rFonts w:ascii="Times New Roman" w:hAnsi="Times New Roman"/>
                <w:b/>
                <w:bCs/>
                <w:color w:val="000000"/>
                <w:sz w:val="20"/>
                <w:szCs w:val="20"/>
              </w:rPr>
            </w:pPr>
            <w:r w:rsidRPr="007603ED">
              <w:rPr>
                <w:rFonts w:ascii="Times New Roman" w:hAnsi="Times New Roman"/>
                <w:b/>
                <w:bCs/>
                <w:color w:val="000000"/>
                <w:sz w:val="20"/>
                <w:szCs w:val="20"/>
              </w:rPr>
              <w:t xml:space="preserve"> 2013</w:t>
            </w:r>
          </w:p>
        </w:tc>
        <w:tc>
          <w:tcPr>
            <w:tcW w:w="1271" w:type="dxa"/>
            <w:tcBorders>
              <w:top w:val="nil"/>
              <w:left w:val="nil"/>
              <w:bottom w:val="single" w:sz="4" w:space="0" w:color="auto"/>
              <w:right w:val="nil"/>
            </w:tcBorders>
            <w:shd w:val="clear" w:color="000000" w:fill="BFBFBF"/>
            <w:noWrap/>
            <w:textDirection w:val="lrTb"/>
            <w:vAlign w:val="center"/>
          </w:tcPr>
          <w:p w:rsidR="002E5018" w:rsidRPr="007603ED" w:rsidP="007603ED">
            <w:pPr>
              <w:bidi w:val="0"/>
              <w:jc w:val="right"/>
              <w:rPr>
                <w:rFonts w:ascii="Times New Roman" w:hAnsi="Times New Roman"/>
                <w:b/>
                <w:bCs/>
                <w:color w:val="000000"/>
                <w:sz w:val="20"/>
                <w:szCs w:val="20"/>
              </w:rPr>
            </w:pPr>
            <w:r w:rsidRPr="007603ED">
              <w:rPr>
                <w:rFonts w:ascii="Times New Roman" w:hAnsi="Times New Roman"/>
                <w:b/>
                <w:bCs/>
                <w:color w:val="000000"/>
                <w:sz w:val="20"/>
                <w:szCs w:val="20"/>
              </w:rPr>
              <w:t xml:space="preserve">  2014</w:t>
            </w:r>
          </w:p>
        </w:tc>
        <w:tc>
          <w:tcPr>
            <w:tcW w:w="1273" w:type="dxa"/>
            <w:tcBorders>
              <w:top w:val="nil"/>
              <w:left w:val="nil"/>
              <w:bottom w:val="single" w:sz="4" w:space="0" w:color="auto"/>
              <w:right w:val="nil"/>
            </w:tcBorders>
            <w:shd w:val="clear" w:color="000000" w:fill="BFBFBF"/>
            <w:noWrap/>
            <w:textDirection w:val="lrTb"/>
            <w:vAlign w:val="center"/>
          </w:tcPr>
          <w:p w:rsidR="002E5018" w:rsidRPr="007603ED" w:rsidP="007603ED">
            <w:pPr>
              <w:bidi w:val="0"/>
              <w:jc w:val="right"/>
              <w:rPr>
                <w:rFonts w:ascii="Times New Roman" w:hAnsi="Times New Roman"/>
                <w:b/>
                <w:bCs/>
                <w:color w:val="000000"/>
                <w:sz w:val="20"/>
                <w:szCs w:val="20"/>
              </w:rPr>
            </w:pPr>
            <w:r w:rsidRPr="007603ED">
              <w:rPr>
                <w:rFonts w:ascii="Times New Roman" w:hAnsi="Times New Roman"/>
                <w:b/>
                <w:bCs/>
                <w:color w:val="000000"/>
                <w:sz w:val="20"/>
                <w:szCs w:val="20"/>
              </w:rPr>
              <w:t xml:space="preserve">    2015</w:t>
            </w:r>
          </w:p>
        </w:tc>
      </w:tr>
      <w:tr>
        <w:tblPrEx>
          <w:tblW w:w="8993" w:type="dxa"/>
          <w:tblCellMar>
            <w:left w:w="70" w:type="dxa"/>
            <w:right w:w="70" w:type="dxa"/>
          </w:tblCellMar>
          <w:tblLook w:val="04A0"/>
        </w:tblPrEx>
        <w:trPr>
          <w:trHeight w:hRule="exact" w:val="284"/>
        </w:trPr>
        <w:tc>
          <w:tcPr>
            <w:tcW w:w="5173" w:type="dxa"/>
            <w:tcBorders>
              <w:top w:val="single" w:sz="4" w:space="0" w:color="auto"/>
              <w:left w:val="nil"/>
              <w:bottom w:val="none" w:sz="0" w:space="0" w:color="auto"/>
              <w:right w:val="nil"/>
            </w:tcBorders>
            <w:noWrap/>
            <w:textDirection w:val="lrTb"/>
            <w:vAlign w:val="center"/>
          </w:tcPr>
          <w:p w:rsidR="002E5018" w:rsidRPr="007603ED" w:rsidP="007603ED">
            <w:pPr>
              <w:bidi w:val="0"/>
              <w:rPr>
                <w:rFonts w:ascii="Times New Roman" w:hAnsi="Times New Roman"/>
                <w:b/>
                <w:color w:val="000000"/>
                <w:sz w:val="20"/>
                <w:szCs w:val="20"/>
              </w:rPr>
            </w:pPr>
            <w:r w:rsidRPr="007603ED">
              <w:rPr>
                <w:rFonts w:ascii="Times New Roman" w:hAnsi="Times New Roman"/>
                <w:b/>
                <w:color w:val="000000"/>
                <w:sz w:val="20"/>
                <w:szCs w:val="20"/>
              </w:rPr>
              <w:t>Stav k 1.1.</w:t>
            </w:r>
          </w:p>
        </w:tc>
        <w:tc>
          <w:tcPr>
            <w:tcW w:w="1276" w:type="dxa"/>
            <w:tcBorders>
              <w:top w:val="single" w:sz="4"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372 686</w:t>
            </w:r>
          </w:p>
        </w:tc>
        <w:tc>
          <w:tcPr>
            <w:tcW w:w="1271" w:type="dxa"/>
            <w:tcBorders>
              <w:top w:val="single" w:sz="4"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1 023 082</w:t>
            </w:r>
          </w:p>
        </w:tc>
        <w:tc>
          <w:tcPr>
            <w:tcW w:w="1273" w:type="dxa"/>
            <w:tcBorders>
              <w:top w:val="single" w:sz="4"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1 006 865</w:t>
            </w:r>
          </w:p>
        </w:tc>
      </w:tr>
      <w:tr>
        <w:tblPrEx>
          <w:tblW w:w="8993" w:type="dxa"/>
          <w:tblCellMar>
            <w:left w:w="70" w:type="dxa"/>
            <w:right w:w="70" w:type="dxa"/>
          </w:tblCellMar>
          <w:tblLook w:val="04A0"/>
        </w:tblPrEx>
        <w:trPr>
          <w:trHeight w:hRule="exact" w:val="284"/>
        </w:trPr>
        <w:tc>
          <w:tcPr>
            <w:tcW w:w="5173" w:type="dxa"/>
            <w:tcBorders>
              <w:top w:val="single" w:sz="4" w:space="0" w:color="auto"/>
              <w:left w:val="nil"/>
              <w:bottom w:val="none" w:sz="0" w:space="0" w:color="auto"/>
              <w:right w:val="nil"/>
            </w:tcBorders>
            <w:noWrap/>
            <w:textDirection w:val="lrTb"/>
            <w:vAlign w:val="center"/>
          </w:tcPr>
          <w:p w:rsidR="002E5018" w:rsidRPr="007603ED" w:rsidP="007603ED">
            <w:pPr>
              <w:bidi w:val="0"/>
              <w:rPr>
                <w:rFonts w:ascii="Times New Roman" w:hAnsi="Times New Roman"/>
                <w:b/>
                <w:color w:val="000000"/>
                <w:sz w:val="20"/>
                <w:szCs w:val="20"/>
              </w:rPr>
            </w:pPr>
            <w:r w:rsidRPr="007603ED">
              <w:rPr>
                <w:rFonts w:ascii="Times New Roman" w:hAnsi="Times New Roman"/>
                <w:b/>
                <w:color w:val="000000"/>
                <w:sz w:val="20"/>
                <w:szCs w:val="20"/>
              </w:rPr>
              <w:t xml:space="preserve">Príjmy </w:t>
            </w:r>
          </w:p>
          <w:p w:rsidR="002E5018" w:rsidRPr="007603ED" w:rsidP="007603ED">
            <w:pPr>
              <w:bidi w:val="0"/>
              <w:rPr>
                <w:rFonts w:ascii="Times New Roman" w:hAnsi="Times New Roman"/>
                <w:b/>
                <w:color w:val="000000"/>
                <w:sz w:val="20"/>
                <w:szCs w:val="20"/>
              </w:rPr>
            </w:pPr>
          </w:p>
        </w:tc>
        <w:tc>
          <w:tcPr>
            <w:tcW w:w="1276" w:type="dxa"/>
            <w:tcBorders>
              <w:top w:val="single" w:sz="4"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1 445 968</w:t>
            </w:r>
          </w:p>
        </w:tc>
        <w:tc>
          <w:tcPr>
            <w:tcW w:w="1271" w:type="dxa"/>
            <w:tcBorders>
              <w:top w:val="single" w:sz="4"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1 199 267</w:t>
            </w:r>
          </w:p>
        </w:tc>
        <w:tc>
          <w:tcPr>
            <w:tcW w:w="1273" w:type="dxa"/>
            <w:tcBorders>
              <w:top w:val="single" w:sz="4"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1 320 393</w:t>
            </w:r>
          </w:p>
        </w:tc>
      </w:tr>
      <w:tr>
        <w:tblPrEx>
          <w:tblW w:w="8993" w:type="dxa"/>
          <w:tblCellMar>
            <w:left w:w="70" w:type="dxa"/>
            <w:right w:w="70" w:type="dxa"/>
          </w:tblCellMar>
          <w:tblLook w:val="04A0"/>
        </w:tblPrEx>
        <w:trPr>
          <w:trHeight w:hRule="exact" w:val="284"/>
        </w:trPr>
        <w:tc>
          <w:tcPr>
            <w:tcW w:w="5173" w:type="dxa"/>
            <w:tcBorders>
              <w:top w:val="nil"/>
              <w:left w:val="nil"/>
              <w:bottom w:val="none" w:sz="0" w:space="0" w:color="auto"/>
              <w:right w:val="nil"/>
            </w:tcBorders>
            <w:noWrap/>
            <w:textDirection w:val="lrTb"/>
            <w:vAlign w:val="center"/>
          </w:tcPr>
          <w:p w:rsidR="002E5018" w:rsidRPr="007603ED" w:rsidP="007603ED">
            <w:pPr>
              <w:bidi w:val="0"/>
              <w:rPr>
                <w:rFonts w:ascii="Times New Roman" w:hAnsi="Times New Roman"/>
                <w:color w:val="000000"/>
                <w:sz w:val="20"/>
                <w:szCs w:val="20"/>
              </w:rPr>
            </w:pPr>
            <w:r w:rsidRPr="007603ED">
              <w:rPr>
                <w:rFonts w:ascii="Times New Roman" w:hAnsi="Times New Roman"/>
                <w:color w:val="000000"/>
                <w:sz w:val="20"/>
                <w:szCs w:val="20"/>
              </w:rPr>
              <w:t>z toho</w:t>
            </w:r>
            <w:r w:rsidR="001F5C32">
              <w:rPr>
                <w:rFonts w:ascii="Times New Roman" w:hAnsi="Times New Roman"/>
                <w:color w:val="000000"/>
                <w:sz w:val="20"/>
                <w:szCs w:val="20"/>
              </w:rPr>
              <w:t>:</w:t>
            </w:r>
          </w:p>
        </w:tc>
        <w:tc>
          <w:tcPr>
            <w:tcW w:w="1276" w:type="dxa"/>
            <w:tcBorders>
              <w:top w:val="nil"/>
              <w:left w:val="nil"/>
              <w:bottom w:val="none" w:sz="0" w:space="0" w:color="auto"/>
              <w:right w:val="nil"/>
            </w:tcBorders>
            <w:noWrap/>
            <w:textDirection w:val="lrTb"/>
            <w:vAlign w:val="center"/>
          </w:tcPr>
          <w:p w:rsidR="002E5018" w:rsidRPr="007603ED" w:rsidP="007603ED">
            <w:pPr>
              <w:bidi w:val="0"/>
              <w:jc w:val="center"/>
              <w:rPr>
                <w:rFonts w:ascii="Times New Roman" w:hAnsi="Times New Roman"/>
                <w:color w:val="000000"/>
                <w:sz w:val="20"/>
                <w:szCs w:val="20"/>
              </w:rPr>
            </w:pPr>
          </w:p>
        </w:tc>
        <w:tc>
          <w:tcPr>
            <w:tcW w:w="1271" w:type="dxa"/>
            <w:tcBorders>
              <w:top w:val="nil"/>
              <w:left w:val="nil"/>
              <w:bottom w:val="none" w:sz="0" w:space="0" w:color="auto"/>
              <w:right w:val="nil"/>
            </w:tcBorders>
            <w:noWrap/>
            <w:textDirection w:val="lrTb"/>
            <w:vAlign w:val="center"/>
          </w:tcPr>
          <w:p w:rsidR="002E5018" w:rsidRPr="007603ED" w:rsidP="007603ED">
            <w:pPr>
              <w:bidi w:val="0"/>
              <w:jc w:val="center"/>
              <w:rPr>
                <w:rFonts w:ascii="Times New Roman" w:hAnsi="Times New Roman"/>
                <w:color w:val="000000"/>
                <w:sz w:val="20"/>
                <w:szCs w:val="20"/>
              </w:rPr>
            </w:pPr>
          </w:p>
        </w:tc>
        <w:tc>
          <w:tcPr>
            <w:tcW w:w="1273" w:type="dxa"/>
            <w:tcBorders>
              <w:top w:val="nil"/>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p>
        </w:tc>
      </w:tr>
      <w:tr>
        <w:tblPrEx>
          <w:tblW w:w="8993" w:type="dxa"/>
          <w:tblCellMar>
            <w:left w:w="70" w:type="dxa"/>
            <w:right w:w="70" w:type="dxa"/>
          </w:tblCellMar>
          <w:tblLook w:val="04A0"/>
        </w:tblPrEx>
        <w:trPr>
          <w:trHeight w:hRule="exact" w:val="284"/>
        </w:trPr>
        <w:tc>
          <w:tcPr>
            <w:tcW w:w="5173" w:type="dxa"/>
            <w:tcBorders>
              <w:top w:val="none" w:sz="0" w:space="0" w:color="auto"/>
              <w:left w:val="nil"/>
              <w:bottom w:val="none" w:sz="0" w:space="0" w:color="auto"/>
              <w:right w:val="nil"/>
            </w:tcBorders>
            <w:noWrap/>
            <w:textDirection w:val="lrTb"/>
            <w:vAlign w:val="center"/>
          </w:tcPr>
          <w:p w:rsidR="002E5018" w:rsidRPr="007603ED" w:rsidP="004265B5">
            <w:pPr>
              <w:bidi w:val="0"/>
              <w:rPr>
                <w:rFonts w:ascii="Times New Roman" w:hAnsi="Times New Roman"/>
                <w:color w:val="000000"/>
                <w:sz w:val="20"/>
                <w:szCs w:val="20"/>
              </w:rPr>
            </w:pPr>
            <w:r w:rsidRPr="007603ED">
              <w:rPr>
                <w:rFonts w:ascii="Times New Roman" w:hAnsi="Times New Roman"/>
                <w:color w:val="000000"/>
                <w:sz w:val="20"/>
                <w:szCs w:val="20"/>
              </w:rPr>
              <w:t xml:space="preserve">   účelové prostriedky z FNM</w:t>
            </w:r>
          </w:p>
        </w:tc>
        <w:tc>
          <w:tcPr>
            <w:tcW w:w="1276"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787 085</w:t>
            </w:r>
          </w:p>
        </w:tc>
        <w:tc>
          <w:tcPr>
            <w:tcW w:w="1271"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267 361</w:t>
            </w:r>
          </w:p>
        </w:tc>
        <w:tc>
          <w:tcPr>
            <w:tcW w:w="1273" w:type="dxa"/>
            <w:tcBorders>
              <w:top w:val="none" w:sz="0"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808 872</w:t>
            </w:r>
          </w:p>
        </w:tc>
      </w:tr>
      <w:tr>
        <w:tblPrEx>
          <w:tblW w:w="8993" w:type="dxa"/>
          <w:tblCellMar>
            <w:left w:w="70" w:type="dxa"/>
            <w:right w:w="70" w:type="dxa"/>
          </w:tblCellMar>
          <w:tblLook w:val="04A0"/>
        </w:tblPrEx>
        <w:trPr>
          <w:trHeight w:hRule="exact" w:val="284"/>
        </w:trPr>
        <w:tc>
          <w:tcPr>
            <w:tcW w:w="5173" w:type="dxa"/>
            <w:tcBorders>
              <w:top w:val="nil"/>
              <w:left w:val="nil"/>
              <w:bottom w:val="none" w:sz="0" w:space="0" w:color="auto"/>
              <w:right w:val="nil"/>
            </w:tcBorders>
            <w:noWrap/>
            <w:textDirection w:val="lrTb"/>
            <w:vAlign w:val="center"/>
          </w:tcPr>
          <w:p w:rsidR="002E5018" w:rsidRPr="007603ED" w:rsidP="004265B5">
            <w:pPr>
              <w:bidi w:val="0"/>
              <w:rPr>
                <w:rFonts w:ascii="Times New Roman" w:hAnsi="Times New Roman"/>
                <w:color w:val="000000"/>
                <w:sz w:val="20"/>
                <w:szCs w:val="20"/>
              </w:rPr>
            </w:pPr>
            <w:r w:rsidRPr="007603ED">
              <w:rPr>
                <w:rFonts w:ascii="Times New Roman" w:hAnsi="Times New Roman"/>
                <w:color w:val="000000"/>
                <w:sz w:val="20"/>
                <w:szCs w:val="20"/>
              </w:rPr>
              <w:t xml:space="preserve">   splátky istín návratných finančných výpomocí </w:t>
            </w:r>
          </w:p>
        </w:tc>
        <w:tc>
          <w:tcPr>
            <w:tcW w:w="1276"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54 962</w:t>
            </w:r>
          </w:p>
        </w:tc>
        <w:tc>
          <w:tcPr>
            <w:tcW w:w="1271"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488 199</w:t>
            </w:r>
          </w:p>
        </w:tc>
        <w:tc>
          <w:tcPr>
            <w:tcW w:w="1273" w:type="dxa"/>
            <w:tcBorders>
              <w:top w:val="nil"/>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117 372</w:t>
            </w:r>
          </w:p>
        </w:tc>
      </w:tr>
      <w:tr>
        <w:tblPrEx>
          <w:tblW w:w="8993" w:type="dxa"/>
          <w:tblCellMar>
            <w:left w:w="70" w:type="dxa"/>
            <w:right w:w="70" w:type="dxa"/>
          </w:tblCellMar>
          <w:tblLook w:val="04A0"/>
        </w:tblPrEx>
        <w:trPr>
          <w:trHeight w:hRule="exact" w:val="284"/>
        </w:trPr>
        <w:tc>
          <w:tcPr>
            <w:tcW w:w="5173" w:type="dxa"/>
            <w:tcBorders>
              <w:top w:val="nil"/>
              <w:left w:val="nil"/>
              <w:bottom w:val="none" w:sz="0" w:space="0" w:color="auto"/>
              <w:right w:val="nil"/>
            </w:tcBorders>
            <w:noWrap/>
            <w:textDirection w:val="lrTb"/>
            <w:vAlign w:val="center"/>
          </w:tcPr>
          <w:p w:rsidR="002E5018" w:rsidRPr="007603ED" w:rsidP="004265B5">
            <w:pPr>
              <w:bidi w:val="0"/>
              <w:rPr>
                <w:rFonts w:ascii="Times New Roman" w:hAnsi="Times New Roman"/>
                <w:color w:val="000000"/>
                <w:sz w:val="20"/>
                <w:szCs w:val="20"/>
              </w:rPr>
            </w:pPr>
            <w:r w:rsidRPr="007603ED">
              <w:rPr>
                <w:rFonts w:ascii="Times New Roman" w:hAnsi="Times New Roman"/>
                <w:color w:val="000000"/>
                <w:sz w:val="20"/>
                <w:szCs w:val="20"/>
              </w:rPr>
              <w:t xml:space="preserve">   osobitný odvod finančných inštitúcií</w:t>
            </w:r>
          </w:p>
        </w:tc>
        <w:tc>
          <w:tcPr>
            <w:tcW w:w="1276"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204 138</w:t>
            </w:r>
          </w:p>
        </w:tc>
        <w:tc>
          <w:tcPr>
            <w:tcW w:w="1271"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153 191</w:t>
            </w:r>
          </w:p>
        </w:tc>
        <w:tc>
          <w:tcPr>
            <w:tcW w:w="1273" w:type="dxa"/>
            <w:tcBorders>
              <w:top w:val="nil"/>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110 289</w:t>
            </w:r>
          </w:p>
        </w:tc>
      </w:tr>
      <w:tr>
        <w:tblPrEx>
          <w:tblW w:w="8993" w:type="dxa"/>
          <w:tblCellMar>
            <w:left w:w="70" w:type="dxa"/>
            <w:right w:w="70" w:type="dxa"/>
          </w:tblCellMar>
          <w:tblLook w:val="04A0"/>
        </w:tblPrEx>
        <w:trPr>
          <w:trHeight w:hRule="exact" w:val="265"/>
        </w:trPr>
        <w:tc>
          <w:tcPr>
            <w:tcW w:w="5173" w:type="dxa"/>
            <w:tcBorders>
              <w:top w:val="nil"/>
              <w:left w:val="nil"/>
              <w:bottom w:val="none" w:sz="0" w:space="0" w:color="auto"/>
              <w:right w:val="nil"/>
            </w:tcBorders>
            <w:noWrap/>
            <w:textDirection w:val="lrTb"/>
            <w:vAlign w:val="center"/>
          </w:tcPr>
          <w:p w:rsidR="002E5018" w:rsidRPr="007603ED" w:rsidP="001F5C32">
            <w:pPr>
              <w:bidi w:val="0"/>
              <w:rPr>
                <w:rFonts w:ascii="Times New Roman" w:hAnsi="Times New Roman"/>
                <w:color w:val="000000"/>
                <w:sz w:val="20"/>
                <w:szCs w:val="20"/>
              </w:rPr>
            </w:pPr>
            <w:r w:rsidRPr="007603ED">
              <w:rPr>
                <w:rFonts w:ascii="Times New Roman" w:hAnsi="Times New Roman"/>
                <w:color w:val="000000"/>
                <w:sz w:val="20"/>
                <w:szCs w:val="20"/>
              </w:rPr>
              <w:t xml:space="preserve">  </w:t>
            </w:r>
            <w:r w:rsidR="004265B5">
              <w:rPr>
                <w:rFonts w:ascii="Times New Roman" w:hAnsi="Times New Roman"/>
                <w:color w:val="000000"/>
                <w:sz w:val="20"/>
                <w:szCs w:val="20"/>
              </w:rPr>
              <w:t xml:space="preserve"> </w:t>
            </w:r>
            <w:r w:rsidR="001F5C32">
              <w:rPr>
                <w:rFonts w:ascii="Times New Roman" w:hAnsi="Times New Roman"/>
                <w:color w:val="000000"/>
                <w:sz w:val="20"/>
                <w:szCs w:val="20"/>
              </w:rPr>
              <w:t>os</w:t>
            </w:r>
            <w:r w:rsidRPr="007603ED">
              <w:rPr>
                <w:rFonts w:ascii="Times New Roman" w:hAnsi="Times New Roman"/>
                <w:color w:val="000000"/>
                <w:sz w:val="20"/>
                <w:szCs w:val="20"/>
              </w:rPr>
              <w:t>obitný odvod z podnikania v regulovaných odvetviach</w:t>
            </w:r>
          </w:p>
        </w:tc>
        <w:tc>
          <w:tcPr>
            <w:tcW w:w="1276"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98 988</w:t>
            </w:r>
          </w:p>
        </w:tc>
        <w:tc>
          <w:tcPr>
            <w:tcW w:w="1271"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158 082</w:t>
            </w:r>
          </w:p>
        </w:tc>
        <w:tc>
          <w:tcPr>
            <w:tcW w:w="1273" w:type="dxa"/>
            <w:tcBorders>
              <w:top w:val="nil"/>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283 713</w:t>
            </w:r>
          </w:p>
        </w:tc>
      </w:tr>
      <w:tr>
        <w:tblPrEx>
          <w:tblW w:w="8993" w:type="dxa"/>
          <w:tblCellMar>
            <w:left w:w="70" w:type="dxa"/>
            <w:right w:w="70" w:type="dxa"/>
          </w:tblCellMar>
          <w:tblLook w:val="04A0"/>
        </w:tblPrEx>
        <w:trPr>
          <w:trHeight w:hRule="exact" w:val="284"/>
        </w:trPr>
        <w:tc>
          <w:tcPr>
            <w:tcW w:w="5173" w:type="dxa"/>
            <w:tcBorders>
              <w:top w:val="nil"/>
              <w:left w:val="nil"/>
              <w:bottom w:val="none" w:sz="0" w:space="0" w:color="auto"/>
              <w:right w:val="nil"/>
            </w:tcBorders>
            <w:noWrap/>
            <w:textDirection w:val="lrTb"/>
            <w:vAlign w:val="center"/>
          </w:tcPr>
          <w:p w:rsidR="002E5018" w:rsidRPr="007603ED" w:rsidP="004265B5">
            <w:pPr>
              <w:bidi w:val="0"/>
              <w:rPr>
                <w:rFonts w:ascii="Times New Roman" w:hAnsi="Times New Roman"/>
                <w:color w:val="000000"/>
                <w:sz w:val="20"/>
                <w:szCs w:val="20"/>
              </w:rPr>
            </w:pPr>
            <w:r w:rsidRPr="007603ED">
              <w:rPr>
                <w:rFonts w:ascii="Times New Roman" w:hAnsi="Times New Roman"/>
                <w:color w:val="000000"/>
                <w:sz w:val="20"/>
                <w:szCs w:val="20"/>
              </w:rPr>
              <w:t xml:space="preserve">   anonymné vklady</w:t>
            </w:r>
          </w:p>
        </w:tc>
        <w:tc>
          <w:tcPr>
            <w:tcW w:w="1276"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0</w:t>
            </w:r>
          </w:p>
        </w:tc>
        <w:tc>
          <w:tcPr>
            <w:tcW w:w="1271"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106</w:t>
            </w:r>
          </w:p>
        </w:tc>
        <w:tc>
          <w:tcPr>
            <w:tcW w:w="1273" w:type="dxa"/>
            <w:tcBorders>
              <w:top w:val="nil"/>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113</w:t>
            </w:r>
          </w:p>
        </w:tc>
      </w:tr>
      <w:tr>
        <w:tblPrEx>
          <w:tblW w:w="8993" w:type="dxa"/>
          <w:tblCellMar>
            <w:left w:w="70" w:type="dxa"/>
            <w:right w:w="70" w:type="dxa"/>
          </w:tblCellMar>
          <w:tblLook w:val="04A0"/>
        </w:tblPrEx>
        <w:trPr>
          <w:trHeight w:hRule="exact" w:val="284"/>
        </w:trPr>
        <w:tc>
          <w:tcPr>
            <w:tcW w:w="5173" w:type="dxa"/>
            <w:tcBorders>
              <w:top w:val="nil"/>
              <w:left w:val="nil"/>
              <w:bottom w:val="none" w:sz="0" w:space="0" w:color="auto"/>
              <w:right w:val="nil"/>
            </w:tcBorders>
            <w:noWrap/>
            <w:textDirection w:val="lrTb"/>
            <w:vAlign w:val="center"/>
          </w:tcPr>
          <w:p w:rsidR="002E5018" w:rsidRPr="007603ED" w:rsidP="004265B5">
            <w:pPr>
              <w:bidi w:val="0"/>
              <w:rPr>
                <w:rFonts w:ascii="Times New Roman" w:hAnsi="Times New Roman"/>
                <w:color w:val="000000"/>
                <w:sz w:val="20"/>
                <w:szCs w:val="20"/>
              </w:rPr>
            </w:pPr>
            <w:r w:rsidR="001F5C32">
              <w:rPr>
                <w:rFonts w:ascii="Times New Roman" w:hAnsi="Times New Roman"/>
                <w:color w:val="000000"/>
                <w:sz w:val="20"/>
                <w:szCs w:val="20"/>
              </w:rPr>
              <w:t xml:space="preserve">   </w:t>
            </w:r>
            <w:r w:rsidRPr="007603ED">
              <w:rPr>
                <w:rFonts w:ascii="Times New Roman" w:hAnsi="Times New Roman"/>
                <w:color w:val="000000"/>
                <w:sz w:val="20"/>
                <w:szCs w:val="20"/>
              </w:rPr>
              <w:t>ostatné</w:t>
            </w:r>
          </w:p>
        </w:tc>
        <w:tc>
          <w:tcPr>
            <w:tcW w:w="1276"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300 795</w:t>
            </w:r>
          </w:p>
        </w:tc>
        <w:tc>
          <w:tcPr>
            <w:tcW w:w="1271"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132 328</w:t>
            </w:r>
          </w:p>
        </w:tc>
        <w:tc>
          <w:tcPr>
            <w:tcW w:w="1273" w:type="dxa"/>
            <w:tcBorders>
              <w:top w:val="nil"/>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34</w:t>
            </w:r>
          </w:p>
        </w:tc>
      </w:tr>
      <w:tr>
        <w:tblPrEx>
          <w:tblW w:w="8993" w:type="dxa"/>
          <w:tblCellMar>
            <w:left w:w="70" w:type="dxa"/>
            <w:right w:w="70" w:type="dxa"/>
          </w:tblCellMar>
          <w:tblLook w:val="04A0"/>
        </w:tblPrEx>
        <w:trPr>
          <w:trHeight w:hRule="exact" w:val="284"/>
        </w:trPr>
        <w:tc>
          <w:tcPr>
            <w:tcW w:w="5173" w:type="dxa"/>
            <w:tcBorders>
              <w:top w:val="nil"/>
              <w:left w:val="nil"/>
              <w:bottom w:val="none" w:sz="0" w:space="0" w:color="auto"/>
              <w:right w:val="nil"/>
            </w:tcBorders>
            <w:noWrap/>
            <w:textDirection w:val="lrTb"/>
            <w:vAlign w:val="center"/>
          </w:tcPr>
          <w:p w:rsidR="002E5018" w:rsidRPr="007603ED" w:rsidP="007603ED">
            <w:pPr>
              <w:bidi w:val="0"/>
              <w:rPr>
                <w:rFonts w:ascii="Times New Roman" w:hAnsi="Times New Roman"/>
                <w:b/>
                <w:color w:val="000000"/>
                <w:sz w:val="20"/>
                <w:szCs w:val="20"/>
              </w:rPr>
            </w:pPr>
            <w:r w:rsidRPr="007603ED">
              <w:rPr>
                <w:rFonts w:ascii="Times New Roman" w:hAnsi="Times New Roman"/>
                <w:b/>
                <w:color w:val="000000"/>
                <w:sz w:val="20"/>
                <w:szCs w:val="20"/>
              </w:rPr>
              <w:t>Výdavky</w:t>
            </w:r>
          </w:p>
        </w:tc>
        <w:tc>
          <w:tcPr>
            <w:tcW w:w="1276"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795 572</w:t>
            </w:r>
          </w:p>
        </w:tc>
        <w:tc>
          <w:tcPr>
            <w:tcW w:w="1271" w:type="dxa"/>
            <w:tcBorders>
              <w:top w:val="nil"/>
              <w:left w:val="nil"/>
              <w:bottom w:val="none" w:sz="0" w:space="0" w:color="auto"/>
              <w:right w:val="nil"/>
            </w:tcBorders>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1 215 484</w:t>
            </w:r>
          </w:p>
        </w:tc>
        <w:tc>
          <w:tcPr>
            <w:tcW w:w="1273" w:type="dxa"/>
            <w:tcBorders>
              <w:top w:val="nil"/>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b/>
                <w:color w:val="000000"/>
                <w:sz w:val="20"/>
                <w:szCs w:val="20"/>
              </w:rPr>
            </w:pPr>
            <w:r w:rsidRPr="007603ED">
              <w:rPr>
                <w:rFonts w:ascii="Times New Roman" w:hAnsi="Times New Roman"/>
                <w:b/>
                <w:color w:val="000000"/>
                <w:sz w:val="20"/>
                <w:szCs w:val="20"/>
              </w:rPr>
              <w:t>204 196</w:t>
            </w:r>
          </w:p>
        </w:tc>
      </w:tr>
      <w:tr>
        <w:tblPrEx>
          <w:tblW w:w="8993" w:type="dxa"/>
          <w:tblCellMar>
            <w:left w:w="70" w:type="dxa"/>
            <w:right w:w="70" w:type="dxa"/>
          </w:tblCellMar>
          <w:tblLook w:val="04A0"/>
        </w:tblPrEx>
        <w:trPr>
          <w:trHeight w:hRule="exact" w:val="284"/>
        </w:trPr>
        <w:tc>
          <w:tcPr>
            <w:tcW w:w="5173" w:type="dxa"/>
            <w:tcBorders>
              <w:top w:val="none" w:sz="0" w:space="0" w:color="auto"/>
              <w:left w:val="nil"/>
              <w:bottom w:val="none" w:sz="0" w:space="0" w:color="auto"/>
              <w:right w:val="nil"/>
            </w:tcBorders>
            <w:noWrap/>
            <w:textDirection w:val="lrTb"/>
            <w:vAlign w:val="center"/>
          </w:tcPr>
          <w:p w:rsidR="002E5018" w:rsidRPr="007603ED" w:rsidP="007603ED">
            <w:pPr>
              <w:bidi w:val="0"/>
              <w:rPr>
                <w:rFonts w:ascii="Times New Roman" w:hAnsi="Times New Roman"/>
                <w:color w:val="000000"/>
                <w:sz w:val="20"/>
                <w:szCs w:val="20"/>
              </w:rPr>
            </w:pPr>
            <w:r w:rsidRPr="007603ED">
              <w:rPr>
                <w:rFonts w:ascii="Times New Roman" w:hAnsi="Times New Roman"/>
                <w:color w:val="000000"/>
                <w:sz w:val="20"/>
                <w:szCs w:val="20"/>
              </w:rPr>
              <w:t>z toho</w:t>
            </w:r>
            <w:r w:rsidR="001F5C32">
              <w:rPr>
                <w:rFonts w:ascii="Times New Roman" w:hAnsi="Times New Roman"/>
                <w:color w:val="000000"/>
                <w:sz w:val="20"/>
                <w:szCs w:val="20"/>
              </w:rPr>
              <w:t>:</w:t>
            </w:r>
          </w:p>
        </w:tc>
        <w:tc>
          <w:tcPr>
            <w:tcW w:w="1276"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p>
        </w:tc>
        <w:tc>
          <w:tcPr>
            <w:tcW w:w="1271"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p>
        </w:tc>
        <w:tc>
          <w:tcPr>
            <w:tcW w:w="1273" w:type="dxa"/>
            <w:tcBorders>
              <w:top w:val="none" w:sz="0"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b/>
                <w:color w:val="000000"/>
                <w:sz w:val="20"/>
                <w:szCs w:val="20"/>
              </w:rPr>
            </w:pPr>
          </w:p>
        </w:tc>
      </w:tr>
      <w:tr>
        <w:tblPrEx>
          <w:tblW w:w="8993" w:type="dxa"/>
          <w:tblCellMar>
            <w:left w:w="70" w:type="dxa"/>
            <w:right w:w="70" w:type="dxa"/>
          </w:tblCellMar>
          <w:tblLook w:val="04A0"/>
        </w:tblPrEx>
        <w:trPr>
          <w:trHeight w:hRule="exact" w:val="284"/>
        </w:trPr>
        <w:tc>
          <w:tcPr>
            <w:tcW w:w="5173" w:type="dxa"/>
            <w:tcBorders>
              <w:top w:val="none" w:sz="0" w:space="0" w:color="auto"/>
              <w:left w:val="nil"/>
              <w:bottom w:val="none" w:sz="0" w:space="0" w:color="auto"/>
              <w:right w:val="nil"/>
            </w:tcBorders>
            <w:noWrap/>
            <w:textDirection w:val="lrTb"/>
            <w:vAlign w:val="center"/>
          </w:tcPr>
          <w:p w:rsidR="002E5018" w:rsidRPr="007603ED" w:rsidP="007603ED">
            <w:pPr>
              <w:bidi w:val="0"/>
              <w:rPr>
                <w:rFonts w:ascii="Times New Roman" w:hAnsi="Times New Roman"/>
                <w:color w:val="000000"/>
                <w:sz w:val="20"/>
                <w:szCs w:val="20"/>
              </w:rPr>
            </w:pPr>
            <w:r w:rsidR="004265B5">
              <w:rPr>
                <w:rFonts w:ascii="Times New Roman" w:hAnsi="Times New Roman"/>
                <w:color w:val="000000"/>
                <w:sz w:val="20"/>
                <w:szCs w:val="20"/>
              </w:rPr>
              <w:t xml:space="preserve">   </w:t>
            </w:r>
            <w:r w:rsidRPr="007603ED">
              <w:rPr>
                <w:rFonts w:ascii="Times New Roman" w:hAnsi="Times New Roman"/>
                <w:color w:val="000000"/>
                <w:sz w:val="20"/>
                <w:szCs w:val="20"/>
              </w:rPr>
              <w:t>účelové prostriedky z FNM</w:t>
            </w:r>
          </w:p>
        </w:tc>
        <w:tc>
          <w:tcPr>
            <w:tcW w:w="1276"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529 612</w:t>
            </w:r>
          </w:p>
        </w:tc>
        <w:tc>
          <w:tcPr>
            <w:tcW w:w="1271"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548 734</w:t>
            </w:r>
          </w:p>
        </w:tc>
        <w:tc>
          <w:tcPr>
            <w:tcW w:w="1273" w:type="dxa"/>
            <w:tcBorders>
              <w:top w:val="none" w:sz="0"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134 490</w:t>
            </w:r>
          </w:p>
        </w:tc>
      </w:tr>
      <w:tr>
        <w:tblPrEx>
          <w:tblW w:w="8993" w:type="dxa"/>
          <w:tblCellMar>
            <w:left w:w="70" w:type="dxa"/>
            <w:right w:w="70" w:type="dxa"/>
          </w:tblCellMar>
          <w:tblLook w:val="04A0"/>
        </w:tblPrEx>
        <w:trPr>
          <w:trHeight w:hRule="exact" w:val="284"/>
        </w:trPr>
        <w:tc>
          <w:tcPr>
            <w:tcW w:w="5173" w:type="dxa"/>
            <w:tcBorders>
              <w:top w:val="none" w:sz="0" w:space="0" w:color="auto"/>
              <w:left w:val="nil"/>
              <w:bottom w:val="none" w:sz="0" w:space="0" w:color="auto"/>
              <w:right w:val="nil"/>
            </w:tcBorders>
            <w:noWrap/>
            <w:textDirection w:val="lrTb"/>
            <w:vAlign w:val="center"/>
          </w:tcPr>
          <w:p w:rsidR="002E5018" w:rsidRPr="007603ED" w:rsidP="007603ED">
            <w:pPr>
              <w:bidi w:val="0"/>
              <w:rPr>
                <w:rFonts w:ascii="Times New Roman" w:hAnsi="Times New Roman"/>
                <w:color w:val="000000"/>
                <w:sz w:val="20"/>
                <w:szCs w:val="20"/>
              </w:rPr>
            </w:pPr>
            <w:r w:rsidR="004265B5">
              <w:rPr>
                <w:rFonts w:ascii="Times New Roman" w:hAnsi="Times New Roman"/>
                <w:color w:val="000000"/>
                <w:sz w:val="20"/>
                <w:szCs w:val="20"/>
              </w:rPr>
              <w:t xml:space="preserve">  </w:t>
            </w:r>
            <w:r w:rsidRPr="007603ED">
              <w:rPr>
                <w:rFonts w:ascii="Times New Roman" w:hAnsi="Times New Roman"/>
                <w:color w:val="000000"/>
                <w:sz w:val="20"/>
                <w:szCs w:val="20"/>
              </w:rPr>
              <w:t xml:space="preserve"> poskytnutie návratných finančných výpomocí </w:t>
            </w:r>
          </w:p>
        </w:tc>
        <w:tc>
          <w:tcPr>
            <w:tcW w:w="1276"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890</w:t>
            </w:r>
          </w:p>
        </w:tc>
        <w:tc>
          <w:tcPr>
            <w:tcW w:w="1271"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534 400</w:t>
            </w:r>
          </w:p>
        </w:tc>
        <w:tc>
          <w:tcPr>
            <w:tcW w:w="1273" w:type="dxa"/>
            <w:tcBorders>
              <w:top w:val="none" w:sz="0"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49 700</w:t>
            </w:r>
          </w:p>
        </w:tc>
      </w:tr>
      <w:tr>
        <w:tblPrEx>
          <w:tblW w:w="8993" w:type="dxa"/>
          <w:tblCellMar>
            <w:left w:w="70" w:type="dxa"/>
            <w:right w:w="70" w:type="dxa"/>
          </w:tblCellMar>
          <w:tblLook w:val="04A0"/>
        </w:tblPrEx>
        <w:trPr>
          <w:trHeight w:hRule="exact" w:val="284"/>
        </w:trPr>
        <w:tc>
          <w:tcPr>
            <w:tcW w:w="5173" w:type="dxa"/>
            <w:tcBorders>
              <w:top w:val="none" w:sz="0" w:space="0" w:color="auto"/>
              <w:left w:val="nil"/>
              <w:bottom w:val="none" w:sz="0" w:space="0" w:color="auto"/>
              <w:right w:val="nil"/>
            </w:tcBorders>
            <w:noWrap/>
            <w:textDirection w:val="lrTb"/>
            <w:vAlign w:val="center"/>
          </w:tcPr>
          <w:p w:rsidR="002E5018" w:rsidRPr="007603ED" w:rsidP="007603ED">
            <w:pPr>
              <w:bidi w:val="0"/>
              <w:rPr>
                <w:rFonts w:ascii="Times New Roman" w:hAnsi="Times New Roman"/>
                <w:color w:val="000000"/>
                <w:sz w:val="20"/>
                <w:szCs w:val="20"/>
              </w:rPr>
            </w:pPr>
            <w:r w:rsidR="004265B5">
              <w:rPr>
                <w:rFonts w:ascii="Times New Roman" w:hAnsi="Times New Roman"/>
                <w:color w:val="000000"/>
                <w:sz w:val="20"/>
                <w:szCs w:val="20"/>
              </w:rPr>
              <w:t xml:space="preserve">  </w:t>
            </w:r>
            <w:r w:rsidRPr="007603ED">
              <w:rPr>
                <w:rFonts w:ascii="Times New Roman" w:hAnsi="Times New Roman"/>
                <w:color w:val="000000"/>
                <w:sz w:val="20"/>
                <w:szCs w:val="20"/>
              </w:rPr>
              <w:t xml:space="preserve"> osobitný odvod finančných inštitúcií</w:t>
            </w:r>
          </w:p>
        </w:tc>
        <w:tc>
          <w:tcPr>
            <w:tcW w:w="1276"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0</w:t>
            </w:r>
          </w:p>
        </w:tc>
        <w:tc>
          <w:tcPr>
            <w:tcW w:w="1271"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0</w:t>
            </w:r>
          </w:p>
        </w:tc>
        <w:tc>
          <w:tcPr>
            <w:tcW w:w="1273" w:type="dxa"/>
            <w:tcBorders>
              <w:top w:val="none" w:sz="0"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20 000</w:t>
            </w:r>
          </w:p>
        </w:tc>
      </w:tr>
      <w:tr>
        <w:tblPrEx>
          <w:tblW w:w="8993" w:type="dxa"/>
          <w:tblCellMar>
            <w:left w:w="70" w:type="dxa"/>
            <w:right w:w="70" w:type="dxa"/>
          </w:tblCellMar>
          <w:tblLook w:val="04A0"/>
        </w:tblPrEx>
        <w:trPr>
          <w:trHeight w:hRule="exact" w:val="284"/>
        </w:trPr>
        <w:tc>
          <w:tcPr>
            <w:tcW w:w="5173" w:type="dxa"/>
            <w:tcBorders>
              <w:top w:val="none" w:sz="0" w:space="0" w:color="auto"/>
              <w:left w:val="nil"/>
              <w:bottom w:val="none" w:sz="0" w:space="0" w:color="auto"/>
              <w:right w:val="nil"/>
            </w:tcBorders>
            <w:noWrap/>
            <w:textDirection w:val="lrTb"/>
            <w:vAlign w:val="center"/>
          </w:tcPr>
          <w:p w:rsidR="002E5018" w:rsidRPr="007603ED" w:rsidP="007603ED">
            <w:pPr>
              <w:bidi w:val="0"/>
              <w:rPr>
                <w:rFonts w:ascii="Times New Roman" w:hAnsi="Times New Roman"/>
                <w:color w:val="000000"/>
                <w:sz w:val="20"/>
                <w:szCs w:val="20"/>
              </w:rPr>
            </w:pPr>
            <w:r w:rsidR="004265B5">
              <w:rPr>
                <w:rFonts w:ascii="Times New Roman" w:hAnsi="Times New Roman"/>
                <w:color w:val="000000"/>
                <w:sz w:val="20"/>
                <w:szCs w:val="20"/>
              </w:rPr>
              <w:t xml:space="preserve">   </w:t>
            </w:r>
            <w:r w:rsidRPr="007603ED">
              <w:rPr>
                <w:rFonts w:ascii="Times New Roman" w:hAnsi="Times New Roman"/>
                <w:color w:val="000000"/>
                <w:sz w:val="20"/>
                <w:szCs w:val="20"/>
              </w:rPr>
              <w:t>osobitný odvod z podnikania v regulovaných odvetviach</w:t>
            </w:r>
          </w:p>
        </w:tc>
        <w:tc>
          <w:tcPr>
            <w:tcW w:w="1276"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0</w:t>
            </w:r>
          </w:p>
        </w:tc>
        <w:tc>
          <w:tcPr>
            <w:tcW w:w="1271"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0</w:t>
            </w:r>
          </w:p>
        </w:tc>
        <w:tc>
          <w:tcPr>
            <w:tcW w:w="1273" w:type="dxa"/>
            <w:tcBorders>
              <w:top w:val="none" w:sz="0"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0</w:t>
            </w:r>
          </w:p>
        </w:tc>
      </w:tr>
      <w:tr>
        <w:tblPrEx>
          <w:tblW w:w="8993" w:type="dxa"/>
          <w:tblCellMar>
            <w:left w:w="70" w:type="dxa"/>
            <w:right w:w="70" w:type="dxa"/>
          </w:tblCellMar>
          <w:tblLook w:val="04A0"/>
        </w:tblPrEx>
        <w:trPr>
          <w:trHeight w:hRule="exact" w:val="284"/>
        </w:trPr>
        <w:tc>
          <w:tcPr>
            <w:tcW w:w="5173" w:type="dxa"/>
            <w:tcBorders>
              <w:top w:val="none" w:sz="0" w:space="0" w:color="auto"/>
              <w:left w:val="nil"/>
              <w:bottom w:val="none" w:sz="0" w:space="0" w:color="auto"/>
              <w:right w:val="nil"/>
            </w:tcBorders>
            <w:noWrap/>
            <w:textDirection w:val="lrTb"/>
            <w:vAlign w:val="center"/>
          </w:tcPr>
          <w:p w:rsidR="002E5018" w:rsidRPr="007603ED" w:rsidP="007603ED">
            <w:pPr>
              <w:bidi w:val="0"/>
              <w:rPr>
                <w:rFonts w:ascii="Times New Roman" w:hAnsi="Times New Roman"/>
                <w:color w:val="000000"/>
                <w:sz w:val="20"/>
                <w:szCs w:val="20"/>
              </w:rPr>
            </w:pPr>
            <w:r w:rsidR="004265B5">
              <w:rPr>
                <w:rFonts w:ascii="Times New Roman" w:hAnsi="Times New Roman"/>
                <w:color w:val="000000"/>
                <w:sz w:val="20"/>
                <w:szCs w:val="20"/>
              </w:rPr>
              <w:t xml:space="preserve">   </w:t>
            </w:r>
            <w:r w:rsidRPr="007603ED">
              <w:rPr>
                <w:rFonts w:ascii="Times New Roman" w:hAnsi="Times New Roman"/>
                <w:color w:val="000000"/>
                <w:sz w:val="20"/>
                <w:szCs w:val="20"/>
              </w:rPr>
              <w:t>anonymné vklady</w:t>
            </w:r>
          </w:p>
        </w:tc>
        <w:tc>
          <w:tcPr>
            <w:tcW w:w="1276"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766</w:t>
            </w:r>
          </w:p>
        </w:tc>
        <w:tc>
          <w:tcPr>
            <w:tcW w:w="1271" w:type="dxa"/>
            <w:tcBorders>
              <w:top w:val="none" w:sz="0" w:space="0" w:color="auto"/>
              <w:left w:val="nil"/>
              <w:bottom w:val="none" w:sz="0"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509</w:t>
            </w:r>
          </w:p>
        </w:tc>
        <w:tc>
          <w:tcPr>
            <w:tcW w:w="1273" w:type="dxa"/>
            <w:tcBorders>
              <w:top w:val="none" w:sz="0" w:space="0" w:color="auto"/>
              <w:left w:val="nil"/>
              <w:bottom w:val="none" w:sz="0"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0</w:t>
            </w:r>
          </w:p>
        </w:tc>
      </w:tr>
      <w:tr>
        <w:tblPrEx>
          <w:tblW w:w="8993" w:type="dxa"/>
          <w:tblCellMar>
            <w:left w:w="70" w:type="dxa"/>
            <w:right w:w="70" w:type="dxa"/>
          </w:tblCellMar>
          <w:tblLook w:val="04A0"/>
        </w:tblPrEx>
        <w:trPr>
          <w:trHeight w:hRule="exact" w:val="284"/>
        </w:trPr>
        <w:tc>
          <w:tcPr>
            <w:tcW w:w="5173" w:type="dxa"/>
            <w:tcBorders>
              <w:top w:val="none" w:sz="0" w:space="0" w:color="auto"/>
              <w:left w:val="nil"/>
              <w:bottom w:val="single" w:sz="4" w:space="0" w:color="auto"/>
              <w:right w:val="nil"/>
            </w:tcBorders>
            <w:noWrap/>
            <w:textDirection w:val="lrTb"/>
            <w:vAlign w:val="center"/>
          </w:tcPr>
          <w:p w:rsidR="002E5018" w:rsidRPr="007603ED" w:rsidP="004265B5">
            <w:pPr>
              <w:bidi w:val="0"/>
              <w:rPr>
                <w:rFonts w:ascii="Times New Roman" w:hAnsi="Times New Roman"/>
                <w:color w:val="000000"/>
                <w:sz w:val="20"/>
                <w:szCs w:val="20"/>
              </w:rPr>
            </w:pPr>
            <w:r w:rsidRPr="007603ED">
              <w:rPr>
                <w:rFonts w:ascii="Times New Roman" w:hAnsi="Times New Roman"/>
                <w:color w:val="000000"/>
                <w:sz w:val="20"/>
                <w:szCs w:val="20"/>
              </w:rPr>
              <w:t xml:space="preserve"> </w:t>
            </w:r>
            <w:r w:rsidR="004265B5">
              <w:rPr>
                <w:rFonts w:ascii="Times New Roman" w:hAnsi="Times New Roman"/>
                <w:color w:val="000000"/>
                <w:sz w:val="20"/>
                <w:szCs w:val="20"/>
              </w:rPr>
              <w:t xml:space="preserve">  </w:t>
            </w:r>
            <w:r w:rsidRPr="007603ED">
              <w:rPr>
                <w:rFonts w:ascii="Times New Roman" w:hAnsi="Times New Roman"/>
                <w:color w:val="000000"/>
                <w:sz w:val="20"/>
                <w:szCs w:val="20"/>
              </w:rPr>
              <w:t>ostatné</w:t>
            </w:r>
          </w:p>
        </w:tc>
        <w:tc>
          <w:tcPr>
            <w:tcW w:w="1276" w:type="dxa"/>
            <w:tcBorders>
              <w:top w:val="none" w:sz="0" w:space="0" w:color="auto"/>
              <w:left w:val="nil"/>
              <w:bottom w:val="single" w:sz="4"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264 304</w:t>
            </w:r>
          </w:p>
        </w:tc>
        <w:tc>
          <w:tcPr>
            <w:tcW w:w="1271" w:type="dxa"/>
            <w:tcBorders>
              <w:top w:val="none" w:sz="0" w:space="0" w:color="auto"/>
              <w:left w:val="nil"/>
              <w:bottom w:val="single" w:sz="4" w:space="0" w:color="auto"/>
              <w:right w:val="nil"/>
            </w:tcBorders>
            <w:noWrap/>
            <w:textDirection w:val="lrTb"/>
            <w:vAlign w:val="center"/>
          </w:tcPr>
          <w:p w:rsidR="002E5018" w:rsidRPr="007603ED" w:rsidP="007603ED">
            <w:pPr>
              <w:bidi w:val="0"/>
              <w:jc w:val="right"/>
              <w:rPr>
                <w:rFonts w:ascii="Times New Roman" w:hAnsi="Times New Roman"/>
                <w:bCs/>
                <w:color w:val="000000"/>
                <w:sz w:val="20"/>
                <w:szCs w:val="20"/>
              </w:rPr>
            </w:pPr>
            <w:r w:rsidRPr="007603ED">
              <w:rPr>
                <w:rFonts w:ascii="Times New Roman" w:hAnsi="Times New Roman"/>
                <w:bCs/>
                <w:color w:val="000000"/>
                <w:sz w:val="20"/>
                <w:szCs w:val="20"/>
              </w:rPr>
              <w:t>131 841</w:t>
            </w:r>
          </w:p>
        </w:tc>
        <w:tc>
          <w:tcPr>
            <w:tcW w:w="1273" w:type="dxa"/>
            <w:tcBorders>
              <w:top w:val="none" w:sz="0" w:space="0" w:color="auto"/>
              <w:left w:val="nil"/>
              <w:bottom w:val="single" w:sz="4" w:space="0" w:color="auto"/>
              <w:right w:val="nil"/>
            </w:tcBorders>
            <w:shd w:val="clear" w:color="auto" w:fill="D9D9D9"/>
            <w:noWrap/>
            <w:textDirection w:val="lrTb"/>
            <w:vAlign w:val="center"/>
          </w:tcPr>
          <w:p w:rsidR="002E5018" w:rsidRPr="007603ED" w:rsidP="007603ED">
            <w:pPr>
              <w:bidi w:val="0"/>
              <w:jc w:val="right"/>
              <w:rPr>
                <w:rFonts w:ascii="Times New Roman" w:hAnsi="Times New Roman"/>
                <w:color w:val="000000"/>
                <w:sz w:val="20"/>
                <w:szCs w:val="20"/>
              </w:rPr>
            </w:pPr>
            <w:r w:rsidRPr="007603ED">
              <w:rPr>
                <w:rFonts w:ascii="Times New Roman" w:hAnsi="Times New Roman"/>
                <w:color w:val="000000"/>
                <w:sz w:val="20"/>
                <w:szCs w:val="20"/>
              </w:rPr>
              <w:t>6</w:t>
            </w:r>
          </w:p>
        </w:tc>
      </w:tr>
      <w:tr>
        <w:tblPrEx>
          <w:tblW w:w="8993" w:type="dxa"/>
          <w:tblCellMar>
            <w:left w:w="70" w:type="dxa"/>
            <w:right w:w="70" w:type="dxa"/>
          </w:tblCellMar>
          <w:tblLook w:val="04A0"/>
        </w:tblPrEx>
        <w:trPr>
          <w:trHeight w:hRule="exact" w:val="419"/>
        </w:trPr>
        <w:tc>
          <w:tcPr>
            <w:tcW w:w="5173" w:type="dxa"/>
            <w:tcBorders>
              <w:top w:val="single" w:sz="4" w:space="0" w:color="auto"/>
              <w:left w:val="nil"/>
              <w:bottom w:val="none" w:sz="0" w:space="0" w:color="auto"/>
              <w:right w:val="nil"/>
            </w:tcBorders>
            <w:noWrap/>
            <w:textDirection w:val="lrTb"/>
            <w:vAlign w:val="center"/>
          </w:tcPr>
          <w:p w:rsidR="002E5018" w:rsidRPr="004265B5" w:rsidP="004265B5">
            <w:pPr>
              <w:bidi w:val="0"/>
              <w:spacing w:after="120"/>
              <w:rPr>
                <w:rFonts w:ascii="Times New Roman" w:hAnsi="Times New Roman"/>
                <w:b/>
                <w:bCs/>
                <w:color w:val="000000"/>
                <w:sz w:val="20"/>
                <w:szCs w:val="20"/>
              </w:rPr>
            </w:pPr>
            <w:r w:rsidRPr="004265B5">
              <w:rPr>
                <w:rFonts w:ascii="Times New Roman" w:hAnsi="Times New Roman"/>
                <w:b/>
                <w:bCs/>
                <w:color w:val="000000"/>
                <w:sz w:val="20"/>
                <w:szCs w:val="20"/>
              </w:rPr>
              <w:t>Stav k 31.12.</w:t>
            </w:r>
          </w:p>
        </w:tc>
        <w:tc>
          <w:tcPr>
            <w:tcW w:w="1276" w:type="dxa"/>
            <w:tcBorders>
              <w:top w:val="single" w:sz="4" w:space="0" w:color="auto"/>
              <w:left w:val="nil"/>
              <w:bottom w:val="none" w:sz="0" w:space="0" w:color="auto"/>
              <w:right w:val="nil"/>
            </w:tcBorders>
            <w:noWrap/>
            <w:textDirection w:val="lrTb"/>
            <w:vAlign w:val="center"/>
          </w:tcPr>
          <w:p w:rsidR="002E5018" w:rsidRPr="004265B5" w:rsidP="004265B5">
            <w:pPr>
              <w:bidi w:val="0"/>
              <w:spacing w:after="120"/>
              <w:jc w:val="right"/>
              <w:rPr>
                <w:rFonts w:ascii="Times New Roman" w:hAnsi="Times New Roman"/>
                <w:b/>
                <w:bCs/>
                <w:color w:val="000000"/>
                <w:sz w:val="20"/>
                <w:szCs w:val="20"/>
              </w:rPr>
            </w:pPr>
            <w:r w:rsidRPr="004265B5">
              <w:rPr>
                <w:rFonts w:ascii="Times New Roman" w:hAnsi="Times New Roman"/>
                <w:b/>
                <w:bCs/>
                <w:color w:val="000000"/>
                <w:sz w:val="20"/>
                <w:szCs w:val="20"/>
              </w:rPr>
              <w:t>1 023 082</w:t>
            </w:r>
          </w:p>
        </w:tc>
        <w:tc>
          <w:tcPr>
            <w:tcW w:w="1271" w:type="dxa"/>
            <w:tcBorders>
              <w:top w:val="single" w:sz="4" w:space="0" w:color="auto"/>
              <w:left w:val="nil"/>
              <w:bottom w:val="none" w:sz="0" w:space="0" w:color="auto"/>
              <w:right w:val="nil"/>
            </w:tcBorders>
            <w:noWrap/>
            <w:textDirection w:val="lrTb"/>
            <w:vAlign w:val="center"/>
          </w:tcPr>
          <w:p w:rsidR="002E5018" w:rsidRPr="004265B5" w:rsidP="004265B5">
            <w:pPr>
              <w:bidi w:val="0"/>
              <w:spacing w:after="120"/>
              <w:jc w:val="right"/>
              <w:rPr>
                <w:rFonts w:ascii="Times New Roman" w:hAnsi="Times New Roman"/>
                <w:b/>
                <w:bCs/>
                <w:color w:val="000000"/>
                <w:sz w:val="20"/>
                <w:szCs w:val="20"/>
              </w:rPr>
            </w:pPr>
            <w:r w:rsidRPr="004265B5">
              <w:rPr>
                <w:rFonts w:ascii="Times New Roman" w:hAnsi="Times New Roman"/>
                <w:b/>
                <w:bCs/>
                <w:color w:val="000000"/>
                <w:sz w:val="20"/>
                <w:szCs w:val="20"/>
              </w:rPr>
              <w:t>1 006 865</w:t>
            </w:r>
          </w:p>
        </w:tc>
        <w:tc>
          <w:tcPr>
            <w:tcW w:w="1273" w:type="dxa"/>
            <w:tcBorders>
              <w:top w:val="single" w:sz="4" w:space="0" w:color="auto"/>
              <w:left w:val="nil"/>
              <w:bottom w:val="none" w:sz="0" w:space="0" w:color="auto"/>
              <w:right w:val="nil"/>
            </w:tcBorders>
            <w:shd w:val="clear" w:color="auto" w:fill="D9D9D9"/>
            <w:noWrap/>
            <w:textDirection w:val="lrTb"/>
            <w:vAlign w:val="center"/>
          </w:tcPr>
          <w:p w:rsidR="002E5018" w:rsidRPr="004265B5" w:rsidP="004265B5">
            <w:pPr>
              <w:bidi w:val="0"/>
              <w:spacing w:after="120"/>
              <w:jc w:val="right"/>
              <w:rPr>
                <w:rFonts w:ascii="Times New Roman" w:hAnsi="Times New Roman"/>
                <w:b/>
                <w:color w:val="000000"/>
                <w:sz w:val="20"/>
                <w:szCs w:val="20"/>
              </w:rPr>
            </w:pPr>
            <w:r w:rsidRPr="004265B5">
              <w:rPr>
                <w:rFonts w:ascii="Times New Roman" w:hAnsi="Times New Roman"/>
                <w:b/>
                <w:color w:val="000000"/>
                <w:sz w:val="20"/>
                <w:szCs w:val="20"/>
              </w:rPr>
              <w:t>2 123 062</w:t>
            </w:r>
          </w:p>
        </w:tc>
      </w:tr>
    </w:tbl>
    <w:p w:rsidR="009654DD" w:rsidP="00475A91">
      <w:pPr>
        <w:bidi w:val="0"/>
        <w:spacing w:before="120" w:after="120" w:line="336" w:lineRule="auto"/>
        <w:jc w:val="both"/>
        <w:rPr>
          <w:rFonts w:ascii="Times New Roman" w:hAnsi="Times New Roman"/>
          <w:sz w:val="22"/>
          <w:szCs w:val="22"/>
        </w:rPr>
      </w:pPr>
      <w:r w:rsidRPr="002E5018" w:rsidR="002E5018">
        <w:rPr>
          <w:rFonts w:ascii="Times New Roman" w:hAnsi="Times New Roman"/>
          <w:sz w:val="22"/>
          <w:szCs w:val="22"/>
        </w:rPr>
        <w:t xml:space="preserve">V roku 2015 tvorili príjmy vybraných účtov štátnych finančných aktív najmä prostriedky z predaja 49% podielu štátu v spoločnosti Slovak Telekom, a. s. v hodnote 800 000 tis. eur. Vláda SR schválila 19. mája 2015 návrh na vydanie rozhodnutia o prevode majetkovej účasti Fondu národného majetku SR na podnikaní tejto spoločnosti formou priameho predaja podielu spoločnosti Deutsche Telekom Europe B.V.  Z účtu prostriedkov z FNM sa použilo 134 490 tis. eur hlavne na kapitálové posilnenie štátnych obchodných spoločností v úhrnnej výške 110 717 tis. eur a na úhradu podielov v medzinárodných finančných inštitúciách vo výške 14 569 tis. eur. </w:t>
      </w:r>
    </w:p>
    <w:p w:rsidR="002E5018" w:rsidRPr="002E5018" w:rsidP="00475A91">
      <w:pPr>
        <w:bidi w:val="0"/>
        <w:spacing w:before="120" w:after="120" w:line="336" w:lineRule="auto"/>
        <w:jc w:val="both"/>
        <w:rPr>
          <w:rFonts w:ascii="Times New Roman" w:hAnsi="Times New Roman"/>
          <w:sz w:val="22"/>
          <w:szCs w:val="22"/>
        </w:rPr>
      </w:pPr>
      <w:r w:rsidR="009654DD">
        <w:rPr>
          <w:rFonts w:ascii="Times New Roman" w:hAnsi="Times New Roman"/>
          <w:sz w:val="22"/>
          <w:szCs w:val="22"/>
        </w:rPr>
        <w:t>Príjmy z </w:t>
      </w:r>
      <w:r w:rsidRPr="00475A91">
        <w:rPr>
          <w:rFonts w:ascii="Times New Roman" w:hAnsi="Times New Roman"/>
          <w:sz w:val="22"/>
          <w:szCs w:val="22"/>
        </w:rPr>
        <w:t>osobitného odvodu z podnikania v regulovaných odvetviach dosiahli medziročný nárast o 125 631 tis. eur z</w:t>
      </w:r>
      <w:r w:rsidRPr="00475A91" w:rsidR="00475A91">
        <w:rPr>
          <w:rFonts w:ascii="Times New Roman" w:hAnsi="Times New Roman"/>
          <w:sz w:val="22"/>
          <w:szCs w:val="22"/>
        </w:rPr>
        <w:t> </w:t>
      </w:r>
      <w:r w:rsidRPr="00475A91">
        <w:rPr>
          <w:rFonts w:ascii="Times New Roman" w:hAnsi="Times New Roman"/>
          <w:sz w:val="22"/>
          <w:szCs w:val="22"/>
        </w:rPr>
        <w:t>dôvodu</w:t>
      </w:r>
      <w:r w:rsidRPr="00475A91" w:rsidR="00475A91">
        <w:rPr>
          <w:rFonts w:ascii="Times New Roman" w:hAnsi="Times New Roman"/>
          <w:sz w:val="22"/>
          <w:szCs w:val="22"/>
        </w:rPr>
        <w:t xml:space="preserve"> vplyvu </w:t>
      </w:r>
      <w:r w:rsidRPr="00475A91" w:rsidR="009654DD">
        <w:rPr>
          <w:rFonts w:ascii="Times New Roman" w:hAnsi="Times New Roman"/>
          <w:sz w:val="22"/>
          <w:szCs w:val="22"/>
        </w:rPr>
        <w:t>jednorazovej</w:t>
      </w:r>
      <w:r w:rsidRPr="00475A91" w:rsidR="00475A91">
        <w:rPr>
          <w:rFonts w:ascii="Times New Roman" w:hAnsi="Times New Roman"/>
          <w:sz w:val="22"/>
          <w:szCs w:val="22"/>
        </w:rPr>
        <w:t xml:space="preserve"> platby a tým aj vyšším preddavkom jedného z energetických subjektov. Po abstrahovaní tohto </w:t>
      </w:r>
      <w:r w:rsidRPr="00475A91" w:rsidR="009654DD">
        <w:rPr>
          <w:rFonts w:ascii="Times New Roman" w:hAnsi="Times New Roman"/>
          <w:sz w:val="22"/>
          <w:szCs w:val="22"/>
        </w:rPr>
        <w:t>jednorazového</w:t>
      </w:r>
      <w:r w:rsidRPr="00475A91" w:rsidR="00475A91">
        <w:rPr>
          <w:rFonts w:ascii="Times New Roman" w:hAnsi="Times New Roman"/>
          <w:sz w:val="22"/>
          <w:szCs w:val="22"/>
        </w:rPr>
        <w:t xml:space="preserve"> vplyvu bol hotovostný príjem z odvodu do ŠFA medziročne vyšší o 25 900 tis. eur. </w:t>
      </w:r>
      <w:r w:rsidRPr="00475A91">
        <w:rPr>
          <w:rFonts w:ascii="Times New Roman" w:hAnsi="Times New Roman"/>
          <w:sz w:val="22"/>
          <w:szCs w:val="22"/>
        </w:rPr>
        <w:t>Naopak, príjmy z osobitného odvodu finančných inštitúcií dosiahli medziročný pokles o 42 902 tis. eur z dôvodu zákonom stanovenej degresie výšky odvodu. V roku 2015 bola sadzba 0,2 % zo základu pre výpočet odvodu, pričom pred rokom 2015 bola sadzba na úrovni 0,4 %. Z tohto účtu štátnych finančných aktív sa použilo 20 000 tis. eur ako vklad do osobitného kapitálového fondu Slovenskej reštrukturalizačnej,</w:t>
      </w:r>
      <w:r w:rsidRPr="002E5018">
        <w:rPr>
          <w:rFonts w:ascii="Times New Roman" w:hAnsi="Times New Roman"/>
          <w:sz w:val="22"/>
          <w:szCs w:val="22"/>
        </w:rPr>
        <w:t xml:space="preserve"> s. r. o. pre účely financovania odkupovania pohľadávok od nezabezpečených veriteľov. </w:t>
      </w:r>
    </w:p>
    <w:p w:rsidR="002E5018" w:rsidRPr="002E5018" w:rsidP="002E5018">
      <w:pPr>
        <w:bidi w:val="0"/>
        <w:spacing w:line="336" w:lineRule="auto"/>
        <w:jc w:val="both"/>
        <w:rPr>
          <w:rFonts w:ascii="Times New Roman" w:hAnsi="Times New Roman"/>
          <w:sz w:val="22"/>
          <w:szCs w:val="22"/>
        </w:rPr>
      </w:pPr>
      <w:r w:rsidRPr="002E5018">
        <w:rPr>
          <w:rFonts w:ascii="Times New Roman" w:hAnsi="Times New Roman"/>
          <w:sz w:val="22"/>
          <w:szCs w:val="22"/>
        </w:rPr>
        <w:t xml:space="preserve">Účet návratných finančných výpomocí zaznamenal ročné príjmy vo výške 117 732 tis. eur, pričom išlo najmä o mimoriadnu splátku istiny zo strany Železničnej spoločnosti Cargo, a.s. v hodnote 117 220 tis. eur. </w:t>
      </w:r>
      <w:r w:rsidR="009654DD">
        <w:rPr>
          <w:rFonts w:ascii="Times New Roman" w:hAnsi="Times New Roman"/>
          <w:sz w:val="22"/>
          <w:szCs w:val="22"/>
        </w:rPr>
        <w:t>Na strane výdavkov sa z</w:t>
      </w:r>
      <w:r w:rsidRPr="002E5018">
        <w:rPr>
          <w:rFonts w:ascii="Times New Roman" w:hAnsi="Times New Roman"/>
          <w:sz w:val="22"/>
          <w:szCs w:val="22"/>
        </w:rPr>
        <w:t xml:space="preserve"> účtu </w:t>
      </w:r>
      <w:r w:rsidR="009654DD">
        <w:rPr>
          <w:rFonts w:ascii="Times New Roman" w:hAnsi="Times New Roman"/>
          <w:sz w:val="22"/>
          <w:szCs w:val="22"/>
        </w:rPr>
        <w:t xml:space="preserve">návratných finančných výpomocí </w:t>
      </w:r>
      <w:r w:rsidRPr="002E5018">
        <w:rPr>
          <w:rFonts w:ascii="Times New Roman" w:hAnsi="Times New Roman"/>
          <w:sz w:val="22"/>
          <w:szCs w:val="22"/>
        </w:rPr>
        <w:t xml:space="preserve">financovalo zvýšenie základného imania štátnej spoločnosti Slovenská elektrizačná prenosová sústava, a.s. v hodnote 23 167 tis. eur, ďalšia časť návratnej výpomoci Mestu Košice v hodnote 14 300 tis. eur na modernizáciu cestnej infraštruktúry a návratná výpomoc Hlavnému mestu SR Bratislavy vo výške 7 500 tis. eur na spolufinancovanie rozvojových projektov a podporu plnenia funkcií hlavného mesta SR. </w:t>
      </w:r>
    </w:p>
    <w:p w:rsidR="004C026A" w:rsidRPr="004C026A" w:rsidP="004C026A">
      <w:pPr>
        <w:pStyle w:val="Heading2"/>
        <w:numPr>
          <w:ilvl w:val="1"/>
          <w:numId w:val="20"/>
        </w:numPr>
        <w:bidi w:val="0"/>
        <w:spacing w:line="336" w:lineRule="auto"/>
        <w:ind w:left="714" w:hanging="357"/>
        <w:rPr>
          <w:rFonts w:ascii="Times New Roman" w:hAnsi="Times New Roman"/>
        </w:rPr>
      </w:pPr>
      <w:bookmarkStart w:id="39" w:name="_Toc449622844"/>
      <w:r>
        <w:rPr>
          <w:rFonts w:ascii="Times New Roman" w:hAnsi="Times New Roman"/>
        </w:rPr>
        <w:t>Vzťahy štátneho rozpočtu k Európskej únii</w:t>
      </w:r>
      <w:bookmarkEnd w:id="39"/>
    </w:p>
    <w:p w:rsidR="00900E1A" w:rsidP="00900E1A">
      <w:pPr>
        <w:tabs>
          <w:tab w:val="left" w:pos="284"/>
        </w:tabs>
        <w:bidi w:val="0"/>
        <w:spacing w:after="120" w:line="336" w:lineRule="auto"/>
        <w:jc w:val="both"/>
        <w:rPr>
          <w:rFonts w:ascii="Times New Roman" w:hAnsi="Times New Roman"/>
          <w:sz w:val="22"/>
          <w:szCs w:val="22"/>
        </w:rPr>
      </w:pPr>
      <w:r w:rsidRPr="003208E6">
        <w:rPr>
          <w:rFonts w:ascii="Times New Roman" w:hAnsi="Times New Roman"/>
          <w:b/>
          <w:sz w:val="22"/>
          <w:szCs w:val="22"/>
        </w:rPr>
        <w:t xml:space="preserve">Príjmy Slovenskej republiky z rozpočtu EÚ </w:t>
      </w:r>
      <w:r w:rsidRPr="003208E6">
        <w:rPr>
          <w:rFonts w:ascii="Times New Roman" w:hAnsi="Times New Roman"/>
          <w:sz w:val="22"/>
          <w:szCs w:val="22"/>
        </w:rPr>
        <w:t>tvoria</w:t>
      </w:r>
      <w:r w:rsidRPr="003208E6">
        <w:rPr>
          <w:rFonts w:ascii="Times New Roman" w:hAnsi="Times New Roman"/>
          <w:b/>
          <w:sz w:val="22"/>
          <w:szCs w:val="22"/>
        </w:rPr>
        <w:t xml:space="preserve"> </w:t>
      </w:r>
      <w:r w:rsidRPr="003208E6">
        <w:rPr>
          <w:rFonts w:ascii="Times New Roman" w:hAnsi="Times New Roman"/>
          <w:sz w:val="22"/>
          <w:szCs w:val="22"/>
        </w:rPr>
        <w:t>zahraničné transfery a zahraničné granty poskytnuté z rozpočtu EÚ. Príjmy z</w:t>
      </w:r>
      <w:r>
        <w:rPr>
          <w:rFonts w:ascii="Times New Roman" w:hAnsi="Times New Roman"/>
          <w:sz w:val="22"/>
          <w:szCs w:val="22"/>
        </w:rPr>
        <w:t>o</w:t>
      </w:r>
      <w:r w:rsidRPr="003208E6">
        <w:rPr>
          <w:rFonts w:ascii="Times New Roman" w:hAnsi="Times New Roman"/>
          <w:sz w:val="22"/>
          <w:szCs w:val="22"/>
        </w:rPr>
        <w:t xml:space="preserve"> zahraničn</w:t>
      </w:r>
      <w:r>
        <w:rPr>
          <w:rFonts w:ascii="Times New Roman" w:hAnsi="Times New Roman"/>
          <w:sz w:val="22"/>
          <w:szCs w:val="22"/>
        </w:rPr>
        <w:t>ých</w:t>
      </w:r>
      <w:r w:rsidRPr="003208E6">
        <w:rPr>
          <w:rFonts w:ascii="Times New Roman" w:hAnsi="Times New Roman"/>
          <w:sz w:val="22"/>
          <w:szCs w:val="22"/>
        </w:rPr>
        <w:t xml:space="preserve"> transfer</w:t>
      </w:r>
      <w:r>
        <w:rPr>
          <w:rFonts w:ascii="Times New Roman" w:hAnsi="Times New Roman"/>
          <w:sz w:val="22"/>
          <w:szCs w:val="22"/>
        </w:rPr>
        <w:t>ov</w:t>
      </w:r>
      <w:r w:rsidRPr="003208E6">
        <w:rPr>
          <w:rFonts w:ascii="Times New Roman" w:hAnsi="Times New Roman"/>
          <w:sz w:val="22"/>
          <w:szCs w:val="22"/>
        </w:rPr>
        <w:t xml:space="preserve"> boli rozpočtované na rok 201</w:t>
      </w:r>
      <w:r>
        <w:rPr>
          <w:rFonts w:ascii="Times New Roman" w:hAnsi="Times New Roman"/>
          <w:sz w:val="22"/>
          <w:szCs w:val="22"/>
        </w:rPr>
        <w:t>5</w:t>
      </w:r>
      <w:r w:rsidRPr="003208E6">
        <w:rPr>
          <w:rFonts w:ascii="Times New Roman" w:hAnsi="Times New Roman"/>
          <w:sz w:val="22"/>
          <w:szCs w:val="22"/>
        </w:rPr>
        <w:t xml:space="preserve"> vo</w:t>
      </w:r>
      <w:r>
        <w:rPr>
          <w:rFonts w:ascii="Times New Roman" w:hAnsi="Times New Roman"/>
          <w:sz w:val="22"/>
          <w:szCs w:val="22"/>
        </w:rPr>
        <w:t> </w:t>
      </w:r>
      <w:r w:rsidRPr="003208E6">
        <w:rPr>
          <w:rFonts w:ascii="Times New Roman" w:hAnsi="Times New Roman"/>
          <w:sz w:val="22"/>
          <w:szCs w:val="22"/>
        </w:rPr>
        <w:t xml:space="preserve">výške </w:t>
      </w:r>
      <w:r w:rsidRPr="00C51C90">
        <w:rPr>
          <w:rFonts w:ascii="Times New Roman" w:hAnsi="Times New Roman"/>
          <w:sz w:val="22"/>
          <w:szCs w:val="22"/>
        </w:rPr>
        <w:t>3 272 393 tis. eur.</w:t>
      </w:r>
      <w:r w:rsidRPr="003208E6">
        <w:rPr>
          <w:rFonts w:ascii="Times New Roman" w:hAnsi="Times New Roman"/>
          <w:sz w:val="22"/>
          <w:szCs w:val="22"/>
        </w:rPr>
        <w:t xml:space="preserve"> Po úprave sa rozpočet zahraničných </w:t>
      </w:r>
      <w:r w:rsidRPr="00C51C90">
        <w:rPr>
          <w:rFonts w:ascii="Times New Roman" w:hAnsi="Times New Roman"/>
          <w:sz w:val="22"/>
          <w:szCs w:val="22"/>
        </w:rPr>
        <w:t>tr</w:t>
      </w:r>
      <w:r w:rsidR="002C38E1">
        <w:rPr>
          <w:rFonts w:ascii="Times New Roman" w:hAnsi="Times New Roman"/>
          <w:sz w:val="22"/>
          <w:szCs w:val="22"/>
        </w:rPr>
        <w:t>ansferov zvýšil na úroveň 4 271 </w:t>
      </w:r>
      <w:r w:rsidRPr="00C51C90">
        <w:rPr>
          <w:rFonts w:ascii="Times New Roman" w:hAnsi="Times New Roman"/>
          <w:sz w:val="22"/>
          <w:szCs w:val="22"/>
        </w:rPr>
        <w:t>799 tis. eur.</w:t>
      </w:r>
      <w:r w:rsidRPr="003208E6">
        <w:rPr>
          <w:rFonts w:ascii="Times New Roman" w:hAnsi="Times New Roman"/>
          <w:sz w:val="22"/>
          <w:szCs w:val="22"/>
        </w:rPr>
        <w:t xml:space="preserve"> Skutočné plnenie príjmov SR z rozpočtu EÚ </w:t>
      </w:r>
      <w:r>
        <w:rPr>
          <w:rFonts w:ascii="Times New Roman" w:hAnsi="Times New Roman"/>
          <w:sz w:val="22"/>
          <w:szCs w:val="22"/>
        </w:rPr>
        <w:t>bolo</w:t>
      </w:r>
      <w:r w:rsidRPr="003208E6">
        <w:rPr>
          <w:rFonts w:ascii="Times New Roman" w:hAnsi="Times New Roman"/>
          <w:sz w:val="22"/>
          <w:szCs w:val="22"/>
        </w:rPr>
        <w:t xml:space="preserve"> vo výške </w:t>
      </w:r>
      <w:r>
        <w:rPr>
          <w:rFonts w:ascii="Times New Roman" w:hAnsi="Times New Roman"/>
          <w:sz w:val="22"/>
          <w:szCs w:val="22"/>
        </w:rPr>
        <w:t>4 288 873</w:t>
      </w:r>
      <w:r w:rsidRPr="003208E6">
        <w:rPr>
          <w:rFonts w:ascii="Times New Roman" w:hAnsi="Times New Roman"/>
          <w:sz w:val="22"/>
          <w:szCs w:val="22"/>
        </w:rPr>
        <w:t xml:space="preserve"> tis. eur, z toho príjmy za zahraničné transfery sú vo výške </w:t>
      </w:r>
      <w:r>
        <w:rPr>
          <w:rFonts w:ascii="Times New Roman" w:hAnsi="Times New Roman"/>
          <w:sz w:val="22"/>
          <w:szCs w:val="22"/>
        </w:rPr>
        <w:t>4 280 041</w:t>
      </w:r>
      <w:r w:rsidRPr="003208E6">
        <w:rPr>
          <w:rFonts w:ascii="Times New Roman" w:hAnsi="Times New Roman"/>
          <w:sz w:val="22"/>
          <w:szCs w:val="22"/>
        </w:rPr>
        <w:t xml:space="preserve"> tis. eur a príjmy za zahraničné granty poskytnuté z rozpočtu EÚ sú vo výške</w:t>
      </w:r>
      <w:r>
        <w:rPr>
          <w:rFonts w:ascii="Times New Roman" w:hAnsi="Times New Roman"/>
          <w:sz w:val="22"/>
          <w:szCs w:val="22"/>
        </w:rPr>
        <w:t xml:space="preserve"> 8 832</w:t>
      </w:r>
      <w:r w:rsidRPr="003208E6">
        <w:rPr>
          <w:rFonts w:ascii="Times New Roman" w:hAnsi="Times New Roman"/>
          <w:sz w:val="22"/>
          <w:szCs w:val="22"/>
        </w:rPr>
        <w:t xml:space="preserve"> tis. eur.</w:t>
      </w:r>
      <w:r w:rsidR="00927FF8">
        <w:rPr>
          <w:rFonts w:ascii="Times New Roman" w:hAnsi="Times New Roman"/>
          <w:sz w:val="22"/>
          <w:szCs w:val="22"/>
        </w:rPr>
        <w:t xml:space="preserve"> </w:t>
      </w:r>
      <w:r w:rsidRPr="00B17572" w:rsidR="00927FF8">
        <w:rPr>
          <w:rFonts w:ascii="Times New Roman" w:hAnsi="Times New Roman"/>
          <w:sz w:val="22"/>
          <w:szCs w:val="22"/>
        </w:rPr>
        <w:t>Príjem SR z rozpočtu EÚ v roku 2015 dosiahol v porovnaní s predošlým obdobím viac ako 3 násobnú úroveň a je historicky najvyšším ročným príjmom z rozpočtu EÚ. Podrobnejšie zhodnotenie príjmov je uvedené v časti 3.4.1 Príjmy z rozpočtu Európskej únie.</w:t>
      </w:r>
    </w:p>
    <w:p w:rsidR="00900E1A" w:rsidRPr="00010E6B" w:rsidP="00900E1A">
      <w:pPr>
        <w:tabs>
          <w:tab w:val="left" w:pos="284"/>
        </w:tabs>
        <w:bidi w:val="0"/>
        <w:spacing w:after="120" w:line="336" w:lineRule="auto"/>
        <w:jc w:val="both"/>
        <w:rPr>
          <w:rFonts w:ascii="Times New Roman" w:hAnsi="Times New Roman"/>
          <w:sz w:val="22"/>
          <w:szCs w:val="22"/>
        </w:rPr>
      </w:pPr>
      <w:r w:rsidRPr="00010E6B">
        <w:rPr>
          <w:rFonts w:ascii="Times New Roman" w:hAnsi="Times New Roman"/>
          <w:b/>
          <w:sz w:val="22"/>
          <w:szCs w:val="22"/>
        </w:rPr>
        <w:t>Odvody a príspevky do všeobecného rozpočtu EÚ</w:t>
      </w:r>
      <w:r w:rsidRPr="00010E6B">
        <w:rPr>
          <w:rFonts w:ascii="Times New Roman" w:hAnsi="Times New Roman"/>
          <w:sz w:val="22"/>
          <w:szCs w:val="22"/>
        </w:rPr>
        <w:t xml:space="preserve"> tvoria odvody do rozpočtu EÚ a príspevky </w:t>
      </w:r>
      <w:r w:rsidR="002C38E1">
        <w:rPr>
          <w:rFonts w:ascii="Times New Roman" w:hAnsi="Times New Roman"/>
          <w:sz w:val="22"/>
          <w:szCs w:val="22"/>
        </w:rPr>
        <w:t>do </w:t>
      </w:r>
      <w:r w:rsidRPr="00010E6B">
        <w:rPr>
          <w:rFonts w:ascii="Times New Roman" w:hAnsi="Times New Roman"/>
          <w:sz w:val="22"/>
          <w:szCs w:val="22"/>
        </w:rPr>
        <w:t>Európskeho rozvojového fondu. Odvody a príspevky do všeobecného rozpočtu EÚ boli rozpočtované na rok 201</w:t>
      </w:r>
      <w:r>
        <w:rPr>
          <w:rFonts w:ascii="Times New Roman" w:hAnsi="Times New Roman"/>
          <w:sz w:val="22"/>
          <w:szCs w:val="22"/>
        </w:rPr>
        <w:t>5</w:t>
      </w:r>
      <w:r w:rsidRPr="00010E6B">
        <w:rPr>
          <w:rFonts w:ascii="Times New Roman" w:hAnsi="Times New Roman"/>
          <w:sz w:val="22"/>
          <w:szCs w:val="22"/>
        </w:rPr>
        <w:t xml:space="preserve"> v</w:t>
      </w:r>
      <w:r>
        <w:rPr>
          <w:rFonts w:ascii="Times New Roman" w:hAnsi="Times New Roman"/>
          <w:sz w:val="22"/>
          <w:szCs w:val="22"/>
        </w:rPr>
        <w:t> sume 843 734</w:t>
      </w:r>
      <w:r w:rsidRPr="00010E6B">
        <w:rPr>
          <w:rFonts w:ascii="Times New Roman" w:hAnsi="Times New Roman"/>
          <w:sz w:val="22"/>
          <w:szCs w:val="22"/>
        </w:rPr>
        <w:t> tis. eur.</w:t>
      </w:r>
    </w:p>
    <w:p w:rsidR="00900E1A" w:rsidRPr="003208E6" w:rsidP="00900E1A">
      <w:pPr>
        <w:bidi w:val="0"/>
        <w:spacing w:before="120" w:after="120" w:line="336" w:lineRule="auto"/>
        <w:jc w:val="both"/>
        <w:rPr>
          <w:rFonts w:ascii="Times New Roman" w:hAnsi="Times New Roman"/>
          <w:sz w:val="22"/>
          <w:szCs w:val="22"/>
        </w:rPr>
      </w:pPr>
      <w:r w:rsidRPr="003208E6">
        <w:rPr>
          <w:rFonts w:ascii="Times New Roman" w:hAnsi="Times New Roman"/>
          <w:b/>
          <w:i/>
          <w:sz w:val="22"/>
          <w:szCs w:val="22"/>
        </w:rPr>
        <w:t>Odvody za tradičné vlastné zdroje</w:t>
      </w:r>
      <w:r w:rsidRPr="003208E6">
        <w:rPr>
          <w:rFonts w:ascii="Times New Roman" w:hAnsi="Times New Roman"/>
          <w:sz w:val="22"/>
          <w:szCs w:val="22"/>
        </w:rPr>
        <w:t xml:space="preserve"> (75 % z výberu cla a odvodov a poplatkov v sektore cukru) boli rozpočtované </w:t>
      </w:r>
      <w:r>
        <w:rPr>
          <w:rFonts w:ascii="Times New Roman" w:hAnsi="Times New Roman"/>
          <w:sz w:val="22"/>
          <w:szCs w:val="22"/>
        </w:rPr>
        <w:t>v sume</w:t>
      </w:r>
      <w:r w:rsidRPr="00F23D98">
        <w:rPr>
          <w:rFonts w:ascii="Times New Roman" w:hAnsi="Times New Roman"/>
          <w:sz w:val="22"/>
          <w:szCs w:val="22"/>
        </w:rPr>
        <w:t xml:space="preserve"> 9</w:t>
      </w:r>
      <w:r>
        <w:rPr>
          <w:rFonts w:ascii="Times New Roman" w:hAnsi="Times New Roman"/>
          <w:sz w:val="22"/>
          <w:szCs w:val="22"/>
        </w:rPr>
        <w:t>8</w:t>
      </w:r>
      <w:r w:rsidRPr="00F23D98">
        <w:rPr>
          <w:rFonts w:ascii="Times New Roman" w:hAnsi="Times New Roman"/>
          <w:sz w:val="22"/>
          <w:szCs w:val="22"/>
        </w:rPr>
        <w:t> </w:t>
      </w:r>
      <w:r>
        <w:rPr>
          <w:rFonts w:ascii="Times New Roman" w:hAnsi="Times New Roman"/>
          <w:sz w:val="22"/>
          <w:szCs w:val="22"/>
        </w:rPr>
        <w:t>200 tis. eur. V priebehu roka 2015</w:t>
      </w:r>
      <w:r w:rsidRPr="00F23D98">
        <w:rPr>
          <w:rFonts w:ascii="Times New Roman" w:hAnsi="Times New Roman"/>
          <w:sz w:val="22"/>
          <w:szCs w:val="22"/>
        </w:rPr>
        <w:t xml:space="preserve"> </w:t>
      </w:r>
      <w:r w:rsidRPr="00F23D98">
        <w:rPr>
          <w:rFonts w:ascii="Times New Roman" w:hAnsi="Times New Roman"/>
          <w:bCs/>
          <w:sz w:val="22"/>
          <w:szCs w:val="22"/>
        </w:rPr>
        <w:t xml:space="preserve">Slovenská republika </w:t>
      </w:r>
      <w:r w:rsidR="00105EF5">
        <w:rPr>
          <w:rFonts w:ascii="Times New Roman" w:hAnsi="Times New Roman"/>
          <w:bCs/>
          <w:sz w:val="22"/>
          <w:szCs w:val="22"/>
        </w:rPr>
        <w:t>od</w:t>
      </w:r>
      <w:r w:rsidRPr="00F23D98">
        <w:rPr>
          <w:rFonts w:ascii="Times New Roman" w:hAnsi="Times New Roman"/>
          <w:bCs/>
          <w:sz w:val="22"/>
          <w:szCs w:val="22"/>
        </w:rPr>
        <w:t xml:space="preserve">viedla sumu </w:t>
      </w:r>
      <w:r w:rsidR="002C38E1">
        <w:rPr>
          <w:rFonts w:ascii="Times New Roman" w:hAnsi="Times New Roman"/>
          <w:sz w:val="22"/>
          <w:szCs w:val="22"/>
        </w:rPr>
        <w:t>vo </w:t>
      </w:r>
      <w:r w:rsidRPr="00F23D98">
        <w:rPr>
          <w:rFonts w:ascii="Times New Roman" w:hAnsi="Times New Roman"/>
          <w:sz w:val="22"/>
          <w:szCs w:val="22"/>
        </w:rPr>
        <w:t xml:space="preserve">výške </w:t>
      </w:r>
      <w:r>
        <w:rPr>
          <w:rFonts w:ascii="Times New Roman" w:hAnsi="Times New Roman"/>
          <w:sz w:val="22"/>
          <w:szCs w:val="22"/>
        </w:rPr>
        <w:t>88 910</w:t>
      </w:r>
      <w:r w:rsidRPr="00F23D98">
        <w:rPr>
          <w:rFonts w:ascii="Times New Roman" w:hAnsi="Times New Roman"/>
          <w:bCs/>
          <w:sz w:val="22"/>
          <w:szCs w:val="22"/>
        </w:rPr>
        <w:t> tis. eur</w:t>
      </w:r>
      <w:r w:rsidRPr="00F23D98">
        <w:rPr>
          <w:rFonts w:ascii="Times New Roman" w:hAnsi="Times New Roman"/>
          <w:sz w:val="22"/>
          <w:szCs w:val="22"/>
        </w:rPr>
        <w:t>.</w:t>
      </w:r>
    </w:p>
    <w:p w:rsidR="00900E1A" w:rsidP="00900E1A">
      <w:pPr>
        <w:bidi w:val="0"/>
        <w:spacing w:before="120" w:after="120" w:line="336" w:lineRule="auto"/>
        <w:jc w:val="both"/>
        <w:rPr>
          <w:rFonts w:ascii="Times New Roman" w:hAnsi="Times New Roman"/>
          <w:sz w:val="22"/>
          <w:szCs w:val="22"/>
        </w:rPr>
      </w:pPr>
      <w:r w:rsidRPr="003208E6">
        <w:rPr>
          <w:rFonts w:ascii="Times New Roman" w:hAnsi="Times New Roman"/>
          <w:b/>
          <w:i/>
          <w:sz w:val="22"/>
          <w:szCs w:val="22"/>
        </w:rPr>
        <w:t>Ostatné odvody do rozpočtu EÚ</w:t>
      </w:r>
      <w:r w:rsidRPr="003208E6">
        <w:rPr>
          <w:rFonts w:ascii="Times New Roman" w:hAnsi="Times New Roman"/>
          <w:sz w:val="22"/>
          <w:szCs w:val="22"/>
        </w:rPr>
        <w:t xml:space="preserve"> boli rozpočtované v štátnom rozpočte v kapitole Všeobecná pokladničná správa (zdroj založen</w:t>
      </w:r>
      <w:r>
        <w:rPr>
          <w:rFonts w:ascii="Times New Roman" w:hAnsi="Times New Roman"/>
          <w:sz w:val="22"/>
          <w:szCs w:val="22"/>
        </w:rPr>
        <w:t>ý na DPH, zdroj založený na HND a</w:t>
      </w:r>
      <w:r w:rsidRPr="003208E6">
        <w:rPr>
          <w:rFonts w:ascii="Times New Roman" w:hAnsi="Times New Roman"/>
          <w:sz w:val="22"/>
          <w:szCs w:val="22"/>
        </w:rPr>
        <w:t> podiel SR na korekcii V</w:t>
      </w:r>
      <w:r>
        <w:rPr>
          <w:rFonts w:ascii="Times New Roman" w:hAnsi="Times New Roman"/>
          <w:sz w:val="22"/>
          <w:szCs w:val="22"/>
        </w:rPr>
        <w:t>eľkej Británie) v sume 737 974</w:t>
      </w:r>
      <w:r w:rsidRPr="00F23D98">
        <w:rPr>
          <w:rFonts w:ascii="Times New Roman" w:hAnsi="Times New Roman"/>
          <w:sz w:val="22"/>
          <w:szCs w:val="22"/>
        </w:rPr>
        <w:t> tis. eur</w:t>
      </w:r>
      <w:r>
        <w:rPr>
          <w:rFonts w:ascii="Times New Roman" w:hAnsi="Times New Roman"/>
          <w:sz w:val="22"/>
          <w:szCs w:val="22"/>
        </w:rPr>
        <w:t>. Tieto boli v priebehu roka 2015</w:t>
      </w:r>
      <w:r w:rsidRPr="003208E6">
        <w:rPr>
          <w:rFonts w:ascii="Times New Roman" w:hAnsi="Times New Roman"/>
          <w:sz w:val="22"/>
          <w:szCs w:val="22"/>
        </w:rPr>
        <w:t xml:space="preserve"> </w:t>
      </w:r>
      <w:r>
        <w:rPr>
          <w:rFonts w:ascii="Times New Roman" w:hAnsi="Times New Roman"/>
          <w:sz w:val="22"/>
          <w:szCs w:val="22"/>
        </w:rPr>
        <w:t>znížené</w:t>
      </w:r>
      <w:r w:rsidRPr="003208E6">
        <w:rPr>
          <w:rFonts w:ascii="Times New Roman" w:hAnsi="Times New Roman"/>
          <w:sz w:val="22"/>
          <w:szCs w:val="22"/>
        </w:rPr>
        <w:t xml:space="preserve"> rozpočtovými opatreniami na sumu </w:t>
      </w:r>
      <w:r>
        <w:rPr>
          <w:rFonts w:ascii="Times New Roman" w:hAnsi="Times New Roman"/>
          <w:sz w:val="22"/>
          <w:szCs w:val="22"/>
        </w:rPr>
        <w:t>599 464</w:t>
      </w:r>
      <w:r w:rsidRPr="00F23D98">
        <w:rPr>
          <w:rFonts w:ascii="Times New Roman" w:hAnsi="Times New Roman"/>
          <w:sz w:val="22"/>
          <w:szCs w:val="22"/>
        </w:rPr>
        <w:t> tis. eur</w:t>
      </w:r>
      <w:r>
        <w:rPr>
          <w:rFonts w:ascii="Times New Roman" w:hAnsi="Times New Roman"/>
          <w:sz w:val="22"/>
          <w:szCs w:val="22"/>
        </w:rPr>
        <w:t>. K</w:t>
      </w:r>
      <w:r w:rsidRPr="00F23D98">
        <w:rPr>
          <w:rFonts w:ascii="Times New Roman" w:hAnsi="Times New Roman"/>
          <w:sz w:val="22"/>
          <w:szCs w:val="22"/>
        </w:rPr>
        <w:t>onečný odvod vlastných zdrojov rozpočtovaných v kapitole VPS</w:t>
      </w:r>
      <w:r>
        <w:rPr>
          <w:rFonts w:ascii="Times New Roman" w:hAnsi="Times New Roman"/>
          <w:sz w:val="22"/>
          <w:szCs w:val="22"/>
        </w:rPr>
        <w:t xml:space="preserve"> predstavuje sumu 599 458 tis. eur</w:t>
      </w:r>
      <w:r w:rsidRPr="00F23D98">
        <w:rPr>
          <w:rFonts w:ascii="Times New Roman" w:hAnsi="Times New Roman"/>
          <w:sz w:val="22"/>
          <w:szCs w:val="22"/>
        </w:rPr>
        <w:t>.</w:t>
      </w:r>
      <w:r w:rsidRPr="003208E6">
        <w:rPr>
          <w:rFonts w:ascii="Times New Roman" w:hAnsi="Times New Roman"/>
          <w:sz w:val="22"/>
          <w:szCs w:val="22"/>
        </w:rPr>
        <w:t xml:space="preserve"> </w:t>
      </w:r>
    </w:p>
    <w:p w:rsidR="00900E1A" w:rsidP="00900E1A">
      <w:pPr>
        <w:bidi w:val="0"/>
        <w:spacing w:before="120" w:after="120" w:line="336" w:lineRule="auto"/>
        <w:jc w:val="both"/>
        <w:rPr>
          <w:rFonts w:ascii="Times New Roman" w:hAnsi="Times New Roman"/>
          <w:sz w:val="22"/>
          <w:szCs w:val="22"/>
        </w:rPr>
      </w:pPr>
      <w:r w:rsidRPr="00F23D98">
        <w:rPr>
          <w:rFonts w:ascii="Times New Roman" w:hAnsi="Times New Roman"/>
          <w:b/>
          <w:i/>
          <w:sz w:val="22"/>
          <w:szCs w:val="22"/>
        </w:rPr>
        <w:t>Príspevky Slovenskej republiky do Európskeho rozvojového fondu (ERF)</w:t>
      </w:r>
      <w:r w:rsidRPr="00F23D98">
        <w:rPr>
          <w:rFonts w:ascii="Times New Roman" w:hAnsi="Times New Roman"/>
          <w:b/>
          <w:sz w:val="22"/>
          <w:szCs w:val="22"/>
        </w:rPr>
        <w:t xml:space="preserve"> </w:t>
      </w:r>
      <w:r w:rsidRPr="00F23D98">
        <w:rPr>
          <w:rFonts w:ascii="Times New Roman" w:hAnsi="Times New Roman"/>
          <w:sz w:val="22"/>
          <w:szCs w:val="22"/>
        </w:rPr>
        <w:t xml:space="preserve">boli rozpočtované </w:t>
      </w:r>
      <w:r w:rsidR="002C38E1">
        <w:rPr>
          <w:rFonts w:ascii="Times New Roman" w:hAnsi="Times New Roman"/>
          <w:sz w:val="22"/>
          <w:szCs w:val="22"/>
        </w:rPr>
        <w:t>v </w:t>
      </w:r>
      <w:r>
        <w:rPr>
          <w:rFonts w:ascii="Times New Roman" w:hAnsi="Times New Roman"/>
          <w:sz w:val="22"/>
          <w:szCs w:val="22"/>
        </w:rPr>
        <w:t>sume 7 560</w:t>
      </w:r>
      <w:r w:rsidRPr="00F23D98">
        <w:rPr>
          <w:rFonts w:ascii="Times New Roman" w:hAnsi="Times New Roman"/>
          <w:sz w:val="22"/>
          <w:szCs w:val="22"/>
        </w:rPr>
        <w:t xml:space="preserve"> tis. eur, </w:t>
      </w:r>
      <w:r w:rsidRPr="00F23D98">
        <w:rPr>
          <w:rFonts w:ascii="Times New Roman" w:hAnsi="Times New Roman"/>
          <w:bCs/>
          <w:sz w:val="22"/>
          <w:szCs w:val="22"/>
        </w:rPr>
        <w:t xml:space="preserve">pričom realizácia dosiahla sumu </w:t>
      </w:r>
      <w:r>
        <w:rPr>
          <w:rFonts w:ascii="Times New Roman" w:hAnsi="Times New Roman"/>
          <w:bCs/>
          <w:sz w:val="22"/>
          <w:szCs w:val="22"/>
        </w:rPr>
        <w:t>7 140</w:t>
      </w:r>
      <w:r w:rsidRPr="00F23D98">
        <w:rPr>
          <w:rFonts w:ascii="Times New Roman" w:hAnsi="Times New Roman"/>
          <w:bCs/>
          <w:sz w:val="22"/>
          <w:szCs w:val="22"/>
        </w:rPr>
        <w:t> tis. eur</w:t>
      </w:r>
      <w:r w:rsidRPr="003208E6">
        <w:rPr>
          <w:rFonts w:ascii="Times New Roman" w:hAnsi="Times New Roman"/>
          <w:bCs/>
          <w:sz w:val="22"/>
          <w:szCs w:val="22"/>
        </w:rPr>
        <w:t>. Skut</w:t>
      </w:r>
      <w:r>
        <w:rPr>
          <w:rFonts w:ascii="Times New Roman" w:hAnsi="Times New Roman"/>
          <w:bCs/>
          <w:sz w:val="22"/>
          <w:szCs w:val="22"/>
        </w:rPr>
        <w:t>očná výška príspevku SR závisí</w:t>
      </w:r>
      <w:r w:rsidRPr="003208E6">
        <w:rPr>
          <w:rFonts w:ascii="Times New Roman" w:hAnsi="Times New Roman"/>
          <w:bCs/>
          <w:sz w:val="22"/>
          <w:szCs w:val="22"/>
        </w:rPr>
        <w:t xml:space="preserve"> od absorpčnej kapacity </w:t>
      </w:r>
      <w:r w:rsidRPr="003208E6">
        <w:rPr>
          <w:rFonts w:ascii="Times New Roman" w:hAnsi="Times New Roman"/>
          <w:sz w:val="22"/>
          <w:szCs w:val="22"/>
        </w:rPr>
        <w:t xml:space="preserve">rozvojovej pomoci EÚ v oprávnených štátoch Afriky, Karibiku a Tichomoria, zámorských štátov a území. </w:t>
      </w:r>
    </w:p>
    <w:p w:rsidR="00900E1A" w:rsidP="00900E1A">
      <w:pPr>
        <w:bidi w:val="0"/>
        <w:spacing w:before="120" w:after="120" w:line="336" w:lineRule="auto"/>
        <w:jc w:val="both"/>
        <w:rPr>
          <w:rFonts w:ascii="Times New Roman" w:hAnsi="Times New Roman"/>
          <w:sz w:val="22"/>
          <w:szCs w:val="22"/>
        </w:rPr>
      </w:pPr>
      <w:r w:rsidRPr="003208E6">
        <w:rPr>
          <w:rFonts w:ascii="Times New Roman" w:hAnsi="Times New Roman"/>
          <w:sz w:val="22"/>
          <w:szCs w:val="22"/>
        </w:rPr>
        <w:t>Pre</w:t>
      </w:r>
      <w:r>
        <w:rPr>
          <w:rFonts w:ascii="Times New Roman" w:hAnsi="Times New Roman"/>
          <w:sz w:val="22"/>
          <w:szCs w:val="22"/>
        </w:rPr>
        <w:t>hľad o </w:t>
      </w:r>
      <w:r w:rsidRPr="003208E6">
        <w:rPr>
          <w:rFonts w:ascii="Times New Roman" w:hAnsi="Times New Roman"/>
          <w:sz w:val="22"/>
          <w:szCs w:val="22"/>
        </w:rPr>
        <w:t xml:space="preserve">odvodoch a príspevkoch </w:t>
      </w:r>
      <w:r>
        <w:rPr>
          <w:rFonts w:ascii="Times New Roman" w:hAnsi="Times New Roman"/>
          <w:sz w:val="22"/>
          <w:szCs w:val="22"/>
        </w:rPr>
        <w:t xml:space="preserve">SR </w:t>
      </w:r>
      <w:r w:rsidRPr="003208E6">
        <w:rPr>
          <w:rFonts w:ascii="Times New Roman" w:hAnsi="Times New Roman"/>
          <w:sz w:val="22"/>
          <w:szCs w:val="22"/>
        </w:rPr>
        <w:t>do vše</w:t>
      </w:r>
      <w:r>
        <w:rPr>
          <w:rFonts w:ascii="Times New Roman" w:hAnsi="Times New Roman"/>
          <w:sz w:val="22"/>
          <w:szCs w:val="22"/>
        </w:rPr>
        <w:t>obecného rozpočtu EÚ za rok 2015</w:t>
      </w:r>
      <w:r w:rsidRPr="003208E6">
        <w:rPr>
          <w:rFonts w:ascii="Times New Roman" w:hAnsi="Times New Roman"/>
          <w:sz w:val="22"/>
          <w:szCs w:val="22"/>
        </w:rPr>
        <w:t xml:space="preserve"> je uvedený v nasledovnej tabuľke:</w:t>
      </w:r>
    </w:p>
    <w:tbl>
      <w:tblPr>
        <w:tblStyle w:val="TableNormal"/>
        <w:tblW w:w="5041" w:type="pct"/>
        <w:tblLayout w:type="fixed"/>
        <w:tblCellMar>
          <w:left w:w="70" w:type="dxa"/>
          <w:right w:w="70" w:type="dxa"/>
        </w:tblCellMar>
        <w:tblLook w:val="04A0"/>
      </w:tblPr>
      <w:tblGrid>
        <w:gridCol w:w="2779"/>
        <w:gridCol w:w="1176"/>
        <w:gridCol w:w="1069"/>
        <w:gridCol w:w="972"/>
        <w:gridCol w:w="1163"/>
        <w:gridCol w:w="1068"/>
        <w:gridCol w:w="774"/>
      </w:tblGrid>
      <w:tr>
        <w:tblPrEx>
          <w:tblW w:w="5041" w:type="pct"/>
          <w:tblLayout w:type="fixed"/>
          <w:tblCellMar>
            <w:left w:w="70" w:type="dxa"/>
            <w:right w:w="70" w:type="dxa"/>
          </w:tblCellMar>
          <w:tblLook w:val="04A0"/>
        </w:tblPrEx>
        <w:trPr>
          <w:trHeight w:val="330"/>
        </w:trPr>
        <w:tc>
          <w:tcPr>
            <w:tcW w:w="5000" w:type="pct"/>
            <w:gridSpan w:val="7"/>
            <w:tcBorders>
              <w:top w:val="nil"/>
              <w:left w:val="nil"/>
              <w:bottom w:val="nil"/>
              <w:right w:val="nil"/>
            </w:tcBorders>
            <w:shd w:val="clear" w:color="000000" w:fill="000000"/>
            <w:noWrap/>
            <w:textDirection w:val="lrTb"/>
            <w:vAlign w:val="center"/>
            <w:hideMark/>
          </w:tcPr>
          <w:p w:rsidR="00900E1A" w:rsidRPr="00105EF5" w:rsidP="0027279E">
            <w:pPr>
              <w:bidi w:val="0"/>
              <w:ind w:right="-757"/>
              <w:rPr>
                <w:rFonts w:ascii="Times New Roman" w:hAnsi="Times New Roman"/>
                <w:b/>
                <w:bCs/>
                <w:color w:val="FFFFFF"/>
                <w:sz w:val="18"/>
                <w:szCs w:val="18"/>
              </w:rPr>
            </w:pPr>
            <w:r w:rsidRPr="00105EF5">
              <w:rPr>
                <w:rFonts w:ascii="Times New Roman" w:hAnsi="Times New Roman"/>
                <w:b/>
                <w:bCs/>
                <w:color w:val="FFFFFF"/>
                <w:sz w:val="18"/>
                <w:szCs w:val="18"/>
              </w:rPr>
              <w:t>Príjmy z rozpočtu EÚ a odvody a príspevky do všeobecného rozpočtu EÚ</w:t>
            </w:r>
            <w:r w:rsidRPr="00105EF5" w:rsidR="00AD13E4">
              <w:rPr>
                <w:rFonts w:ascii="Times New Roman" w:hAnsi="Times New Roman"/>
                <w:b/>
                <w:bCs/>
                <w:color w:val="FFFFFF"/>
                <w:sz w:val="18"/>
                <w:szCs w:val="18"/>
              </w:rPr>
              <w:t xml:space="preserve">       </w:t>
            </w:r>
            <w:r w:rsidRPr="00105EF5" w:rsidR="002C38E1">
              <w:rPr>
                <w:rFonts w:ascii="Times New Roman" w:hAnsi="Times New Roman"/>
                <w:b/>
                <w:bCs/>
                <w:color w:val="FFFFFF"/>
                <w:sz w:val="18"/>
                <w:szCs w:val="18"/>
              </w:rPr>
              <w:t xml:space="preserve">                      </w:t>
            </w:r>
            <w:r w:rsidR="004265B5">
              <w:rPr>
                <w:rFonts w:ascii="Times New Roman" w:hAnsi="Times New Roman"/>
                <w:b/>
                <w:bCs/>
                <w:color w:val="FFFFFF"/>
                <w:sz w:val="18"/>
                <w:szCs w:val="18"/>
              </w:rPr>
              <w:t xml:space="preserve">                 </w:t>
            </w:r>
            <w:r w:rsidRPr="00105EF5" w:rsidR="00AD13E4">
              <w:rPr>
                <w:rFonts w:ascii="Times New Roman" w:hAnsi="Times New Roman"/>
                <w:b/>
                <w:bCs/>
                <w:color w:val="FFFFFF"/>
                <w:sz w:val="18"/>
                <w:szCs w:val="18"/>
              </w:rPr>
              <w:t xml:space="preserve">         </w:t>
            </w:r>
            <w:r w:rsidRPr="00105EF5">
              <w:rPr>
                <w:rFonts w:ascii="Times New Roman" w:hAnsi="Times New Roman"/>
                <w:b/>
                <w:bCs/>
                <w:color w:val="FFFFFF"/>
                <w:sz w:val="18"/>
                <w:szCs w:val="18"/>
              </w:rPr>
              <w:t>v tis. eur</w:t>
            </w:r>
          </w:p>
        </w:tc>
      </w:tr>
      <w:tr>
        <w:tblPrEx>
          <w:tblW w:w="5041" w:type="pct"/>
          <w:tblLayout w:type="fixed"/>
          <w:tblCellMar>
            <w:left w:w="70" w:type="dxa"/>
            <w:right w:w="70" w:type="dxa"/>
          </w:tblCellMar>
          <w:tblLook w:val="04A0"/>
        </w:tblPrEx>
        <w:trPr>
          <w:trHeight w:val="330"/>
        </w:trPr>
        <w:tc>
          <w:tcPr>
            <w:tcW w:w="1544" w:type="pct"/>
            <w:tcBorders>
              <w:top w:val="nil"/>
              <w:left w:val="nil"/>
              <w:bottom w:val="nil"/>
              <w:right w:val="nil"/>
            </w:tcBorders>
            <w:shd w:val="clear" w:color="000000" w:fill="BFBFBF"/>
            <w:textDirection w:val="lrTb"/>
            <w:vAlign w:val="center"/>
            <w:hideMark/>
          </w:tcPr>
          <w:p w:rsidR="00900E1A" w:rsidRPr="00105EF5" w:rsidP="001B6836">
            <w:pPr>
              <w:bidi w:val="0"/>
              <w:rPr>
                <w:rFonts w:ascii="Times New Roman" w:hAnsi="Times New Roman"/>
                <w:b/>
                <w:bCs/>
                <w:color w:val="FFFFFF"/>
                <w:sz w:val="18"/>
                <w:szCs w:val="18"/>
              </w:rPr>
            </w:pPr>
            <w:r w:rsidRPr="00105EF5">
              <w:rPr>
                <w:rFonts w:ascii="Times New Roman" w:hAnsi="Times New Roman"/>
                <w:b/>
                <w:bCs/>
                <w:color w:val="FFFFFF"/>
                <w:sz w:val="18"/>
                <w:szCs w:val="18"/>
              </w:rPr>
              <w:t> </w:t>
            </w:r>
          </w:p>
        </w:tc>
        <w:tc>
          <w:tcPr>
            <w:tcW w:w="1247" w:type="pct"/>
            <w:gridSpan w:val="2"/>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Skutočnosť</w:t>
            </w:r>
          </w:p>
        </w:tc>
        <w:tc>
          <w:tcPr>
            <w:tcW w:w="540"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Rozpočet</w:t>
            </w:r>
          </w:p>
        </w:tc>
        <w:tc>
          <w:tcPr>
            <w:tcW w:w="646"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Skutočnosť</w:t>
            </w:r>
          </w:p>
        </w:tc>
        <w:tc>
          <w:tcPr>
            <w:tcW w:w="1024" w:type="pct"/>
            <w:gridSpan w:val="2"/>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Rozdiel</w:t>
            </w:r>
          </w:p>
        </w:tc>
      </w:tr>
      <w:tr>
        <w:tblPrEx>
          <w:tblW w:w="5041" w:type="pct"/>
          <w:tblLayout w:type="fixed"/>
          <w:tblCellMar>
            <w:left w:w="70" w:type="dxa"/>
            <w:right w:w="70" w:type="dxa"/>
          </w:tblCellMar>
          <w:tblLook w:val="04A0"/>
        </w:tblPrEx>
        <w:trPr>
          <w:trHeight w:val="330"/>
        </w:trPr>
        <w:tc>
          <w:tcPr>
            <w:tcW w:w="1544"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sz w:val="18"/>
                <w:szCs w:val="18"/>
              </w:rPr>
            </w:pPr>
            <w:r w:rsidRPr="00105EF5">
              <w:rPr>
                <w:rFonts w:ascii="Times New Roman" w:hAnsi="Times New Roman"/>
                <w:b/>
                <w:bCs/>
                <w:sz w:val="18"/>
                <w:szCs w:val="18"/>
              </w:rPr>
              <w:t> </w:t>
            </w:r>
          </w:p>
        </w:tc>
        <w:tc>
          <w:tcPr>
            <w:tcW w:w="653"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2013</w:t>
            </w:r>
          </w:p>
        </w:tc>
        <w:tc>
          <w:tcPr>
            <w:tcW w:w="593"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2014</w:t>
            </w:r>
          </w:p>
        </w:tc>
        <w:tc>
          <w:tcPr>
            <w:tcW w:w="540"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2015</w:t>
            </w:r>
          </w:p>
        </w:tc>
        <w:tc>
          <w:tcPr>
            <w:tcW w:w="646"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2015</w:t>
            </w:r>
          </w:p>
        </w:tc>
        <w:tc>
          <w:tcPr>
            <w:tcW w:w="593"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 xml:space="preserve"> v tis. eur</w:t>
            </w:r>
          </w:p>
        </w:tc>
        <w:tc>
          <w:tcPr>
            <w:tcW w:w="431" w:type="pct"/>
            <w:tcBorders>
              <w:top w:val="nil"/>
              <w:left w:val="nil"/>
              <w:bottom w:val="nil"/>
              <w:right w:val="nil"/>
            </w:tcBorders>
            <w:shd w:val="clear" w:color="000000" w:fill="BFBFBF"/>
            <w:textDirection w:val="lrTb"/>
            <w:vAlign w:val="center"/>
            <w:hideMark/>
          </w:tcPr>
          <w:p w:rsidR="00900E1A" w:rsidRPr="00105EF5" w:rsidP="001B6836">
            <w:pPr>
              <w:bidi w:val="0"/>
              <w:jc w:val="center"/>
              <w:rPr>
                <w:rFonts w:ascii="Times New Roman" w:hAnsi="Times New Roman"/>
                <w:b/>
                <w:bCs/>
                <w:color w:val="000000"/>
                <w:sz w:val="18"/>
                <w:szCs w:val="18"/>
              </w:rPr>
            </w:pPr>
            <w:r w:rsidRPr="00105EF5">
              <w:rPr>
                <w:rFonts w:ascii="Times New Roman" w:hAnsi="Times New Roman"/>
                <w:b/>
                <w:bCs/>
                <w:color w:val="000000"/>
                <w:sz w:val="18"/>
                <w:szCs w:val="18"/>
              </w:rPr>
              <w:t>v %</w:t>
            </w:r>
          </w:p>
        </w:tc>
      </w:tr>
      <w:tr>
        <w:tblPrEx>
          <w:tblW w:w="5041" w:type="pct"/>
          <w:tblLayout w:type="fixed"/>
          <w:tblCellMar>
            <w:left w:w="70" w:type="dxa"/>
            <w:right w:w="70" w:type="dxa"/>
          </w:tblCellMar>
          <w:tblLook w:val="04A0"/>
        </w:tblPrEx>
        <w:trPr>
          <w:trHeight w:val="345"/>
        </w:trPr>
        <w:tc>
          <w:tcPr>
            <w:tcW w:w="1544" w:type="pct"/>
            <w:tcBorders>
              <w:top w:val="nil"/>
              <w:left w:val="nil"/>
              <w:bottom w:val="single" w:sz="8" w:space="0" w:color="auto"/>
              <w:right w:val="nil"/>
            </w:tcBorders>
            <w:shd w:val="clear" w:color="000000" w:fill="BFBFBF"/>
            <w:textDirection w:val="lrTb"/>
            <w:vAlign w:val="center"/>
            <w:hideMark/>
          </w:tcPr>
          <w:p w:rsidR="00900E1A" w:rsidRPr="00105EF5" w:rsidP="001B6836">
            <w:pPr>
              <w:bidi w:val="0"/>
              <w:rPr>
                <w:rFonts w:ascii="Times New Roman" w:hAnsi="Times New Roman"/>
                <w:b/>
                <w:bCs/>
                <w:color w:val="FFFFFF"/>
                <w:sz w:val="18"/>
                <w:szCs w:val="18"/>
              </w:rPr>
            </w:pPr>
            <w:r w:rsidRPr="00105EF5">
              <w:rPr>
                <w:rFonts w:ascii="Times New Roman" w:hAnsi="Times New Roman"/>
                <w:b/>
                <w:bCs/>
                <w:color w:val="FFFFFF"/>
                <w:sz w:val="18"/>
                <w:szCs w:val="18"/>
              </w:rPr>
              <w:t> </w:t>
            </w:r>
          </w:p>
        </w:tc>
        <w:tc>
          <w:tcPr>
            <w:tcW w:w="653" w:type="pct"/>
            <w:tcBorders>
              <w:top w:val="nil"/>
              <w:left w:val="nil"/>
              <w:bottom w:val="single" w:sz="8" w:space="0" w:color="auto"/>
              <w:right w:val="nil"/>
            </w:tcBorders>
            <w:shd w:val="clear" w:color="000000" w:fill="BFBFBF"/>
            <w:textDirection w:val="lrTb"/>
            <w:vAlign w:val="center"/>
            <w:hideMark/>
          </w:tcPr>
          <w:p w:rsidR="00900E1A" w:rsidRPr="00105EF5" w:rsidP="001B6836">
            <w:pPr>
              <w:bidi w:val="0"/>
              <w:jc w:val="center"/>
              <w:rPr>
                <w:rFonts w:ascii="Times New Roman" w:hAnsi="Times New Roman"/>
                <w:b/>
                <w:bCs/>
                <w:sz w:val="18"/>
                <w:szCs w:val="18"/>
              </w:rPr>
            </w:pPr>
            <w:r w:rsidRPr="00105EF5">
              <w:rPr>
                <w:rFonts w:ascii="Times New Roman" w:hAnsi="Times New Roman"/>
                <w:b/>
                <w:bCs/>
                <w:sz w:val="18"/>
                <w:szCs w:val="18"/>
              </w:rPr>
              <w:t>1</w:t>
            </w:r>
          </w:p>
        </w:tc>
        <w:tc>
          <w:tcPr>
            <w:tcW w:w="593" w:type="pct"/>
            <w:tcBorders>
              <w:top w:val="nil"/>
              <w:left w:val="nil"/>
              <w:bottom w:val="single" w:sz="8" w:space="0" w:color="auto"/>
              <w:right w:val="nil"/>
            </w:tcBorders>
            <w:shd w:val="clear" w:color="000000" w:fill="BFBFBF"/>
            <w:textDirection w:val="lrTb"/>
            <w:vAlign w:val="center"/>
            <w:hideMark/>
          </w:tcPr>
          <w:p w:rsidR="00900E1A" w:rsidRPr="00105EF5" w:rsidP="001B6836">
            <w:pPr>
              <w:bidi w:val="0"/>
              <w:jc w:val="center"/>
              <w:rPr>
                <w:rFonts w:ascii="Times New Roman" w:hAnsi="Times New Roman"/>
                <w:b/>
                <w:bCs/>
                <w:sz w:val="18"/>
                <w:szCs w:val="18"/>
              </w:rPr>
            </w:pPr>
            <w:r w:rsidRPr="00105EF5">
              <w:rPr>
                <w:rFonts w:ascii="Times New Roman" w:hAnsi="Times New Roman"/>
                <w:b/>
                <w:bCs/>
                <w:sz w:val="18"/>
                <w:szCs w:val="18"/>
              </w:rPr>
              <w:t>2</w:t>
            </w:r>
          </w:p>
        </w:tc>
        <w:tc>
          <w:tcPr>
            <w:tcW w:w="540" w:type="pct"/>
            <w:tcBorders>
              <w:top w:val="nil"/>
              <w:left w:val="nil"/>
              <w:bottom w:val="single" w:sz="8" w:space="0" w:color="auto"/>
              <w:right w:val="nil"/>
            </w:tcBorders>
            <w:shd w:val="clear" w:color="000000" w:fill="BFBFBF"/>
            <w:textDirection w:val="lrTb"/>
            <w:vAlign w:val="center"/>
            <w:hideMark/>
          </w:tcPr>
          <w:p w:rsidR="00900E1A" w:rsidRPr="00105EF5" w:rsidP="001B6836">
            <w:pPr>
              <w:bidi w:val="0"/>
              <w:jc w:val="center"/>
              <w:rPr>
                <w:rFonts w:ascii="Times New Roman" w:hAnsi="Times New Roman"/>
                <w:b/>
                <w:bCs/>
                <w:sz w:val="18"/>
                <w:szCs w:val="18"/>
              </w:rPr>
            </w:pPr>
            <w:r w:rsidRPr="00105EF5">
              <w:rPr>
                <w:rFonts w:ascii="Times New Roman" w:hAnsi="Times New Roman"/>
                <w:b/>
                <w:bCs/>
                <w:sz w:val="18"/>
                <w:szCs w:val="18"/>
              </w:rPr>
              <w:t>3</w:t>
            </w:r>
          </w:p>
        </w:tc>
        <w:tc>
          <w:tcPr>
            <w:tcW w:w="646" w:type="pct"/>
            <w:tcBorders>
              <w:top w:val="nil"/>
              <w:left w:val="nil"/>
              <w:bottom w:val="single" w:sz="8" w:space="0" w:color="auto"/>
              <w:right w:val="nil"/>
            </w:tcBorders>
            <w:shd w:val="clear" w:color="000000" w:fill="BFBFBF"/>
            <w:textDirection w:val="lrTb"/>
            <w:vAlign w:val="center"/>
            <w:hideMark/>
          </w:tcPr>
          <w:p w:rsidR="00900E1A" w:rsidRPr="00105EF5" w:rsidP="001B6836">
            <w:pPr>
              <w:bidi w:val="0"/>
              <w:jc w:val="center"/>
              <w:rPr>
                <w:rFonts w:ascii="Times New Roman" w:hAnsi="Times New Roman"/>
                <w:b/>
                <w:bCs/>
                <w:sz w:val="18"/>
                <w:szCs w:val="18"/>
              </w:rPr>
            </w:pPr>
            <w:r w:rsidRPr="00105EF5">
              <w:rPr>
                <w:rFonts w:ascii="Times New Roman" w:hAnsi="Times New Roman"/>
                <w:b/>
                <w:bCs/>
                <w:sz w:val="18"/>
                <w:szCs w:val="18"/>
              </w:rPr>
              <w:t>4</w:t>
            </w:r>
          </w:p>
        </w:tc>
        <w:tc>
          <w:tcPr>
            <w:tcW w:w="593" w:type="pct"/>
            <w:tcBorders>
              <w:top w:val="nil"/>
              <w:left w:val="nil"/>
              <w:bottom w:val="single" w:sz="8" w:space="0" w:color="auto"/>
              <w:right w:val="nil"/>
            </w:tcBorders>
            <w:shd w:val="clear" w:color="000000" w:fill="BFBFBF"/>
            <w:textDirection w:val="lrTb"/>
            <w:vAlign w:val="center"/>
            <w:hideMark/>
          </w:tcPr>
          <w:p w:rsidR="00900E1A" w:rsidRPr="00105EF5" w:rsidP="001B6836">
            <w:pPr>
              <w:bidi w:val="0"/>
              <w:jc w:val="center"/>
              <w:rPr>
                <w:rFonts w:ascii="Times New Roman" w:hAnsi="Times New Roman"/>
                <w:b/>
                <w:bCs/>
                <w:sz w:val="18"/>
                <w:szCs w:val="18"/>
              </w:rPr>
            </w:pPr>
            <w:r w:rsidRPr="00105EF5">
              <w:rPr>
                <w:rFonts w:ascii="Times New Roman" w:hAnsi="Times New Roman"/>
                <w:b/>
                <w:bCs/>
                <w:sz w:val="18"/>
                <w:szCs w:val="18"/>
              </w:rPr>
              <w:t>5=4-3</w:t>
            </w:r>
          </w:p>
        </w:tc>
        <w:tc>
          <w:tcPr>
            <w:tcW w:w="431" w:type="pct"/>
            <w:tcBorders>
              <w:top w:val="nil"/>
              <w:left w:val="nil"/>
              <w:bottom w:val="single" w:sz="8" w:space="0" w:color="auto"/>
              <w:right w:val="nil"/>
            </w:tcBorders>
            <w:shd w:val="clear" w:color="000000" w:fill="BFBFBF"/>
            <w:textDirection w:val="lrTb"/>
            <w:vAlign w:val="center"/>
            <w:hideMark/>
          </w:tcPr>
          <w:p w:rsidR="00900E1A" w:rsidRPr="00105EF5" w:rsidP="001B6836">
            <w:pPr>
              <w:bidi w:val="0"/>
              <w:jc w:val="center"/>
              <w:rPr>
                <w:rFonts w:ascii="Times New Roman" w:hAnsi="Times New Roman"/>
                <w:b/>
                <w:bCs/>
                <w:sz w:val="18"/>
                <w:szCs w:val="18"/>
              </w:rPr>
            </w:pPr>
            <w:r w:rsidRPr="00105EF5">
              <w:rPr>
                <w:rFonts w:ascii="Times New Roman" w:hAnsi="Times New Roman"/>
                <w:b/>
                <w:bCs/>
                <w:sz w:val="18"/>
                <w:szCs w:val="18"/>
              </w:rPr>
              <w:t>6=4-3</w:t>
            </w:r>
          </w:p>
        </w:tc>
      </w:tr>
      <w:tr>
        <w:tblPrEx>
          <w:tblW w:w="5041" w:type="pct"/>
          <w:tblLayout w:type="fixed"/>
          <w:tblCellMar>
            <w:left w:w="70" w:type="dxa"/>
            <w:right w:w="70" w:type="dxa"/>
          </w:tblCellMar>
          <w:tblLook w:val="04A0"/>
        </w:tblPrEx>
        <w:trPr>
          <w:trHeight w:val="330"/>
        </w:trPr>
        <w:tc>
          <w:tcPr>
            <w:tcW w:w="1544" w:type="pct"/>
            <w:tcBorders>
              <w:top w:val="nil"/>
              <w:left w:val="nil"/>
              <w:bottom w:val="nil"/>
              <w:right w:val="nil"/>
            </w:tcBorders>
            <w:shd w:val="clear" w:color="000000" w:fill="FFFFFF"/>
            <w:textDirection w:val="lrTb"/>
            <w:vAlign w:val="center"/>
            <w:hideMark/>
          </w:tcPr>
          <w:p w:rsidR="00900E1A" w:rsidRPr="00105EF5" w:rsidP="001B6836">
            <w:pPr>
              <w:bidi w:val="0"/>
              <w:rPr>
                <w:rFonts w:ascii="Times New Roman" w:hAnsi="Times New Roman"/>
                <w:color w:val="000000"/>
                <w:sz w:val="18"/>
                <w:szCs w:val="18"/>
              </w:rPr>
            </w:pPr>
            <w:r w:rsidRPr="00105EF5">
              <w:rPr>
                <w:rFonts w:ascii="Times New Roman" w:hAnsi="Times New Roman"/>
                <w:color w:val="000000"/>
                <w:sz w:val="18"/>
                <w:szCs w:val="18"/>
              </w:rPr>
              <w:t>Tradičné vlastné zdroje</w:t>
            </w:r>
          </w:p>
        </w:tc>
        <w:tc>
          <w:tcPr>
            <w:tcW w:w="65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85 940</w:t>
            </w:r>
          </w:p>
        </w:tc>
        <w:tc>
          <w:tcPr>
            <w:tcW w:w="59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95 499</w:t>
            </w:r>
          </w:p>
        </w:tc>
        <w:tc>
          <w:tcPr>
            <w:tcW w:w="540"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98 200</w:t>
            </w:r>
          </w:p>
        </w:tc>
        <w:tc>
          <w:tcPr>
            <w:tcW w:w="646" w:type="pct"/>
            <w:tcBorders>
              <w:top w:val="single" w:sz="8" w:space="0" w:color="auto"/>
              <w:left w:val="nil"/>
              <w:bottom w:val="nil"/>
              <w:right w:val="nil"/>
            </w:tcBorders>
            <w:shd w:val="clear" w:color="auto" w:fill="BFBFB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88 910</w:t>
            </w:r>
          </w:p>
        </w:tc>
        <w:tc>
          <w:tcPr>
            <w:tcW w:w="593"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-9 290</w:t>
            </w:r>
          </w:p>
        </w:tc>
        <w:tc>
          <w:tcPr>
            <w:tcW w:w="431"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-9,5</w:t>
            </w:r>
          </w:p>
        </w:tc>
      </w:tr>
      <w:tr>
        <w:tblPrEx>
          <w:tblW w:w="5041" w:type="pct"/>
          <w:tblLayout w:type="fixed"/>
          <w:tblCellMar>
            <w:left w:w="70" w:type="dxa"/>
            <w:right w:w="70" w:type="dxa"/>
          </w:tblCellMar>
          <w:tblLook w:val="04A0"/>
        </w:tblPrEx>
        <w:trPr>
          <w:trHeight w:val="510"/>
        </w:trPr>
        <w:tc>
          <w:tcPr>
            <w:tcW w:w="1544" w:type="pct"/>
            <w:tcBorders>
              <w:top w:val="nil"/>
              <w:left w:val="nil"/>
              <w:bottom w:val="nil"/>
              <w:right w:val="nil"/>
            </w:tcBorders>
            <w:shd w:val="clear" w:color="000000" w:fill="FFFFFF"/>
            <w:textDirection w:val="lrTb"/>
            <w:vAlign w:val="center"/>
            <w:hideMark/>
          </w:tcPr>
          <w:p w:rsidR="00900E1A" w:rsidRPr="00105EF5" w:rsidP="001B6836">
            <w:pPr>
              <w:bidi w:val="0"/>
              <w:rPr>
                <w:rFonts w:ascii="Times New Roman" w:hAnsi="Times New Roman"/>
                <w:color w:val="000000"/>
                <w:sz w:val="18"/>
                <w:szCs w:val="18"/>
              </w:rPr>
            </w:pPr>
            <w:r w:rsidRPr="00105EF5">
              <w:rPr>
                <w:rFonts w:ascii="Times New Roman" w:hAnsi="Times New Roman"/>
                <w:color w:val="000000"/>
                <w:sz w:val="18"/>
                <w:szCs w:val="18"/>
              </w:rPr>
              <w:t>Odvody SR do rozpočtu EÚ bez tradičných vlastných zdrojov</w:t>
            </w:r>
          </w:p>
        </w:tc>
        <w:tc>
          <w:tcPr>
            <w:tcW w:w="653" w:type="pct"/>
            <w:tcBorders>
              <w:top w:val="nil"/>
              <w:left w:val="nil"/>
              <w:bottom w:val="nil"/>
              <w:right w:val="nil"/>
            </w:tcBorders>
            <w:shd w:val="clear" w:color="000000" w:fill="FFFFFF"/>
            <w:noWrap/>
            <w:textDirection w:val="lrTb"/>
            <w:vAlign w:val="center"/>
            <w:hideMark/>
          </w:tcPr>
          <w:p w:rsidR="00900E1A" w:rsidRPr="00105EF5" w:rsidP="001B6836">
            <w:pPr>
              <w:bidi w:val="0"/>
              <w:ind w:left="-384"/>
              <w:jc w:val="right"/>
              <w:rPr>
                <w:rFonts w:ascii="Times New Roman" w:hAnsi="Times New Roman"/>
                <w:color w:val="000000"/>
                <w:sz w:val="18"/>
                <w:szCs w:val="18"/>
              </w:rPr>
            </w:pPr>
            <w:r w:rsidRPr="00105EF5">
              <w:rPr>
                <w:rFonts w:ascii="Times New Roman" w:hAnsi="Times New Roman"/>
                <w:color w:val="000000"/>
                <w:sz w:val="18"/>
                <w:szCs w:val="18"/>
              </w:rPr>
              <w:t>732 963</w:t>
            </w:r>
          </w:p>
        </w:tc>
        <w:tc>
          <w:tcPr>
            <w:tcW w:w="59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683 264</w:t>
            </w:r>
          </w:p>
        </w:tc>
        <w:tc>
          <w:tcPr>
            <w:tcW w:w="540"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737 974</w:t>
            </w:r>
          </w:p>
        </w:tc>
        <w:tc>
          <w:tcPr>
            <w:tcW w:w="646" w:type="pct"/>
            <w:tcBorders>
              <w:top w:val="nil"/>
              <w:left w:val="nil"/>
              <w:bottom w:val="nil"/>
              <w:right w:val="nil"/>
            </w:tcBorders>
            <w:shd w:val="clear" w:color="auto" w:fill="BFBFB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599 458</w:t>
            </w:r>
          </w:p>
        </w:tc>
        <w:tc>
          <w:tcPr>
            <w:tcW w:w="593"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-138 516</w:t>
            </w:r>
          </w:p>
        </w:tc>
        <w:tc>
          <w:tcPr>
            <w:tcW w:w="431"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-18,8</w:t>
            </w:r>
          </w:p>
        </w:tc>
      </w:tr>
      <w:tr>
        <w:tblPrEx>
          <w:tblW w:w="5041" w:type="pct"/>
          <w:tblLayout w:type="fixed"/>
          <w:tblCellMar>
            <w:left w:w="70" w:type="dxa"/>
            <w:right w:w="70" w:type="dxa"/>
          </w:tblCellMar>
          <w:tblLook w:val="04A0"/>
        </w:tblPrEx>
        <w:trPr>
          <w:trHeight w:val="330"/>
        </w:trPr>
        <w:tc>
          <w:tcPr>
            <w:tcW w:w="1544" w:type="pct"/>
            <w:tcBorders>
              <w:top w:val="nil"/>
              <w:left w:val="nil"/>
              <w:bottom w:val="nil"/>
              <w:right w:val="nil"/>
            </w:tcBorders>
            <w:shd w:val="clear" w:color="000000" w:fill="FFFFFF"/>
            <w:textDirection w:val="lrTb"/>
            <w:vAlign w:val="center"/>
            <w:hideMark/>
          </w:tcPr>
          <w:p w:rsidR="00900E1A" w:rsidRPr="00105EF5" w:rsidP="001B6836">
            <w:pPr>
              <w:bidi w:val="0"/>
              <w:rPr>
                <w:rFonts w:ascii="Times New Roman" w:hAnsi="Times New Roman"/>
                <w:b/>
                <w:bCs/>
                <w:color w:val="000000"/>
                <w:sz w:val="18"/>
                <w:szCs w:val="18"/>
              </w:rPr>
            </w:pPr>
            <w:r w:rsidRPr="00105EF5">
              <w:rPr>
                <w:rFonts w:ascii="Times New Roman" w:hAnsi="Times New Roman"/>
                <w:b/>
                <w:bCs/>
                <w:color w:val="000000"/>
                <w:sz w:val="18"/>
                <w:szCs w:val="18"/>
              </w:rPr>
              <w:t>Odvody do rozpočtu EÚ spolu</w:t>
            </w:r>
          </w:p>
        </w:tc>
        <w:tc>
          <w:tcPr>
            <w:tcW w:w="65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818 903</w:t>
            </w:r>
          </w:p>
        </w:tc>
        <w:tc>
          <w:tcPr>
            <w:tcW w:w="59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778 763</w:t>
            </w:r>
          </w:p>
        </w:tc>
        <w:tc>
          <w:tcPr>
            <w:tcW w:w="540"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836 174</w:t>
            </w:r>
          </w:p>
        </w:tc>
        <w:tc>
          <w:tcPr>
            <w:tcW w:w="646" w:type="pct"/>
            <w:tcBorders>
              <w:top w:val="nil"/>
              <w:left w:val="nil"/>
              <w:bottom w:val="nil"/>
              <w:right w:val="nil"/>
            </w:tcBorders>
            <w:shd w:val="clear" w:color="auto" w:fill="BFBFB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688 368</w:t>
            </w:r>
          </w:p>
        </w:tc>
        <w:tc>
          <w:tcPr>
            <w:tcW w:w="593"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-147 806</w:t>
            </w:r>
          </w:p>
        </w:tc>
        <w:tc>
          <w:tcPr>
            <w:tcW w:w="431"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-17,7</w:t>
            </w:r>
          </w:p>
        </w:tc>
      </w:tr>
      <w:tr>
        <w:tblPrEx>
          <w:tblW w:w="5041" w:type="pct"/>
          <w:tblLayout w:type="fixed"/>
          <w:tblCellMar>
            <w:left w:w="70" w:type="dxa"/>
            <w:right w:w="70" w:type="dxa"/>
          </w:tblCellMar>
          <w:tblLook w:val="04A0"/>
        </w:tblPrEx>
        <w:trPr>
          <w:trHeight w:val="510"/>
        </w:trPr>
        <w:tc>
          <w:tcPr>
            <w:tcW w:w="1544" w:type="pct"/>
            <w:tcBorders>
              <w:top w:val="nil"/>
              <w:left w:val="nil"/>
              <w:bottom w:val="nil"/>
              <w:right w:val="nil"/>
            </w:tcBorders>
            <w:shd w:val="clear" w:color="000000" w:fill="FFFFFF"/>
            <w:textDirection w:val="lrTb"/>
            <w:vAlign w:val="center"/>
            <w:hideMark/>
          </w:tcPr>
          <w:p w:rsidR="00900E1A" w:rsidRPr="00105EF5" w:rsidP="001B6836">
            <w:pPr>
              <w:bidi w:val="0"/>
              <w:rPr>
                <w:rFonts w:ascii="Times New Roman" w:hAnsi="Times New Roman"/>
                <w:color w:val="000000"/>
                <w:sz w:val="18"/>
                <w:szCs w:val="18"/>
              </w:rPr>
            </w:pPr>
            <w:r w:rsidRPr="00105EF5">
              <w:rPr>
                <w:rFonts w:ascii="Times New Roman" w:hAnsi="Times New Roman"/>
                <w:color w:val="000000"/>
                <w:sz w:val="18"/>
                <w:szCs w:val="18"/>
              </w:rPr>
              <w:t>Príspevky SR do Európskeho rozvojového fondu</w:t>
            </w:r>
          </w:p>
        </w:tc>
        <w:tc>
          <w:tcPr>
            <w:tcW w:w="65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6 195</w:t>
            </w:r>
          </w:p>
        </w:tc>
        <w:tc>
          <w:tcPr>
            <w:tcW w:w="59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6 603</w:t>
            </w:r>
          </w:p>
        </w:tc>
        <w:tc>
          <w:tcPr>
            <w:tcW w:w="540"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7 560</w:t>
            </w:r>
          </w:p>
        </w:tc>
        <w:tc>
          <w:tcPr>
            <w:tcW w:w="646" w:type="pct"/>
            <w:tcBorders>
              <w:top w:val="nil"/>
              <w:left w:val="nil"/>
              <w:bottom w:val="nil"/>
              <w:right w:val="nil"/>
            </w:tcBorders>
            <w:shd w:val="clear" w:color="auto" w:fill="BFBFB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7 140</w:t>
            </w:r>
          </w:p>
        </w:tc>
        <w:tc>
          <w:tcPr>
            <w:tcW w:w="593"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-420</w:t>
            </w:r>
          </w:p>
        </w:tc>
        <w:tc>
          <w:tcPr>
            <w:tcW w:w="431"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-5,6</w:t>
            </w:r>
          </w:p>
        </w:tc>
      </w:tr>
      <w:tr>
        <w:tblPrEx>
          <w:tblW w:w="5041" w:type="pct"/>
          <w:tblLayout w:type="fixed"/>
          <w:tblCellMar>
            <w:left w:w="70" w:type="dxa"/>
            <w:right w:w="70" w:type="dxa"/>
          </w:tblCellMar>
          <w:tblLook w:val="04A0"/>
        </w:tblPrEx>
        <w:trPr>
          <w:trHeight w:val="330"/>
        </w:trPr>
        <w:tc>
          <w:tcPr>
            <w:tcW w:w="1544" w:type="pct"/>
            <w:tcBorders>
              <w:top w:val="nil"/>
              <w:left w:val="nil"/>
              <w:bottom w:val="nil"/>
              <w:right w:val="nil"/>
            </w:tcBorders>
            <w:shd w:val="clear" w:color="000000" w:fill="FFFFFF"/>
            <w:textDirection w:val="lrTb"/>
            <w:vAlign w:val="center"/>
            <w:hideMark/>
          </w:tcPr>
          <w:p w:rsidR="00900E1A" w:rsidRPr="00105EF5" w:rsidP="001B6836">
            <w:pPr>
              <w:bidi w:val="0"/>
              <w:rPr>
                <w:rFonts w:ascii="Times New Roman" w:hAnsi="Times New Roman"/>
                <w:b/>
                <w:bCs/>
                <w:color w:val="000000"/>
                <w:sz w:val="18"/>
                <w:szCs w:val="18"/>
              </w:rPr>
            </w:pPr>
            <w:r w:rsidRPr="00105EF5">
              <w:rPr>
                <w:rFonts w:ascii="Times New Roman" w:hAnsi="Times New Roman"/>
                <w:b/>
                <w:bCs/>
                <w:color w:val="000000"/>
                <w:sz w:val="18"/>
                <w:szCs w:val="18"/>
              </w:rPr>
              <w:t>Odvody a príspevky SR spolu</w:t>
            </w:r>
          </w:p>
        </w:tc>
        <w:tc>
          <w:tcPr>
            <w:tcW w:w="65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825 098</w:t>
            </w:r>
          </w:p>
        </w:tc>
        <w:tc>
          <w:tcPr>
            <w:tcW w:w="59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785 366</w:t>
            </w:r>
          </w:p>
        </w:tc>
        <w:tc>
          <w:tcPr>
            <w:tcW w:w="540"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843 734</w:t>
            </w:r>
          </w:p>
        </w:tc>
        <w:tc>
          <w:tcPr>
            <w:tcW w:w="646" w:type="pct"/>
            <w:tcBorders>
              <w:top w:val="nil"/>
              <w:left w:val="nil"/>
              <w:bottom w:val="nil"/>
              <w:right w:val="nil"/>
            </w:tcBorders>
            <w:shd w:val="clear" w:color="auto" w:fill="BFBFB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695 508</w:t>
            </w:r>
          </w:p>
        </w:tc>
        <w:tc>
          <w:tcPr>
            <w:tcW w:w="593"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-148 226</w:t>
            </w:r>
          </w:p>
        </w:tc>
        <w:tc>
          <w:tcPr>
            <w:tcW w:w="431"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-17,6</w:t>
            </w:r>
          </w:p>
        </w:tc>
      </w:tr>
      <w:tr>
        <w:tblPrEx>
          <w:tblW w:w="5041" w:type="pct"/>
          <w:tblLayout w:type="fixed"/>
          <w:tblCellMar>
            <w:left w:w="70" w:type="dxa"/>
            <w:right w:w="70" w:type="dxa"/>
          </w:tblCellMar>
          <w:tblLook w:val="04A0"/>
        </w:tblPrEx>
        <w:trPr>
          <w:trHeight w:val="330"/>
        </w:trPr>
        <w:tc>
          <w:tcPr>
            <w:tcW w:w="1544" w:type="pct"/>
            <w:tcBorders>
              <w:top w:val="nil"/>
              <w:left w:val="nil"/>
              <w:bottom w:val="nil"/>
              <w:right w:val="nil"/>
            </w:tcBorders>
            <w:shd w:val="clear" w:color="000000" w:fill="FFFFFF"/>
            <w:textDirection w:val="lrTb"/>
            <w:vAlign w:val="center"/>
            <w:hideMark/>
          </w:tcPr>
          <w:p w:rsidR="00900E1A" w:rsidRPr="00105EF5" w:rsidP="001B6836">
            <w:pPr>
              <w:bidi w:val="0"/>
              <w:rPr>
                <w:rFonts w:ascii="Times New Roman" w:hAnsi="Times New Roman"/>
                <w:color w:val="000000"/>
                <w:sz w:val="18"/>
                <w:szCs w:val="18"/>
              </w:rPr>
            </w:pPr>
            <w:r w:rsidRPr="00105EF5">
              <w:rPr>
                <w:rFonts w:ascii="Times New Roman" w:hAnsi="Times New Roman"/>
                <w:color w:val="000000"/>
                <w:sz w:val="18"/>
                <w:szCs w:val="18"/>
              </w:rPr>
              <w:t>Zahraničné transfery</w:t>
            </w:r>
          </w:p>
        </w:tc>
        <w:tc>
          <w:tcPr>
            <w:tcW w:w="653" w:type="pct"/>
            <w:tcBorders>
              <w:top w:val="nil"/>
              <w:left w:val="nil"/>
              <w:bottom w:val="nil"/>
              <w:right w:val="nil"/>
            </w:tcBorders>
            <w:shd w:val="clear" w:color="000000" w:fill="FFFFFF"/>
            <w:noWrap/>
            <w:textDirection w:val="lrTb"/>
            <w:vAlign w:val="center"/>
            <w:hideMark/>
          </w:tcPr>
          <w:p w:rsidR="00900E1A" w:rsidRPr="00105EF5" w:rsidP="001B6836">
            <w:pPr>
              <w:bidi w:val="0"/>
              <w:ind w:left="-384"/>
              <w:jc w:val="right"/>
              <w:rPr>
                <w:rFonts w:ascii="Times New Roman" w:hAnsi="Times New Roman"/>
                <w:color w:val="000000"/>
                <w:sz w:val="18"/>
                <w:szCs w:val="18"/>
              </w:rPr>
            </w:pPr>
            <w:r w:rsidRPr="00105EF5">
              <w:rPr>
                <w:rFonts w:ascii="Times New Roman" w:hAnsi="Times New Roman"/>
                <w:color w:val="000000"/>
                <w:sz w:val="18"/>
                <w:szCs w:val="18"/>
              </w:rPr>
              <w:t>2 174 997</w:t>
            </w:r>
          </w:p>
        </w:tc>
        <w:tc>
          <w:tcPr>
            <w:tcW w:w="59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1 257 505</w:t>
            </w:r>
          </w:p>
        </w:tc>
        <w:tc>
          <w:tcPr>
            <w:tcW w:w="540"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3 272 393</w:t>
            </w:r>
          </w:p>
        </w:tc>
        <w:tc>
          <w:tcPr>
            <w:tcW w:w="646" w:type="pct"/>
            <w:tcBorders>
              <w:top w:val="nil"/>
              <w:left w:val="nil"/>
              <w:bottom w:val="nil"/>
              <w:right w:val="nil"/>
            </w:tcBorders>
            <w:shd w:val="clear" w:color="auto" w:fill="BFBFB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4 280 041</w:t>
            </w:r>
          </w:p>
        </w:tc>
        <w:tc>
          <w:tcPr>
            <w:tcW w:w="593"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1 007 648</w:t>
            </w:r>
          </w:p>
        </w:tc>
        <w:tc>
          <w:tcPr>
            <w:tcW w:w="431"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30,8</w:t>
            </w:r>
          </w:p>
        </w:tc>
      </w:tr>
      <w:tr>
        <w:tblPrEx>
          <w:tblW w:w="5041" w:type="pct"/>
          <w:tblLayout w:type="fixed"/>
          <w:tblCellMar>
            <w:left w:w="70" w:type="dxa"/>
            <w:right w:w="70" w:type="dxa"/>
          </w:tblCellMar>
          <w:tblLook w:val="04A0"/>
        </w:tblPrEx>
        <w:trPr>
          <w:trHeight w:val="330"/>
        </w:trPr>
        <w:tc>
          <w:tcPr>
            <w:tcW w:w="1544" w:type="pct"/>
            <w:tcBorders>
              <w:top w:val="nil"/>
              <w:left w:val="nil"/>
              <w:bottom w:val="nil"/>
              <w:right w:val="nil"/>
            </w:tcBorders>
            <w:shd w:val="clear" w:color="000000" w:fill="FFFFFF"/>
            <w:textDirection w:val="lrTb"/>
            <w:vAlign w:val="center"/>
            <w:hideMark/>
          </w:tcPr>
          <w:p w:rsidR="00900E1A" w:rsidRPr="00105EF5" w:rsidP="001B6836">
            <w:pPr>
              <w:bidi w:val="0"/>
              <w:rPr>
                <w:rFonts w:ascii="Times New Roman" w:hAnsi="Times New Roman"/>
                <w:color w:val="000000"/>
                <w:sz w:val="18"/>
                <w:szCs w:val="18"/>
              </w:rPr>
            </w:pPr>
            <w:r w:rsidRPr="00105EF5">
              <w:rPr>
                <w:rFonts w:ascii="Times New Roman" w:hAnsi="Times New Roman"/>
                <w:color w:val="000000"/>
                <w:sz w:val="18"/>
                <w:szCs w:val="18"/>
              </w:rPr>
              <w:t>Zahraničné granty z rozpočtu EÚ</w:t>
            </w:r>
          </w:p>
        </w:tc>
        <w:tc>
          <w:tcPr>
            <w:tcW w:w="65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10 361</w:t>
            </w:r>
          </w:p>
        </w:tc>
        <w:tc>
          <w:tcPr>
            <w:tcW w:w="59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7 586</w:t>
            </w:r>
          </w:p>
        </w:tc>
        <w:tc>
          <w:tcPr>
            <w:tcW w:w="540"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0</w:t>
            </w:r>
          </w:p>
        </w:tc>
        <w:tc>
          <w:tcPr>
            <w:tcW w:w="646" w:type="pct"/>
            <w:tcBorders>
              <w:top w:val="nil"/>
              <w:left w:val="nil"/>
              <w:bottom w:val="nil"/>
              <w:right w:val="nil"/>
            </w:tcBorders>
            <w:shd w:val="clear" w:color="auto" w:fill="BFBFBF"/>
            <w:noWrap/>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8 832</w:t>
            </w:r>
          </w:p>
        </w:tc>
        <w:tc>
          <w:tcPr>
            <w:tcW w:w="593"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8 832</w:t>
            </w:r>
          </w:p>
        </w:tc>
        <w:tc>
          <w:tcPr>
            <w:tcW w:w="431"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color w:val="000000"/>
                <w:sz w:val="18"/>
                <w:szCs w:val="18"/>
              </w:rPr>
            </w:pPr>
            <w:r w:rsidRPr="00105EF5">
              <w:rPr>
                <w:rFonts w:ascii="Times New Roman" w:hAnsi="Times New Roman"/>
                <w:color w:val="000000"/>
                <w:sz w:val="18"/>
                <w:szCs w:val="18"/>
              </w:rPr>
              <w:t>-</w:t>
            </w:r>
          </w:p>
        </w:tc>
      </w:tr>
      <w:tr>
        <w:tblPrEx>
          <w:tblW w:w="5041" w:type="pct"/>
          <w:tblLayout w:type="fixed"/>
          <w:tblCellMar>
            <w:left w:w="70" w:type="dxa"/>
            <w:right w:w="70" w:type="dxa"/>
          </w:tblCellMar>
          <w:tblLook w:val="04A0"/>
        </w:tblPrEx>
        <w:trPr>
          <w:trHeight w:val="330"/>
        </w:trPr>
        <w:tc>
          <w:tcPr>
            <w:tcW w:w="1544" w:type="pct"/>
            <w:tcBorders>
              <w:top w:val="nil"/>
              <w:left w:val="nil"/>
              <w:bottom w:val="nil"/>
              <w:right w:val="nil"/>
            </w:tcBorders>
            <w:shd w:val="clear" w:color="000000" w:fill="FFFFFF"/>
            <w:textDirection w:val="lrTb"/>
            <w:vAlign w:val="center"/>
            <w:hideMark/>
          </w:tcPr>
          <w:p w:rsidR="00900E1A" w:rsidRPr="00105EF5" w:rsidP="001B6836">
            <w:pPr>
              <w:bidi w:val="0"/>
              <w:rPr>
                <w:rFonts w:ascii="Times New Roman" w:hAnsi="Times New Roman"/>
                <w:b/>
                <w:bCs/>
                <w:color w:val="000000"/>
                <w:sz w:val="18"/>
                <w:szCs w:val="18"/>
              </w:rPr>
            </w:pPr>
            <w:r w:rsidRPr="00105EF5">
              <w:rPr>
                <w:rFonts w:ascii="Times New Roman" w:hAnsi="Times New Roman"/>
                <w:b/>
                <w:bCs/>
                <w:color w:val="000000"/>
                <w:sz w:val="18"/>
                <w:szCs w:val="18"/>
              </w:rPr>
              <w:t>Spolu príjmy z rozpočtu EÚ</w:t>
            </w:r>
          </w:p>
        </w:tc>
        <w:tc>
          <w:tcPr>
            <w:tcW w:w="65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2 185 358</w:t>
            </w:r>
          </w:p>
        </w:tc>
        <w:tc>
          <w:tcPr>
            <w:tcW w:w="593"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1 265 091</w:t>
            </w:r>
          </w:p>
        </w:tc>
        <w:tc>
          <w:tcPr>
            <w:tcW w:w="540" w:type="pct"/>
            <w:tcBorders>
              <w:top w:val="nil"/>
              <w:left w:val="nil"/>
              <w:bottom w:val="nil"/>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3 272 393</w:t>
            </w:r>
          </w:p>
        </w:tc>
        <w:tc>
          <w:tcPr>
            <w:tcW w:w="646" w:type="pct"/>
            <w:tcBorders>
              <w:top w:val="nil"/>
              <w:left w:val="nil"/>
              <w:bottom w:val="nil"/>
              <w:right w:val="nil"/>
            </w:tcBorders>
            <w:shd w:val="clear" w:color="auto" w:fill="BFBFB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4 288 873</w:t>
            </w:r>
          </w:p>
        </w:tc>
        <w:tc>
          <w:tcPr>
            <w:tcW w:w="593"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1 016 480</w:t>
            </w:r>
          </w:p>
        </w:tc>
        <w:tc>
          <w:tcPr>
            <w:tcW w:w="431" w:type="pct"/>
            <w:tcBorders>
              <w:top w:val="nil"/>
              <w:left w:val="nil"/>
              <w:bottom w:val="nil"/>
              <w:right w:val="nil"/>
            </w:tcBorders>
            <w:shd w:val="clear" w:color="000000" w:fill="FFFFFF"/>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31,1</w:t>
            </w:r>
          </w:p>
        </w:tc>
      </w:tr>
      <w:tr>
        <w:tblPrEx>
          <w:tblW w:w="5041" w:type="pct"/>
          <w:tblLayout w:type="fixed"/>
          <w:tblCellMar>
            <w:left w:w="70" w:type="dxa"/>
            <w:right w:w="70" w:type="dxa"/>
          </w:tblCellMar>
          <w:tblLook w:val="04A0"/>
        </w:tblPrEx>
        <w:trPr>
          <w:trHeight w:val="345"/>
        </w:trPr>
        <w:tc>
          <w:tcPr>
            <w:tcW w:w="1544" w:type="pct"/>
            <w:tcBorders>
              <w:top w:val="single" w:sz="4" w:space="0" w:color="auto"/>
              <w:left w:val="nil"/>
              <w:bottom w:val="single" w:sz="8" w:space="0" w:color="auto"/>
              <w:right w:val="nil"/>
            </w:tcBorders>
            <w:shd w:val="clear" w:color="000000" w:fill="FFFFFF"/>
            <w:textDirection w:val="lrTb"/>
            <w:vAlign w:val="center"/>
            <w:hideMark/>
          </w:tcPr>
          <w:p w:rsidR="00900E1A" w:rsidRPr="00105EF5" w:rsidP="001B6836">
            <w:pPr>
              <w:bidi w:val="0"/>
              <w:rPr>
                <w:rFonts w:ascii="Times New Roman" w:hAnsi="Times New Roman"/>
                <w:b/>
                <w:bCs/>
                <w:color w:val="000000"/>
                <w:sz w:val="18"/>
                <w:szCs w:val="18"/>
              </w:rPr>
            </w:pPr>
            <w:r w:rsidRPr="00105EF5">
              <w:rPr>
                <w:rFonts w:ascii="Times New Roman" w:hAnsi="Times New Roman"/>
                <w:b/>
                <w:bCs/>
                <w:color w:val="000000"/>
                <w:sz w:val="18"/>
                <w:szCs w:val="18"/>
              </w:rPr>
              <w:t>Čistá finančná pozícia</w:t>
            </w:r>
          </w:p>
        </w:tc>
        <w:tc>
          <w:tcPr>
            <w:tcW w:w="653" w:type="pct"/>
            <w:tcBorders>
              <w:top w:val="single" w:sz="4" w:space="0" w:color="auto"/>
              <w:left w:val="nil"/>
              <w:bottom w:val="single" w:sz="8" w:space="0" w:color="auto"/>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1 360 260</w:t>
            </w:r>
          </w:p>
        </w:tc>
        <w:tc>
          <w:tcPr>
            <w:tcW w:w="593" w:type="pct"/>
            <w:tcBorders>
              <w:top w:val="single" w:sz="4" w:space="0" w:color="auto"/>
              <w:left w:val="nil"/>
              <w:bottom w:val="single" w:sz="8" w:space="0" w:color="auto"/>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479 725</w:t>
            </w:r>
          </w:p>
        </w:tc>
        <w:tc>
          <w:tcPr>
            <w:tcW w:w="540" w:type="pct"/>
            <w:tcBorders>
              <w:top w:val="single" w:sz="4" w:space="0" w:color="auto"/>
              <w:left w:val="nil"/>
              <w:bottom w:val="single" w:sz="8" w:space="0" w:color="auto"/>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2 428 659</w:t>
            </w:r>
          </w:p>
        </w:tc>
        <w:tc>
          <w:tcPr>
            <w:tcW w:w="646" w:type="pct"/>
            <w:tcBorders>
              <w:top w:val="single" w:sz="4" w:space="0" w:color="auto"/>
              <w:left w:val="nil"/>
              <w:bottom w:val="single" w:sz="8" w:space="0" w:color="auto"/>
              <w:right w:val="nil"/>
            </w:tcBorders>
            <w:shd w:val="clear" w:color="auto" w:fill="BFBFB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3 593 365</w:t>
            </w:r>
          </w:p>
        </w:tc>
        <w:tc>
          <w:tcPr>
            <w:tcW w:w="593" w:type="pct"/>
            <w:tcBorders>
              <w:top w:val="single" w:sz="4" w:space="0" w:color="auto"/>
              <w:left w:val="nil"/>
              <w:bottom w:val="single" w:sz="8" w:space="0" w:color="auto"/>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1 164 706</w:t>
            </w:r>
          </w:p>
        </w:tc>
        <w:tc>
          <w:tcPr>
            <w:tcW w:w="431" w:type="pct"/>
            <w:tcBorders>
              <w:top w:val="single" w:sz="4" w:space="0" w:color="auto"/>
              <w:left w:val="nil"/>
              <w:bottom w:val="single" w:sz="8" w:space="0" w:color="auto"/>
              <w:right w:val="nil"/>
            </w:tcBorders>
            <w:shd w:val="clear" w:color="000000" w:fill="FFFFFF"/>
            <w:noWrap/>
            <w:textDirection w:val="lrTb"/>
            <w:vAlign w:val="center"/>
            <w:hideMark/>
          </w:tcPr>
          <w:p w:rsidR="00900E1A" w:rsidRPr="00105EF5" w:rsidP="001B6836">
            <w:pPr>
              <w:bidi w:val="0"/>
              <w:jc w:val="right"/>
              <w:rPr>
                <w:rFonts w:ascii="Times New Roman" w:hAnsi="Times New Roman"/>
                <w:b/>
                <w:bCs/>
                <w:color w:val="000000"/>
                <w:sz w:val="18"/>
                <w:szCs w:val="18"/>
              </w:rPr>
            </w:pPr>
            <w:r w:rsidRPr="00105EF5">
              <w:rPr>
                <w:rFonts w:ascii="Times New Roman" w:hAnsi="Times New Roman"/>
                <w:b/>
                <w:bCs/>
                <w:color w:val="000000"/>
                <w:sz w:val="18"/>
                <w:szCs w:val="18"/>
              </w:rPr>
              <w:t>48,0</w:t>
            </w:r>
          </w:p>
        </w:tc>
      </w:tr>
    </w:tbl>
    <w:p w:rsidR="00900E1A" w:rsidP="004265B5">
      <w:pPr>
        <w:bidi w:val="0"/>
        <w:spacing w:after="120" w:line="336" w:lineRule="auto"/>
        <w:jc w:val="right"/>
        <w:rPr>
          <w:rFonts w:ascii="Times New Roman" w:hAnsi="Times New Roman"/>
          <w:sz w:val="18"/>
          <w:szCs w:val="18"/>
        </w:rPr>
      </w:pPr>
      <w:r w:rsidRPr="003208E6">
        <w:rPr>
          <w:rFonts w:ascii="Times New Roman" w:hAnsi="Times New Roman"/>
          <w:sz w:val="18"/>
          <w:szCs w:val="18"/>
        </w:rPr>
        <w:t xml:space="preserve">Zdroj: </w:t>
      </w:r>
      <w:r>
        <w:rPr>
          <w:rFonts w:ascii="Times New Roman" w:hAnsi="Times New Roman"/>
          <w:sz w:val="18"/>
          <w:szCs w:val="18"/>
        </w:rPr>
        <w:t>MF</w:t>
      </w:r>
      <w:r w:rsidRPr="003208E6">
        <w:rPr>
          <w:rFonts w:ascii="Times New Roman" w:hAnsi="Times New Roman"/>
          <w:sz w:val="18"/>
          <w:szCs w:val="18"/>
        </w:rPr>
        <w:t xml:space="preserve"> SR</w:t>
      </w:r>
    </w:p>
    <w:p w:rsidR="00900E1A" w:rsidRPr="003208E6" w:rsidP="00900E1A">
      <w:pPr>
        <w:bidi w:val="0"/>
        <w:spacing w:after="120" w:line="336" w:lineRule="auto"/>
        <w:jc w:val="both"/>
        <w:rPr>
          <w:rFonts w:ascii="Times New Roman" w:hAnsi="Times New Roman"/>
          <w:sz w:val="22"/>
          <w:szCs w:val="22"/>
        </w:rPr>
      </w:pPr>
      <w:r w:rsidRPr="006936E4">
        <w:rPr>
          <w:rFonts w:ascii="Times New Roman" w:hAnsi="Times New Roman"/>
          <w:sz w:val="22"/>
          <w:szCs w:val="22"/>
        </w:rPr>
        <w:t>Na základe realizovaných príjmov z rozpočtu EÚ v roku 201</w:t>
      </w:r>
      <w:r>
        <w:rPr>
          <w:rFonts w:ascii="Times New Roman" w:hAnsi="Times New Roman"/>
          <w:sz w:val="22"/>
          <w:szCs w:val="22"/>
        </w:rPr>
        <w:t>5</w:t>
      </w:r>
      <w:r w:rsidRPr="006936E4">
        <w:rPr>
          <w:rFonts w:ascii="Times New Roman" w:hAnsi="Times New Roman"/>
          <w:sz w:val="22"/>
          <w:szCs w:val="22"/>
        </w:rPr>
        <w:t xml:space="preserve"> vo výške </w:t>
      </w:r>
      <w:r>
        <w:rPr>
          <w:rFonts w:ascii="Times New Roman" w:hAnsi="Times New Roman"/>
          <w:sz w:val="22"/>
          <w:szCs w:val="22"/>
        </w:rPr>
        <w:t>4 288 873</w:t>
      </w:r>
      <w:r w:rsidRPr="006936E4">
        <w:rPr>
          <w:rFonts w:ascii="Times New Roman" w:hAnsi="Times New Roman"/>
          <w:sz w:val="22"/>
          <w:szCs w:val="22"/>
        </w:rPr>
        <w:t xml:space="preserve"> tis. eur a odvodov a príspevkov do všeobecného rozpočtu EÚ vo výške </w:t>
      </w:r>
      <w:r>
        <w:rPr>
          <w:rFonts w:ascii="Times New Roman" w:hAnsi="Times New Roman"/>
          <w:sz w:val="22"/>
          <w:szCs w:val="22"/>
        </w:rPr>
        <w:t>695 508</w:t>
      </w:r>
      <w:r w:rsidRPr="006936E4">
        <w:rPr>
          <w:rFonts w:ascii="Times New Roman" w:hAnsi="Times New Roman"/>
          <w:sz w:val="22"/>
          <w:szCs w:val="22"/>
        </w:rPr>
        <w:t xml:space="preserve"> tis. eur predstavuje </w:t>
      </w:r>
      <w:r w:rsidRPr="006936E4">
        <w:rPr>
          <w:rFonts w:ascii="Times New Roman" w:hAnsi="Times New Roman"/>
          <w:b/>
          <w:sz w:val="22"/>
          <w:szCs w:val="22"/>
        </w:rPr>
        <w:t>čistá finančná pozícia Slovenskej republiky voči rozpočtu EÚ za rok 201</w:t>
      </w:r>
      <w:r>
        <w:rPr>
          <w:rFonts w:ascii="Times New Roman" w:hAnsi="Times New Roman"/>
          <w:b/>
          <w:sz w:val="22"/>
          <w:szCs w:val="22"/>
        </w:rPr>
        <w:t>5</w:t>
      </w:r>
      <w:r w:rsidRPr="006936E4">
        <w:rPr>
          <w:rFonts w:ascii="Times New Roman" w:hAnsi="Times New Roman"/>
          <w:b/>
          <w:sz w:val="22"/>
          <w:szCs w:val="22"/>
        </w:rPr>
        <w:t xml:space="preserve"> sumu </w:t>
      </w:r>
      <w:r>
        <w:rPr>
          <w:rFonts w:ascii="Times New Roman" w:hAnsi="Times New Roman"/>
          <w:b/>
          <w:sz w:val="22"/>
          <w:szCs w:val="22"/>
        </w:rPr>
        <w:t>3 593 365</w:t>
      </w:r>
      <w:r w:rsidRPr="006936E4">
        <w:rPr>
          <w:rFonts w:ascii="Times New Roman" w:hAnsi="Times New Roman"/>
          <w:b/>
          <w:sz w:val="22"/>
          <w:szCs w:val="22"/>
        </w:rPr>
        <w:t xml:space="preserve"> tis. eur</w:t>
      </w:r>
      <w:r w:rsidRPr="006936E4">
        <w:rPr>
          <w:rFonts w:ascii="Times New Roman" w:hAnsi="Times New Roman"/>
          <w:sz w:val="22"/>
          <w:szCs w:val="22"/>
        </w:rPr>
        <w:t xml:space="preserve">, čo predstavuje medziročný </w:t>
      </w:r>
      <w:r>
        <w:rPr>
          <w:rFonts w:ascii="Times New Roman" w:hAnsi="Times New Roman"/>
          <w:sz w:val="22"/>
          <w:szCs w:val="22"/>
        </w:rPr>
        <w:t>nárast</w:t>
      </w:r>
      <w:r w:rsidRPr="006936E4">
        <w:rPr>
          <w:rFonts w:ascii="Times New Roman" w:hAnsi="Times New Roman"/>
          <w:sz w:val="22"/>
          <w:szCs w:val="22"/>
        </w:rPr>
        <w:t xml:space="preserve"> o</w:t>
      </w:r>
      <w:r>
        <w:rPr>
          <w:rFonts w:ascii="Times New Roman" w:hAnsi="Times New Roman"/>
          <w:sz w:val="22"/>
          <w:szCs w:val="22"/>
        </w:rPr>
        <w:t> 3 113 640</w:t>
      </w:r>
      <w:r w:rsidRPr="006936E4">
        <w:rPr>
          <w:rFonts w:ascii="Times New Roman" w:hAnsi="Times New Roman"/>
          <w:sz w:val="22"/>
          <w:szCs w:val="22"/>
        </w:rPr>
        <w:t> tis. eur.</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Prehľad o ročných príjmoch z rozpočtu EÚ a odvodoch a príspevkoch Slovenskej republiky do</w:t>
      </w:r>
      <w:r>
        <w:rPr>
          <w:rFonts w:ascii="Times New Roman" w:hAnsi="Times New Roman"/>
          <w:sz w:val="22"/>
          <w:szCs w:val="22"/>
        </w:rPr>
        <w:t> </w:t>
      </w:r>
      <w:r w:rsidRPr="003208E6">
        <w:rPr>
          <w:rFonts w:ascii="Times New Roman" w:hAnsi="Times New Roman"/>
          <w:sz w:val="22"/>
          <w:szCs w:val="22"/>
        </w:rPr>
        <w:t>všeobecného rozpočtu EÚ je uvedený v nasledovnej tabuľke:</w:t>
      </w:r>
    </w:p>
    <w:tbl>
      <w:tblPr>
        <w:tblStyle w:val="TableNormal"/>
        <w:tblW w:w="0" w:type="auto"/>
        <w:tblInd w:w="55" w:type="dxa"/>
        <w:tblLayout w:type="fixed"/>
        <w:tblCellMar>
          <w:left w:w="70" w:type="dxa"/>
          <w:right w:w="70" w:type="dxa"/>
        </w:tblCellMar>
        <w:tblLook w:val="04A0"/>
      </w:tblPr>
      <w:tblGrid>
        <w:gridCol w:w="2393"/>
        <w:gridCol w:w="2027"/>
        <w:gridCol w:w="1974"/>
        <w:gridCol w:w="2410"/>
      </w:tblGrid>
      <w:tr>
        <w:tblPrEx>
          <w:tblW w:w="0" w:type="auto"/>
          <w:tblInd w:w="55" w:type="dxa"/>
          <w:tblLayout w:type="fixed"/>
          <w:tblCellMar>
            <w:left w:w="70" w:type="dxa"/>
            <w:right w:w="70" w:type="dxa"/>
          </w:tblCellMar>
          <w:tblLook w:val="04A0"/>
        </w:tblPrEx>
        <w:trPr>
          <w:trHeight w:val="632"/>
        </w:trPr>
        <w:tc>
          <w:tcPr>
            <w:tcW w:w="8804" w:type="dxa"/>
            <w:gridSpan w:val="4"/>
            <w:tcBorders>
              <w:top w:val="none" w:sz="0" w:space="0" w:color="auto"/>
              <w:left w:val="none" w:sz="0" w:space="0" w:color="auto"/>
              <w:bottom w:val="none" w:sz="0" w:space="0" w:color="auto"/>
              <w:right w:val="none" w:sz="0" w:space="0" w:color="auto"/>
            </w:tcBorders>
            <w:shd w:val="solid" w:color="auto" w:fill="auto"/>
            <w:noWrap/>
            <w:textDirection w:val="lrTb"/>
            <w:vAlign w:val="center"/>
          </w:tcPr>
          <w:p w:rsidR="001F5C32" w:rsidRPr="00851C59" w:rsidP="001B6836">
            <w:pPr>
              <w:bidi w:val="0"/>
              <w:rPr>
                <w:rFonts w:ascii="Times New Roman" w:hAnsi="Times New Roman"/>
                <w:b/>
                <w:bCs/>
                <w:color w:val="FFFFFF"/>
                <w:sz w:val="18"/>
                <w:szCs w:val="18"/>
              </w:rPr>
            </w:pPr>
            <w:r w:rsidRPr="00851C59">
              <w:rPr>
                <w:rFonts w:ascii="Times New Roman" w:hAnsi="Times New Roman"/>
                <w:b/>
                <w:sz w:val="18"/>
                <w:szCs w:val="18"/>
              </w:rPr>
              <w:t>Prehľad o ročných príjmoch z rozpočtu EÚ a odvodoch a príspevkoch Slovenskej republiky do všeobecného rozpočtu EÚ</w:t>
            </w:r>
            <w:r>
              <w:rPr>
                <w:rFonts w:ascii="Times New Roman" w:hAnsi="Times New Roman"/>
                <w:b/>
                <w:sz w:val="18"/>
                <w:szCs w:val="18"/>
              </w:rPr>
              <w:t xml:space="preserve"> </w:t>
            </w:r>
          </w:p>
          <w:p w:rsidR="001F5C32" w:rsidRPr="00851C59" w:rsidP="001F5C32">
            <w:pPr>
              <w:bidi w:val="0"/>
              <w:rPr>
                <w:rFonts w:ascii="Times New Roman" w:hAnsi="Times New Roman"/>
                <w:b/>
                <w:bCs/>
                <w:color w:val="FFFFFF"/>
                <w:sz w:val="18"/>
                <w:szCs w:val="18"/>
              </w:rPr>
            </w:pPr>
            <w:r>
              <w:rPr>
                <w:rFonts w:ascii="Times New Roman" w:hAnsi="Times New Roman"/>
                <w:b/>
                <w:bCs/>
                <w:color w:val="FFFFFF"/>
                <w:sz w:val="18"/>
                <w:szCs w:val="18"/>
              </w:rPr>
              <w:t xml:space="preserve">                                                                                                                                                                                </w:t>
            </w:r>
            <w:r w:rsidRPr="00851C59">
              <w:rPr>
                <w:rFonts w:ascii="Times New Roman" w:hAnsi="Times New Roman"/>
                <w:b/>
                <w:bCs/>
                <w:color w:val="FFFFFF"/>
                <w:sz w:val="18"/>
                <w:szCs w:val="18"/>
              </w:rPr>
              <w:t>v tis. eur</w:t>
            </w:r>
          </w:p>
        </w:tc>
      </w:tr>
      <w:tr>
        <w:tblPrEx>
          <w:tblW w:w="0" w:type="auto"/>
          <w:tblInd w:w="55" w:type="dxa"/>
          <w:tblLayout w:type="fixed"/>
          <w:tblCellMar>
            <w:left w:w="70" w:type="dxa"/>
            <w:right w:w="70" w:type="dxa"/>
          </w:tblCellMar>
          <w:tblLook w:val="04A0"/>
        </w:tblPrEx>
        <w:trPr>
          <w:trHeight w:val="451"/>
        </w:trPr>
        <w:tc>
          <w:tcPr>
            <w:tcW w:w="2393" w:type="dxa"/>
            <w:tcBorders>
              <w:top w:val="none" w:sz="0" w:space="0" w:color="auto"/>
              <w:left w:val="none" w:sz="0" w:space="0" w:color="auto"/>
              <w:bottom w:val="single" w:sz="4" w:space="0" w:color="auto"/>
              <w:right w:val="none" w:sz="0" w:space="0" w:color="auto"/>
            </w:tcBorders>
            <w:shd w:val="clear" w:color="auto" w:fill="BFBFBF"/>
            <w:noWrap/>
            <w:textDirection w:val="lrTb"/>
            <w:vAlign w:val="center"/>
          </w:tcPr>
          <w:p w:rsidR="00900E1A" w:rsidRPr="00851C59" w:rsidP="001B6836">
            <w:pPr>
              <w:bidi w:val="0"/>
              <w:rPr>
                <w:rFonts w:ascii="Times New Roman" w:hAnsi="Times New Roman"/>
                <w:b/>
                <w:bCs/>
                <w:sz w:val="18"/>
                <w:szCs w:val="18"/>
              </w:rPr>
            </w:pPr>
            <w:r w:rsidRPr="00851C59">
              <w:rPr>
                <w:rFonts w:ascii="Times New Roman" w:hAnsi="Times New Roman"/>
                <w:b/>
                <w:bCs/>
                <w:sz w:val="18"/>
                <w:szCs w:val="18"/>
              </w:rPr>
              <w:t xml:space="preserve">Rok </w:t>
            </w:r>
          </w:p>
        </w:tc>
        <w:tc>
          <w:tcPr>
            <w:tcW w:w="2027" w:type="dxa"/>
            <w:tcBorders>
              <w:top w:val="none" w:sz="0" w:space="0" w:color="auto"/>
              <w:left w:val="none" w:sz="0" w:space="0" w:color="auto"/>
              <w:bottom w:val="single" w:sz="4" w:space="0" w:color="auto"/>
              <w:right w:val="none" w:sz="0" w:space="0" w:color="auto"/>
            </w:tcBorders>
            <w:shd w:val="clear" w:color="auto" w:fill="BFBFBF"/>
            <w:textDirection w:val="lrTb"/>
            <w:vAlign w:val="center"/>
          </w:tcPr>
          <w:p w:rsidR="00900E1A" w:rsidRPr="00851C59" w:rsidP="001B6836">
            <w:pPr>
              <w:bidi w:val="0"/>
              <w:jc w:val="center"/>
              <w:rPr>
                <w:rFonts w:ascii="Times New Roman" w:hAnsi="Times New Roman"/>
                <w:b/>
                <w:bCs/>
                <w:sz w:val="18"/>
                <w:szCs w:val="18"/>
              </w:rPr>
            </w:pPr>
            <w:r w:rsidRPr="00851C59">
              <w:rPr>
                <w:rFonts w:ascii="Times New Roman" w:hAnsi="Times New Roman"/>
                <w:b/>
                <w:bCs/>
                <w:sz w:val="18"/>
                <w:szCs w:val="18"/>
              </w:rPr>
              <w:t>Celkové príjmy</w:t>
            </w:r>
          </w:p>
        </w:tc>
        <w:tc>
          <w:tcPr>
            <w:tcW w:w="1974" w:type="dxa"/>
            <w:tcBorders>
              <w:top w:val="none" w:sz="0" w:space="0" w:color="auto"/>
              <w:left w:val="none" w:sz="0" w:space="0" w:color="auto"/>
              <w:bottom w:val="single" w:sz="4" w:space="0" w:color="auto"/>
              <w:right w:val="none" w:sz="0" w:space="0" w:color="auto"/>
            </w:tcBorders>
            <w:shd w:val="clear" w:color="auto" w:fill="BFBFBF"/>
            <w:textDirection w:val="lrTb"/>
            <w:vAlign w:val="center"/>
          </w:tcPr>
          <w:p w:rsidR="00900E1A" w:rsidRPr="00851C59" w:rsidP="001B6836">
            <w:pPr>
              <w:bidi w:val="0"/>
              <w:jc w:val="center"/>
              <w:rPr>
                <w:rFonts w:ascii="Times New Roman" w:hAnsi="Times New Roman"/>
                <w:b/>
                <w:bCs/>
                <w:sz w:val="18"/>
                <w:szCs w:val="18"/>
              </w:rPr>
            </w:pPr>
            <w:r w:rsidRPr="00851C59">
              <w:rPr>
                <w:rFonts w:ascii="Times New Roman" w:hAnsi="Times New Roman"/>
                <w:b/>
                <w:bCs/>
                <w:sz w:val="18"/>
                <w:szCs w:val="18"/>
              </w:rPr>
              <w:t>Celkové odvody a príspevky</w:t>
            </w:r>
          </w:p>
        </w:tc>
        <w:tc>
          <w:tcPr>
            <w:tcW w:w="2410" w:type="dxa"/>
            <w:tcBorders>
              <w:top w:val="none" w:sz="0" w:space="0" w:color="auto"/>
              <w:left w:val="none" w:sz="0" w:space="0" w:color="auto"/>
              <w:bottom w:val="single" w:sz="4" w:space="0" w:color="auto"/>
              <w:right w:val="none" w:sz="0" w:space="0" w:color="auto"/>
            </w:tcBorders>
            <w:shd w:val="clear" w:color="auto" w:fill="BFBFBF"/>
            <w:textDirection w:val="lrTb"/>
            <w:vAlign w:val="center"/>
          </w:tcPr>
          <w:p w:rsidR="00900E1A" w:rsidRPr="00851C59" w:rsidP="001B6836">
            <w:pPr>
              <w:bidi w:val="0"/>
              <w:jc w:val="center"/>
              <w:rPr>
                <w:rFonts w:ascii="Times New Roman" w:hAnsi="Times New Roman"/>
                <w:b/>
                <w:bCs/>
                <w:sz w:val="18"/>
                <w:szCs w:val="18"/>
              </w:rPr>
            </w:pPr>
            <w:r w:rsidRPr="00851C59">
              <w:rPr>
                <w:rFonts w:ascii="Times New Roman" w:hAnsi="Times New Roman"/>
                <w:b/>
                <w:bCs/>
                <w:sz w:val="18"/>
                <w:szCs w:val="18"/>
              </w:rPr>
              <w:t>Čistá finančná pozícia</w:t>
            </w:r>
          </w:p>
        </w:tc>
      </w:tr>
      <w:tr>
        <w:tblPrEx>
          <w:tblW w:w="0" w:type="auto"/>
          <w:tblInd w:w="55" w:type="dxa"/>
          <w:tblLayout w:type="fixed"/>
          <w:tblCellMar>
            <w:left w:w="70" w:type="dxa"/>
            <w:right w:w="70" w:type="dxa"/>
          </w:tblCellMar>
          <w:tblLook w:val="04A0"/>
        </w:tblPrEx>
        <w:trPr>
          <w:trHeight w:val="293"/>
        </w:trPr>
        <w:tc>
          <w:tcPr>
            <w:tcW w:w="2393" w:type="dxa"/>
            <w:tcBorders>
              <w:top w:val="single" w:sz="4"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2004</w:t>
            </w:r>
          </w:p>
        </w:tc>
        <w:tc>
          <w:tcPr>
            <w:tcW w:w="2027" w:type="dxa"/>
            <w:tcBorders>
              <w:top w:val="single" w:sz="4"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303 990</w:t>
            </w:r>
          </w:p>
        </w:tc>
        <w:tc>
          <w:tcPr>
            <w:tcW w:w="1974" w:type="dxa"/>
            <w:tcBorders>
              <w:top w:val="single" w:sz="4"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290 689</w:t>
            </w:r>
          </w:p>
        </w:tc>
        <w:tc>
          <w:tcPr>
            <w:tcW w:w="2410" w:type="dxa"/>
            <w:tcBorders>
              <w:top w:val="single" w:sz="4"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13 301</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2005</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704 993</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485 614</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219 379</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2006</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893 623</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526 326</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367 297</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2007</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910 838</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589 800</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321 038</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2008</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893 497</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643 374</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250 123</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2009</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1 119 659</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695 726</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423 933</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2010</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1 672 483</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627 529</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1 044 954</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2011</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2 041 093</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704 656</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1 336 437</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2012</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2 137 849</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722 831</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1 415 018</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sidRPr="00851C59">
              <w:rPr>
                <w:rFonts w:ascii="Times New Roman" w:hAnsi="Times New Roman"/>
                <w:color w:val="000000"/>
                <w:sz w:val="18"/>
                <w:szCs w:val="18"/>
              </w:rPr>
              <w:t>2013</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sz w:val="18"/>
                <w:szCs w:val="18"/>
              </w:rPr>
            </w:pPr>
            <w:r w:rsidRPr="00851C59">
              <w:rPr>
                <w:rFonts w:ascii="Times New Roman" w:hAnsi="Times New Roman"/>
                <w:sz w:val="18"/>
                <w:szCs w:val="18"/>
              </w:rPr>
              <w:t>2 185 358</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825 098</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sidRPr="00851C59">
              <w:rPr>
                <w:rFonts w:ascii="Times New Roman" w:hAnsi="Times New Roman"/>
                <w:color w:val="000000"/>
                <w:sz w:val="18"/>
                <w:szCs w:val="18"/>
              </w:rPr>
              <w:t>1 360 260</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rPr>
                <w:rFonts w:ascii="Times New Roman" w:hAnsi="Times New Roman"/>
                <w:color w:val="000000"/>
                <w:sz w:val="18"/>
                <w:szCs w:val="18"/>
              </w:rPr>
            </w:pPr>
            <w:r>
              <w:rPr>
                <w:rFonts w:ascii="Times New Roman" w:hAnsi="Times New Roman"/>
                <w:color w:val="000000"/>
                <w:sz w:val="18"/>
                <w:szCs w:val="18"/>
              </w:rPr>
              <w:t>2014</w:t>
            </w:r>
          </w:p>
        </w:tc>
        <w:tc>
          <w:tcPr>
            <w:tcW w:w="2027"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sz w:val="18"/>
                <w:szCs w:val="18"/>
              </w:rPr>
            </w:pPr>
            <w:r>
              <w:rPr>
                <w:rFonts w:ascii="Times New Roman" w:hAnsi="Times New Roman"/>
                <w:sz w:val="18"/>
                <w:szCs w:val="18"/>
              </w:rPr>
              <w:t>1 265 091</w:t>
            </w:r>
          </w:p>
        </w:tc>
        <w:tc>
          <w:tcPr>
            <w:tcW w:w="1974"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Pr>
                <w:rFonts w:ascii="Times New Roman" w:hAnsi="Times New Roman"/>
                <w:color w:val="000000"/>
                <w:sz w:val="18"/>
                <w:szCs w:val="18"/>
              </w:rPr>
              <w:t>785 366</w:t>
            </w:r>
          </w:p>
        </w:tc>
        <w:tc>
          <w:tcPr>
            <w:tcW w:w="2410" w:type="dxa"/>
            <w:tcBorders>
              <w:top w:val="none" w:sz="0" w:space="0" w:color="auto"/>
              <w:left w:val="none" w:sz="0" w:space="0" w:color="auto"/>
              <w:bottom w:val="none" w:sz="0" w:space="0" w:color="auto"/>
              <w:right w:val="none" w:sz="0" w:space="0" w:color="auto"/>
            </w:tcBorders>
            <w:noWrap/>
            <w:textDirection w:val="lrTb"/>
            <w:vAlign w:val="center"/>
          </w:tcPr>
          <w:p w:rsidR="00900E1A" w:rsidRPr="00851C59" w:rsidP="001B6836">
            <w:pPr>
              <w:bidi w:val="0"/>
              <w:jc w:val="right"/>
              <w:rPr>
                <w:rFonts w:ascii="Times New Roman" w:hAnsi="Times New Roman"/>
                <w:color w:val="000000"/>
                <w:sz w:val="18"/>
                <w:szCs w:val="18"/>
              </w:rPr>
            </w:pPr>
            <w:r>
              <w:rPr>
                <w:rFonts w:ascii="Times New Roman" w:hAnsi="Times New Roman"/>
                <w:color w:val="000000"/>
                <w:sz w:val="18"/>
                <w:szCs w:val="18"/>
              </w:rPr>
              <w:t>479 725</w:t>
            </w:r>
          </w:p>
        </w:tc>
      </w:tr>
      <w:tr>
        <w:tblPrEx>
          <w:tblW w:w="0" w:type="auto"/>
          <w:tblInd w:w="55" w:type="dxa"/>
          <w:tblLayout w:type="fixed"/>
          <w:tblCellMar>
            <w:left w:w="70" w:type="dxa"/>
            <w:right w:w="70" w:type="dxa"/>
          </w:tblCellMar>
          <w:tblLook w:val="04A0"/>
        </w:tblPrEx>
        <w:trPr>
          <w:trHeight w:val="293"/>
        </w:trPr>
        <w:tc>
          <w:tcPr>
            <w:tcW w:w="2393" w:type="dxa"/>
            <w:tcBorders>
              <w:top w:val="none" w:sz="0" w:space="0" w:color="auto"/>
              <w:left w:val="none" w:sz="0" w:space="0" w:color="auto"/>
              <w:bottom w:val="single" w:sz="4" w:space="0" w:color="000000"/>
              <w:right w:val="none" w:sz="0" w:space="0" w:color="auto"/>
            </w:tcBorders>
            <w:noWrap/>
            <w:textDirection w:val="lrTb"/>
            <w:vAlign w:val="center"/>
          </w:tcPr>
          <w:p w:rsidR="00900E1A" w:rsidP="001B6836">
            <w:pPr>
              <w:bidi w:val="0"/>
              <w:rPr>
                <w:rFonts w:ascii="Times New Roman" w:hAnsi="Times New Roman"/>
                <w:color w:val="000000"/>
                <w:sz w:val="18"/>
                <w:szCs w:val="18"/>
              </w:rPr>
            </w:pPr>
            <w:r>
              <w:rPr>
                <w:rFonts w:ascii="Times New Roman" w:hAnsi="Times New Roman"/>
                <w:color w:val="000000"/>
                <w:sz w:val="18"/>
                <w:szCs w:val="18"/>
              </w:rPr>
              <w:t>2015</w:t>
            </w:r>
          </w:p>
        </w:tc>
        <w:tc>
          <w:tcPr>
            <w:tcW w:w="2027" w:type="dxa"/>
            <w:tcBorders>
              <w:top w:val="none" w:sz="0" w:space="0" w:color="auto"/>
              <w:left w:val="none" w:sz="0" w:space="0" w:color="auto"/>
              <w:bottom w:val="single" w:sz="4" w:space="0" w:color="000000"/>
              <w:right w:val="none" w:sz="0" w:space="0" w:color="auto"/>
            </w:tcBorders>
            <w:noWrap/>
            <w:textDirection w:val="lrTb"/>
            <w:vAlign w:val="center"/>
          </w:tcPr>
          <w:p w:rsidR="00900E1A" w:rsidP="001B6836">
            <w:pPr>
              <w:bidi w:val="0"/>
              <w:jc w:val="right"/>
              <w:rPr>
                <w:rFonts w:ascii="Times New Roman" w:hAnsi="Times New Roman"/>
                <w:sz w:val="18"/>
                <w:szCs w:val="18"/>
              </w:rPr>
            </w:pPr>
            <w:r>
              <w:rPr>
                <w:rFonts w:ascii="Times New Roman" w:hAnsi="Times New Roman"/>
                <w:sz w:val="18"/>
                <w:szCs w:val="18"/>
              </w:rPr>
              <w:t>4 288 873</w:t>
            </w:r>
          </w:p>
        </w:tc>
        <w:tc>
          <w:tcPr>
            <w:tcW w:w="1974" w:type="dxa"/>
            <w:tcBorders>
              <w:top w:val="none" w:sz="0" w:space="0" w:color="auto"/>
              <w:left w:val="none" w:sz="0" w:space="0" w:color="auto"/>
              <w:bottom w:val="single" w:sz="4" w:space="0" w:color="000000"/>
              <w:right w:val="none" w:sz="0" w:space="0" w:color="auto"/>
            </w:tcBorders>
            <w:noWrap/>
            <w:textDirection w:val="lrTb"/>
            <w:vAlign w:val="center"/>
          </w:tcPr>
          <w:p w:rsidR="00900E1A" w:rsidP="001B6836">
            <w:pPr>
              <w:bidi w:val="0"/>
              <w:jc w:val="right"/>
              <w:rPr>
                <w:rFonts w:ascii="Times New Roman" w:hAnsi="Times New Roman"/>
                <w:color w:val="000000"/>
                <w:sz w:val="18"/>
                <w:szCs w:val="18"/>
              </w:rPr>
            </w:pPr>
            <w:r>
              <w:rPr>
                <w:rFonts w:ascii="Times New Roman" w:hAnsi="Times New Roman"/>
                <w:color w:val="000000"/>
                <w:sz w:val="18"/>
                <w:szCs w:val="18"/>
              </w:rPr>
              <w:t>695 508</w:t>
            </w:r>
          </w:p>
        </w:tc>
        <w:tc>
          <w:tcPr>
            <w:tcW w:w="2410" w:type="dxa"/>
            <w:tcBorders>
              <w:top w:val="none" w:sz="0" w:space="0" w:color="auto"/>
              <w:left w:val="none" w:sz="0" w:space="0" w:color="auto"/>
              <w:bottom w:val="single" w:sz="4" w:space="0" w:color="000000"/>
              <w:right w:val="none" w:sz="0" w:space="0" w:color="auto"/>
            </w:tcBorders>
            <w:noWrap/>
            <w:textDirection w:val="lrTb"/>
            <w:vAlign w:val="center"/>
          </w:tcPr>
          <w:p w:rsidR="00900E1A" w:rsidP="001B6836">
            <w:pPr>
              <w:bidi w:val="0"/>
              <w:jc w:val="right"/>
              <w:rPr>
                <w:rFonts w:ascii="Times New Roman" w:hAnsi="Times New Roman"/>
                <w:color w:val="000000"/>
                <w:sz w:val="18"/>
                <w:szCs w:val="18"/>
              </w:rPr>
            </w:pPr>
            <w:r>
              <w:rPr>
                <w:rFonts w:ascii="Times New Roman" w:hAnsi="Times New Roman"/>
                <w:color w:val="000000"/>
                <w:sz w:val="18"/>
                <w:szCs w:val="18"/>
              </w:rPr>
              <w:t>3 593 365</w:t>
            </w:r>
          </w:p>
        </w:tc>
      </w:tr>
      <w:tr>
        <w:tblPrEx>
          <w:tblW w:w="0" w:type="auto"/>
          <w:tblInd w:w="55" w:type="dxa"/>
          <w:tblLayout w:type="fixed"/>
          <w:tblCellMar>
            <w:left w:w="70" w:type="dxa"/>
            <w:right w:w="70" w:type="dxa"/>
          </w:tblCellMar>
          <w:tblLook w:val="04A0"/>
        </w:tblPrEx>
        <w:trPr>
          <w:trHeight w:val="293"/>
        </w:trPr>
        <w:tc>
          <w:tcPr>
            <w:tcW w:w="2393" w:type="dxa"/>
            <w:tcBorders>
              <w:top w:val="single" w:sz="4" w:space="0" w:color="000000"/>
              <w:left w:val="none" w:sz="0" w:space="0" w:color="auto"/>
              <w:bottom w:val="single" w:sz="4" w:space="0" w:color="auto"/>
              <w:right w:val="none" w:sz="0" w:space="0" w:color="auto"/>
            </w:tcBorders>
            <w:noWrap/>
            <w:textDirection w:val="lrTb"/>
            <w:vAlign w:val="center"/>
          </w:tcPr>
          <w:p w:rsidR="00900E1A" w:rsidRPr="00851C59" w:rsidP="001B6836">
            <w:pPr>
              <w:bidi w:val="0"/>
              <w:rPr>
                <w:rFonts w:ascii="Times New Roman" w:hAnsi="Times New Roman"/>
                <w:b/>
                <w:bCs/>
                <w:color w:val="000000"/>
                <w:sz w:val="18"/>
                <w:szCs w:val="18"/>
              </w:rPr>
            </w:pPr>
            <w:r w:rsidRPr="00851C59">
              <w:rPr>
                <w:rFonts w:ascii="Times New Roman" w:hAnsi="Times New Roman"/>
                <w:b/>
                <w:bCs/>
                <w:color w:val="000000"/>
                <w:sz w:val="18"/>
                <w:szCs w:val="18"/>
              </w:rPr>
              <w:t>Spolu</w:t>
            </w:r>
          </w:p>
        </w:tc>
        <w:tc>
          <w:tcPr>
            <w:tcW w:w="2027" w:type="dxa"/>
            <w:tcBorders>
              <w:top w:val="single" w:sz="4" w:space="0" w:color="000000"/>
              <w:left w:val="none" w:sz="0" w:space="0" w:color="auto"/>
              <w:bottom w:val="single" w:sz="4" w:space="0" w:color="auto"/>
              <w:right w:val="none" w:sz="0" w:space="0" w:color="auto"/>
            </w:tcBorders>
            <w:noWrap/>
            <w:textDirection w:val="lrTb"/>
            <w:vAlign w:val="center"/>
          </w:tcPr>
          <w:p w:rsidR="00900E1A" w:rsidRPr="00851C59" w:rsidP="001B6836">
            <w:pPr>
              <w:bidi w:val="0"/>
              <w:jc w:val="right"/>
              <w:rPr>
                <w:rFonts w:ascii="Times New Roman" w:hAnsi="Times New Roman"/>
                <w:b/>
                <w:bCs/>
                <w:color w:val="000000"/>
                <w:sz w:val="18"/>
                <w:szCs w:val="18"/>
              </w:rPr>
            </w:pPr>
            <w:r>
              <w:rPr>
                <w:rFonts w:ascii="Times New Roman" w:hAnsi="Times New Roman"/>
                <w:b/>
                <w:bCs/>
                <w:color w:val="000000"/>
                <w:sz w:val="18"/>
                <w:szCs w:val="18"/>
              </w:rPr>
              <w:t>18 417 347</w:t>
            </w:r>
          </w:p>
        </w:tc>
        <w:tc>
          <w:tcPr>
            <w:tcW w:w="1974" w:type="dxa"/>
            <w:tcBorders>
              <w:top w:val="single" w:sz="4" w:space="0" w:color="000000"/>
              <w:left w:val="none" w:sz="0" w:space="0" w:color="auto"/>
              <w:bottom w:val="single" w:sz="4" w:space="0" w:color="auto"/>
              <w:right w:val="none" w:sz="0" w:space="0" w:color="auto"/>
            </w:tcBorders>
            <w:noWrap/>
            <w:textDirection w:val="lrTb"/>
            <w:vAlign w:val="center"/>
          </w:tcPr>
          <w:p w:rsidR="00900E1A" w:rsidRPr="00851C59" w:rsidP="001B6836">
            <w:pPr>
              <w:bidi w:val="0"/>
              <w:jc w:val="right"/>
              <w:rPr>
                <w:rFonts w:ascii="Times New Roman" w:hAnsi="Times New Roman"/>
                <w:b/>
                <w:bCs/>
                <w:color w:val="000000"/>
                <w:sz w:val="18"/>
                <w:szCs w:val="18"/>
              </w:rPr>
            </w:pPr>
            <w:r>
              <w:rPr>
                <w:rFonts w:ascii="Times New Roman" w:hAnsi="Times New Roman"/>
                <w:b/>
                <w:bCs/>
                <w:color w:val="000000"/>
                <w:sz w:val="18"/>
                <w:szCs w:val="18"/>
              </w:rPr>
              <w:t>7 592 517</w:t>
            </w:r>
          </w:p>
        </w:tc>
        <w:tc>
          <w:tcPr>
            <w:tcW w:w="2410" w:type="dxa"/>
            <w:tcBorders>
              <w:top w:val="single" w:sz="4" w:space="0" w:color="000000"/>
              <w:left w:val="none" w:sz="0" w:space="0" w:color="auto"/>
              <w:bottom w:val="single" w:sz="4" w:space="0" w:color="auto"/>
              <w:right w:val="none" w:sz="0" w:space="0" w:color="auto"/>
            </w:tcBorders>
            <w:noWrap/>
            <w:textDirection w:val="lrTb"/>
            <w:vAlign w:val="center"/>
          </w:tcPr>
          <w:p w:rsidR="00900E1A" w:rsidRPr="00851C59" w:rsidP="001B6836">
            <w:pPr>
              <w:bidi w:val="0"/>
              <w:jc w:val="right"/>
              <w:rPr>
                <w:rFonts w:ascii="Times New Roman" w:hAnsi="Times New Roman"/>
                <w:b/>
                <w:bCs/>
                <w:color w:val="000000"/>
                <w:sz w:val="18"/>
                <w:szCs w:val="18"/>
              </w:rPr>
            </w:pPr>
            <w:r>
              <w:rPr>
                <w:rFonts w:ascii="Times New Roman" w:hAnsi="Times New Roman"/>
                <w:b/>
                <w:bCs/>
                <w:color w:val="000000"/>
                <w:sz w:val="18"/>
                <w:szCs w:val="18"/>
              </w:rPr>
              <w:t>10 824 830</w:t>
            </w:r>
          </w:p>
        </w:tc>
      </w:tr>
    </w:tbl>
    <w:p w:rsidR="00900E1A" w:rsidRPr="003208E6" w:rsidP="004265B5">
      <w:pPr>
        <w:bidi w:val="0"/>
        <w:spacing w:after="120" w:line="336" w:lineRule="auto"/>
        <w:jc w:val="right"/>
        <w:rPr>
          <w:rFonts w:ascii="Times New Roman" w:hAnsi="Times New Roman"/>
          <w:sz w:val="18"/>
          <w:szCs w:val="18"/>
        </w:rPr>
      </w:pPr>
      <w:r w:rsidRPr="003208E6">
        <w:rPr>
          <w:rFonts w:ascii="Times New Roman" w:hAnsi="Times New Roman"/>
          <w:sz w:val="18"/>
          <w:szCs w:val="18"/>
        </w:rPr>
        <w:t xml:space="preserve">Zdroj: </w:t>
      </w:r>
      <w:r>
        <w:rPr>
          <w:rFonts w:ascii="Times New Roman" w:hAnsi="Times New Roman"/>
          <w:sz w:val="18"/>
          <w:szCs w:val="18"/>
        </w:rPr>
        <w:t>MF</w:t>
      </w:r>
      <w:r w:rsidRPr="003208E6">
        <w:rPr>
          <w:rFonts w:ascii="Times New Roman" w:hAnsi="Times New Roman"/>
          <w:sz w:val="18"/>
          <w:szCs w:val="18"/>
        </w:rPr>
        <w:t xml:space="preserve"> SR</w:t>
      </w:r>
    </w:p>
    <w:p w:rsidR="00900E1A" w:rsidRPr="00A85B65" w:rsidP="00900E1A">
      <w:pPr>
        <w:bidi w:val="0"/>
        <w:spacing w:after="120" w:line="336" w:lineRule="auto"/>
        <w:jc w:val="both"/>
        <w:rPr>
          <w:rFonts w:ascii="Times New Roman" w:hAnsi="Times New Roman"/>
        </w:rPr>
      </w:pPr>
      <w:r w:rsidRPr="005115C4">
        <w:rPr>
          <w:rFonts w:ascii="Times New Roman" w:hAnsi="Times New Roman"/>
          <w:sz w:val="22"/>
          <w:szCs w:val="22"/>
        </w:rPr>
        <w:t>Za obdobie od</w:t>
      </w:r>
      <w:r w:rsidRPr="005115C4">
        <w:rPr>
          <w:rFonts w:ascii="Times New Roman" w:hAnsi="Times New Roman"/>
          <w:b/>
          <w:sz w:val="22"/>
          <w:szCs w:val="22"/>
        </w:rPr>
        <w:t xml:space="preserve"> </w:t>
      </w:r>
      <w:r w:rsidRPr="005115C4">
        <w:rPr>
          <w:rFonts w:ascii="Times New Roman" w:hAnsi="Times New Roman"/>
          <w:sz w:val="22"/>
          <w:szCs w:val="22"/>
        </w:rPr>
        <w:t>vstupu Slovenskej republiky do EÚ</w:t>
      </w:r>
      <w:r w:rsidRPr="005115C4">
        <w:rPr>
          <w:rFonts w:ascii="Times New Roman" w:hAnsi="Times New Roman"/>
          <w:b/>
          <w:sz w:val="22"/>
          <w:szCs w:val="22"/>
        </w:rPr>
        <w:t xml:space="preserve"> </w:t>
      </w:r>
      <w:r w:rsidRPr="005115C4">
        <w:rPr>
          <w:rFonts w:ascii="Times New Roman" w:hAnsi="Times New Roman"/>
          <w:sz w:val="22"/>
          <w:szCs w:val="22"/>
        </w:rPr>
        <w:t>boli celkovo</w:t>
      </w:r>
      <w:r w:rsidRPr="005115C4">
        <w:rPr>
          <w:rFonts w:ascii="Times New Roman" w:hAnsi="Times New Roman"/>
          <w:b/>
          <w:sz w:val="22"/>
          <w:szCs w:val="22"/>
        </w:rPr>
        <w:t xml:space="preserve"> </w:t>
      </w:r>
      <w:r w:rsidRPr="005115C4">
        <w:rPr>
          <w:rFonts w:ascii="Times New Roman" w:hAnsi="Times New Roman"/>
          <w:sz w:val="22"/>
          <w:szCs w:val="22"/>
        </w:rPr>
        <w:t>do rozpočtu Slovenskej republiky prijaté príjmy z EÚ vo výške 1</w:t>
      </w:r>
      <w:r>
        <w:rPr>
          <w:rFonts w:ascii="Times New Roman" w:hAnsi="Times New Roman"/>
          <w:sz w:val="22"/>
          <w:szCs w:val="22"/>
        </w:rPr>
        <w:t>8 417 347</w:t>
      </w:r>
      <w:r w:rsidRPr="005115C4">
        <w:rPr>
          <w:rFonts w:ascii="Times New Roman" w:hAnsi="Times New Roman"/>
          <w:sz w:val="22"/>
          <w:szCs w:val="22"/>
        </w:rPr>
        <w:t xml:space="preserve"> tis. eur a Slovenská republika odviedla do všeobecného rozpočtu EÚ sumu vo výške </w:t>
      </w:r>
      <w:r>
        <w:rPr>
          <w:rFonts w:ascii="Times New Roman" w:hAnsi="Times New Roman"/>
          <w:sz w:val="22"/>
          <w:szCs w:val="22"/>
        </w:rPr>
        <w:t>7 592 517</w:t>
      </w:r>
      <w:r w:rsidRPr="005115C4">
        <w:rPr>
          <w:rFonts w:ascii="Times New Roman" w:hAnsi="Times New Roman"/>
          <w:sz w:val="22"/>
          <w:szCs w:val="22"/>
        </w:rPr>
        <w:t xml:space="preserve"> tis. eur, na základe čoho </w:t>
      </w:r>
      <w:r w:rsidRPr="005115C4">
        <w:rPr>
          <w:rFonts w:ascii="Times New Roman" w:hAnsi="Times New Roman"/>
          <w:b/>
          <w:sz w:val="22"/>
          <w:szCs w:val="22"/>
        </w:rPr>
        <w:t xml:space="preserve">čistá finančná pozícia voči EÚ </w:t>
      </w:r>
      <w:r w:rsidRPr="005115C4">
        <w:rPr>
          <w:rFonts w:ascii="Times New Roman" w:hAnsi="Times New Roman"/>
          <w:sz w:val="22"/>
          <w:szCs w:val="22"/>
        </w:rPr>
        <w:t xml:space="preserve">dosiahla </w:t>
      </w:r>
      <w:r>
        <w:rPr>
          <w:rFonts w:ascii="Times New Roman" w:hAnsi="Times New Roman"/>
          <w:sz w:val="22"/>
          <w:szCs w:val="22"/>
        </w:rPr>
        <w:t>10 824 830</w:t>
      </w:r>
      <w:r w:rsidRPr="005115C4">
        <w:rPr>
          <w:rFonts w:ascii="Times New Roman" w:hAnsi="Times New Roman"/>
          <w:sz w:val="22"/>
          <w:szCs w:val="22"/>
        </w:rPr>
        <w:t xml:space="preserve"> tis. eur.</w:t>
      </w:r>
      <w:r w:rsidRPr="005115C4">
        <w:rPr>
          <w:rFonts w:ascii="Times New Roman" w:hAnsi="Times New Roman"/>
          <w:b/>
          <w:sz w:val="22"/>
          <w:szCs w:val="22"/>
        </w:rPr>
        <w:t xml:space="preserve"> </w:t>
      </w:r>
      <w:r w:rsidRPr="005115C4">
        <w:rPr>
          <w:rFonts w:ascii="Times New Roman" w:hAnsi="Times New Roman"/>
          <w:sz w:val="22"/>
          <w:szCs w:val="22"/>
        </w:rPr>
        <w:t xml:space="preserve">Od roku 2004 Slovenská republika prijala z rozpočtu EÚ </w:t>
      </w:r>
      <w:r>
        <w:rPr>
          <w:rFonts w:ascii="Times New Roman" w:hAnsi="Times New Roman"/>
          <w:sz w:val="22"/>
          <w:szCs w:val="22"/>
        </w:rPr>
        <w:t xml:space="preserve">2,4 násobok </w:t>
      </w:r>
      <w:r w:rsidRPr="005115C4">
        <w:rPr>
          <w:rFonts w:ascii="Times New Roman" w:hAnsi="Times New Roman"/>
          <w:sz w:val="22"/>
          <w:szCs w:val="22"/>
        </w:rPr>
        <w:t>prostriedkov</w:t>
      </w:r>
      <w:r>
        <w:rPr>
          <w:rFonts w:ascii="Times New Roman" w:hAnsi="Times New Roman"/>
          <w:sz w:val="22"/>
          <w:szCs w:val="22"/>
        </w:rPr>
        <w:t>,</w:t>
      </w:r>
      <w:r w:rsidRPr="005115C4">
        <w:rPr>
          <w:rFonts w:ascii="Times New Roman" w:hAnsi="Times New Roman"/>
          <w:sz w:val="22"/>
          <w:szCs w:val="22"/>
        </w:rPr>
        <w:t xml:space="preserve"> </w:t>
      </w:r>
      <w:r>
        <w:rPr>
          <w:rFonts w:ascii="Times New Roman" w:hAnsi="Times New Roman"/>
          <w:sz w:val="22"/>
          <w:szCs w:val="22"/>
        </w:rPr>
        <w:t>ktoré do rozpočtu odviedla</w:t>
      </w:r>
      <w:r w:rsidRPr="005115C4">
        <w:rPr>
          <w:rFonts w:ascii="Times New Roman" w:hAnsi="Times New Roman"/>
          <w:sz w:val="22"/>
          <w:szCs w:val="22"/>
        </w:rPr>
        <w:t>.</w:t>
      </w:r>
    </w:p>
    <w:p w:rsidR="00B57C93" w:rsidP="008D72D9">
      <w:pPr>
        <w:pStyle w:val="Heading3"/>
        <w:numPr>
          <w:ilvl w:val="2"/>
          <w:numId w:val="20"/>
        </w:numPr>
        <w:bidi w:val="0"/>
        <w:spacing w:line="336" w:lineRule="auto"/>
        <w:ind w:left="1077"/>
        <w:rPr>
          <w:rFonts w:ascii="Times New Roman" w:hAnsi="Times New Roman"/>
          <w:lang w:val="sk-SK"/>
        </w:rPr>
      </w:pPr>
      <w:bookmarkStart w:id="40" w:name="_Toc449622845"/>
      <w:r w:rsidRPr="006E50E2">
        <w:rPr>
          <w:rFonts w:ascii="Times New Roman" w:hAnsi="Times New Roman"/>
          <w:lang w:val="sk-SK"/>
        </w:rPr>
        <w:t>Príjmy z rozpočtu E</w:t>
      </w:r>
      <w:r w:rsidRPr="006E50E2" w:rsidR="004B01B0">
        <w:rPr>
          <w:rFonts w:ascii="Times New Roman" w:hAnsi="Times New Roman"/>
          <w:lang w:val="sk-SK"/>
        </w:rPr>
        <w:t>urópskej únie</w:t>
      </w:r>
      <w:bookmarkEnd w:id="40"/>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 xml:space="preserve">Skutočné plnenie príjmov SR z rozpočtu EÚ je vo výške </w:t>
      </w:r>
      <w:r>
        <w:rPr>
          <w:rFonts w:ascii="Times New Roman" w:hAnsi="Times New Roman"/>
          <w:sz w:val="22"/>
          <w:szCs w:val="22"/>
        </w:rPr>
        <w:t xml:space="preserve">4 288 873 tis. eur, z toho príjmy </w:t>
      </w:r>
      <w:r w:rsidRPr="003208E6">
        <w:rPr>
          <w:rFonts w:ascii="Times New Roman" w:hAnsi="Times New Roman"/>
          <w:sz w:val="22"/>
          <w:szCs w:val="22"/>
        </w:rPr>
        <w:t>z</w:t>
      </w:r>
      <w:r>
        <w:rPr>
          <w:rFonts w:ascii="Times New Roman" w:hAnsi="Times New Roman"/>
          <w:sz w:val="22"/>
          <w:szCs w:val="22"/>
        </w:rPr>
        <w:t>o</w:t>
      </w:r>
      <w:r w:rsidR="00DC21EB">
        <w:rPr>
          <w:rFonts w:ascii="Times New Roman" w:hAnsi="Times New Roman"/>
          <w:sz w:val="22"/>
          <w:szCs w:val="22"/>
        </w:rPr>
        <w:t> </w:t>
      </w:r>
      <w:r w:rsidRPr="003208E6">
        <w:rPr>
          <w:rFonts w:ascii="Times New Roman" w:hAnsi="Times New Roman"/>
          <w:sz w:val="22"/>
          <w:szCs w:val="22"/>
        </w:rPr>
        <w:t>zahraničn</w:t>
      </w:r>
      <w:r>
        <w:rPr>
          <w:rFonts w:ascii="Times New Roman" w:hAnsi="Times New Roman"/>
          <w:sz w:val="22"/>
          <w:szCs w:val="22"/>
        </w:rPr>
        <w:t>ých</w:t>
      </w:r>
      <w:r w:rsidRPr="003208E6">
        <w:rPr>
          <w:rFonts w:ascii="Times New Roman" w:hAnsi="Times New Roman"/>
          <w:sz w:val="22"/>
          <w:szCs w:val="22"/>
        </w:rPr>
        <w:t xml:space="preserve"> transfer</w:t>
      </w:r>
      <w:r>
        <w:rPr>
          <w:rFonts w:ascii="Times New Roman" w:hAnsi="Times New Roman"/>
          <w:sz w:val="22"/>
          <w:szCs w:val="22"/>
        </w:rPr>
        <w:t>ov</w:t>
      </w:r>
      <w:r w:rsidRPr="003208E6">
        <w:rPr>
          <w:rFonts w:ascii="Times New Roman" w:hAnsi="Times New Roman"/>
          <w:sz w:val="22"/>
          <w:szCs w:val="22"/>
        </w:rPr>
        <w:t xml:space="preserve"> sú vo výške</w:t>
      </w:r>
      <w:r>
        <w:rPr>
          <w:rFonts w:ascii="Times New Roman" w:hAnsi="Times New Roman"/>
          <w:sz w:val="22"/>
          <w:szCs w:val="22"/>
        </w:rPr>
        <w:t xml:space="preserve"> 4 280 041</w:t>
      </w:r>
      <w:r w:rsidRPr="003208E6">
        <w:rPr>
          <w:rFonts w:ascii="Times New Roman" w:hAnsi="Times New Roman"/>
          <w:sz w:val="22"/>
          <w:szCs w:val="22"/>
        </w:rPr>
        <w:t xml:space="preserve"> tis. eur a príjmy z</w:t>
      </w:r>
      <w:r>
        <w:rPr>
          <w:rFonts w:ascii="Times New Roman" w:hAnsi="Times New Roman"/>
          <w:sz w:val="22"/>
          <w:szCs w:val="22"/>
        </w:rPr>
        <w:t>o</w:t>
      </w:r>
      <w:r w:rsidRPr="003208E6">
        <w:rPr>
          <w:rFonts w:ascii="Times New Roman" w:hAnsi="Times New Roman"/>
          <w:sz w:val="22"/>
          <w:szCs w:val="22"/>
        </w:rPr>
        <w:t xml:space="preserve"> zahraničn</w:t>
      </w:r>
      <w:r>
        <w:rPr>
          <w:rFonts w:ascii="Times New Roman" w:hAnsi="Times New Roman"/>
          <w:sz w:val="22"/>
          <w:szCs w:val="22"/>
        </w:rPr>
        <w:t>ých grantov</w:t>
      </w:r>
      <w:r w:rsidRPr="003208E6">
        <w:rPr>
          <w:rFonts w:ascii="Times New Roman" w:hAnsi="Times New Roman"/>
          <w:sz w:val="22"/>
          <w:szCs w:val="22"/>
        </w:rPr>
        <w:t xml:space="preserve"> poskytnut</w:t>
      </w:r>
      <w:r>
        <w:rPr>
          <w:rFonts w:ascii="Times New Roman" w:hAnsi="Times New Roman"/>
          <w:sz w:val="22"/>
          <w:szCs w:val="22"/>
        </w:rPr>
        <w:t>ých</w:t>
      </w:r>
      <w:r w:rsidRPr="003208E6">
        <w:rPr>
          <w:rFonts w:ascii="Times New Roman" w:hAnsi="Times New Roman"/>
          <w:sz w:val="22"/>
          <w:szCs w:val="22"/>
        </w:rPr>
        <w:t xml:space="preserve"> z</w:t>
      </w:r>
      <w:r>
        <w:rPr>
          <w:rFonts w:ascii="Times New Roman" w:hAnsi="Times New Roman"/>
          <w:sz w:val="22"/>
          <w:szCs w:val="22"/>
        </w:rPr>
        <w:t> rozpočtu EÚ sú vo výške 8 832</w:t>
      </w:r>
      <w:r w:rsidRPr="003208E6">
        <w:rPr>
          <w:rFonts w:ascii="Times New Roman" w:hAnsi="Times New Roman"/>
          <w:sz w:val="22"/>
          <w:szCs w:val="22"/>
        </w:rPr>
        <w:t xml:space="preserve"> tis. eur.</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b/>
          <w:sz w:val="22"/>
          <w:szCs w:val="22"/>
        </w:rPr>
        <w:t>Príjmy z</w:t>
      </w:r>
      <w:r>
        <w:rPr>
          <w:rFonts w:ascii="Times New Roman" w:hAnsi="Times New Roman"/>
          <w:b/>
          <w:sz w:val="22"/>
          <w:szCs w:val="22"/>
        </w:rPr>
        <w:t>o</w:t>
      </w:r>
      <w:r w:rsidRPr="003208E6">
        <w:rPr>
          <w:rFonts w:ascii="Times New Roman" w:hAnsi="Times New Roman"/>
          <w:b/>
          <w:sz w:val="22"/>
          <w:szCs w:val="22"/>
        </w:rPr>
        <w:t xml:space="preserve"> zahraničn</w:t>
      </w:r>
      <w:r>
        <w:rPr>
          <w:rFonts w:ascii="Times New Roman" w:hAnsi="Times New Roman"/>
          <w:b/>
          <w:sz w:val="22"/>
          <w:szCs w:val="22"/>
        </w:rPr>
        <w:t>ých</w:t>
      </w:r>
      <w:r w:rsidRPr="003208E6">
        <w:rPr>
          <w:rFonts w:ascii="Times New Roman" w:hAnsi="Times New Roman"/>
          <w:b/>
          <w:sz w:val="22"/>
          <w:szCs w:val="22"/>
        </w:rPr>
        <w:t xml:space="preserve"> transfer</w:t>
      </w:r>
      <w:r>
        <w:rPr>
          <w:rFonts w:ascii="Times New Roman" w:hAnsi="Times New Roman"/>
          <w:b/>
          <w:sz w:val="22"/>
          <w:szCs w:val="22"/>
        </w:rPr>
        <w:t>ov</w:t>
      </w:r>
      <w:r w:rsidRPr="003208E6">
        <w:rPr>
          <w:rFonts w:ascii="Times New Roman" w:hAnsi="Times New Roman"/>
          <w:sz w:val="22"/>
          <w:szCs w:val="22"/>
        </w:rPr>
        <w:t xml:space="preserve"> boli rozpočtované na rok 201</w:t>
      </w:r>
      <w:r>
        <w:rPr>
          <w:rFonts w:ascii="Times New Roman" w:hAnsi="Times New Roman"/>
          <w:sz w:val="22"/>
          <w:szCs w:val="22"/>
        </w:rPr>
        <w:t>5</w:t>
      </w:r>
      <w:r w:rsidRPr="003208E6">
        <w:rPr>
          <w:rFonts w:ascii="Times New Roman" w:hAnsi="Times New Roman"/>
          <w:sz w:val="22"/>
          <w:szCs w:val="22"/>
        </w:rPr>
        <w:t xml:space="preserve"> vo výške 3</w:t>
      </w:r>
      <w:r>
        <w:rPr>
          <w:rFonts w:ascii="Times New Roman" w:hAnsi="Times New Roman"/>
          <w:sz w:val="22"/>
          <w:szCs w:val="22"/>
        </w:rPr>
        <w:t> 272 393</w:t>
      </w:r>
      <w:r w:rsidRPr="003208E6">
        <w:rPr>
          <w:rFonts w:ascii="Times New Roman" w:hAnsi="Times New Roman"/>
          <w:sz w:val="22"/>
          <w:szCs w:val="22"/>
        </w:rPr>
        <w:t> tis. eur v rámci jednotlivých kapitol na úrovni platobných jednotiek</w:t>
      </w:r>
      <w:r>
        <w:rPr>
          <w:rFonts w:ascii="Times New Roman" w:hAnsi="Times New Roman"/>
          <w:sz w:val="22"/>
          <w:szCs w:val="22"/>
        </w:rPr>
        <w:t>, P</w:t>
      </w:r>
      <w:r w:rsidRPr="003208E6">
        <w:rPr>
          <w:rFonts w:ascii="Times New Roman" w:hAnsi="Times New Roman"/>
          <w:sz w:val="22"/>
          <w:szCs w:val="22"/>
        </w:rPr>
        <w:t>ôdohospodárskej platobnej agentúry</w:t>
      </w:r>
      <w:r>
        <w:rPr>
          <w:rFonts w:ascii="Times New Roman" w:hAnsi="Times New Roman"/>
          <w:sz w:val="22"/>
          <w:szCs w:val="22"/>
        </w:rPr>
        <w:t xml:space="preserve"> a Ministerstva práce sociálnych vecí a rodiny SR za Fond pre najodkázanejšie osoby</w:t>
      </w:r>
      <w:r w:rsidRPr="003208E6">
        <w:rPr>
          <w:rFonts w:ascii="Times New Roman" w:hAnsi="Times New Roman"/>
          <w:sz w:val="22"/>
          <w:szCs w:val="22"/>
        </w:rPr>
        <w:t xml:space="preserve">. Prostriedky boli rozpočtované za programy 2. </w:t>
      </w:r>
      <w:r>
        <w:rPr>
          <w:rFonts w:ascii="Times New Roman" w:hAnsi="Times New Roman"/>
          <w:sz w:val="22"/>
          <w:szCs w:val="22"/>
        </w:rPr>
        <w:t xml:space="preserve">a 3. </w:t>
      </w:r>
      <w:r w:rsidRPr="003208E6">
        <w:rPr>
          <w:rFonts w:ascii="Times New Roman" w:hAnsi="Times New Roman"/>
          <w:sz w:val="22"/>
          <w:szCs w:val="22"/>
        </w:rPr>
        <w:t>programového obdobia</w:t>
      </w:r>
      <w:r>
        <w:rPr>
          <w:rFonts w:ascii="Times New Roman" w:hAnsi="Times New Roman"/>
          <w:sz w:val="22"/>
          <w:szCs w:val="22"/>
        </w:rPr>
        <w:t>,</w:t>
      </w:r>
      <w:r w:rsidRPr="003208E6">
        <w:rPr>
          <w:rFonts w:ascii="Times New Roman" w:hAnsi="Times New Roman"/>
          <w:sz w:val="22"/>
          <w:szCs w:val="22"/>
        </w:rPr>
        <w:t xml:space="preserve"> a to za prostriedky štrukturálnych fondov, Kohézneho fondu a poľnohospodárskych fondov.</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 xml:space="preserve">Rozpočet príjmov zahraničných transferov bol v roku </w:t>
      </w:r>
      <w:r w:rsidRPr="00B421B8">
        <w:rPr>
          <w:rFonts w:ascii="Times New Roman" w:hAnsi="Times New Roman"/>
          <w:sz w:val="22"/>
          <w:szCs w:val="22"/>
        </w:rPr>
        <w:t>201</w:t>
      </w:r>
      <w:r>
        <w:rPr>
          <w:rFonts w:ascii="Times New Roman" w:hAnsi="Times New Roman"/>
          <w:sz w:val="22"/>
          <w:szCs w:val="22"/>
        </w:rPr>
        <w:t>5</w:t>
      </w:r>
      <w:r w:rsidRPr="00B421B8">
        <w:rPr>
          <w:rFonts w:ascii="Times New Roman" w:hAnsi="Times New Roman"/>
          <w:sz w:val="22"/>
          <w:szCs w:val="22"/>
        </w:rPr>
        <w:t xml:space="preserve"> upravený</w:t>
      </w:r>
      <w:r>
        <w:rPr>
          <w:rFonts w:ascii="Times New Roman" w:hAnsi="Times New Roman"/>
          <w:sz w:val="22"/>
          <w:szCs w:val="22"/>
        </w:rPr>
        <w:t xml:space="preserve"> na úroveň 4 271 799</w:t>
      </w:r>
      <w:r w:rsidRPr="00B421B8">
        <w:rPr>
          <w:rFonts w:ascii="Times New Roman" w:hAnsi="Times New Roman"/>
          <w:sz w:val="22"/>
          <w:szCs w:val="22"/>
        </w:rPr>
        <w:t xml:space="preserve"> tis. eur</w:t>
      </w:r>
      <w:r>
        <w:rPr>
          <w:rFonts w:ascii="Times New Roman" w:hAnsi="Times New Roman"/>
          <w:sz w:val="22"/>
          <w:szCs w:val="22"/>
        </w:rPr>
        <w:t xml:space="preserve"> o výšku zaviazaných prostriedkov z titulu nenaplnených</w:t>
      </w:r>
      <w:r w:rsidRPr="00B421B8">
        <w:rPr>
          <w:rFonts w:ascii="Times New Roman" w:hAnsi="Times New Roman"/>
          <w:sz w:val="22"/>
          <w:szCs w:val="22"/>
        </w:rPr>
        <w:t xml:space="preserve"> príjm</w:t>
      </w:r>
      <w:r>
        <w:rPr>
          <w:rFonts w:ascii="Times New Roman" w:hAnsi="Times New Roman"/>
          <w:sz w:val="22"/>
          <w:szCs w:val="22"/>
        </w:rPr>
        <w:t xml:space="preserve">ov z predchádzajúcich rokov, vysporiadania finančných prostriedkov za finančné opravy (nezrovnalosti) z titulu viazania prostriedkov kapitoly a následného zabezpečenia prostriedkov EÚ v rozpočte PJ na ďalšie použitie vrátane prechodu rokov v zmysle § 18 </w:t>
      </w:r>
      <w:r w:rsidRPr="003208E6">
        <w:rPr>
          <w:rFonts w:ascii="Times New Roman" w:hAnsi="Times New Roman"/>
          <w:sz w:val="22"/>
          <w:szCs w:val="22"/>
        </w:rPr>
        <w:t>zákona č. 523/2004 Z. z. o rozpočtových pravidlách verejnej správy</w:t>
      </w:r>
      <w:r>
        <w:rPr>
          <w:rFonts w:ascii="Times New Roman" w:hAnsi="Times New Roman"/>
          <w:sz w:val="22"/>
          <w:szCs w:val="22"/>
        </w:rPr>
        <w:t xml:space="preserve"> a z titulu vrátených prostriedkov Európskej únie do štátneho rozpočtu v zmysle § 15 </w:t>
      </w:r>
      <w:r w:rsidRPr="003208E6">
        <w:rPr>
          <w:rFonts w:ascii="Times New Roman" w:hAnsi="Times New Roman"/>
          <w:sz w:val="22"/>
          <w:szCs w:val="22"/>
        </w:rPr>
        <w:t>zákona č. 523/2004 Z. z. o rozpočtových pravidlách verejnej správy</w:t>
      </w:r>
      <w:r>
        <w:rPr>
          <w:rFonts w:ascii="Times New Roman" w:hAnsi="Times New Roman"/>
          <w:sz w:val="22"/>
          <w:szCs w:val="22"/>
        </w:rPr>
        <w:t>.</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Plnenie príjmov z</w:t>
      </w:r>
      <w:r>
        <w:rPr>
          <w:rFonts w:ascii="Times New Roman" w:hAnsi="Times New Roman"/>
          <w:sz w:val="22"/>
          <w:szCs w:val="22"/>
        </w:rPr>
        <w:t>o</w:t>
      </w:r>
      <w:r w:rsidRPr="003208E6">
        <w:rPr>
          <w:rFonts w:ascii="Times New Roman" w:hAnsi="Times New Roman"/>
          <w:sz w:val="22"/>
          <w:szCs w:val="22"/>
        </w:rPr>
        <w:t xml:space="preserve"> zahraničn</w:t>
      </w:r>
      <w:r>
        <w:rPr>
          <w:rFonts w:ascii="Times New Roman" w:hAnsi="Times New Roman"/>
          <w:sz w:val="22"/>
          <w:szCs w:val="22"/>
        </w:rPr>
        <w:t>ých transferov</w:t>
      </w:r>
      <w:r w:rsidRPr="003208E6">
        <w:rPr>
          <w:rFonts w:ascii="Times New Roman" w:hAnsi="Times New Roman"/>
          <w:b/>
          <w:i/>
          <w:sz w:val="22"/>
          <w:szCs w:val="22"/>
        </w:rPr>
        <w:t xml:space="preserve"> </w:t>
      </w:r>
      <w:r w:rsidRPr="003208E6">
        <w:rPr>
          <w:rFonts w:ascii="Times New Roman" w:hAnsi="Times New Roman"/>
          <w:sz w:val="22"/>
          <w:szCs w:val="22"/>
        </w:rPr>
        <w:t xml:space="preserve">vo výške </w:t>
      </w:r>
      <w:r>
        <w:rPr>
          <w:rFonts w:ascii="Times New Roman" w:hAnsi="Times New Roman"/>
          <w:sz w:val="22"/>
          <w:szCs w:val="22"/>
        </w:rPr>
        <w:t>4 280 041</w:t>
      </w:r>
      <w:r w:rsidRPr="003208E6">
        <w:rPr>
          <w:rFonts w:ascii="Times New Roman" w:hAnsi="Times New Roman"/>
          <w:sz w:val="22"/>
          <w:szCs w:val="22"/>
        </w:rPr>
        <w:t xml:space="preserve"> tis. eur predstavuje plnenie na úrovni </w:t>
      </w:r>
      <w:r>
        <w:rPr>
          <w:rFonts w:ascii="Times New Roman" w:hAnsi="Times New Roman"/>
          <w:sz w:val="22"/>
          <w:szCs w:val="22"/>
        </w:rPr>
        <w:t>100,19</w:t>
      </w:r>
      <w:r w:rsidRPr="003208E6">
        <w:rPr>
          <w:rFonts w:ascii="Times New Roman" w:hAnsi="Times New Roman"/>
          <w:sz w:val="22"/>
          <w:szCs w:val="22"/>
        </w:rPr>
        <w:t xml:space="preserve"> % z upraveného rozpočtu. Príjmy zo štrukturáln</w:t>
      </w:r>
      <w:r>
        <w:rPr>
          <w:rFonts w:ascii="Times New Roman" w:hAnsi="Times New Roman"/>
          <w:sz w:val="22"/>
          <w:szCs w:val="22"/>
        </w:rPr>
        <w:t xml:space="preserve">ych fondov a Kohézneho fondu sú </w:t>
      </w:r>
      <w:r w:rsidRPr="003208E6">
        <w:rPr>
          <w:rFonts w:ascii="Times New Roman" w:hAnsi="Times New Roman"/>
          <w:sz w:val="22"/>
          <w:szCs w:val="22"/>
        </w:rPr>
        <w:t xml:space="preserve">vo výške </w:t>
      </w:r>
      <w:r>
        <w:rPr>
          <w:rFonts w:ascii="Times New Roman" w:hAnsi="Times New Roman"/>
          <w:sz w:val="22"/>
          <w:szCs w:val="22"/>
        </w:rPr>
        <w:t>3 656 269</w:t>
      </w:r>
      <w:r w:rsidRPr="003208E6">
        <w:rPr>
          <w:rFonts w:ascii="Times New Roman" w:hAnsi="Times New Roman"/>
          <w:sz w:val="22"/>
          <w:szCs w:val="22"/>
        </w:rPr>
        <w:t xml:space="preserve"> tis. eur, čo predstavuje plnenie na úrovni </w:t>
      </w:r>
      <w:r>
        <w:rPr>
          <w:rFonts w:ascii="Times New Roman" w:hAnsi="Times New Roman"/>
          <w:sz w:val="22"/>
          <w:szCs w:val="22"/>
        </w:rPr>
        <w:t xml:space="preserve">85,43 % dosiahnutých príjmov zahraničných transferov. Príjmy </w:t>
      </w:r>
      <w:r w:rsidRPr="003208E6">
        <w:rPr>
          <w:rFonts w:ascii="Times New Roman" w:hAnsi="Times New Roman"/>
          <w:sz w:val="22"/>
          <w:szCs w:val="22"/>
        </w:rPr>
        <w:t>z poľnohospodársk</w:t>
      </w:r>
      <w:r>
        <w:rPr>
          <w:rFonts w:ascii="Times New Roman" w:hAnsi="Times New Roman"/>
          <w:sz w:val="22"/>
          <w:szCs w:val="22"/>
        </w:rPr>
        <w:t>ych</w:t>
      </w:r>
      <w:r w:rsidRPr="003208E6">
        <w:rPr>
          <w:rFonts w:ascii="Times New Roman" w:hAnsi="Times New Roman"/>
          <w:sz w:val="22"/>
          <w:szCs w:val="22"/>
        </w:rPr>
        <w:t xml:space="preserve"> fond</w:t>
      </w:r>
      <w:r>
        <w:rPr>
          <w:rFonts w:ascii="Times New Roman" w:hAnsi="Times New Roman"/>
          <w:sz w:val="22"/>
          <w:szCs w:val="22"/>
        </w:rPr>
        <w:t>ov</w:t>
      </w:r>
      <w:r w:rsidRPr="003208E6">
        <w:rPr>
          <w:rFonts w:ascii="Times New Roman" w:hAnsi="Times New Roman"/>
          <w:sz w:val="22"/>
          <w:szCs w:val="22"/>
        </w:rPr>
        <w:t xml:space="preserve"> </w:t>
      </w:r>
      <w:r>
        <w:rPr>
          <w:rFonts w:ascii="Times New Roman" w:hAnsi="Times New Roman"/>
          <w:sz w:val="22"/>
          <w:szCs w:val="22"/>
        </w:rPr>
        <w:t>boli</w:t>
      </w:r>
      <w:r w:rsidRPr="003208E6">
        <w:rPr>
          <w:rFonts w:ascii="Times New Roman" w:hAnsi="Times New Roman"/>
          <w:sz w:val="22"/>
          <w:szCs w:val="22"/>
        </w:rPr>
        <w:t xml:space="preserve"> vo výške </w:t>
      </w:r>
      <w:r>
        <w:rPr>
          <w:rFonts w:ascii="Times New Roman" w:hAnsi="Times New Roman"/>
          <w:sz w:val="22"/>
          <w:szCs w:val="22"/>
        </w:rPr>
        <w:t>623 772</w:t>
      </w:r>
      <w:r w:rsidRPr="003208E6">
        <w:rPr>
          <w:rFonts w:ascii="Times New Roman" w:hAnsi="Times New Roman"/>
          <w:sz w:val="22"/>
          <w:szCs w:val="22"/>
        </w:rPr>
        <w:t xml:space="preserve"> tis. eur, č</w:t>
      </w:r>
      <w:r>
        <w:rPr>
          <w:rFonts w:ascii="Times New Roman" w:hAnsi="Times New Roman"/>
          <w:sz w:val="22"/>
          <w:szCs w:val="22"/>
        </w:rPr>
        <w:t>o predstavuje plnenie na úrovni 14,57</w:t>
      </w:r>
      <w:r w:rsidRPr="003208E6">
        <w:rPr>
          <w:rFonts w:ascii="Times New Roman" w:hAnsi="Times New Roman"/>
          <w:sz w:val="22"/>
          <w:szCs w:val="22"/>
        </w:rPr>
        <w:t xml:space="preserve"> % dosiahnutých príjmov zahraničných transferov</w:t>
      </w:r>
      <w:r>
        <w:rPr>
          <w:rFonts w:ascii="Times New Roman" w:hAnsi="Times New Roman"/>
          <w:sz w:val="22"/>
          <w:szCs w:val="22"/>
        </w:rPr>
        <w:t>.</w:t>
      </w:r>
      <w:r w:rsidRPr="00BF52A3">
        <w:rPr>
          <w:rFonts w:ascii="Times New Roman" w:hAnsi="Times New Roman"/>
          <w:sz w:val="22"/>
          <w:szCs w:val="22"/>
        </w:rPr>
        <w:t xml:space="preserve"> </w:t>
      </w:r>
    </w:p>
    <w:p w:rsidR="00900E1A" w:rsidRPr="003208E6" w:rsidP="00900E1A">
      <w:pPr>
        <w:bidi w:val="0"/>
        <w:spacing w:after="120" w:line="336" w:lineRule="auto"/>
        <w:jc w:val="both"/>
        <w:rPr>
          <w:rFonts w:ascii="Times New Roman" w:hAnsi="Times New Roman"/>
          <w:sz w:val="22"/>
          <w:szCs w:val="22"/>
        </w:rPr>
      </w:pPr>
      <w:r w:rsidRPr="00FE29C3">
        <w:rPr>
          <w:rFonts w:ascii="Times New Roman" w:hAnsi="Times New Roman"/>
          <w:sz w:val="22"/>
          <w:szCs w:val="22"/>
        </w:rPr>
        <w:t xml:space="preserve">Plnenie príjmov </w:t>
      </w:r>
      <w:r>
        <w:rPr>
          <w:rFonts w:ascii="Times New Roman" w:hAnsi="Times New Roman"/>
          <w:sz w:val="22"/>
          <w:szCs w:val="22"/>
        </w:rPr>
        <w:t>nad rámec upraveného rozpočtu v roku 2015 o</w:t>
      </w:r>
      <w:r w:rsidRPr="00FE29C3">
        <w:rPr>
          <w:rFonts w:ascii="Times New Roman" w:hAnsi="Times New Roman"/>
          <w:sz w:val="22"/>
          <w:szCs w:val="22"/>
        </w:rPr>
        <w:t xml:space="preserve">vplyvnili príjmy za </w:t>
      </w:r>
      <w:r>
        <w:rPr>
          <w:rFonts w:ascii="Times New Roman" w:hAnsi="Times New Roman"/>
          <w:sz w:val="22"/>
          <w:szCs w:val="22"/>
        </w:rPr>
        <w:t>prostriedky Kohézneho fondu</w:t>
      </w:r>
      <w:r w:rsidRPr="00FE29C3">
        <w:rPr>
          <w:rFonts w:ascii="Times New Roman" w:hAnsi="Times New Roman"/>
          <w:sz w:val="22"/>
          <w:szCs w:val="22"/>
        </w:rPr>
        <w:t xml:space="preserve"> 1. programového obdobia v</w:t>
      </w:r>
      <w:r>
        <w:rPr>
          <w:rFonts w:ascii="Times New Roman" w:hAnsi="Times New Roman"/>
          <w:sz w:val="22"/>
          <w:szCs w:val="22"/>
        </w:rPr>
        <w:t>o</w:t>
      </w:r>
      <w:r w:rsidRPr="00FE29C3">
        <w:rPr>
          <w:rFonts w:ascii="Times New Roman" w:hAnsi="Times New Roman"/>
          <w:sz w:val="22"/>
          <w:szCs w:val="22"/>
        </w:rPr>
        <w:t xml:space="preserve"> výške </w:t>
      </w:r>
      <w:r>
        <w:rPr>
          <w:rFonts w:ascii="Times New Roman" w:hAnsi="Times New Roman"/>
          <w:sz w:val="22"/>
          <w:szCs w:val="22"/>
        </w:rPr>
        <w:t xml:space="preserve">9 209 </w:t>
      </w:r>
      <w:r w:rsidR="00BE020A">
        <w:rPr>
          <w:rFonts w:ascii="Times New Roman" w:hAnsi="Times New Roman"/>
          <w:sz w:val="22"/>
          <w:szCs w:val="22"/>
        </w:rPr>
        <w:t>tis. eur</w:t>
      </w:r>
      <w:r>
        <w:rPr>
          <w:rFonts w:ascii="Times New Roman" w:hAnsi="Times New Roman"/>
          <w:sz w:val="22"/>
          <w:szCs w:val="22"/>
        </w:rPr>
        <w:t xml:space="preserve">, a to v kapitole </w:t>
      </w:r>
      <w:r w:rsidRPr="00FE29C3">
        <w:rPr>
          <w:rFonts w:ascii="Times New Roman" w:hAnsi="Times New Roman"/>
          <w:sz w:val="22"/>
          <w:szCs w:val="22"/>
        </w:rPr>
        <w:t>Ministerstva životného prostredia SR</w:t>
      </w:r>
      <w:r>
        <w:rPr>
          <w:rFonts w:ascii="Times New Roman" w:hAnsi="Times New Roman"/>
          <w:sz w:val="22"/>
          <w:szCs w:val="22"/>
        </w:rPr>
        <w:t>.</w:t>
      </w:r>
      <w:r w:rsidRPr="00FE29C3">
        <w:rPr>
          <w:rFonts w:ascii="Times New Roman" w:hAnsi="Times New Roman"/>
          <w:sz w:val="22"/>
          <w:szCs w:val="22"/>
        </w:rPr>
        <w:t xml:space="preserve"> </w:t>
      </w:r>
    </w:p>
    <w:p w:rsidR="00900E1A" w:rsidP="00900E1A">
      <w:pPr>
        <w:bidi w:val="0"/>
        <w:spacing w:after="120" w:line="336" w:lineRule="auto"/>
        <w:jc w:val="both"/>
        <w:rPr>
          <w:rFonts w:ascii="Times New Roman" w:hAnsi="Times New Roman"/>
          <w:sz w:val="22"/>
          <w:szCs w:val="22"/>
        </w:rPr>
      </w:pPr>
      <w:r w:rsidRPr="00E03774">
        <w:rPr>
          <w:rFonts w:ascii="Times New Roman" w:hAnsi="Times New Roman"/>
          <w:sz w:val="22"/>
          <w:szCs w:val="22"/>
        </w:rPr>
        <w:t xml:space="preserve">Skutočné plnenie príjmov zo štrukturálnych fondov a Kohézneho fondu bolo </w:t>
      </w:r>
      <w:r>
        <w:rPr>
          <w:rFonts w:ascii="Times New Roman" w:hAnsi="Times New Roman"/>
          <w:sz w:val="22"/>
          <w:szCs w:val="22"/>
        </w:rPr>
        <w:t xml:space="preserve">pozitívne </w:t>
      </w:r>
      <w:r w:rsidRPr="00E03774">
        <w:rPr>
          <w:rFonts w:ascii="Times New Roman" w:hAnsi="Times New Roman"/>
          <w:sz w:val="22"/>
          <w:szCs w:val="22"/>
        </w:rPr>
        <w:t xml:space="preserve">ovplyvnené </w:t>
      </w:r>
      <w:r>
        <w:rPr>
          <w:rFonts w:ascii="Times New Roman" w:hAnsi="Times New Roman"/>
          <w:sz w:val="22"/>
          <w:szCs w:val="22"/>
        </w:rPr>
        <w:t>objemom uhradených súhrnných žiadostí o platbu z roku 2014. Dôvodom bolo pozastavenie platieb z EÚ ku koncu roka 2014 pri štyroch operačných programoch (Operačný program Informatizácia spoločnosti, Regionálny operačný program, Operačný program Konkurencieschopnosť a hospodársky rast a Operačný program Výskum a vývoj), na základe čoho nebolo možné predkladať žiadosti o platbu na EK, čo spôsobilo nedostatočnú likviditu na účtoch certifikačného orgánu a negatívnu bilanciu príjmov a výdavkov. Z uvedeného dôvodu neboli naplnené príjmy platobných jednotiek v roku 2014 vo výške 784 137 tis. eur. V roku 2015 došlo k odblokovaniu týchto operačných programov, spusteniu platieb zo strany EK a následnému doplneniu likvidity certifikačného orgánu, na základe čoho boli naplnené príjmy platobných jednotiek za súhrnné žiadosti o platbu z roku 2014 vo výške 738 229 tis. eur.</w:t>
      </w:r>
    </w:p>
    <w:p w:rsidR="00900E1A" w:rsidP="00900E1A">
      <w:pPr>
        <w:bidi w:val="0"/>
        <w:spacing w:after="120" w:line="336" w:lineRule="auto"/>
        <w:jc w:val="both"/>
        <w:rPr>
          <w:rFonts w:ascii="Times New Roman" w:hAnsi="Times New Roman"/>
          <w:sz w:val="22"/>
          <w:szCs w:val="22"/>
        </w:rPr>
      </w:pPr>
      <w:r w:rsidRPr="00296989">
        <w:rPr>
          <w:rFonts w:ascii="Times New Roman" w:hAnsi="Times New Roman"/>
          <w:sz w:val="22"/>
          <w:szCs w:val="22"/>
        </w:rPr>
        <w:t>Rok 2015 bol historicky najnáročnejší z pohľadu najvyššieho počtu spracovaných a zaslaných žiadostí o platbu na EK zo</w:t>
      </w:r>
      <w:r w:rsidRPr="003173E4">
        <w:rPr>
          <w:rFonts w:ascii="Times New Roman" w:hAnsi="Times New Roman"/>
          <w:sz w:val="22"/>
          <w:szCs w:val="22"/>
        </w:rPr>
        <w:t xml:space="preserve"> strany certifikačného orgánu, </w:t>
      </w:r>
      <w:r w:rsidRPr="00296989">
        <w:rPr>
          <w:rFonts w:ascii="Times New Roman" w:hAnsi="Times New Roman"/>
          <w:sz w:val="22"/>
          <w:szCs w:val="22"/>
        </w:rPr>
        <w:t xml:space="preserve">aj vďaka </w:t>
      </w:r>
      <w:r>
        <w:rPr>
          <w:rFonts w:ascii="Times New Roman" w:hAnsi="Times New Roman"/>
          <w:sz w:val="22"/>
          <w:szCs w:val="22"/>
        </w:rPr>
        <w:t xml:space="preserve">čomu </w:t>
      </w:r>
      <w:r w:rsidRPr="00296989">
        <w:rPr>
          <w:rFonts w:ascii="Times New Roman" w:hAnsi="Times New Roman"/>
          <w:sz w:val="22"/>
          <w:szCs w:val="22"/>
        </w:rPr>
        <w:t>sa podarilo eliminovať riziko prepadu prostriedkov, ktoré začiatkom roka hrozilo v rámci 7</w:t>
      </w:r>
      <w:r>
        <w:rPr>
          <w:rFonts w:ascii="Times New Roman" w:hAnsi="Times New Roman"/>
          <w:sz w:val="22"/>
          <w:szCs w:val="22"/>
        </w:rPr>
        <w:t xml:space="preserve"> operačných programov.</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b/>
          <w:sz w:val="22"/>
          <w:szCs w:val="22"/>
        </w:rPr>
        <w:t>Príjmy z</w:t>
      </w:r>
      <w:r>
        <w:rPr>
          <w:rFonts w:ascii="Times New Roman" w:hAnsi="Times New Roman"/>
          <w:b/>
          <w:sz w:val="22"/>
          <w:szCs w:val="22"/>
        </w:rPr>
        <w:t>o</w:t>
      </w:r>
      <w:r w:rsidRPr="003208E6">
        <w:rPr>
          <w:rFonts w:ascii="Times New Roman" w:hAnsi="Times New Roman"/>
          <w:b/>
          <w:sz w:val="22"/>
          <w:szCs w:val="22"/>
        </w:rPr>
        <w:t xml:space="preserve"> zahraničn</w:t>
      </w:r>
      <w:r>
        <w:rPr>
          <w:rFonts w:ascii="Times New Roman" w:hAnsi="Times New Roman"/>
          <w:b/>
          <w:sz w:val="22"/>
          <w:szCs w:val="22"/>
        </w:rPr>
        <w:t>ých grantov</w:t>
      </w:r>
      <w:r w:rsidRPr="003208E6">
        <w:rPr>
          <w:rFonts w:ascii="Times New Roman" w:hAnsi="Times New Roman"/>
          <w:sz w:val="22"/>
          <w:szCs w:val="22"/>
        </w:rPr>
        <w:t xml:space="preserve"> sa nerozpočtujú, nakoľko nie je možné predpokladať ich výšku od</w:t>
      </w:r>
      <w:r>
        <w:rPr>
          <w:rFonts w:ascii="Times New Roman" w:hAnsi="Times New Roman"/>
          <w:sz w:val="22"/>
          <w:szCs w:val="22"/>
        </w:rPr>
        <w:t> </w:t>
      </w:r>
      <w:r w:rsidRPr="003208E6">
        <w:rPr>
          <w:rFonts w:ascii="Times New Roman" w:hAnsi="Times New Roman"/>
          <w:sz w:val="22"/>
          <w:szCs w:val="22"/>
        </w:rPr>
        <w:t>jednotlivých poskytovateľov. V rámci zahraničných grantov sú uvedené výlučne zahraničné granty poskytnuté z rozpočtu EÚ, ktorých poskytovanie riadi EÚ centralizovaným spôsobom. Skutočné plnenie príjmov zahraničných grantov poskyt</w:t>
      </w:r>
      <w:r>
        <w:rPr>
          <w:rFonts w:ascii="Times New Roman" w:hAnsi="Times New Roman"/>
          <w:sz w:val="22"/>
          <w:szCs w:val="22"/>
        </w:rPr>
        <w:t>nutých z rozpočtu EÚ v roku 2015</w:t>
      </w:r>
      <w:r w:rsidRPr="003208E6">
        <w:rPr>
          <w:rFonts w:ascii="Times New Roman" w:hAnsi="Times New Roman"/>
          <w:sz w:val="22"/>
          <w:szCs w:val="22"/>
        </w:rPr>
        <w:t xml:space="preserve"> bolo vo</w:t>
      </w:r>
      <w:r>
        <w:rPr>
          <w:rFonts w:ascii="Times New Roman" w:hAnsi="Times New Roman"/>
          <w:sz w:val="22"/>
          <w:szCs w:val="22"/>
        </w:rPr>
        <w:t> </w:t>
      </w:r>
      <w:r w:rsidRPr="003208E6">
        <w:rPr>
          <w:rFonts w:ascii="Times New Roman" w:hAnsi="Times New Roman"/>
          <w:sz w:val="22"/>
          <w:szCs w:val="22"/>
        </w:rPr>
        <w:t>výške</w:t>
      </w:r>
      <w:r>
        <w:rPr>
          <w:rFonts w:ascii="Times New Roman" w:hAnsi="Times New Roman"/>
          <w:sz w:val="22"/>
          <w:szCs w:val="22"/>
        </w:rPr>
        <w:t xml:space="preserve"> 8 832</w:t>
      </w:r>
      <w:r w:rsidRPr="003208E6">
        <w:rPr>
          <w:rFonts w:ascii="Times New Roman" w:hAnsi="Times New Roman"/>
          <w:sz w:val="22"/>
          <w:szCs w:val="22"/>
        </w:rPr>
        <w:t xml:space="preserve"> tis. </w:t>
      </w:r>
      <w:r w:rsidRPr="006C628E">
        <w:rPr>
          <w:rFonts w:ascii="Times New Roman" w:hAnsi="Times New Roman"/>
          <w:sz w:val="22"/>
          <w:szCs w:val="22"/>
        </w:rPr>
        <w:t>eur. Tieto príjmy zo zahraničných grantov z prostriedkov EÚ boli použité najmä na programy cezhraničnej spolupráce, programy v oblasti vzdelávania, výskumu, na realizáciu projektov v dopravnej infraštruktúre a v oblasti bezpečnosti, migrácie osôb a ochrany hraníc.</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Prehľad je uvedený v nasledovnej tabuľke:</w:t>
      </w:r>
    </w:p>
    <w:tbl>
      <w:tblPr>
        <w:tblStyle w:val="TableNormal"/>
        <w:tblW w:w="5000" w:type="pct"/>
        <w:tblLayout w:type="fixed"/>
        <w:tblCellMar>
          <w:left w:w="70" w:type="dxa"/>
          <w:right w:w="70" w:type="dxa"/>
        </w:tblCellMar>
        <w:tblLook w:val="04A0"/>
      </w:tblPr>
      <w:tblGrid>
        <w:gridCol w:w="2901"/>
        <w:gridCol w:w="995"/>
        <w:gridCol w:w="993"/>
        <w:gridCol w:w="1134"/>
        <w:gridCol w:w="1134"/>
        <w:gridCol w:w="966"/>
        <w:gridCol w:w="805"/>
      </w:tblGrid>
      <w:tr>
        <w:tblPrEx>
          <w:tblW w:w="5000" w:type="pct"/>
          <w:tblLayout w:type="fixed"/>
          <w:tblCellMar>
            <w:left w:w="70" w:type="dxa"/>
            <w:right w:w="70" w:type="dxa"/>
          </w:tblCellMar>
          <w:tblLook w:val="04A0"/>
        </w:tblPrEx>
        <w:trPr>
          <w:trHeight w:val="330"/>
        </w:trPr>
        <w:tc>
          <w:tcPr>
            <w:tcW w:w="5000" w:type="pct"/>
            <w:gridSpan w:val="7"/>
            <w:tcBorders>
              <w:top w:val="nil"/>
              <w:left w:val="nil"/>
              <w:bottom w:val="nil"/>
              <w:right w:val="nil"/>
            </w:tcBorders>
            <w:shd w:val="clear" w:color="000000" w:fill="000000"/>
            <w:noWrap/>
            <w:textDirection w:val="lrTb"/>
            <w:vAlign w:val="center"/>
            <w:hideMark/>
          </w:tcPr>
          <w:p w:rsidR="00223EFD" w:rsidRPr="00A5590B" w:rsidP="001F5C32">
            <w:pPr>
              <w:bidi w:val="0"/>
              <w:jc w:val="center"/>
              <w:rPr>
                <w:rFonts w:ascii="Times New Roman" w:hAnsi="Times New Roman"/>
                <w:b/>
                <w:bCs/>
                <w:color w:val="FFFFFF"/>
                <w:sz w:val="18"/>
                <w:szCs w:val="18"/>
              </w:rPr>
            </w:pPr>
            <w:r w:rsidRPr="00A5590B">
              <w:rPr>
                <w:rFonts w:ascii="Times New Roman" w:hAnsi="Times New Roman"/>
                <w:b/>
                <w:bCs/>
                <w:color w:val="FFFFFF"/>
                <w:sz w:val="18"/>
                <w:szCs w:val="18"/>
              </w:rPr>
              <w:t xml:space="preserve">Plnenie príjmov z rozpočtu EÚ </w:t>
            </w:r>
            <w:r>
              <w:rPr>
                <w:rFonts w:ascii="Times New Roman" w:hAnsi="Times New Roman"/>
                <w:b/>
                <w:bCs/>
                <w:color w:val="FFFFFF"/>
                <w:sz w:val="18"/>
                <w:szCs w:val="18"/>
              </w:rPr>
              <w:t xml:space="preserve">                                                                                                                            </w:t>
            </w:r>
            <w:r w:rsidRPr="00A5590B">
              <w:rPr>
                <w:rFonts w:ascii="Times New Roman" w:hAnsi="Times New Roman"/>
                <w:b/>
                <w:bCs/>
                <w:color w:val="FFFFFF"/>
                <w:sz w:val="18"/>
                <w:szCs w:val="18"/>
              </w:rPr>
              <w:t>v tis. eur</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BFBFBF"/>
            <w:textDirection w:val="lrTb"/>
            <w:vAlign w:val="center"/>
            <w:hideMark/>
          </w:tcPr>
          <w:p w:rsidR="00900E1A" w:rsidRPr="00A5590B" w:rsidP="001B6836">
            <w:pPr>
              <w:bidi w:val="0"/>
              <w:rPr>
                <w:rFonts w:ascii="Times New Roman" w:hAnsi="Times New Roman"/>
                <w:b/>
                <w:bCs/>
                <w:color w:val="FFFFFF"/>
                <w:sz w:val="20"/>
                <w:szCs w:val="20"/>
              </w:rPr>
            </w:pPr>
            <w:r w:rsidRPr="00A5590B">
              <w:rPr>
                <w:rFonts w:ascii="Times New Roman" w:hAnsi="Times New Roman"/>
                <w:b/>
                <w:bCs/>
                <w:color w:val="FFFFFF"/>
                <w:sz w:val="20"/>
                <w:szCs w:val="20"/>
              </w:rPr>
              <w:t> </w:t>
            </w:r>
          </w:p>
        </w:tc>
        <w:tc>
          <w:tcPr>
            <w:tcW w:w="1113" w:type="pct"/>
            <w:gridSpan w:val="2"/>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Skutočnosť</w:t>
            </w:r>
          </w:p>
        </w:tc>
        <w:tc>
          <w:tcPr>
            <w:tcW w:w="635"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Rozpočet</w:t>
            </w:r>
          </w:p>
        </w:tc>
        <w:tc>
          <w:tcPr>
            <w:tcW w:w="635"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Skutočnosť</w:t>
            </w:r>
          </w:p>
        </w:tc>
        <w:tc>
          <w:tcPr>
            <w:tcW w:w="991" w:type="pct"/>
            <w:gridSpan w:val="2"/>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Rozdiel</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sz w:val="20"/>
                <w:szCs w:val="20"/>
              </w:rPr>
            </w:pPr>
            <w:r w:rsidRPr="00A5590B">
              <w:rPr>
                <w:rFonts w:ascii="Times New Roman" w:hAnsi="Times New Roman"/>
                <w:b/>
                <w:bCs/>
                <w:sz w:val="20"/>
                <w:szCs w:val="20"/>
              </w:rPr>
              <w:t> </w:t>
            </w:r>
          </w:p>
        </w:tc>
        <w:tc>
          <w:tcPr>
            <w:tcW w:w="557"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2013</w:t>
            </w:r>
          </w:p>
        </w:tc>
        <w:tc>
          <w:tcPr>
            <w:tcW w:w="556"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2014</w:t>
            </w:r>
          </w:p>
        </w:tc>
        <w:tc>
          <w:tcPr>
            <w:tcW w:w="635"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2015</w:t>
            </w:r>
          </w:p>
        </w:tc>
        <w:tc>
          <w:tcPr>
            <w:tcW w:w="635"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2015</w:t>
            </w:r>
          </w:p>
        </w:tc>
        <w:tc>
          <w:tcPr>
            <w:tcW w:w="541"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 xml:space="preserve"> v tis. eur</w:t>
            </w:r>
          </w:p>
        </w:tc>
        <w:tc>
          <w:tcPr>
            <w:tcW w:w="450" w:type="pct"/>
            <w:tcBorders>
              <w:top w:val="nil"/>
              <w:left w:val="nil"/>
              <w:bottom w:val="nil"/>
              <w:right w:val="nil"/>
            </w:tcBorders>
            <w:shd w:val="clear" w:color="000000" w:fill="BFBFBF"/>
            <w:textDirection w:val="lrTb"/>
            <w:vAlign w:val="center"/>
            <w:hideMark/>
          </w:tcPr>
          <w:p w:rsidR="00900E1A" w:rsidRPr="00A5590B" w:rsidP="001B6836">
            <w:pPr>
              <w:bidi w:val="0"/>
              <w:jc w:val="center"/>
              <w:rPr>
                <w:rFonts w:ascii="Times New Roman" w:hAnsi="Times New Roman"/>
                <w:b/>
                <w:bCs/>
                <w:color w:val="000000"/>
                <w:sz w:val="20"/>
                <w:szCs w:val="20"/>
              </w:rPr>
            </w:pPr>
            <w:r w:rsidRPr="00A5590B">
              <w:rPr>
                <w:rFonts w:ascii="Times New Roman" w:hAnsi="Times New Roman"/>
                <w:b/>
                <w:bCs/>
                <w:color w:val="000000"/>
                <w:sz w:val="20"/>
                <w:szCs w:val="20"/>
              </w:rPr>
              <w:t>v %</w:t>
            </w:r>
          </w:p>
        </w:tc>
      </w:tr>
      <w:tr>
        <w:tblPrEx>
          <w:tblW w:w="5000" w:type="pct"/>
          <w:tblLayout w:type="fixed"/>
          <w:tblCellMar>
            <w:left w:w="70" w:type="dxa"/>
            <w:right w:w="70" w:type="dxa"/>
          </w:tblCellMar>
          <w:tblLook w:val="04A0"/>
        </w:tblPrEx>
        <w:trPr>
          <w:trHeight w:val="345"/>
        </w:trPr>
        <w:tc>
          <w:tcPr>
            <w:tcW w:w="1625" w:type="pct"/>
            <w:tcBorders>
              <w:top w:val="nil"/>
              <w:left w:val="nil"/>
              <w:bottom w:val="single" w:sz="8" w:space="0" w:color="auto"/>
              <w:right w:val="nil"/>
            </w:tcBorders>
            <w:shd w:val="clear" w:color="000000" w:fill="BFBFBF"/>
            <w:textDirection w:val="lrTb"/>
            <w:vAlign w:val="center"/>
            <w:hideMark/>
          </w:tcPr>
          <w:p w:rsidR="00900E1A" w:rsidRPr="00A5590B" w:rsidP="001B6836">
            <w:pPr>
              <w:bidi w:val="0"/>
              <w:rPr>
                <w:rFonts w:ascii="Times New Roman" w:hAnsi="Times New Roman"/>
                <w:b/>
                <w:bCs/>
                <w:color w:val="FFFFFF"/>
                <w:sz w:val="20"/>
                <w:szCs w:val="20"/>
              </w:rPr>
            </w:pPr>
            <w:r w:rsidRPr="00A5590B">
              <w:rPr>
                <w:rFonts w:ascii="Times New Roman" w:hAnsi="Times New Roman"/>
                <w:b/>
                <w:bCs/>
                <w:color w:val="FFFFFF"/>
                <w:sz w:val="20"/>
                <w:szCs w:val="20"/>
              </w:rPr>
              <w:t> </w:t>
            </w:r>
          </w:p>
        </w:tc>
        <w:tc>
          <w:tcPr>
            <w:tcW w:w="557" w:type="pct"/>
            <w:tcBorders>
              <w:top w:val="nil"/>
              <w:left w:val="nil"/>
              <w:bottom w:val="single" w:sz="8" w:space="0" w:color="auto"/>
              <w:right w:val="nil"/>
            </w:tcBorders>
            <w:shd w:val="clear" w:color="000000" w:fill="BFBFBF"/>
            <w:textDirection w:val="lrTb"/>
            <w:vAlign w:val="center"/>
            <w:hideMark/>
          </w:tcPr>
          <w:p w:rsidR="00900E1A" w:rsidRPr="00A5590B" w:rsidP="001B6836">
            <w:pPr>
              <w:bidi w:val="0"/>
              <w:jc w:val="center"/>
              <w:rPr>
                <w:rFonts w:ascii="Times New Roman" w:hAnsi="Times New Roman"/>
                <w:b/>
                <w:bCs/>
                <w:sz w:val="20"/>
                <w:szCs w:val="20"/>
              </w:rPr>
            </w:pPr>
            <w:r w:rsidRPr="00A5590B">
              <w:rPr>
                <w:rFonts w:ascii="Times New Roman" w:hAnsi="Times New Roman"/>
                <w:b/>
                <w:bCs/>
                <w:sz w:val="20"/>
                <w:szCs w:val="20"/>
              </w:rPr>
              <w:t>1</w:t>
            </w:r>
          </w:p>
        </w:tc>
        <w:tc>
          <w:tcPr>
            <w:tcW w:w="556" w:type="pct"/>
            <w:tcBorders>
              <w:top w:val="nil"/>
              <w:left w:val="nil"/>
              <w:bottom w:val="single" w:sz="8" w:space="0" w:color="auto"/>
              <w:right w:val="nil"/>
            </w:tcBorders>
            <w:shd w:val="clear" w:color="000000" w:fill="BFBFBF"/>
            <w:textDirection w:val="lrTb"/>
            <w:vAlign w:val="center"/>
            <w:hideMark/>
          </w:tcPr>
          <w:p w:rsidR="00900E1A" w:rsidRPr="00A5590B" w:rsidP="001B6836">
            <w:pPr>
              <w:bidi w:val="0"/>
              <w:jc w:val="center"/>
              <w:rPr>
                <w:rFonts w:ascii="Times New Roman" w:hAnsi="Times New Roman"/>
                <w:b/>
                <w:bCs/>
                <w:sz w:val="20"/>
                <w:szCs w:val="20"/>
              </w:rPr>
            </w:pPr>
            <w:r w:rsidRPr="00A5590B">
              <w:rPr>
                <w:rFonts w:ascii="Times New Roman" w:hAnsi="Times New Roman"/>
                <w:b/>
                <w:bCs/>
                <w:sz w:val="20"/>
                <w:szCs w:val="20"/>
              </w:rPr>
              <w:t>2</w:t>
            </w:r>
          </w:p>
        </w:tc>
        <w:tc>
          <w:tcPr>
            <w:tcW w:w="635" w:type="pct"/>
            <w:tcBorders>
              <w:top w:val="nil"/>
              <w:left w:val="nil"/>
              <w:bottom w:val="single" w:sz="8" w:space="0" w:color="auto"/>
              <w:right w:val="nil"/>
            </w:tcBorders>
            <w:shd w:val="clear" w:color="000000" w:fill="BFBFBF"/>
            <w:textDirection w:val="lrTb"/>
            <w:vAlign w:val="center"/>
            <w:hideMark/>
          </w:tcPr>
          <w:p w:rsidR="00900E1A" w:rsidRPr="00A5590B" w:rsidP="001B6836">
            <w:pPr>
              <w:bidi w:val="0"/>
              <w:jc w:val="center"/>
              <w:rPr>
                <w:rFonts w:ascii="Times New Roman" w:hAnsi="Times New Roman"/>
                <w:b/>
                <w:bCs/>
                <w:sz w:val="20"/>
                <w:szCs w:val="20"/>
              </w:rPr>
            </w:pPr>
            <w:r w:rsidRPr="00A5590B">
              <w:rPr>
                <w:rFonts w:ascii="Times New Roman" w:hAnsi="Times New Roman"/>
                <w:b/>
                <w:bCs/>
                <w:sz w:val="20"/>
                <w:szCs w:val="20"/>
              </w:rPr>
              <w:t>3</w:t>
            </w:r>
          </w:p>
        </w:tc>
        <w:tc>
          <w:tcPr>
            <w:tcW w:w="635" w:type="pct"/>
            <w:tcBorders>
              <w:top w:val="nil"/>
              <w:left w:val="nil"/>
              <w:bottom w:val="single" w:sz="8" w:space="0" w:color="auto"/>
              <w:right w:val="nil"/>
            </w:tcBorders>
            <w:shd w:val="clear" w:color="000000" w:fill="BFBFBF"/>
            <w:textDirection w:val="lrTb"/>
            <w:vAlign w:val="center"/>
            <w:hideMark/>
          </w:tcPr>
          <w:p w:rsidR="00900E1A" w:rsidRPr="00A5590B" w:rsidP="001B6836">
            <w:pPr>
              <w:bidi w:val="0"/>
              <w:jc w:val="center"/>
              <w:rPr>
                <w:rFonts w:ascii="Times New Roman" w:hAnsi="Times New Roman"/>
                <w:b/>
                <w:bCs/>
                <w:sz w:val="20"/>
                <w:szCs w:val="20"/>
              </w:rPr>
            </w:pPr>
            <w:r w:rsidRPr="00A5590B">
              <w:rPr>
                <w:rFonts w:ascii="Times New Roman" w:hAnsi="Times New Roman"/>
                <w:b/>
                <w:bCs/>
                <w:sz w:val="20"/>
                <w:szCs w:val="20"/>
              </w:rPr>
              <w:t>4</w:t>
            </w:r>
          </w:p>
        </w:tc>
        <w:tc>
          <w:tcPr>
            <w:tcW w:w="541" w:type="pct"/>
            <w:tcBorders>
              <w:top w:val="nil"/>
              <w:left w:val="nil"/>
              <w:bottom w:val="single" w:sz="8" w:space="0" w:color="auto"/>
              <w:right w:val="nil"/>
            </w:tcBorders>
            <w:shd w:val="clear" w:color="000000" w:fill="BFBFBF"/>
            <w:textDirection w:val="lrTb"/>
            <w:vAlign w:val="center"/>
            <w:hideMark/>
          </w:tcPr>
          <w:p w:rsidR="00900E1A" w:rsidRPr="00A5590B" w:rsidP="001B6836">
            <w:pPr>
              <w:bidi w:val="0"/>
              <w:jc w:val="center"/>
              <w:rPr>
                <w:rFonts w:ascii="Times New Roman" w:hAnsi="Times New Roman"/>
                <w:b/>
                <w:bCs/>
                <w:sz w:val="20"/>
                <w:szCs w:val="20"/>
              </w:rPr>
            </w:pPr>
            <w:r w:rsidRPr="00A5590B">
              <w:rPr>
                <w:rFonts w:ascii="Times New Roman" w:hAnsi="Times New Roman"/>
                <w:b/>
                <w:bCs/>
                <w:sz w:val="20"/>
                <w:szCs w:val="20"/>
              </w:rPr>
              <w:t>5=4-3</w:t>
            </w:r>
          </w:p>
        </w:tc>
        <w:tc>
          <w:tcPr>
            <w:tcW w:w="450" w:type="pct"/>
            <w:tcBorders>
              <w:top w:val="nil"/>
              <w:left w:val="nil"/>
              <w:bottom w:val="single" w:sz="8" w:space="0" w:color="auto"/>
              <w:right w:val="nil"/>
            </w:tcBorders>
            <w:shd w:val="clear" w:color="000000" w:fill="BFBFBF"/>
            <w:textDirection w:val="lrTb"/>
            <w:vAlign w:val="center"/>
            <w:hideMark/>
          </w:tcPr>
          <w:p w:rsidR="00900E1A" w:rsidRPr="00A5590B" w:rsidP="001B6836">
            <w:pPr>
              <w:bidi w:val="0"/>
              <w:jc w:val="center"/>
              <w:rPr>
                <w:rFonts w:ascii="Times New Roman" w:hAnsi="Times New Roman"/>
                <w:b/>
                <w:bCs/>
                <w:sz w:val="20"/>
                <w:szCs w:val="20"/>
              </w:rPr>
            </w:pPr>
            <w:r w:rsidRPr="00A5590B">
              <w:rPr>
                <w:rFonts w:ascii="Times New Roman" w:hAnsi="Times New Roman"/>
                <w:b/>
                <w:bCs/>
                <w:sz w:val="20"/>
                <w:szCs w:val="20"/>
              </w:rPr>
              <w:t>6=4-3</w:t>
            </w:r>
          </w:p>
        </w:tc>
      </w:tr>
      <w:tr>
        <w:tblPrEx>
          <w:tblW w:w="5000" w:type="pct"/>
          <w:tblLayout w:type="fixed"/>
          <w:tblCellMar>
            <w:left w:w="70" w:type="dxa"/>
            <w:right w:w="70" w:type="dxa"/>
          </w:tblCellMar>
          <w:tblLook w:val="04A0"/>
        </w:tblPrEx>
        <w:trPr>
          <w:trHeight w:val="51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Poľnohospodárske fondy 2. programové obdobie</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509 825</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127 513</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132 374</w:t>
            </w:r>
          </w:p>
        </w:tc>
        <w:tc>
          <w:tcPr>
            <w:tcW w:w="635" w:type="pct"/>
            <w:tcBorders>
              <w:top w:val="single" w:sz="8" w:space="0" w:color="auto"/>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196 217</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63 843</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48,2</w:t>
            </w:r>
          </w:p>
        </w:tc>
      </w:tr>
      <w:tr>
        <w:tblPrEx>
          <w:tblW w:w="5000" w:type="pct"/>
          <w:tblLayout w:type="fixed"/>
          <w:tblCellMar>
            <w:left w:w="70" w:type="dxa"/>
            <w:right w:w="70" w:type="dxa"/>
          </w:tblCellMar>
          <w:tblLook w:val="04A0"/>
        </w:tblPrEx>
        <w:trPr>
          <w:trHeight w:val="51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Poľnohospodárske fondy 3. programové obdobie</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378 241</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601 490</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427 555</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-173 935</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-28,9</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b/>
                <w:bCs/>
                <w:color w:val="000000"/>
                <w:sz w:val="20"/>
                <w:szCs w:val="20"/>
              </w:rPr>
            </w:pPr>
            <w:r w:rsidRPr="00A5590B">
              <w:rPr>
                <w:rFonts w:ascii="Times New Roman" w:hAnsi="Times New Roman"/>
                <w:b/>
                <w:bCs/>
                <w:color w:val="000000"/>
                <w:sz w:val="20"/>
                <w:szCs w:val="20"/>
              </w:rPr>
              <w:t>Poľnohospodárske fondy spolu</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509 825</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505 754</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733 864</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623 772</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-110 092</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-15,0</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Štrukturálne fondy 1. programové obdobie</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16 919</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 xml:space="preserve">Štrukturálne fondy 2. programové obdobie </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978 337</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447 149</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823 882</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2 042 872</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1 218 990</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148,0</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 xml:space="preserve">Štrukturálne fondy 3. programové obdobie </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690 837</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-690 837</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-100,0</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Kohézny fond 1. programové obdobie</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5 471</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56 036</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9 209</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9 209</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Kohézny fond 2. programové obdobie</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664 445</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248 566</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705 048</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1 604 188</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899 140</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127,5</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Kohézny fond 3. programové obdobie</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318 762</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Pr>
                <w:rFonts w:ascii="Times New Roman" w:hAnsi="Times New Roman"/>
                <w:color w:val="000000"/>
                <w:sz w:val="20"/>
                <w:szCs w:val="20"/>
              </w:rPr>
              <w:t>-318 732</w:t>
            </w:r>
            <w:r w:rsidRPr="00A5590B">
              <w:rPr>
                <w:rFonts w:ascii="Times New Roman" w:hAnsi="Times New Roman"/>
                <w:color w:val="000000"/>
                <w:sz w:val="20"/>
                <w:szCs w:val="20"/>
              </w:rPr>
              <w:t> </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-100,0</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b/>
                <w:bCs/>
                <w:color w:val="000000"/>
                <w:sz w:val="20"/>
                <w:szCs w:val="20"/>
              </w:rPr>
            </w:pPr>
            <w:r w:rsidRPr="00A5590B">
              <w:rPr>
                <w:rFonts w:ascii="Times New Roman" w:hAnsi="Times New Roman"/>
                <w:b/>
                <w:bCs/>
                <w:color w:val="000000"/>
                <w:sz w:val="20"/>
                <w:szCs w:val="20"/>
              </w:rPr>
              <w:t>Štrukturálne operácie spolu</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1 665 172</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751 751</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2 538 529</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3 656 269</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1 117 740</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44,0</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Spolu zahraničné transfery</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2 174 997</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1 257 505</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3 272 393</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4 280 041</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1 007 648</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30,8</w:t>
            </w:r>
          </w:p>
        </w:tc>
      </w:tr>
      <w:tr>
        <w:tblPrEx>
          <w:tblW w:w="5000" w:type="pct"/>
          <w:tblLayout w:type="fixed"/>
          <w:tblCellMar>
            <w:left w:w="70" w:type="dxa"/>
            <w:right w:w="70" w:type="dxa"/>
          </w:tblCellMar>
          <w:tblLook w:val="04A0"/>
        </w:tblPrEx>
        <w:trPr>
          <w:trHeight w:val="330"/>
        </w:trPr>
        <w:tc>
          <w:tcPr>
            <w:tcW w:w="1625" w:type="pct"/>
            <w:tcBorders>
              <w:top w:val="nil"/>
              <w:left w:val="nil"/>
              <w:bottom w:val="nil"/>
              <w:right w:val="nil"/>
            </w:tcBorders>
            <w:shd w:val="clear" w:color="000000" w:fill="FFFFFF"/>
            <w:textDirection w:val="lrTb"/>
            <w:vAlign w:val="center"/>
            <w:hideMark/>
          </w:tcPr>
          <w:p w:rsidR="00900E1A" w:rsidRPr="00A5590B" w:rsidP="001B6836">
            <w:pPr>
              <w:bidi w:val="0"/>
              <w:rPr>
                <w:rFonts w:ascii="Times New Roman" w:hAnsi="Times New Roman"/>
                <w:color w:val="000000"/>
                <w:sz w:val="20"/>
                <w:szCs w:val="20"/>
              </w:rPr>
            </w:pPr>
            <w:r w:rsidRPr="00A5590B">
              <w:rPr>
                <w:rFonts w:ascii="Times New Roman" w:hAnsi="Times New Roman"/>
                <w:color w:val="000000"/>
                <w:sz w:val="20"/>
                <w:szCs w:val="20"/>
              </w:rPr>
              <w:t>Zahraničné granty z rozpočtu EÚ</w:t>
            </w:r>
          </w:p>
        </w:tc>
        <w:tc>
          <w:tcPr>
            <w:tcW w:w="557"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10 361</w:t>
            </w:r>
          </w:p>
        </w:tc>
        <w:tc>
          <w:tcPr>
            <w:tcW w:w="556"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7 586</w:t>
            </w:r>
          </w:p>
        </w:tc>
        <w:tc>
          <w:tcPr>
            <w:tcW w:w="635"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0</w:t>
            </w:r>
          </w:p>
        </w:tc>
        <w:tc>
          <w:tcPr>
            <w:tcW w:w="635" w:type="pct"/>
            <w:tcBorders>
              <w:top w:val="nil"/>
              <w:left w:val="nil"/>
              <w:bottom w:val="nil"/>
              <w:right w:val="nil"/>
            </w:tcBorders>
            <w:shd w:val="clear" w:color="auto" w:fill="BFBFB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8 832</w:t>
            </w:r>
          </w:p>
        </w:tc>
        <w:tc>
          <w:tcPr>
            <w:tcW w:w="541"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8 832</w:t>
            </w:r>
          </w:p>
        </w:tc>
        <w:tc>
          <w:tcPr>
            <w:tcW w:w="450" w:type="pct"/>
            <w:tcBorders>
              <w:top w:val="nil"/>
              <w:left w:val="nil"/>
              <w:bottom w:val="nil"/>
              <w:right w:val="nil"/>
            </w:tcBorders>
            <w:shd w:val="clear" w:color="000000" w:fill="FFFFFF"/>
            <w:noWrap/>
            <w:textDirection w:val="lrTb"/>
            <w:vAlign w:val="center"/>
            <w:hideMark/>
          </w:tcPr>
          <w:p w:rsidR="00900E1A" w:rsidRPr="00A5590B" w:rsidP="001B6836">
            <w:pPr>
              <w:bidi w:val="0"/>
              <w:jc w:val="right"/>
              <w:rPr>
                <w:rFonts w:ascii="Times New Roman" w:hAnsi="Times New Roman"/>
                <w:color w:val="000000"/>
                <w:sz w:val="20"/>
                <w:szCs w:val="20"/>
              </w:rPr>
            </w:pPr>
            <w:r w:rsidRPr="00A5590B">
              <w:rPr>
                <w:rFonts w:ascii="Times New Roman" w:hAnsi="Times New Roman"/>
                <w:color w:val="000000"/>
                <w:sz w:val="20"/>
                <w:szCs w:val="20"/>
              </w:rPr>
              <w:t>-</w:t>
            </w:r>
          </w:p>
        </w:tc>
      </w:tr>
      <w:tr>
        <w:tblPrEx>
          <w:tblW w:w="5000" w:type="pct"/>
          <w:tblLayout w:type="fixed"/>
          <w:tblCellMar>
            <w:left w:w="70" w:type="dxa"/>
            <w:right w:w="70" w:type="dxa"/>
          </w:tblCellMar>
          <w:tblLook w:val="04A0"/>
        </w:tblPrEx>
        <w:trPr>
          <w:trHeight w:val="345"/>
        </w:trPr>
        <w:tc>
          <w:tcPr>
            <w:tcW w:w="1625" w:type="pct"/>
            <w:tcBorders>
              <w:top w:val="single" w:sz="4" w:space="0" w:color="auto"/>
              <w:left w:val="nil"/>
              <w:bottom w:val="single" w:sz="8" w:space="0" w:color="auto"/>
              <w:right w:val="nil"/>
            </w:tcBorders>
            <w:shd w:val="clear" w:color="000000" w:fill="FFFFFF"/>
            <w:textDirection w:val="lrTb"/>
            <w:vAlign w:val="center"/>
            <w:hideMark/>
          </w:tcPr>
          <w:p w:rsidR="00900E1A" w:rsidRPr="00A5590B" w:rsidP="001B6836">
            <w:pPr>
              <w:bidi w:val="0"/>
              <w:rPr>
                <w:rFonts w:ascii="Times New Roman" w:hAnsi="Times New Roman"/>
                <w:b/>
                <w:bCs/>
                <w:color w:val="000000"/>
                <w:sz w:val="20"/>
                <w:szCs w:val="20"/>
              </w:rPr>
            </w:pPr>
            <w:r w:rsidRPr="00A5590B">
              <w:rPr>
                <w:rFonts w:ascii="Times New Roman" w:hAnsi="Times New Roman"/>
                <w:b/>
                <w:bCs/>
                <w:color w:val="000000"/>
                <w:sz w:val="20"/>
                <w:szCs w:val="20"/>
              </w:rPr>
              <w:t>Spolu príjmy z rozpočtu EÚ</w:t>
            </w:r>
          </w:p>
        </w:tc>
        <w:tc>
          <w:tcPr>
            <w:tcW w:w="557" w:type="pct"/>
            <w:tcBorders>
              <w:top w:val="single" w:sz="4" w:space="0" w:color="auto"/>
              <w:left w:val="nil"/>
              <w:bottom w:val="single" w:sz="8" w:space="0" w:color="auto"/>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2 185 358</w:t>
            </w:r>
          </w:p>
        </w:tc>
        <w:tc>
          <w:tcPr>
            <w:tcW w:w="556" w:type="pct"/>
            <w:tcBorders>
              <w:top w:val="single" w:sz="4" w:space="0" w:color="auto"/>
              <w:left w:val="nil"/>
              <w:bottom w:val="single" w:sz="8" w:space="0" w:color="auto"/>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1 265 091</w:t>
            </w:r>
          </w:p>
        </w:tc>
        <w:tc>
          <w:tcPr>
            <w:tcW w:w="635" w:type="pct"/>
            <w:tcBorders>
              <w:top w:val="single" w:sz="4" w:space="0" w:color="auto"/>
              <w:left w:val="nil"/>
              <w:bottom w:val="single" w:sz="8" w:space="0" w:color="auto"/>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3 272 393</w:t>
            </w:r>
          </w:p>
        </w:tc>
        <w:tc>
          <w:tcPr>
            <w:tcW w:w="635" w:type="pct"/>
            <w:tcBorders>
              <w:top w:val="single" w:sz="4" w:space="0" w:color="auto"/>
              <w:left w:val="nil"/>
              <w:bottom w:val="single" w:sz="8" w:space="0" w:color="auto"/>
              <w:right w:val="nil"/>
            </w:tcBorders>
            <w:shd w:val="clear" w:color="auto" w:fill="BFBFB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4 288 873</w:t>
            </w:r>
          </w:p>
        </w:tc>
        <w:tc>
          <w:tcPr>
            <w:tcW w:w="541" w:type="pct"/>
            <w:tcBorders>
              <w:top w:val="single" w:sz="4" w:space="0" w:color="auto"/>
              <w:left w:val="nil"/>
              <w:bottom w:val="single" w:sz="8" w:space="0" w:color="auto"/>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1 016 480</w:t>
            </w:r>
          </w:p>
        </w:tc>
        <w:tc>
          <w:tcPr>
            <w:tcW w:w="450" w:type="pct"/>
            <w:tcBorders>
              <w:top w:val="single" w:sz="4" w:space="0" w:color="auto"/>
              <w:left w:val="nil"/>
              <w:bottom w:val="single" w:sz="8" w:space="0" w:color="auto"/>
              <w:right w:val="nil"/>
            </w:tcBorders>
            <w:shd w:val="clear" w:color="000000" w:fill="FFFFFF"/>
            <w:noWrap/>
            <w:textDirection w:val="lrTb"/>
            <w:vAlign w:val="center"/>
            <w:hideMark/>
          </w:tcPr>
          <w:p w:rsidR="00900E1A" w:rsidRPr="00A5590B" w:rsidP="001B6836">
            <w:pPr>
              <w:bidi w:val="0"/>
              <w:jc w:val="right"/>
              <w:rPr>
                <w:rFonts w:ascii="Times New Roman" w:hAnsi="Times New Roman"/>
                <w:b/>
                <w:bCs/>
                <w:color w:val="000000"/>
                <w:sz w:val="20"/>
                <w:szCs w:val="20"/>
              </w:rPr>
            </w:pPr>
            <w:r w:rsidRPr="00A5590B">
              <w:rPr>
                <w:rFonts w:ascii="Times New Roman" w:hAnsi="Times New Roman"/>
                <w:b/>
                <w:bCs/>
                <w:color w:val="000000"/>
                <w:sz w:val="20"/>
                <w:szCs w:val="20"/>
              </w:rPr>
              <w:t>31,1</w:t>
            </w:r>
          </w:p>
        </w:tc>
      </w:tr>
    </w:tbl>
    <w:p w:rsidR="00900E1A" w:rsidRPr="00900E1A" w:rsidP="007C3ADC">
      <w:pPr>
        <w:bidi w:val="0"/>
        <w:jc w:val="right"/>
        <w:rPr>
          <w:rFonts w:ascii="Times New Roman" w:hAnsi="Times New Roman"/>
        </w:rPr>
      </w:pPr>
      <w:r w:rsidRPr="003208E6">
        <w:rPr>
          <w:rFonts w:ascii="Times New Roman" w:hAnsi="Times New Roman"/>
          <w:sz w:val="18"/>
          <w:szCs w:val="18"/>
        </w:rPr>
        <w:t xml:space="preserve">Zdroj: </w:t>
      </w:r>
      <w:r>
        <w:rPr>
          <w:rFonts w:ascii="Times New Roman" w:hAnsi="Times New Roman"/>
          <w:sz w:val="18"/>
          <w:szCs w:val="18"/>
        </w:rPr>
        <w:t>MF</w:t>
      </w:r>
      <w:r w:rsidRPr="003208E6">
        <w:rPr>
          <w:rFonts w:ascii="Times New Roman" w:hAnsi="Times New Roman"/>
          <w:sz w:val="18"/>
          <w:szCs w:val="18"/>
        </w:rPr>
        <w:t xml:space="preserve"> SR</w:t>
      </w:r>
    </w:p>
    <w:p w:rsidR="00B57C93" w:rsidP="008D72D9">
      <w:pPr>
        <w:pStyle w:val="Heading3"/>
        <w:numPr>
          <w:ilvl w:val="2"/>
          <w:numId w:val="20"/>
        </w:numPr>
        <w:bidi w:val="0"/>
        <w:spacing w:line="336" w:lineRule="auto"/>
        <w:rPr>
          <w:rFonts w:ascii="Times New Roman" w:hAnsi="Times New Roman"/>
          <w:lang w:val="sk-SK"/>
        </w:rPr>
      </w:pPr>
      <w:bookmarkStart w:id="41" w:name="_Toc449622846"/>
      <w:r w:rsidRPr="006E50E2" w:rsidR="0035660E">
        <w:rPr>
          <w:rFonts w:ascii="Times New Roman" w:hAnsi="Times New Roman"/>
          <w:lang w:val="sk-SK"/>
        </w:rPr>
        <w:t xml:space="preserve">Výdavky štátneho rozpočtu </w:t>
      </w:r>
      <w:r w:rsidRPr="006E50E2">
        <w:rPr>
          <w:rFonts w:ascii="Times New Roman" w:hAnsi="Times New Roman"/>
          <w:lang w:val="sk-SK"/>
        </w:rPr>
        <w:t>rozpočtované vo väzbe na príjmy z</w:t>
      </w:r>
      <w:r w:rsidRPr="006E50E2" w:rsidR="004B01B0">
        <w:rPr>
          <w:rFonts w:ascii="Times New Roman" w:hAnsi="Times New Roman"/>
          <w:lang w:val="sk-SK"/>
        </w:rPr>
        <w:t> Európskej únie</w:t>
      </w:r>
      <w:bookmarkEnd w:id="41"/>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b/>
          <w:sz w:val="22"/>
          <w:szCs w:val="22"/>
        </w:rPr>
        <w:t>Výdavky z</w:t>
      </w:r>
      <w:r>
        <w:rPr>
          <w:rFonts w:ascii="Times New Roman" w:hAnsi="Times New Roman"/>
          <w:b/>
          <w:sz w:val="22"/>
          <w:szCs w:val="22"/>
        </w:rPr>
        <w:t xml:space="preserve"> prijatých </w:t>
      </w:r>
      <w:r w:rsidRPr="003208E6">
        <w:rPr>
          <w:rFonts w:ascii="Times New Roman" w:hAnsi="Times New Roman"/>
          <w:b/>
          <w:sz w:val="22"/>
          <w:szCs w:val="22"/>
        </w:rPr>
        <w:t>prostriedk</w:t>
      </w:r>
      <w:r>
        <w:rPr>
          <w:rFonts w:ascii="Times New Roman" w:hAnsi="Times New Roman"/>
          <w:b/>
          <w:sz w:val="22"/>
          <w:szCs w:val="22"/>
        </w:rPr>
        <w:t>ov</w:t>
      </w:r>
      <w:r w:rsidRPr="003208E6">
        <w:rPr>
          <w:rFonts w:ascii="Times New Roman" w:hAnsi="Times New Roman"/>
          <w:b/>
          <w:sz w:val="22"/>
          <w:szCs w:val="22"/>
        </w:rPr>
        <w:t xml:space="preserve"> EÚ </w:t>
      </w:r>
      <w:r w:rsidRPr="003208E6">
        <w:rPr>
          <w:rFonts w:ascii="Times New Roman" w:hAnsi="Times New Roman"/>
          <w:sz w:val="22"/>
          <w:szCs w:val="22"/>
        </w:rPr>
        <w:t>boli rozpočtované na rok 201</w:t>
      </w:r>
      <w:r>
        <w:rPr>
          <w:rFonts w:ascii="Times New Roman" w:hAnsi="Times New Roman"/>
          <w:sz w:val="22"/>
          <w:szCs w:val="22"/>
        </w:rPr>
        <w:t>5</w:t>
      </w:r>
      <w:r w:rsidRPr="003208E6">
        <w:rPr>
          <w:rFonts w:ascii="Times New Roman" w:hAnsi="Times New Roman"/>
          <w:sz w:val="22"/>
          <w:szCs w:val="22"/>
        </w:rPr>
        <w:t xml:space="preserve"> vo výške </w:t>
      </w:r>
      <w:r>
        <w:rPr>
          <w:rFonts w:ascii="Times New Roman" w:hAnsi="Times New Roman"/>
          <w:sz w:val="22"/>
          <w:szCs w:val="22"/>
        </w:rPr>
        <w:t>3 272 393</w:t>
      </w:r>
      <w:r w:rsidRPr="003208E6">
        <w:rPr>
          <w:rFonts w:ascii="Times New Roman" w:hAnsi="Times New Roman"/>
          <w:sz w:val="22"/>
          <w:szCs w:val="22"/>
        </w:rPr>
        <w:t xml:space="preserve"> tis. eur, teda v rovnakej výške ako príjmy </w:t>
      </w:r>
      <w:r>
        <w:rPr>
          <w:rFonts w:ascii="Times New Roman" w:hAnsi="Times New Roman"/>
          <w:sz w:val="22"/>
          <w:szCs w:val="22"/>
        </w:rPr>
        <w:t>z rozpočtu</w:t>
      </w:r>
      <w:r w:rsidRPr="003208E6">
        <w:rPr>
          <w:rFonts w:ascii="Times New Roman" w:hAnsi="Times New Roman"/>
          <w:sz w:val="22"/>
          <w:szCs w:val="22"/>
        </w:rPr>
        <w:t xml:space="preserve"> EÚ. </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b/>
          <w:sz w:val="22"/>
          <w:szCs w:val="22"/>
        </w:rPr>
        <w:t>Výdavky na spolufinancovanie zo ŠR</w:t>
      </w:r>
      <w:r w:rsidRPr="003208E6">
        <w:rPr>
          <w:rFonts w:ascii="Times New Roman" w:hAnsi="Times New Roman"/>
          <w:sz w:val="22"/>
          <w:szCs w:val="22"/>
        </w:rPr>
        <w:t xml:space="preserve"> boli rozpočtované vo výške </w:t>
      </w:r>
      <w:r>
        <w:rPr>
          <w:rFonts w:ascii="Times New Roman" w:hAnsi="Times New Roman"/>
          <w:sz w:val="22"/>
          <w:szCs w:val="22"/>
        </w:rPr>
        <w:t>678 145</w:t>
      </w:r>
      <w:r w:rsidRPr="003208E6">
        <w:rPr>
          <w:rFonts w:ascii="Times New Roman" w:hAnsi="Times New Roman"/>
          <w:sz w:val="22"/>
          <w:szCs w:val="22"/>
        </w:rPr>
        <w:t xml:space="preserve"> tis. eur, z toho prostriedky na spolufinancovanie zo ŠR k prostriedkom EÚ vo výške </w:t>
      </w:r>
      <w:r>
        <w:rPr>
          <w:rFonts w:ascii="Times New Roman" w:hAnsi="Times New Roman"/>
          <w:sz w:val="22"/>
          <w:szCs w:val="22"/>
        </w:rPr>
        <w:t>653 829</w:t>
      </w:r>
      <w:r w:rsidRPr="003208E6">
        <w:rPr>
          <w:rFonts w:ascii="Times New Roman" w:hAnsi="Times New Roman"/>
          <w:sz w:val="22"/>
          <w:szCs w:val="22"/>
        </w:rPr>
        <w:t xml:space="preserve"> tis. eur a prostriedky na spolufinancovanie k zahraničným grantom a prostriedkom poskytnutým na základe medzinárodných zmlúv vo výške </w:t>
      </w:r>
      <w:r>
        <w:rPr>
          <w:rFonts w:ascii="Times New Roman" w:hAnsi="Times New Roman"/>
          <w:sz w:val="22"/>
          <w:szCs w:val="22"/>
        </w:rPr>
        <w:t>19 006</w:t>
      </w:r>
      <w:r w:rsidRPr="003208E6">
        <w:rPr>
          <w:rFonts w:ascii="Times New Roman" w:hAnsi="Times New Roman"/>
          <w:sz w:val="22"/>
          <w:szCs w:val="22"/>
        </w:rPr>
        <w:t xml:space="preserve"> tis. eur.</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 xml:space="preserve">Na rozdiel od </w:t>
      </w:r>
      <w:r>
        <w:rPr>
          <w:rFonts w:ascii="Times New Roman" w:hAnsi="Times New Roman"/>
          <w:sz w:val="22"/>
          <w:szCs w:val="22"/>
        </w:rPr>
        <w:t>schváleného rozpočtu výdavkov z</w:t>
      </w:r>
      <w:r w:rsidRPr="003208E6">
        <w:rPr>
          <w:rFonts w:ascii="Times New Roman" w:hAnsi="Times New Roman"/>
          <w:sz w:val="22"/>
          <w:szCs w:val="22"/>
        </w:rPr>
        <w:t xml:space="preserve"> prostriedk</w:t>
      </w:r>
      <w:r>
        <w:rPr>
          <w:rFonts w:ascii="Times New Roman" w:hAnsi="Times New Roman"/>
          <w:sz w:val="22"/>
          <w:szCs w:val="22"/>
        </w:rPr>
        <w:t>ov</w:t>
      </w:r>
      <w:r w:rsidRPr="003208E6">
        <w:rPr>
          <w:rFonts w:ascii="Times New Roman" w:hAnsi="Times New Roman"/>
          <w:sz w:val="22"/>
          <w:szCs w:val="22"/>
        </w:rPr>
        <w:t xml:space="preserve"> EÚ, ktoré boli zákonom o štátnom rozpočte na rok 201</w:t>
      </w:r>
      <w:r>
        <w:rPr>
          <w:rFonts w:ascii="Times New Roman" w:hAnsi="Times New Roman"/>
          <w:sz w:val="22"/>
          <w:szCs w:val="22"/>
        </w:rPr>
        <w:t>5</w:t>
      </w:r>
      <w:r w:rsidRPr="003208E6">
        <w:rPr>
          <w:rFonts w:ascii="Times New Roman" w:hAnsi="Times New Roman"/>
          <w:sz w:val="22"/>
          <w:szCs w:val="22"/>
        </w:rPr>
        <w:t xml:space="preserve"> vyčlenené pre kapitoly, v ktorých sa nachádzajú platobné jednotky</w:t>
      </w:r>
      <w:r>
        <w:rPr>
          <w:rFonts w:ascii="Times New Roman" w:hAnsi="Times New Roman"/>
          <w:sz w:val="22"/>
          <w:szCs w:val="22"/>
        </w:rPr>
        <w:t xml:space="preserve">, </w:t>
      </w:r>
      <w:r w:rsidRPr="003208E6">
        <w:rPr>
          <w:rFonts w:ascii="Times New Roman" w:hAnsi="Times New Roman"/>
          <w:sz w:val="22"/>
          <w:szCs w:val="22"/>
        </w:rPr>
        <w:t>Pôdohospodárska platobná agentúra</w:t>
      </w:r>
      <w:r>
        <w:rPr>
          <w:rFonts w:ascii="Times New Roman" w:hAnsi="Times New Roman"/>
          <w:sz w:val="22"/>
          <w:szCs w:val="22"/>
        </w:rPr>
        <w:t xml:space="preserve"> a Ministerstvo práce, sociálnych vecí a rodiny SR za Fond pre najodkázanejšie osoby</w:t>
      </w:r>
      <w:r w:rsidRPr="003208E6">
        <w:rPr>
          <w:rFonts w:ascii="Times New Roman" w:hAnsi="Times New Roman"/>
          <w:sz w:val="22"/>
          <w:szCs w:val="22"/>
        </w:rPr>
        <w:t xml:space="preserve">, skutočné čerpanie výdavkov sa prejavuje tiež v rozpočtových kapitolách, v ktorých sa realizujú projekty na úrovni </w:t>
      </w:r>
      <w:r>
        <w:rPr>
          <w:rFonts w:ascii="Times New Roman" w:hAnsi="Times New Roman"/>
          <w:sz w:val="22"/>
          <w:szCs w:val="22"/>
        </w:rPr>
        <w:t xml:space="preserve">konečných prijímateľov. </w:t>
      </w:r>
      <w:r w:rsidRPr="003208E6">
        <w:rPr>
          <w:rFonts w:ascii="Times New Roman" w:hAnsi="Times New Roman"/>
          <w:sz w:val="22"/>
          <w:szCs w:val="22"/>
        </w:rPr>
        <w:t xml:space="preserve">Na základe uvedeného sa v niektorých kapitolách prejavuje negatívne saldo príjmov a výdavkov za prostriedky EÚ a spolufinancovania zo ŠR. </w:t>
      </w:r>
    </w:p>
    <w:p w:rsidR="00900E1A" w:rsidRPr="003208E6" w:rsidP="00AC07BA">
      <w:pPr>
        <w:numPr>
          <w:numId w:val="14"/>
        </w:numPr>
        <w:tabs>
          <w:tab w:val="left" w:pos="284"/>
        </w:tabs>
        <w:bidi w:val="0"/>
        <w:spacing w:after="120" w:line="336" w:lineRule="auto"/>
        <w:ind w:left="0" w:firstLine="0"/>
        <w:jc w:val="both"/>
        <w:rPr>
          <w:rFonts w:ascii="Times New Roman" w:hAnsi="Times New Roman"/>
          <w:b/>
          <w:sz w:val="22"/>
          <w:szCs w:val="22"/>
        </w:rPr>
      </w:pPr>
      <w:r w:rsidRPr="003208E6">
        <w:rPr>
          <w:rFonts w:ascii="Times New Roman" w:hAnsi="Times New Roman"/>
          <w:b/>
          <w:sz w:val="22"/>
          <w:szCs w:val="22"/>
        </w:rPr>
        <w:t xml:space="preserve">Výdavky </w:t>
      </w:r>
      <w:r>
        <w:rPr>
          <w:rFonts w:ascii="Times New Roman" w:hAnsi="Times New Roman"/>
          <w:b/>
          <w:sz w:val="22"/>
          <w:szCs w:val="22"/>
        </w:rPr>
        <w:t>za prostriedky</w:t>
      </w:r>
      <w:r w:rsidRPr="003208E6">
        <w:rPr>
          <w:rFonts w:ascii="Times New Roman" w:hAnsi="Times New Roman"/>
          <w:b/>
          <w:sz w:val="22"/>
          <w:szCs w:val="22"/>
        </w:rPr>
        <w:t xml:space="preserve"> EÚ </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Rozpočet výdavkov z</w:t>
      </w:r>
      <w:r>
        <w:rPr>
          <w:rFonts w:ascii="Times New Roman" w:hAnsi="Times New Roman"/>
          <w:sz w:val="22"/>
          <w:szCs w:val="22"/>
        </w:rPr>
        <w:t>a prostriedky</w:t>
      </w:r>
      <w:r w:rsidRPr="003208E6">
        <w:rPr>
          <w:rFonts w:ascii="Times New Roman" w:hAnsi="Times New Roman"/>
          <w:sz w:val="22"/>
          <w:szCs w:val="22"/>
        </w:rPr>
        <w:t xml:space="preserve"> EÚ bol v roku 201</w:t>
      </w:r>
      <w:r>
        <w:rPr>
          <w:rFonts w:ascii="Times New Roman" w:hAnsi="Times New Roman"/>
          <w:sz w:val="22"/>
          <w:szCs w:val="22"/>
        </w:rPr>
        <w:t>5</w:t>
      </w:r>
      <w:r w:rsidRPr="003208E6">
        <w:rPr>
          <w:rFonts w:ascii="Times New Roman" w:hAnsi="Times New Roman"/>
          <w:sz w:val="22"/>
          <w:szCs w:val="22"/>
        </w:rPr>
        <w:t xml:space="preserve"> upravený z dôvodu viazania prostriedkov v zmysle § 8 zákona č. 523/2004 Z. z. o rozpočtových pravidlách verejnej správy</w:t>
      </w:r>
      <w:r>
        <w:rPr>
          <w:rFonts w:ascii="Times New Roman" w:hAnsi="Times New Roman"/>
          <w:sz w:val="22"/>
          <w:szCs w:val="22"/>
        </w:rPr>
        <w:t>,</w:t>
      </w:r>
      <w:r w:rsidRPr="003208E6">
        <w:rPr>
          <w:rFonts w:ascii="Times New Roman" w:hAnsi="Times New Roman"/>
          <w:sz w:val="22"/>
          <w:szCs w:val="22"/>
        </w:rPr>
        <w:t xml:space="preserve"> ako aj v dôsledku </w:t>
      </w:r>
      <w:r>
        <w:rPr>
          <w:rFonts w:ascii="Times New Roman" w:hAnsi="Times New Roman"/>
          <w:sz w:val="22"/>
          <w:szCs w:val="22"/>
        </w:rPr>
        <w:t xml:space="preserve">vysporiadania finančných prostriedkov za finančné opravy (nezrovnalosti) z titulu viazania prostriedkov kapitoly a následného zabezpečenia prostriedkov EÚ v rozpočte PJ na ďalšie použitie vrátane prechodu rokov v zmysle § 18 </w:t>
      </w:r>
      <w:r w:rsidRPr="003208E6">
        <w:rPr>
          <w:rFonts w:ascii="Times New Roman" w:hAnsi="Times New Roman"/>
          <w:sz w:val="22"/>
          <w:szCs w:val="22"/>
        </w:rPr>
        <w:t>zákona č. 523/2004 Z. z. o rozpočtových pravidlách verejnej správy</w:t>
      </w:r>
      <w:r>
        <w:rPr>
          <w:rFonts w:ascii="Times New Roman" w:hAnsi="Times New Roman"/>
          <w:sz w:val="22"/>
          <w:szCs w:val="22"/>
        </w:rPr>
        <w:t xml:space="preserve"> a z titulu vrátených prostriedkov Európskej únie do štátneho rozpočtu v zmysle § 15 </w:t>
      </w:r>
      <w:r w:rsidRPr="003208E6">
        <w:rPr>
          <w:rFonts w:ascii="Times New Roman" w:hAnsi="Times New Roman"/>
          <w:sz w:val="22"/>
          <w:szCs w:val="22"/>
        </w:rPr>
        <w:t>zákona č. 523/2004 Z. z. o rozpočtových pravidlách verejnej správy</w:t>
      </w:r>
      <w:r>
        <w:rPr>
          <w:rFonts w:ascii="Times New Roman" w:hAnsi="Times New Roman"/>
          <w:sz w:val="22"/>
          <w:szCs w:val="22"/>
        </w:rPr>
        <w:t>.</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 xml:space="preserve">Po úpravách dosiahol rozpočet úroveň </w:t>
      </w:r>
      <w:r>
        <w:rPr>
          <w:rFonts w:ascii="Times New Roman" w:hAnsi="Times New Roman"/>
          <w:sz w:val="22"/>
          <w:szCs w:val="22"/>
        </w:rPr>
        <w:t>4 318 602</w:t>
      </w:r>
      <w:r w:rsidRPr="003208E6">
        <w:rPr>
          <w:rFonts w:ascii="Times New Roman" w:hAnsi="Times New Roman"/>
          <w:sz w:val="22"/>
          <w:szCs w:val="22"/>
        </w:rPr>
        <w:t> tis. eur</w:t>
      </w:r>
      <w:r>
        <w:rPr>
          <w:rFonts w:ascii="Times New Roman" w:hAnsi="Times New Roman"/>
          <w:sz w:val="22"/>
          <w:szCs w:val="22"/>
        </w:rPr>
        <w:t>, pričom celkové č</w:t>
      </w:r>
      <w:r w:rsidRPr="00367092">
        <w:rPr>
          <w:rFonts w:ascii="Times New Roman" w:hAnsi="Times New Roman"/>
          <w:sz w:val="22"/>
          <w:szCs w:val="22"/>
        </w:rPr>
        <w:t>erpanie výdavkov za prostriedky EÚ v roku 201</w:t>
      </w:r>
      <w:r>
        <w:rPr>
          <w:rFonts w:ascii="Times New Roman" w:hAnsi="Times New Roman"/>
          <w:sz w:val="22"/>
          <w:szCs w:val="22"/>
        </w:rPr>
        <w:t>5 je mierne vyššie</w:t>
      </w:r>
      <w:r w:rsidRPr="006D2E76">
        <w:rPr>
          <w:rFonts w:ascii="Times New Roman" w:hAnsi="Times New Roman"/>
          <w:sz w:val="22"/>
          <w:szCs w:val="22"/>
        </w:rPr>
        <w:t xml:space="preserve"> </w:t>
      </w:r>
      <w:r w:rsidRPr="00367092">
        <w:rPr>
          <w:rFonts w:ascii="Times New Roman" w:hAnsi="Times New Roman"/>
          <w:sz w:val="22"/>
          <w:szCs w:val="22"/>
        </w:rPr>
        <w:t xml:space="preserve">a to vo výške </w:t>
      </w:r>
      <w:r>
        <w:rPr>
          <w:rFonts w:ascii="Times New Roman" w:hAnsi="Times New Roman"/>
          <w:sz w:val="22"/>
          <w:szCs w:val="22"/>
        </w:rPr>
        <w:t>4 320 366</w:t>
      </w:r>
      <w:r w:rsidRPr="00367092">
        <w:rPr>
          <w:rFonts w:ascii="Times New Roman" w:hAnsi="Times New Roman"/>
          <w:sz w:val="22"/>
          <w:szCs w:val="22"/>
        </w:rPr>
        <w:t xml:space="preserve"> tis. eur.</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 xml:space="preserve">Čerpanie výdavkov </w:t>
      </w:r>
      <w:r>
        <w:rPr>
          <w:rFonts w:ascii="Times New Roman" w:hAnsi="Times New Roman"/>
          <w:sz w:val="22"/>
          <w:szCs w:val="22"/>
        </w:rPr>
        <w:t>za prostriedky EÚ v roku 2015</w:t>
      </w:r>
      <w:r w:rsidRPr="003208E6">
        <w:rPr>
          <w:rFonts w:ascii="Times New Roman" w:hAnsi="Times New Roman"/>
          <w:sz w:val="22"/>
          <w:szCs w:val="22"/>
        </w:rPr>
        <w:t xml:space="preserve"> </w:t>
      </w:r>
      <w:r>
        <w:rPr>
          <w:rFonts w:ascii="Times New Roman" w:hAnsi="Times New Roman"/>
          <w:sz w:val="22"/>
          <w:szCs w:val="22"/>
        </w:rPr>
        <w:t xml:space="preserve">za štrukturálne operácie 2. programového obdobia </w:t>
      </w:r>
      <w:r w:rsidRPr="003208E6">
        <w:rPr>
          <w:rFonts w:ascii="Times New Roman" w:hAnsi="Times New Roman"/>
          <w:sz w:val="22"/>
          <w:szCs w:val="22"/>
        </w:rPr>
        <w:t xml:space="preserve">je mierne vyššie ako upravený rozpočet a predstavuje sumu </w:t>
      </w:r>
      <w:r>
        <w:rPr>
          <w:rFonts w:ascii="Times New Roman" w:hAnsi="Times New Roman"/>
          <w:sz w:val="22"/>
          <w:szCs w:val="22"/>
        </w:rPr>
        <w:t xml:space="preserve">3 610 987 tis. eur. </w:t>
      </w:r>
      <w:r w:rsidRPr="00367092">
        <w:rPr>
          <w:rFonts w:ascii="Times New Roman" w:hAnsi="Times New Roman"/>
          <w:sz w:val="22"/>
          <w:szCs w:val="22"/>
        </w:rPr>
        <w:t>Vyššie čerpanie oproti upravenému rozpočtu sa prejavilo v kapitolách Ministerstva kultúry SR</w:t>
      </w:r>
      <w:r>
        <w:rPr>
          <w:rFonts w:ascii="Times New Roman" w:hAnsi="Times New Roman"/>
          <w:sz w:val="22"/>
          <w:szCs w:val="22"/>
        </w:rPr>
        <w:t>, Ministerstva pôdohospodárstva a rozvoja vidieka SR, Ministerstva dopravy, výstavby a regionálneho rozvoja SR</w:t>
      </w:r>
      <w:r w:rsidRPr="00367092">
        <w:rPr>
          <w:rFonts w:ascii="Times New Roman" w:hAnsi="Times New Roman"/>
          <w:sz w:val="22"/>
          <w:szCs w:val="22"/>
        </w:rPr>
        <w:t xml:space="preserve"> a Slovenskej akadémie vied vzhľadom k tomu, že jednotlivé rozpočtové organizácie prijali finančné prostriedky od hlavných partnerov projektov na mimorozpočtový účet v zmysle § 23 ods.1 písm. c) zákona č. 523/2004 Z. z. o rozpočtových pravidlách verejnej správy a o zmene a doplnení niektorých zákonov v znení neskorších predpisov.</w:t>
      </w:r>
    </w:p>
    <w:p w:rsidR="00473505">
      <w:pPr>
        <w:bidi w:val="0"/>
        <w:rPr>
          <w:rFonts w:ascii="Times New Roman" w:hAnsi="Times New Roman"/>
        </w:rPr>
      </w:pPr>
      <w:r>
        <w:rPr>
          <w:rFonts w:ascii="Times New Roman" w:hAnsi="Times New Roman"/>
        </w:rPr>
        <w:br w:type="page"/>
      </w:r>
    </w:p>
    <w:tbl>
      <w:tblPr>
        <w:tblStyle w:val="TableNormal"/>
        <w:tblW w:w="5000" w:type="pct"/>
        <w:tblCellMar>
          <w:left w:w="70" w:type="dxa"/>
          <w:right w:w="70" w:type="dxa"/>
        </w:tblCellMar>
        <w:tblLook w:val="04A0"/>
      </w:tblPr>
      <w:tblGrid>
        <w:gridCol w:w="3201"/>
        <w:gridCol w:w="939"/>
        <w:gridCol w:w="941"/>
        <w:gridCol w:w="939"/>
        <w:gridCol w:w="1123"/>
        <w:gridCol w:w="939"/>
        <w:gridCol w:w="846"/>
      </w:tblGrid>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000000"/>
            <w:noWrap/>
            <w:textDirection w:val="lrTb"/>
            <w:vAlign w:val="center"/>
            <w:hideMark/>
          </w:tcPr>
          <w:p w:rsidR="00900E1A" w:rsidRPr="00DE543A" w:rsidP="00AC07BA">
            <w:pPr>
              <w:bidi w:val="0"/>
              <w:rPr>
                <w:rFonts w:ascii="Times New Roman" w:hAnsi="Times New Roman"/>
                <w:b/>
                <w:bCs/>
                <w:color w:val="FFFFFF"/>
                <w:sz w:val="18"/>
                <w:szCs w:val="18"/>
              </w:rPr>
            </w:pPr>
            <w:r w:rsidRPr="00DE543A">
              <w:rPr>
                <w:rFonts w:ascii="Times New Roman" w:hAnsi="Times New Roman"/>
                <w:b/>
                <w:bCs/>
                <w:color w:val="FFFFFF"/>
                <w:sz w:val="18"/>
                <w:szCs w:val="18"/>
              </w:rPr>
              <w:t xml:space="preserve">Výdavky za prostriedky EÚ </w:t>
            </w:r>
          </w:p>
        </w:tc>
        <w:tc>
          <w:tcPr>
            <w:tcW w:w="526" w:type="pct"/>
            <w:tcBorders>
              <w:top w:val="nil"/>
              <w:left w:val="nil"/>
              <w:bottom w:val="nil"/>
              <w:right w:val="nil"/>
            </w:tcBorders>
            <w:shd w:val="clear" w:color="000000" w:fill="000000"/>
            <w:noWrap/>
            <w:textDirection w:val="lrTb"/>
            <w:vAlign w:val="center"/>
            <w:hideMark/>
          </w:tcPr>
          <w:p w:rsidR="00900E1A" w:rsidRPr="00DE543A" w:rsidP="00AC07BA">
            <w:pPr>
              <w:bidi w:val="0"/>
              <w:rPr>
                <w:rFonts w:ascii="Times New Roman" w:hAnsi="Times New Roman"/>
                <w:color w:val="000000"/>
                <w:sz w:val="18"/>
                <w:szCs w:val="18"/>
              </w:rPr>
            </w:pPr>
            <w:r w:rsidRPr="00DE543A">
              <w:rPr>
                <w:rFonts w:ascii="Times New Roman" w:hAnsi="Times New Roman"/>
                <w:color w:val="000000"/>
                <w:sz w:val="18"/>
                <w:szCs w:val="18"/>
              </w:rPr>
              <w:t> </w:t>
            </w:r>
          </w:p>
        </w:tc>
        <w:tc>
          <w:tcPr>
            <w:tcW w:w="526" w:type="pct"/>
            <w:tcBorders>
              <w:top w:val="nil"/>
              <w:left w:val="nil"/>
              <w:bottom w:val="nil"/>
              <w:right w:val="nil"/>
            </w:tcBorders>
            <w:shd w:val="clear" w:color="000000" w:fill="000000"/>
            <w:noWrap/>
            <w:textDirection w:val="lrTb"/>
            <w:vAlign w:val="center"/>
            <w:hideMark/>
          </w:tcPr>
          <w:p w:rsidR="00900E1A" w:rsidRPr="00DE543A" w:rsidP="00AC07BA">
            <w:pPr>
              <w:bidi w:val="0"/>
              <w:rPr>
                <w:rFonts w:ascii="Times New Roman" w:hAnsi="Times New Roman"/>
                <w:color w:val="000000"/>
                <w:sz w:val="18"/>
                <w:szCs w:val="18"/>
              </w:rPr>
            </w:pPr>
            <w:r w:rsidRPr="00DE543A">
              <w:rPr>
                <w:rFonts w:ascii="Times New Roman" w:hAnsi="Times New Roman"/>
                <w:color w:val="000000"/>
                <w:sz w:val="18"/>
                <w:szCs w:val="18"/>
              </w:rPr>
              <w:t> </w:t>
            </w:r>
          </w:p>
        </w:tc>
        <w:tc>
          <w:tcPr>
            <w:tcW w:w="526" w:type="pct"/>
            <w:tcBorders>
              <w:top w:val="nil"/>
              <w:left w:val="nil"/>
              <w:bottom w:val="nil"/>
              <w:right w:val="nil"/>
            </w:tcBorders>
            <w:shd w:val="clear" w:color="000000" w:fill="000000"/>
            <w:noWrap/>
            <w:textDirection w:val="lrTb"/>
            <w:vAlign w:val="center"/>
            <w:hideMark/>
          </w:tcPr>
          <w:p w:rsidR="00900E1A" w:rsidRPr="00DE543A" w:rsidP="00AC07BA">
            <w:pPr>
              <w:bidi w:val="0"/>
              <w:rPr>
                <w:rFonts w:ascii="Times New Roman" w:hAnsi="Times New Roman"/>
                <w:color w:val="000000"/>
                <w:sz w:val="18"/>
                <w:szCs w:val="18"/>
              </w:rPr>
            </w:pPr>
            <w:r w:rsidRPr="00DE543A">
              <w:rPr>
                <w:rFonts w:ascii="Times New Roman" w:hAnsi="Times New Roman"/>
                <w:color w:val="000000"/>
                <w:sz w:val="18"/>
                <w:szCs w:val="18"/>
              </w:rPr>
              <w:t> </w:t>
            </w:r>
          </w:p>
        </w:tc>
        <w:tc>
          <w:tcPr>
            <w:tcW w:w="629" w:type="pct"/>
            <w:tcBorders>
              <w:top w:val="nil"/>
              <w:left w:val="nil"/>
              <w:bottom w:val="nil"/>
              <w:right w:val="nil"/>
            </w:tcBorders>
            <w:shd w:val="clear" w:color="000000" w:fill="000000"/>
            <w:noWrap/>
            <w:textDirection w:val="lrTb"/>
            <w:vAlign w:val="center"/>
            <w:hideMark/>
          </w:tcPr>
          <w:p w:rsidR="00900E1A" w:rsidRPr="00DE543A" w:rsidP="00AC07BA">
            <w:pPr>
              <w:bidi w:val="0"/>
              <w:rPr>
                <w:rFonts w:ascii="Times New Roman" w:hAnsi="Times New Roman"/>
                <w:color w:val="000000"/>
                <w:sz w:val="18"/>
                <w:szCs w:val="18"/>
              </w:rPr>
            </w:pPr>
            <w:r w:rsidRPr="00DE543A">
              <w:rPr>
                <w:rFonts w:ascii="Times New Roman" w:hAnsi="Times New Roman"/>
                <w:color w:val="000000"/>
                <w:sz w:val="18"/>
                <w:szCs w:val="18"/>
              </w:rPr>
              <w:t> </w:t>
            </w:r>
          </w:p>
        </w:tc>
        <w:tc>
          <w:tcPr>
            <w:tcW w:w="526" w:type="pct"/>
            <w:tcBorders>
              <w:top w:val="nil"/>
              <w:left w:val="nil"/>
              <w:bottom w:val="nil"/>
              <w:right w:val="nil"/>
            </w:tcBorders>
            <w:shd w:val="clear" w:color="000000" w:fill="000000"/>
            <w:noWrap/>
            <w:textDirection w:val="lrTb"/>
            <w:vAlign w:val="center"/>
            <w:hideMark/>
          </w:tcPr>
          <w:p w:rsidR="00900E1A" w:rsidRPr="00DE543A" w:rsidP="00AC07BA">
            <w:pPr>
              <w:bidi w:val="0"/>
              <w:rPr>
                <w:rFonts w:ascii="Times New Roman" w:hAnsi="Times New Roman"/>
                <w:color w:val="000000"/>
                <w:sz w:val="18"/>
                <w:szCs w:val="18"/>
              </w:rPr>
            </w:pPr>
            <w:r w:rsidRPr="00DE543A">
              <w:rPr>
                <w:rFonts w:ascii="Times New Roman" w:hAnsi="Times New Roman"/>
                <w:color w:val="000000"/>
                <w:sz w:val="18"/>
                <w:szCs w:val="18"/>
              </w:rPr>
              <w:t> </w:t>
            </w:r>
          </w:p>
        </w:tc>
        <w:tc>
          <w:tcPr>
            <w:tcW w:w="473" w:type="pct"/>
            <w:tcBorders>
              <w:top w:val="nil"/>
              <w:left w:val="nil"/>
              <w:bottom w:val="nil"/>
              <w:right w:val="nil"/>
            </w:tcBorders>
            <w:shd w:val="clear" w:color="000000" w:fill="000000"/>
            <w:noWrap/>
            <w:textDirection w:val="lrTb"/>
            <w:vAlign w:val="center"/>
            <w:hideMark/>
          </w:tcPr>
          <w:p w:rsidR="00900E1A" w:rsidRPr="00DE543A" w:rsidP="00AC07BA">
            <w:pPr>
              <w:bidi w:val="0"/>
              <w:rPr>
                <w:rFonts w:ascii="Times New Roman" w:hAnsi="Times New Roman"/>
                <w:b/>
                <w:bCs/>
                <w:color w:val="FFFFFF"/>
                <w:sz w:val="18"/>
                <w:szCs w:val="18"/>
              </w:rPr>
            </w:pPr>
            <w:r w:rsidRPr="00DE543A">
              <w:rPr>
                <w:rFonts w:ascii="Times New Roman" w:hAnsi="Times New Roman"/>
                <w:b/>
                <w:bCs/>
                <w:color w:val="FFFFFF"/>
                <w:sz w:val="18"/>
                <w:szCs w:val="18"/>
              </w:rPr>
              <w:t>v tis. eur</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BFBFBF"/>
            <w:textDirection w:val="lrTb"/>
            <w:vAlign w:val="center"/>
            <w:hideMark/>
          </w:tcPr>
          <w:p w:rsidR="00900E1A" w:rsidRPr="00DE543A" w:rsidP="001B6836">
            <w:pPr>
              <w:bidi w:val="0"/>
              <w:rPr>
                <w:rFonts w:ascii="Times New Roman" w:hAnsi="Times New Roman"/>
                <w:b/>
                <w:bCs/>
                <w:color w:val="FFFFFF"/>
                <w:sz w:val="18"/>
                <w:szCs w:val="18"/>
              </w:rPr>
            </w:pPr>
            <w:r w:rsidRPr="00DE543A">
              <w:rPr>
                <w:rFonts w:ascii="Times New Roman" w:hAnsi="Times New Roman"/>
                <w:b/>
                <w:bCs/>
                <w:color w:val="FFFFFF"/>
                <w:sz w:val="18"/>
                <w:szCs w:val="18"/>
              </w:rPr>
              <w:t> </w:t>
            </w:r>
          </w:p>
        </w:tc>
        <w:tc>
          <w:tcPr>
            <w:tcW w:w="1053" w:type="pct"/>
            <w:gridSpan w:val="2"/>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Skutočnosť</w:t>
            </w:r>
          </w:p>
        </w:tc>
        <w:tc>
          <w:tcPr>
            <w:tcW w:w="526"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Rozpočet</w:t>
            </w:r>
          </w:p>
        </w:tc>
        <w:tc>
          <w:tcPr>
            <w:tcW w:w="629"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Skutočnosť</w:t>
            </w:r>
          </w:p>
        </w:tc>
        <w:tc>
          <w:tcPr>
            <w:tcW w:w="1000" w:type="pct"/>
            <w:gridSpan w:val="2"/>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Rozdiel</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 </w:t>
            </w:r>
          </w:p>
        </w:tc>
        <w:tc>
          <w:tcPr>
            <w:tcW w:w="526"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2013</w:t>
            </w:r>
          </w:p>
        </w:tc>
        <w:tc>
          <w:tcPr>
            <w:tcW w:w="526"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2014</w:t>
            </w:r>
          </w:p>
        </w:tc>
        <w:tc>
          <w:tcPr>
            <w:tcW w:w="526"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2015</w:t>
            </w:r>
          </w:p>
        </w:tc>
        <w:tc>
          <w:tcPr>
            <w:tcW w:w="629"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2015</w:t>
            </w:r>
          </w:p>
        </w:tc>
        <w:tc>
          <w:tcPr>
            <w:tcW w:w="526"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 xml:space="preserve"> v tis. eur</w:t>
            </w:r>
          </w:p>
        </w:tc>
        <w:tc>
          <w:tcPr>
            <w:tcW w:w="473"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v %</w:t>
            </w:r>
          </w:p>
        </w:tc>
      </w:tr>
      <w:tr>
        <w:tblPrEx>
          <w:tblW w:w="5000" w:type="pct"/>
          <w:tblCellMar>
            <w:left w:w="70" w:type="dxa"/>
            <w:right w:w="70" w:type="dxa"/>
          </w:tblCellMar>
          <w:tblLook w:val="04A0"/>
        </w:tblPrEx>
        <w:trPr>
          <w:trHeight w:val="345"/>
        </w:trPr>
        <w:tc>
          <w:tcPr>
            <w:tcW w:w="1792"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rPr>
                <w:rFonts w:ascii="Times New Roman" w:hAnsi="Times New Roman"/>
                <w:b/>
                <w:bCs/>
                <w:color w:val="FFFFFF"/>
                <w:sz w:val="18"/>
                <w:szCs w:val="18"/>
              </w:rPr>
            </w:pPr>
            <w:r w:rsidRPr="00DE543A">
              <w:rPr>
                <w:rFonts w:ascii="Times New Roman" w:hAnsi="Times New Roman"/>
                <w:b/>
                <w:bCs/>
                <w:color w:val="FFFFFF"/>
                <w:sz w:val="18"/>
                <w:szCs w:val="18"/>
              </w:rPr>
              <w:t> </w:t>
            </w:r>
          </w:p>
        </w:tc>
        <w:tc>
          <w:tcPr>
            <w:tcW w:w="526"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1</w:t>
            </w:r>
          </w:p>
        </w:tc>
        <w:tc>
          <w:tcPr>
            <w:tcW w:w="526"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2</w:t>
            </w:r>
          </w:p>
        </w:tc>
        <w:tc>
          <w:tcPr>
            <w:tcW w:w="526"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3</w:t>
            </w:r>
          </w:p>
        </w:tc>
        <w:tc>
          <w:tcPr>
            <w:tcW w:w="629"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4</w:t>
            </w:r>
          </w:p>
        </w:tc>
        <w:tc>
          <w:tcPr>
            <w:tcW w:w="526"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5=4-3</w:t>
            </w:r>
          </w:p>
        </w:tc>
        <w:tc>
          <w:tcPr>
            <w:tcW w:w="473"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6=4-3</w:t>
            </w:r>
          </w:p>
        </w:tc>
      </w:tr>
      <w:tr>
        <w:tblPrEx>
          <w:tblW w:w="5000" w:type="pct"/>
          <w:tblCellMar>
            <w:left w:w="70" w:type="dxa"/>
            <w:right w:w="70" w:type="dxa"/>
          </w:tblCellMar>
          <w:tblLook w:val="04A0"/>
        </w:tblPrEx>
        <w:trPr>
          <w:trHeight w:val="51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Poľnohospodárske fondy 2. programové obdobie</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510 311</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127 536</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132 374</w:t>
            </w:r>
          </w:p>
        </w:tc>
        <w:tc>
          <w:tcPr>
            <w:tcW w:w="629" w:type="pct"/>
            <w:tcBorders>
              <w:top w:val="single" w:sz="8" w:space="0" w:color="auto"/>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238 439</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106 065</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80,1</w:t>
            </w:r>
          </w:p>
        </w:tc>
      </w:tr>
      <w:tr>
        <w:tblPrEx>
          <w:tblW w:w="5000" w:type="pct"/>
          <w:tblCellMar>
            <w:left w:w="70" w:type="dxa"/>
            <w:right w:w="70" w:type="dxa"/>
          </w:tblCellMar>
          <w:tblLook w:val="04A0"/>
        </w:tblPrEx>
        <w:trPr>
          <w:trHeight w:val="51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Poľnohospodárske fondy 3. programové obdobie</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378 240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601 490</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431 864</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-169 626</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-28,2</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Poľnohospodárske fondy spolu</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510 311</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505 776</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733 864</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670 303</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-63 561</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-8,7</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Štrukturálne fondy 1. programové obdobie</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Štrukturálne fondy 2. programové obdobie</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977 591</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975 191</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823 882</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2 111 069</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1 287 187</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156,2</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Štrukturálne fondy 3. programové obdobie</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690 837</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9 326</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-681 511</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-98,7</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Kohézny fond 1. programové obdobie</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Kohézny fond 2. programové obdobie</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547 874</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532 547</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705 048</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1 499 918</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794 870</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112,7</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Kohézny fond 3. programové obdobie</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318 762</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29 750</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-289 012</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-90,7</w:t>
            </w:r>
          </w:p>
        </w:tc>
      </w:tr>
      <w:tr>
        <w:tblPrEx>
          <w:tblW w:w="5000" w:type="pct"/>
          <w:tblCellMar>
            <w:left w:w="70" w:type="dxa"/>
            <w:right w:w="70" w:type="dxa"/>
          </w:tblCellMar>
          <w:tblLook w:val="04A0"/>
        </w:tblPrEx>
        <w:trPr>
          <w:trHeight w:val="330"/>
        </w:trPr>
        <w:tc>
          <w:tcPr>
            <w:tcW w:w="179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Štrukturálne operácie spolu</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1 525 465</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1 507 738</w:t>
            </w:r>
          </w:p>
        </w:tc>
        <w:tc>
          <w:tcPr>
            <w:tcW w:w="526"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2 538 529</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3 650 063</w:t>
            </w:r>
          </w:p>
        </w:tc>
        <w:tc>
          <w:tcPr>
            <w:tcW w:w="526"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1 111 534</w:t>
            </w:r>
          </w:p>
        </w:tc>
        <w:tc>
          <w:tcPr>
            <w:tcW w:w="47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43,8</w:t>
            </w:r>
          </w:p>
        </w:tc>
      </w:tr>
      <w:tr>
        <w:tblPrEx>
          <w:tblW w:w="5000" w:type="pct"/>
          <w:tblCellMar>
            <w:left w:w="70" w:type="dxa"/>
            <w:right w:w="70" w:type="dxa"/>
          </w:tblCellMar>
          <w:tblLook w:val="04A0"/>
        </w:tblPrEx>
        <w:trPr>
          <w:trHeight w:val="345"/>
        </w:trPr>
        <w:tc>
          <w:tcPr>
            <w:tcW w:w="1792" w:type="pct"/>
            <w:tcBorders>
              <w:top w:val="single" w:sz="4" w:space="0" w:color="auto"/>
              <w:left w:val="nil"/>
              <w:bottom w:val="single" w:sz="8" w:space="0" w:color="auto"/>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Spolu výdavky za prostriedky EÚ</w:t>
            </w:r>
          </w:p>
        </w:tc>
        <w:tc>
          <w:tcPr>
            <w:tcW w:w="526"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2 035 776</w:t>
            </w:r>
          </w:p>
        </w:tc>
        <w:tc>
          <w:tcPr>
            <w:tcW w:w="526"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2 013 514</w:t>
            </w:r>
          </w:p>
        </w:tc>
        <w:tc>
          <w:tcPr>
            <w:tcW w:w="526" w:type="pct"/>
            <w:tcBorders>
              <w:top w:val="single" w:sz="4" w:space="0" w:color="auto"/>
              <w:left w:val="nil"/>
              <w:bottom w:val="single" w:sz="8" w:space="0" w:color="auto"/>
              <w:right w:val="nil"/>
            </w:tcBorders>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3 272 393</w:t>
            </w:r>
          </w:p>
        </w:tc>
        <w:tc>
          <w:tcPr>
            <w:tcW w:w="629" w:type="pct"/>
            <w:tcBorders>
              <w:top w:val="single" w:sz="4" w:space="0" w:color="auto"/>
              <w:left w:val="nil"/>
              <w:bottom w:val="single" w:sz="8" w:space="0" w:color="auto"/>
              <w:right w:val="nil"/>
            </w:tcBorders>
            <w:shd w:val="clear" w:color="auto"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4 320 366</w:t>
            </w:r>
          </w:p>
        </w:tc>
        <w:tc>
          <w:tcPr>
            <w:tcW w:w="526"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1 047 973</w:t>
            </w:r>
          </w:p>
        </w:tc>
        <w:tc>
          <w:tcPr>
            <w:tcW w:w="473"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32,0</w:t>
            </w:r>
          </w:p>
        </w:tc>
      </w:tr>
    </w:tbl>
    <w:p w:rsidR="00900E1A" w:rsidRPr="003208E6" w:rsidP="00AC07BA">
      <w:pPr>
        <w:bidi w:val="0"/>
        <w:spacing w:after="120" w:line="336" w:lineRule="auto"/>
        <w:jc w:val="right"/>
        <w:rPr>
          <w:rFonts w:ascii="Times New Roman" w:hAnsi="Times New Roman"/>
          <w:sz w:val="18"/>
          <w:szCs w:val="18"/>
        </w:rPr>
      </w:pPr>
      <w:r w:rsidRPr="003208E6">
        <w:rPr>
          <w:rFonts w:ascii="Times New Roman" w:hAnsi="Times New Roman"/>
          <w:sz w:val="18"/>
          <w:szCs w:val="18"/>
        </w:rPr>
        <w:t xml:space="preserve">Zdroj: </w:t>
      </w:r>
      <w:r>
        <w:rPr>
          <w:rFonts w:ascii="Times New Roman" w:hAnsi="Times New Roman"/>
          <w:sz w:val="18"/>
          <w:szCs w:val="18"/>
        </w:rPr>
        <w:t>MF</w:t>
      </w:r>
      <w:r w:rsidRPr="003208E6">
        <w:rPr>
          <w:rFonts w:ascii="Times New Roman" w:hAnsi="Times New Roman"/>
          <w:sz w:val="18"/>
          <w:szCs w:val="18"/>
        </w:rPr>
        <w:t xml:space="preserve"> SR</w:t>
      </w:r>
    </w:p>
    <w:p w:rsidR="00900E1A" w:rsidRPr="003208E6" w:rsidP="00900E1A">
      <w:pPr>
        <w:numPr>
          <w:numId w:val="14"/>
        </w:numPr>
        <w:tabs>
          <w:tab w:val="left" w:pos="284"/>
        </w:tabs>
        <w:bidi w:val="0"/>
        <w:spacing w:after="120" w:line="336" w:lineRule="auto"/>
        <w:ind w:left="0" w:firstLine="0"/>
        <w:jc w:val="both"/>
        <w:rPr>
          <w:rFonts w:ascii="Times New Roman" w:hAnsi="Times New Roman"/>
          <w:b/>
          <w:sz w:val="22"/>
          <w:szCs w:val="22"/>
        </w:rPr>
      </w:pPr>
      <w:r w:rsidRPr="003208E6">
        <w:rPr>
          <w:rFonts w:ascii="Times New Roman" w:hAnsi="Times New Roman"/>
          <w:b/>
          <w:sz w:val="22"/>
          <w:szCs w:val="22"/>
        </w:rPr>
        <w:t>Spolufinancovanie zo štátneho rozpočtu k prostriedkom EÚ</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Spolufinancovanie zo štátneho rozpočtu k prostriedkom E</w:t>
      </w:r>
      <w:r>
        <w:rPr>
          <w:rFonts w:ascii="Times New Roman" w:hAnsi="Times New Roman"/>
          <w:sz w:val="22"/>
          <w:szCs w:val="22"/>
        </w:rPr>
        <w:t>Ú bolo rozpočtované pre rok 2015</w:t>
      </w:r>
      <w:r w:rsidRPr="003208E6">
        <w:rPr>
          <w:rFonts w:ascii="Times New Roman" w:hAnsi="Times New Roman"/>
          <w:sz w:val="22"/>
          <w:szCs w:val="22"/>
        </w:rPr>
        <w:t xml:space="preserve"> v</w:t>
      </w:r>
      <w:r>
        <w:rPr>
          <w:rFonts w:ascii="Times New Roman" w:hAnsi="Times New Roman"/>
          <w:sz w:val="22"/>
          <w:szCs w:val="22"/>
        </w:rPr>
        <w:t> </w:t>
      </w:r>
      <w:r w:rsidRPr="003208E6">
        <w:rPr>
          <w:rFonts w:ascii="Times New Roman" w:hAnsi="Times New Roman"/>
          <w:sz w:val="22"/>
          <w:szCs w:val="22"/>
        </w:rPr>
        <w:t xml:space="preserve">objeme </w:t>
      </w:r>
      <w:r>
        <w:rPr>
          <w:rFonts w:ascii="Times New Roman" w:hAnsi="Times New Roman"/>
          <w:sz w:val="22"/>
          <w:szCs w:val="22"/>
        </w:rPr>
        <w:t xml:space="preserve">653 829 </w:t>
      </w:r>
      <w:r w:rsidRPr="003208E6">
        <w:rPr>
          <w:rFonts w:ascii="Times New Roman" w:hAnsi="Times New Roman"/>
          <w:sz w:val="22"/>
          <w:szCs w:val="22"/>
        </w:rPr>
        <w:t xml:space="preserve">tis. eur. Rozpočet </w:t>
      </w:r>
      <w:r>
        <w:rPr>
          <w:rFonts w:ascii="Times New Roman" w:hAnsi="Times New Roman"/>
          <w:sz w:val="22"/>
          <w:szCs w:val="22"/>
        </w:rPr>
        <w:t>spolufinancovania zo štátneho rozpočtu k prostriedkom EÚ</w:t>
      </w:r>
      <w:r w:rsidRPr="003208E6">
        <w:rPr>
          <w:rFonts w:ascii="Times New Roman" w:hAnsi="Times New Roman"/>
          <w:sz w:val="22"/>
          <w:szCs w:val="22"/>
        </w:rPr>
        <w:t xml:space="preserve"> bol v roku 201</w:t>
      </w:r>
      <w:r>
        <w:rPr>
          <w:rFonts w:ascii="Times New Roman" w:hAnsi="Times New Roman"/>
          <w:sz w:val="22"/>
          <w:szCs w:val="22"/>
        </w:rPr>
        <w:t>5</w:t>
      </w:r>
      <w:r w:rsidRPr="003208E6">
        <w:rPr>
          <w:rFonts w:ascii="Times New Roman" w:hAnsi="Times New Roman"/>
          <w:sz w:val="22"/>
          <w:szCs w:val="22"/>
        </w:rPr>
        <w:t xml:space="preserve"> upravený z dôvodu viazania prostriedkov v zmysle § 8 zákona č. 523/2004 Z. z. o rozpočtových pravidlách verejnej správy</w:t>
      </w:r>
      <w:r>
        <w:rPr>
          <w:rFonts w:ascii="Times New Roman" w:hAnsi="Times New Roman"/>
          <w:sz w:val="22"/>
          <w:szCs w:val="22"/>
        </w:rPr>
        <w:t>,</w:t>
      </w:r>
      <w:r w:rsidRPr="003208E6">
        <w:rPr>
          <w:rFonts w:ascii="Times New Roman" w:hAnsi="Times New Roman"/>
          <w:sz w:val="22"/>
          <w:szCs w:val="22"/>
        </w:rPr>
        <w:t xml:space="preserve"> ako aj v dôsledku </w:t>
      </w:r>
      <w:r>
        <w:rPr>
          <w:rFonts w:ascii="Times New Roman" w:hAnsi="Times New Roman"/>
          <w:sz w:val="22"/>
          <w:szCs w:val="22"/>
        </w:rPr>
        <w:t xml:space="preserve">vysporiadania finančných prostriedkov za finančné opravy (nezrovnalosti) z titulu viazania prostriedkov kapitoly a následného zabezpečenia prostriedkov spolufinancovania zo ŠR v rozpočte PJ na ďalšie použitie vrátane prechodu rokov v zmysle § 18 </w:t>
      </w:r>
      <w:r w:rsidRPr="003208E6">
        <w:rPr>
          <w:rFonts w:ascii="Times New Roman" w:hAnsi="Times New Roman"/>
          <w:sz w:val="22"/>
          <w:szCs w:val="22"/>
        </w:rPr>
        <w:t>zákona č. 523/2004 Z. z. o rozpočtových pravidlách verejnej správy</w:t>
      </w:r>
      <w:r>
        <w:rPr>
          <w:rFonts w:ascii="Times New Roman" w:hAnsi="Times New Roman"/>
          <w:sz w:val="22"/>
          <w:szCs w:val="22"/>
        </w:rPr>
        <w:t xml:space="preserve"> a z titulu vrátených prostriedkov Európskej únie a prostriedkov štátneho rozpočtu určených na financovanie spoločných programov Slovenskej republiky a EÚ do štátneho rozpočtu v zmysle § 15 </w:t>
      </w:r>
      <w:r w:rsidRPr="003208E6">
        <w:rPr>
          <w:rFonts w:ascii="Times New Roman" w:hAnsi="Times New Roman"/>
          <w:sz w:val="22"/>
          <w:szCs w:val="22"/>
        </w:rPr>
        <w:t>zákona č. 523/2004 Z. z. o rozpočtových pravidlách verejnej správy</w:t>
      </w:r>
      <w:r>
        <w:rPr>
          <w:rFonts w:ascii="Times New Roman" w:hAnsi="Times New Roman"/>
          <w:sz w:val="22"/>
          <w:szCs w:val="22"/>
        </w:rPr>
        <w:t>.</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Z rovnakého dôvodu ako pri úprave výdavkov z prostriedk</w:t>
      </w:r>
      <w:r>
        <w:rPr>
          <w:rFonts w:ascii="Times New Roman" w:hAnsi="Times New Roman"/>
          <w:sz w:val="22"/>
          <w:szCs w:val="22"/>
        </w:rPr>
        <w:t>ov</w:t>
      </w:r>
      <w:r w:rsidRPr="003208E6">
        <w:rPr>
          <w:rFonts w:ascii="Times New Roman" w:hAnsi="Times New Roman"/>
          <w:sz w:val="22"/>
          <w:szCs w:val="22"/>
        </w:rPr>
        <w:t xml:space="preserve"> EÚ došlo k</w:t>
      </w:r>
      <w:r>
        <w:rPr>
          <w:rFonts w:ascii="Times New Roman" w:hAnsi="Times New Roman"/>
          <w:sz w:val="22"/>
          <w:szCs w:val="22"/>
        </w:rPr>
        <w:t> </w:t>
      </w:r>
      <w:r w:rsidRPr="003208E6">
        <w:rPr>
          <w:rFonts w:ascii="Times New Roman" w:hAnsi="Times New Roman"/>
          <w:sz w:val="22"/>
          <w:szCs w:val="22"/>
        </w:rPr>
        <w:t xml:space="preserve">úprave rozpočtu na spolufinancovanie zo štátneho rozpočtu </w:t>
      </w:r>
      <w:r>
        <w:rPr>
          <w:rFonts w:ascii="Times New Roman" w:hAnsi="Times New Roman"/>
          <w:sz w:val="22"/>
          <w:szCs w:val="22"/>
        </w:rPr>
        <w:t>na sumu vo výške 747</w:t>
      </w:r>
      <w:r w:rsidR="00BE737A">
        <w:rPr>
          <w:rFonts w:ascii="Times New Roman" w:hAnsi="Times New Roman"/>
          <w:sz w:val="22"/>
          <w:szCs w:val="22"/>
        </w:rPr>
        <w:t> </w:t>
      </w:r>
      <w:r>
        <w:rPr>
          <w:rFonts w:ascii="Times New Roman" w:hAnsi="Times New Roman"/>
          <w:sz w:val="22"/>
          <w:szCs w:val="22"/>
        </w:rPr>
        <w:t>563</w:t>
      </w:r>
      <w:r w:rsidR="00BE737A">
        <w:rPr>
          <w:rFonts w:ascii="Times New Roman" w:hAnsi="Times New Roman"/>
          <w:sz w:val="22"/>
          <w:szCs w:val="22"/>
        </w:rPr>
        <w:t> </w:t>
      </w:r>
      <w:r w:rsidRPr="003208E6">
        <w:rPr>
          <w:rFonts w:ascii="Times New Roman" w:hAnsi="Times New Roman"/>
          <w:sz w:val="22"/>
          <w:szCs w:val="22"/>
        </w:rPr>
        <w:t xml:space="preserve">tis. eur. </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 xml:space="preserve">Čerpanie výdavkov na spolufinancovanie zo </w:t>
      </w:r>
      <w:r>
        <w:rPr>
          <w:rFonts w:ascii="Times New Roman" w:hAnsi="Times New Roman"/>
          <w:sz w:val="22"/>
          <w:szCs w:val="22"/>
        </w:rPr>
        <w:t>ŠR k prostriedkom EÚ v roku 2015</w:t>
      </w:r>
      <w:r w:rsidRPr="003208E6">
        <w:rPr>
          <w:rFonts w:ascii="Times New Roman" w:hAnsi="Times New Roman"/>
          <w:sz w:val="22"/>
          <w:szCs w:val="22"/>
        </w:rPr>
        <w:t xml:space="preserve"> </w:t>
      </w:r>
      <w:r>
        <w:rPr>
          <w:rFonts w:ascii="Times New Roman" w:hAnsi="Times New Roman"/>
          <w:sz w:val="22"/>
          <w:szCs w:val="22"/>
        </w:rPr>
        <w:t>za štrukturálne operácie 2. programového obdobia</w:t>
      </w:r>
      <w:r w:rsidRPr="003208E6">
        <w:rPr>
          <w:rFonts w:ascii="Times New Roman" w:hAnsi="Times New Roman"/>
          <w:sz w:val="22"/>
          <w:szCs w:val="22"/>
        </w:rPr>
        <w:t xml:space="preserve"> je mierne vyššie ako upravený rozpočet</w:t>
      </w:r>
      <w:r>
        <w:rPr>
          <w:rFonts w:ascii="Times New Roman" w:hAnsi="Times New Roman"/>
          <w:sz w:val="22"/>
          <w:szCs w:val="22"/>
        </w:rPr>
        <w:t xml:space="preserve"> </w:t>
      </w:r>
      <w:r w:rsidRPr="003208E6">
        <w:rPr>
          <w:rFonts w:ascii="Times New Roman" w:hAnsi="Times New Roman"/>
          <w:sz w:val="22"/>
          <w:szCs w:val="22"/>
        </w:rPr>
        <w:t xml:space="preserve">a predstavuje sumu </w:t>
      </w:r>
      <w:r w:rsidR="00BE737A">
        <w:rPr>
          <w:rFonts w:ascii="Times New Roman" w:hAnsi="Times New Roman"/>
          <w:sz w:val="22"/>
          <w:szCs w:val="22"/>
        </w:rPr>
        <w:t>636 </w:t>
      </w:r>
      <w:r>
        <w:rPr>
          <w:rFonts w:ascii="Times New Roman" w:hAnsi="Times New Roman"/>
          <w:sz w:val="22"/>
          <w:szCs w:val="22"/>
        </w:rPr>
        <w:t>039</w:t>
      </w:r>
      <w:r w:rsidR="00BE737A">
        <w:rPr>
          <w:rFonts w:ascii="Times New Roman" w:hAnsi="Times New Roman"/>
          <w:sz w:val="22"/>
          <w:szCs w:val="22"/>
        </w:rPr>
        <w:t> </w:t>
      </w:r>
      <w:r>
        <w:rPr>
          <w:rFonts w:ascii="Times New Roman" w:hAnsi="Times New Roman"/>
          <w:sz w:val="22"/>
          <w:szCs w:val="22"/>
        </w:rPr>
        <w:t>tis. eur, a to z rovnakého dôvodu ako pri výdavkoch EÚ.</w:t>
      </w:r>
    </w:p>
    <w:p w:rsidR="00473505">
      <w:pPr>
        <w:bidi w:val="0"/>
        <w:rPr>
          <w:rFonts w:ascii="Times New Roman" w:hAnsi="Times New Roman"/>
        </w:rPr>
      </w:pPr>
      <w:r>
        <w:rPr>
          <w:rFonts w:ascii="Times New Roman" w:hAnsi="Times New Roman"/>
        </w:rPr>
        <w:br w:type="page"/>
      </w:r>
    </w:p>
    <w:tbl>
      <w:tblPr>
        <w:tblStyle w:val="TableNormal"/>
        <w:tblW w:w="5000" w:type="pct"/>
        <w:tblCellMar>
          <w:left w:w="70" w:type="dxa"/>
          <w:right w:w="70" w:type="dxa"/>
        </w:tblCellMar>
        <w:tblLook w:val="04A0"/>
      </w:tblPr>
      <w:tblGrid>
        <w:gridCol w:w="3315"/>
        <w:gridCol w:w="987"/>
        <w:gridCol w:w="898"/>
        <w:gridCol w:w="929"/>
        <w:gridCol w:w="1123"/>
        <w:gridCol w:w="871"/>
        <w:gridCol w:w="805"/>
      </w:tblGrid>
      <w:tr>
        <w:tblPrEx>
          <w:tblW w:w="5000" w:type="pct"/>
          <w:tblCellMar>
            <w:left w:w="70" w:type="dxa"/>
            <w:right w:w="70" w:type="dxa"/>
          </w:tblCellMar>
          <w:tblLook w:val="04A0"/>
        </w:tblPrEx>
        <w:trPr>
          <w:trHeight w:val="330"/>
        </w:trPr>
        <w:tc>
          <w:tcPr>
            <w:tcW w:w="2409" w:type="pct"/>
            <w:gridSpan w:val="2"/>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b/>
                <w:bCs/>
                <w:color w:val="FFFFFF"/>
                <w:sz w:val="18"/>
                <w:szCs w:val="18"/>
              </w:rPr>
            </w:pPr>
            <w:r w:rsidRPr="00DE543A">
              <w:rPr>
                <w:rFonts w:ascii="Times New Roman" w:hAnsi="Times New Roman"/>
                <w:b/>
                <w:bCs/>
                <w:color w:val="FFFFFF"/>
                <w:sz w:val="18"/>
                <w:szCs w:val="18"/>
              </w:rPr>
              <w:t>Výdavky spolufinancovania zo ŠR k prostriedkom EÚ</w:t>
            </w:r>
          </w:p>
        </w:tc>
        <w:tc>
          <w:tcPr>
            <w:tcW w:w="503" w:type="pct"/>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color w:val="000000"/>
                <w:sz w:val="18"/>
                <w:szCs w:val="18"/>
              </w:rPr>
            </w:pPr>
          </w:p>
        </w:tc>
        <w:tc>
          <w:tcPr>
            <w:tcW w:w="520" w:type="pct"/>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color w:val="000000"/>
                <w:sz w:val="18"/>
                <w:szCs w:val="18"/>
              </w:rPr>
            </w:pPr>
          </w:p>
        </w:tc>
        <w:tc>
          <w:tcPr>
            <w:tcW w:w="629" w:type="pct"/>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color w:val="000000"/>
                <w:sz w:val="18"/>
                <w:szCs w:val="18"/>
              </w:rPr>
            </w:pPr>
          </w:p>
        </w:tc>
        <w:tc>
          <w:tcPr>
            <w:tcW w:w="488" w:type="pct"/>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color w:val="000000"/>
                <w:sz w:val="18"/>
                <w:szCs w:val="18"/>
              </w:rPr>
            </w:pPr>
          </w:p>
        </w:tc>
        <w:tc>
          <w:tcPr>
            <w:tcW w:w="451" w:type="pct"/>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b/>
                <w:bCs/>
                <w:color w:val="FFFFFF"/>
                <w:sz w:val="18"/>
                <w:szCs w:val="18"/>
              </w:rPr>
            </w:pPr>
            <w:r w:rsidRPr="00DE543A">
              <w:rPr>
                <w:rFonts w:ascii="Times New Roman" w:hAnsi="Times New Roman"/>
                <w:b/>
                <w:bCs/>
                <w:color w:val="FFFFFF"/>
                <w:sz w:val="18"/>
                <w:szCs w:val="18"/>
              </w:rPr>
              <w:t>v tis. eur</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BFBFBF"/>
            <w:textDirection w:val="lrTb"/>
            <w:vAlign w:val="center"/>
            <w:hideMark/>
          </w:tcPr>
          <w:p w:rsidR="00900E1A" w:rsidRPr="00DE543A" w:rsidP="001B6836">
            <w:pPr>
              <w:bidi w:val="0"/>
              <w:rPr>
                <w:rFonts w:ascii="Times New Roman" w:hAnsi="Times New Roman"/>
                <w:b/>
                <w:bCs/>
                <w:color w:val="FFFFFF"/>
                <w:sz w:val="18"/>
                <w:szCs w:val="18"/>
              </w:rPr>
            </w:pPr>
            <w:r w:rsidRPr="00DE543A">
              <w:rPr>
                <w:rFonts w:ascii="Times New Roman" w:hAnsi="Times New Roman"/>
                <w:b/>
                <w:bCs/>
                <w:color w:val="FFFFFF"/>
                <w:sz w:val="18"/>
                <w:szCs w:val="18"/>
              </w:rPr>
              <w:t> </w:t>
            </w:r>
          </w:p>
        </w:tc>
        <w:tc>
          <w:tcPr>
            <w:tcW w:w="1056" w:type="pct"/>
            <w:gridSpan w:val="2"/>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Skutočnosť</w:t>
            </w:r>
          </w:p>
        </w:tc>
        <w:tc>
          <w:tcPr>
            <w:tcW w:w="520"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Rozpočet</w:t>
            </w:r>
          </w:p>
        </w:tc>
        <w:tc>
          <w:tcPr>
            <w:tcW w:w="629"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Skutočnosť</w:t>
            </w:r>
          </w:p>
        </w:tc>
        <w:tc>
          <w:tcPr>
            <w:tcW w:w="939" w:type="pct"/>
            <w:gridSpan w:val="2"/>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Rozdiel</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 </w:t>
            </w:r>
          </w:p>
        </w:tc>
        <w:tc>
          <w:tcPr>
            <w:tcW w:w="553"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2013</w:t>
            </w:r>
          </w:p>
        </w:tc>
        <w:tc>
          <w:tcPr>
            <w:tcW w:w="503"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2014</w:t>
            </w:r>
          </w:p>
        </w:tc>
        <w:tc>
          <w:tcPr>
            <w:tcW w:w="520"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2015</w:t>
            </w:r>
          </w:p>
        </w:tc>
        <w:tc>
          <w:tcPr>
            <w:tcW w:w="629"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2015</w:t>
            </w:r>
          </w:p>
        </w:tc>
        <w:tc>
          <w:tcPr>
            <w:tcW w:w="488"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 xml:space="preserve"> v tis. eur</w:t>
            </w:r>
          </w:p>
        </w:tc>
        <w:tc>
          <w:tcPr>
            <w:tcW w:w="451"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v %</w:t>
            </w:r>
          </w:p>
        </w:tc>
      </w:tr>
      <w:tr>
        <w:tblPrEx>
          <w:tblW w:w="5000" w:type="pct"/>
          <w:tblCellMar>
            <w:left w:w="70" w:type="dxa"/>
            <w:right w:w="70" w:type="dxa"/>
          </w:tblCellMar>
          <w:tblLook w:val="04A0"/>
        </w:tblPrEx>
        <w:trPr>
          <w:trHeight w:val="345"/>
        </w:trPr>
        <w:tc>
          <w:tcPr>
            <w:tcW w:w="1856"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rPr>
                <w:rFonts w:ascii="Times New Roman" w:hAnsi="Times New Roman"/>
                <w:b/>
                <w:bCs/>
                <w:color w:val="FFFFFF"/>
                <w:sz w:val="18"/>
                <w:szCs w:val="18"/>
              </w:rPr>
            </w:pPr>
            <w:r w:rsidRPr="00DE543A">
              <w:rPr>
                <w:rFonts w:ascii="Times New Roman" w:hAnsi="Times New Roman"/>
                <w:b/>
                <w:bCs/>
                <w:color w:val="FFFFFF"/>
                <w:sz w:val="18"/>
                <w:szCs w:val="18"/>
              </w:rPr>
              <w:t> </w:t>
            </w:r>
          </w:p>
        </w:tc>
        <w:tc>
          <w:tcPr>
            <w:tcW w:w="553"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1</w:t>
            </w:r>
          </w:p>
        </w:tc>
        <w:tc>
          <w:tcPr>
            <w:tcW w:w="503"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2</w:t>
            </w:r>
          </w:p>
        </w:tc>
        <w:tc>
          <w:tcPr>
            <w:tcW w:w="520"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3</w:t>
            </w:r>
          </w:p>
        </w:tc>
        <w:tc>
          <w:tcPr>
            <w:tcW w:w="629"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4</w:t>
            </w:r>
          </w:p>
        </w:tc>
        <w:tc>
          <w:tcPr>
            <w:tcW w:w="488"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5=4-3</w:t>
            </w:r>
          </w:p>
        </w:tc>
        <w:tc>
          <w:tcPr>
            <w:tcW w:w="451"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6=4-3</w:t>
            </w:r>
          </w:p>
        </w:tc>
      </w:tr>
      <w:tr>
        <w:tblPrEx>
          <w:tblW w:w="5000" w:type="pct"/>
          <w:tblCellMar>
            <w:left w:w="70" w:type="dxa"/>
            <w:right w:w="70" w:type="dxa"/>
          </w:tblCellMar>
          <w:tblLook w:val="04A0"/>
        </w:tblPrEx>
        <w:trPr>
          <w:trHeight w:val="51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Poľnohospodárske fondy 2. programové obdobie</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92 538</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29 366</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44 747</w:t>
            </w:r>
          </w:p>
        </w:tc>
        <w:tc>
          <w:tcPr>
            <w:tcW w:w="629" w:type="pct"/>
            <w:tcBorders>
              <w:top w:val="single" w:sz="8" w:space="0" w:color="auto"/>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77 933</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33 186</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74,2</w:t>
            </w:r>
          </w:p>
        </w:tc>
      </w:tr>
      <w:tr>
        <w:tblPrEx>
          <w:tblW w:w="5000" w:type="pct"/>
          <w:tblCellMar>
            <w:left w:w="70" w:type="dxa"/>
            <w:right w:w="70" w:type="dxa"/>
          </w:tblCellMar>
          <w:tblLook w:val="04A0"/>
        </w:tblPrEx>
        <w:trPr>
          <w:trHeight w:val="51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Poľnohospodárske fondy 3. programové obdobie</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72 216</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78 232</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26 830</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-51 402</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-65,7</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Poľnohospodárske fondy spolu</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92 538</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101 582</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122 979</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104 763</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-18 216</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-14,8</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Štrukturálne fondy 1. programové obdobie</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51</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Štrukturálne fondy 2. programové obdobie</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184 751</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181 673</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152 367</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383 487</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231 120</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151,7</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Štrukturálne fondy 3. programové obdobie</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208 376</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1 852</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-206 524</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-99,1</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Kohézny fond 1. programové obdobie</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Kohézny fond 2. programové obdobie</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90 069</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89 035</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114 192</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252 552</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138 360</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121,2</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Kohézny fond 3. programové obdobie</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55 915</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5 250</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-50 665</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-90,6</w:t>
            </w:r>
          </w:p>
        </w:tc>
      </w:tr>
      <w:tr>
        <w:tblPrEx>
          <w:tblW w:w="5000" w:type="pct"/>
          <w:tblCellMar>
            <w:left w:w="70" w:type="dxa"/>
            <w:right w:w="70" w:type="dxa"/>
          </w:tblCellMar>
          <w:tblLook w:val="04A0"/>
        </w:tblPrEx>
        <w:trPr>
          <w:trHeight w:val="330"/>
        </w:trPr>
        <w:tc>
          <w:tcPr>
            <w:tcW w:w="1856"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Štrukturálne operácie spolu</w:t>
            </w:r>
          </w:p>
        </w:tc>
        <w:tc>
          <w:tcPr>
            <w:tcW w:w="55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274 871</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270 708</w:t>
            </w:r>
          </w:p>
        </w:tc>
        <w:tc>
          <w:tcPr>
            <w:tcW w:w="520"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530 850</w:t>
            </w:r>
          </w:p>
        </w:tc>
        <w:tc>
          <w:tcPr>
            <w:tcW w:w="62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643 141</w:t>
            </w:r>
          </w:p>
        </w:tc>
        <w:tc>
          <w:tcPr>
            <w:tcW w:w="48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112 291</w:t>
            </w:r>
          </w:p>
        </w:tc>
        <w:tc>
          <w:tcPr>
            <w:tcW w:w="451"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21,2</w:t>
            </w:r>
          </w:p>
        </w:tc>
      </w:tr>
      <w:tr>
        <w:tblPrEx>
          <w:tblW w:w="5000" w:type="pct"/>
          <w:tblCellMar>
            <w:left w:w="70" w:type="dxa"/>
            <w:right w:w="70" w:type="dxa"/>
          </w:tblCellMar>
          <w:tblLook w:val="04A0"/>
        </w:tblPrEx>
        <w:trPr>
          <w:trHeight w:val="345"/>
        </w:trPr>
        <w:tc>
          <w:tcPr>
            <w:tcW w:w="1856" w:type="pct"/>
            <w:tcBorders>
              <w:top w:val="single" w:sz="4" w:space="0" w:color="auto"/>
              <w:left w:val="nil"/>
              <w:bottom w:val="single" w:sz="8" w:space="0" w:color="auto"/>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Spolu výdavky za prostriedky EÚ</w:t>
            </w:r>
          </w:p>
        </w:tc>
        <w:tc>
          <w:tcPr>
            <w:tcW w:w="553"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367 409</w:t>
            </w:r>
          </w:p>
        </w:tc>
        <w:tc>
          <w:tcPr>
            <w:tcW w:w="503"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372 290</w:t>
            </w:r>
          </w:p>
        </w:tc>
        <w:tc>
          <w:tcPr>
            <w:tcW w:w="520"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653 829</w:t>
            </w:r>
          </w:p>
        </w:tc>
        <w:tc>
          <w:tcPr>
            <w:tcW w:w="629" w:type="pct"/>
            <w:tcBorders>
              <w:top w:val="single" w:sz="4" w:space="0" w:color="auto"/>
              <w:left w:val="nil"/>
              <w:bottom w:val="single" w:sz="8" w:space="0" w:color="auto"/>
              <w:right w:val="nil"/>
            </w:tcBorders>
            <w:shd w:val="clear" w:color="auto"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747 904</w:t>
            </w:r>
          </w:p>
        </w:tc>
        <w:tc>
          <w:tcPr>
            <w:tcW w:w="488"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94 075</w:t>
            </w:r>
          </w:p>
        </w:tc>
        <w:tc>
          <w:tcPr>
            <w:tcW w:w="451"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14,4</w:t>
            </w:r>
          </w:p>
        </w:tc>
      </w:tr>
    </w:tbl>
    <w:p w:rsidR="00900E1A" w:rsidP="00AC07BA">
      <w:pPr>
        <w:bidi w:val="0"/>
        <w:spacing w:after="120" w:line="336" w:lineRule="auto"/>
        <w:jc w:val="right"/>
        <w:rPr>
          <w:rFonts w:ascii="Times New Roman" w:hAnsi="Times New Roman"/>
          <w:sz w:val="18"/>
          <w:szCs w:val="18"/>
        </w:rPr>
      </w:pPr>
      <w:r w:rsidRPr="003208E6">
        <w:rPr>
          <w:rFonts w:ascii="Times New Roman" w:hAnsi="Times New Roman"/>
          <w:sz w:val="18"/>
          <w:szCs w:val="18"/>
        </w:rPr>
        <w:t xml:space="preserve">Zdroj: </w:t>
      </w:r>
      <w:r>
        <w:rPr>
          <w:rFonts w:ascii="Times New Roman" w:hAnsi="Times New Roman"/>
          <w:sz w:val="18"/>
          <w:szCs w:val="18"/>
        </w:rPr>
        <w:t>MF SR</w:t>
      </w:r>
    </w:p>
    <w:p w:rsidR="00927FF8" w:rsidRPr="000E1705" w:rsidP="00927FF8">
      <w:pPr>
        <w:shd w:val="clear" w:color="auto" w:fill="FFFFFF"/>
        <w:bidi w:val="0"/>
        <w:spacing w:after="120" w:line="336" w:lineRule="auto"/>
        <w:jc w:val="both"/>
        <w:rPr>
          <w:rFonts w:ascii="Times New Roman" w:hAnsi="Times New Roman"/>
          <w:sz w:val="22"/>
          <w:szCs w:val="22"/>
        </w:rPr>
      </w:pPr>
      <w:r w:rsidRPr="000E1705">
        <w:rPr>
          <w:rFonts w:ascii="Times New Roman" w:hAnsi="Times New Roman"/>
          <w:sz w:val="22"/>
          <w:szCs w:val="22"/>
        </w:rPr>
        <w:t>Z</w:t>
      </w:r>
      <w:r>
        <w:rPr>
          <w:rFonts w:ascii="Times New Roman" w:hAnsi="Times New Roman"/>
          <w:sz w:val="22"/>
          <w:szCs w:val="22"/>
        </w:rPr>
        <w:t> </w:t>
      </w:r>
      <w:r w:rsidRPr="000E1705">
        <w:rPr>
          <w:rFonts w:ascii="Times New Roman" w:hAnsi="Times New Roman"/>
          <w:sz w:val="22"/>
          <w:szCs w:val="22"/>
        </w:rPr>
        <w:t>dôvodu</w:t>
      </w:r>
      <w:r>
        <w:rPr>
          <w:rFonts w:ascii="Times New Roman" w:hAnsi="Times New Roman"/>
          <w:sz w:val="22"/>
          <w:szCs w:val="22"/>
        </w:rPr>
        <w:t xml:space="preserve"> ukončovania obdobia oprávnenosti </w:t>
      </w:r>
      <w:r w:rsidRPr="000E1705">
        <w:rPr>
          <w:rFonts w:ascii="Times New Roman" w:hAnsi="Times New Roman"/>
          <w:sz w:val="22"/>
          <w:szCs w:val="22"/>
        </w:rPr>
        <w:t xml:space="preserve">k 31.12.2015 </w:t>
      </w:r>
      <w:r>
        <w:rPr>
          <w:rFonts w:ascii="Times New Roman" w:hAnsi="Times New Roman"/>
          <w:sz w:val="22"/>
          <w:szCs w:val="22"/>
        </w:rPr>
        <w:t xml:space="preserve">vyvíjali rezorty v priebehu celého roka maximálne úsilie z pohľadu plnenia výdavkov za prostriedky EÚ a výdavkov na spolufinancovanie zo štátneho rozpočtu k prostriedkom EÚ. </w:t>
      </w:r>
      <w:r w:rsidRPr="0080216B">
        <w:rPr>
          <w:rFonts w:ascii="Times New Roman" w:hAnsi="Times New Roman"/>
          <w:sz w:val="22"/>
          <w:szCs w:val="22"/>
        </w:rPr>
        <w:t>C</w:t>
      </w:r>
      <w:r w:rsidRPr="000E1705">
        <w:rPr>
          <w:rFonts w:ascii="Times New Roman" w:hAnsi="Times New Roman"/>
          <w:sz w:val="22"/>
          <w:szCs w:val="22"/>
        </w:rPr>
        <w:t xml:space="preserve">elkovo možno skonštatovať, že údaje </w:t>
      </w:r>
      <w:r>
        <w:rPr>
          <w:rFonts w:ascii="Times New Roman" w:hAnsi="Times New Roman"/>
          <w:sz w:val="22"/>
          <w:szCs w:val="22"/>
        </w:rPr>
        <w:t xml:space="preserve">za skutočnosť </w:t>
      </w:r>
      <w:r w:rsidRPr="000E1705">
        <w:rPr>
          <w:rFonts w:ascii="Times New Roman" w:hAnsi="Times New Roman"/>
          <w:sz w:val="22"/>
          <w:szCs w:val="22"/>
        </w:rPr>
        <w:t>predstavujú historicky najvyššiu ročnú úroveň čerpania</w:t>
      </w:r>
      <w:r>
        <w:rPr>
          <w:rFonts w:ascii="Times New Roman" w:hAnsi="Times New Roman"/>
          <w:sz w:val="22"/>
          <w:szCs w:val="22"/>
        </w:rPr>
        <w:t xml:space="preserve"> a v porovnaní s predošlým obdobím došlo k 200% nárastu.</w:t>
      </w:r>
    </w:p>
    <w:p w:rsidR="00900E1A" w:rsidP="00927FF8">
      <w:pPr>
        <w:bidi w:val="0"/>
        <w:spacing w:after="120" w:line="336" w:lineRule="auto"/>
        <w:jc w:val="both"/>
        <w:rPr>
          <w:rFonts w:ascii="Times New Roman" w:hAnsi="Times New Roman"/>
          <w:sz w:val="22"/>
          <w:szCs w:val="22"/>
        </w:rPr>
      </w:pPr>
      <w:r w:rsidR="00927FF8">
        <w:rPr>
          <w:rFonts w:ascii="Times New Roman" w:hAnsi="Times New Roman"/>
          <w:sz w:val="22"/>
          <w:szCs w:val="22"/>
        </w:rPr>
        <w:t xml:space="preserve">V rámci 3. programového obdobia 2014 – 2020 došlo v roku 2015 k spusteniu </w:t>
      </w:r>
      <w:r w:rsidRPr="000E1705" w:rsidR="00927FF8">
        <w:rPr>
          <w:rFonts w:ascii="Times New Roman" w:hAnsi="Times New Roman"/>
          <w:sz w:val="22"/>
          <w:szCs w:val="22"/>
        </w:rPr>
        <w:t>čerpani</w:t>
      </w:r>
      <w:r w:rsidR="00927FF8">
        <w:rPr>
          <w:rFonts w:ascii="Times New Roman" w:hAnsi="Times New Roman"/>
          <w:sz w:val="22"/>
          <w:szCs w:val="22"/>
        </w:rPr>
        <w:t>a</w:t>
      </w:r>
      <w:r w:rsidRPr="000E1705" w:rsidR="00927FF8">
        <w:rPr>
          <w:rFonts w:ascii="Times New Roman" w:hAnsi="Times New Roman"/>
          <w:sz w:val="22"/>
          <w:szCs w:val="22"/>
        </w:rPr>
        <w:t xml:space="preserve"> výdavkov </w:t>
      </w:r>
      <w:r w:rsidR="00927FF8">
        <w:rPr>
          <w:rFonts w:ascii="Times New Roman" w:hAnsi="Times New Roman"/>
          <w:sz w:val="22"/>
          <w:szCs w:val="22"/>
        </w:rPr>
        <w:t>za prostriedky</w:t>
      </w:r>
      <w:r w:rsidRPr="00296989" w:rsidR="00927FF8">
        <w:rPr>
          <w:rFonts w:ascii="Times New Roman" w:hAnsi="Times New Roman"/>
          <w:sz w:val="22"/>
          <w:szCs w:val="22"/>
        </w:rPr>
        <w:t xml:space="preserve"> EÚ </w:t>
      </w:r>
      <w:r w:rsidR="00927FF8">
        <w:rPr>
          <w:rFonts w:ascii="Times New Roman" w:hAnsi="Times New Roman"/>
          <w:sz w:val="22"/>
          <w:szCs w:val="22"/>
        </w:rPr>
        <w:t>a výdavkov na spolufinancovanie zo štátneho rozpočtu k prostriedkom EÚ, a to v rámci dvoch operačných programov (Operačný program Kvalita životného prostredia a Operačný program Integrovaná infraštruktúra) vo výške 39 076 tis. eur za prostriedky EÚ a vo výške 7 102 tis. eur za spolufinancovanie zo štátneho rozpočtu k prostriedkom EÚ.</w:t>
      </w:r>
    </w:p>
    <w:p w:rsidR="00900E1A" w:rsidRPr="003208E6" w:rsidP="00900E1A">
      <w:pPr>
        <w:numPr>
          <w:numId w:val="14"/>
        </w:numPr>
        <w:tabs>
          <w:tab w:val="left" w:pos="284"/>
        </w:tabs>
        <w:bidi w:val="0"/>
        <w:spacing w:after="120" w:line="336" w:lineRule="auto"/>
        <w:ind w:left="0" w:firstLine="0"/>
        <w:jc w:val="both"/>
        <w:rPr>
          <w:rFonts w:ascii="Times New Roman" w:hAnsi="Times New Roman"/>
          <w:b/>
          <w:sz w:val="22"/>
          <w:szCs w:val="22"/>
        </w:rPr>
      </w:pPr>
      <w:r w:rsidRPr="003208E6">
        <w:rPr>
          <w:rFonts w:ascii="Times New Roman" w:hAnsi="Times New Roman"/>
          <w:b/>
          <w:sz w:val="22"/>
          <w:szCs w:val="22"/>
        </w:rPr>
        <w:t>Spolufinancovanie zo štátneho rozpočtu k zahraničným grantom z EÚ a</w:t>
      </w:r>
      <w:r w:rsidR="00853C11">
        <w:rPr>
          <w:rFonts w:ascii="Times New Roman" w:hAnsi="Times New Roman"/>
          <w:b/>
          <w:sz w:val="22"/>
          <w:szCs w:val="22"/>
        </w:rPr>
        <w:t xml:space="preserve"> </w:t>
      </w:r>
      <w:r w:rsidRPr="003208E6">
        <w:rPr>
          <w:rFonts w:ascii="Times New Roman" w:hAnsi="Times New Roman"/>
          <w:b/>
          <w:sz w:val="22"/>
          <w:szCs w:val="22"/>
        </w:rPr>
        <w:t>k prostriedkom poskytnutým na základe medzinárodných zmlúv</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Spolufinancovanie zo štátneho rozpočtu k zahraničným grantom (</w:t>
      </w:r>
      <w:r>
        <w:rPr>
          <w:rFonts w:ascii="Times New Roman" w:hAnsi="Times New Roman"/>
          <w:sz w:val="22"/>
          <w:szCs w:val="22"/>
        </w:rPr>
        <w:t>f</w:t>
      </w:r>
      <w:r w:rsidRPr="000B6D84">
        <w:rPr>
          <w:rFonts w:ascii="Times New Roman" w:hAnsi="Times New Roman"/>
          <w:sz w:val="22"/>
          <w:szCs w:val="22"/>
        </w:rPr>
        <w:t>inančný nástroj pre životné prostredie</w:t>
      </w:r>
      <w:r w:rsidRPr="003208E6">
        <w:rPr>
          <w:rFonts w:ascii="Times New Roman" w:hAnsi="Times New Roman"/>
          <w:sz w:val="22"/>
          <w:szCs w:val="22"/>
        </w:rPr>
        <w:t xml:space="preserve"> LIFE+ a programy európskej územnej spolupráce) a k prostriedkom poskytnutým na</w:t>
      </w:r>
      <w:r>
        <w:rPr>
          <w:rFonts w:ascii="Times New Roman" w:hAnsi="Times New Roman"/>
          <w:sz w:val="22"/>
          <w:szCs w:val="22"/>
        </w:rPr>
        <w:t> </w:t>
      </w:r>
      <w:r w:rsidRPr="003208E6">
        <w:rPr>
          <w:rFonts w:ascii="Times New Roman" w:hAnsi="Times New Roman"/>
          <w:sz w:val="22"/>
          <w:szCs w:val="22"/>
        </w:rPr>
        <w:t xml:space="preserve">základe medzinárodných zmlúv </w:t>
      </w:r>
      <w:r>
        <w:rPr>
          <w:rFonts w:ascii="Times New Roman" w:hAnsi="Times New Roman"/>
          <w:sz w:val="22"/>
          <w:szCs w:val="22"/>
        </w:rPr>
        <w:t xml:space="preserve">(Finančný mechanizmus EHP a </w:t>
      </w:r>
      <w:r w:rsidRPr="003208E6">
        <w:rPr>
          <w:rFonts w:ascii="Times New Roman" w:hAnsi="Times New Roman"/>
          <w:sz w:val="22"/>
          <w:szCs w:val="22"/>
        </w:rPr>
        <w:t>Nórsky finančný mechanizmus</w:t>
      </w:r>
      <w:r>
        <w:rPr>
          <w:rFonts w:ascii="Times New Roman" w:hAnsi="Times New Roman"/>
          <w:sz w:val="22"/>
          <w:szCs w:val="22"/>
        </w:rPr>
        <w:t>) bolo rozpočtované pre rok 2015</w:t>
      </w:r>
      <w:r w:rsidRPr="003208E6">
        <w:rPr>
          <w:rFonts w:ascii="Times New Roman" w:hAnsi="Times New Roman"/>
          <w:sz w:val="22"/>
          <w:szCs w:val="22"/>
        </w:rPr>
        <w:t xml:space="preserve"> v objeme </w:t>
      </w:r>
      <w:r>
        <w:rPr>
          <w:rFonts w:ascii="Times New Roman" w:hAnsi="Times New Roman"/>
          <w:sz w:val="22"/>
          <w:szCs w:val="22"/>
        </w:rPr>
        <w:t>19 006</w:t>
      </w:r>
      <w:r w:rsidRPr="003208E6">
        <w:rPr>
          <w:rFonts w:ascii="Times New Roman" w:hAnsi="Times New Roman"/>
          <w:sz w:val="22"/>
          <w:szCs w:val="22"/>
        </w:rPr>
        <w:t xml:space="preserve"> tis. eur, z toho k zahraničným grantom vo výške 1</w:t>
      </w:r>
      <w:r>
        <w:rPr>
          <w:rFonts w:ascii="Times New Roman" w:hAnsi="Times New Roman"/>
          <w:sz w:val="22"/>
          <w:szCs w:val="22"/>
        </w:rPr>
        <w:t>5 241</w:t>
      </w:r>
      <w:r w:rsidRPr="003208E6">
        <w:rPr>
          <w:rFonts w:ascii="Times New Roman" w:hAnsi="Times New Roman"/>
          <w:sz w:val="22"/>
          <w:szCs w:val="22"/>
        </w:rPr>
        <w:t xml:space="preserve"> tis. eur a</w:t>
      </w:r>
      <w:r w:rsidR="00853C11">
        <w:rPr>
          <w:rFonts w:ascii="Times New Roman" w:hAnsi="Times New Roman"/>
          <w:sz w:val="22"/>
          <w:szCs w:val="22"/>
        </w:rPr>
        <w:t xml:space="preserve"> </w:t>
      </w:r>
      <w:r w:rsidRPr="003208E6">
        <w:rPr>
          <w:rFonts w:ascii="Times New Roman" w:hAnsi="Times New Roman"/>
          <w:sz w:val="22"/>
          <w:szCs w:val="22"/>
        </w:rPr>
        <w:t>k prostriedkom poskytnutým na základ</w:t>
      </w:r>
      <w:r>
        <w:rPr>
          <w:rFonts w:ascii="Times New Roman" w:hAnsi="Times New Roman"/>
          <w:sz w:val="22"/>
          <w:szCs w:val="22"/>
        </w:rPr>
        <w:t>e medzinárodných zmlúv vo výške 3 765 </w:t>
      </w:r>
      <w:r w:rsidRPr="003208E6">
        <w:rPr>
          <w:rFonts w:ascii="Times New Roman" w:hAnsi="Times New Roman"/>
          <w:sz w:val="22"/>
          <w:szCs w:val="22"/>
        </w:rPr>
        <w:t xml:space="preserve">tis. eur. </w:t>
      </w:r>
    </w:p>
    <w:p w:rsidR="00900E1A" w:rsidP="00900E1A">
      <w:pPr>
        <w:bidi w:val="0"/>
        <w:spacing w:after="120" w:line="336" w:lineRule="auto"/>
        <w:jc w:val="both"/>
        <w:rPr>
          <w:rFonts w:ascii="Times New Roman" w:hAnsi="Times New Roman"/>
          <w:sz w:val="22"/>
          <w:szCs w:val="22"/>
        </w:rPr>
      </w:pPr>
      <w:r w:rsidRPr="000E1705">
        <w:rPr>
          <w:rFonts w:ascii="Times New Roman" w:hAnsi="Times New Roman"/>
          <w:sz w:val="22"/>
          <w:szCs w:val="22"/>
        </w:rPr>
        <w:t>V priebehu roka 2015 došlo k zníženiu limitu výdavku v rámci programov LIFE 2007</w:t>
      </w:r>
      <w:r>
        <w:rPr>
          <w:rFonts w:ascii="Times New Roman" w:hAnsi="Times New Roman"/>
          <w:sz w:val="22"/>
          <w:szCs w:val="22"/>
        </w:rPr>
        <w:t xml:space="preserve"> </w:t>
      </w:r>
      <w:r w:rsidRPr="000E1705">
        <w:rPr>
          <w:rFonts w:ascii="Times New Roman" w:hAnsi="Times New Roman"/>
          <w:sz w:val="22"/>
          <w:szCs w:val="22"/>
        </w:rPr>
        <w:t>-</w:t>
      </w:r>
      <w:r>
        <w:rPr>
          <w:rFonts w:ascii="Times New Roman" w:hAnsi="Times New Roman"/>
          <w:sz w:val="22"/>
          <w:szCs w:val="22"/>
        </w:rPr>
        <w:t xml:space="preserve"> </w:t>
      </w:r>
      <w:r w:rsidRPr="000E1705">
        <w:rPr>
          <w:rFonts w:ascii="Times New Roman" w:hAnsi="Times New Roman"/>
          <w:sz w:val="22"/>
          <w:szCs w:val="22"/>
        </w:rPr>
        <w:t>2013</w:t>
      </w:r>
      <w:r>
        <w:rPr>
          <w:rFonts w:ascii="Times New Roman" w:hAnsi="Times New Roman"/>
          <w:sz w:val="22"/>
          <w:szCs w:val="22"/>
        </w:rPr>
        <w:t xml:space="preserve"> o 2 418 tis. eur</w:t>
      </w:r>
      <w:r w:rsidRPr="000E1705">
        <w:rPr>
          <w:rFonts w:ascii="Times New Roman" w:hAnsi="Times New Roman"/>
          <w:sz w:val="22"/>
          <w:szCs w:val="22"/>
        </w:rPr>
        <w:t xml:space="preserve"> a LIFE 2014-2020</w:t>
      </w:r>
      <w:r>
        <w:rPr>
          <w:rFonts w:ascii="Times New Roman" w:hAnsi="Times New Roman"/>
          <w:sz w:val="22"/>
          <w:szCs w:val="22"/>
        </w:rPr>
        <w:t xml:space="preserve"> o 3 500 tis. eur</w:t>
      </w:r>
      <w:r w:rsidRPr="000E1705">
        <w:rPr>
          <w:rFonts w:ascii="Times New Roman" w:hAnsi="Times New Roman"/>
          <w:sz w:val="22"/>
          <w:szCs w:val="22"/>
        </w:rPr>
        <w:t xml:space="preserve"> z dôvodu presunu prostriedkov na zabezpečenie plnenia úloh vybraných organizácií v pôsobnosti Ministerstva životného prostredia SR a úloh samotného ústredného orgánu. Spätné vrátenie týchto prostriedkov bolo realizované iba v rámci LIFE 2007</w:t>
      </w:r>
      <w:r>
        <w:rPr>
          <w:rFonts w:ascii="Times New Roman" w:hAnsi="Times New Roman"/>
          <w:sz w:val="22"/>
          <w:szCs w:val="22"/>
        </w:rPr>
        <w:t xml:space="preserve"> </w:t>
      </w:r>
      <w:r w:rsidRPr="000E1705">
        <w:rPr>
          <w:rFonts w:ascii="Times New Roman" w:hAnsi="Times New Roman"/>
          <w:sz w:val="22"/>
          <w:szCs w:val="22"/>
        </w:rPr>
        <w:t>-</w:t>
      </w:r>
      <w:r>
        <w:rPr>
          <w:rFonts w:ascii="Times New Roman" w:hAnsi="Times New Roman"/>
          <w:sz w:val="22"/>
          <w:szCs w:val="22"/>
        </w:rPr>
        <w:t xml:space="preserve"> </w:t>
      </w:r>
      <w:r w:rsidRPr="000E1705">
        <w:rPr>
          <w:rFonts w:ascii="Times New Roman" w:hAnsi="Times New Roman"/>
          <w:sz w:val="22"/>
          <w:szCs w:val="22"/>
        </w:rPr>
        <w:t>2013. V prípade LIFE 2014-2020 predstavovala suma nevrátených prostriedkov určených na financovanie programu 3 500 tis. eur.</w:t>
      </w:r>
    </w:p>
    <w:p w:rsidR="00900E1A" w:rsidRPr="003208E6" w:rsidP="00900E1A">
      <w:pPr>
        <w:bidi w:val="0"/>
        <w:spacing w:after="120" w:line="336" w:lineRule="auto"/>
        <w:jc w:val="both"/>
        <w:rPr>
          <w:rFonts w:ascii="Times New Roman" w:hAnsi="Times New Roman"/>
          <w:sz w:val="22"/>
          <w:szCs w:val="22"/>
        </w:rPr>
      </w:pPr>
      <w:r w:rsidRPr="000353D9">
        <w:rPr>
          <w:rFonts w:ascii="Times New Roman" w:hAnsi="Times New Roman"/>
          <w:sz w:val="22"/>
          <w:szCs w:val="22"/>
        </w:rPr>
        <w:t>Zároveň boli v rámci rozpočtu na rok 201</w:t>
      </w:r>
      <w:r>
        <w:rPr>
          <w:rFonts w:ascii="Times New Roman" w:hAnsi="Times New Roman"/>
          <w:sz w:val="22"/>
          <w:szCs w:val="22"/>
        </w:rPr>
        <w:t>5</w:t>
      </w:r>
      <w:r w:rsidRPr="000353D9">
        <w:rPr>
          <w:rFonts w:ascii="Times New Roman" w:hAnsi="Times New Roman"/>
          <w:sz w:val="22"/>
          <w:szCs w:val="22"/>
        </w:rPr>
        <w:t xml:space="preserve"> rozpočtované prostriedky na spolufinancovanie </w:t>
      </w:r>
      <w:r w:rsidRPr="000353D9">
        <w:rPr>
          <w:rFonts w:ascii="Times New Roman" w:hAnsi="Times New Roman"/>
          <w:bCs/>
          <w:sz w:val="22"/>
          <w:szCs w:val="22"/>
        </w:rPr>
        <w:t xml:space="preserve">programu Solidarity a riadenia migračných tokov na roky 2007 - 2013 </w:t>
      </w:r>
      <w:r w:rsidRPr="000353D9">
        <w:rPr>
          <w:rFonts w:ascii="Times New Roman" w:hAnsi="Times New Roman"/>
          <w:sz w:val="22"/>
          <w:szCs w:val="22"/>
        </w:rPr>
        <w:t xml:space="preserve">vo výške </w:t>
      </w:r>
      <w:r>
        <w:rPr>
          <w:rFonts w:ascii="Times New Roman" w:hAnsi="Times New Roman"/>
          <w:sz w:val="22"/>
          <w:szCs w:val="22"/>
        </w:rPr>
        <w:t>587</w:t>
      </w:r>
      <w:r w:rsidRPr="000353D9">
        <w:rPr>
          <w:rFonts w:ascii="Times New Roman" w:hAnsi="Times New Roman"/>
          <w:sz w:val="22"/>
          <w:szCs w:val="22"/>
        </w:rPr>
        <w:t xml:space="preserve"> tis. eur</w:t>
      </w:r>
      <w:r>
        <w:rPr>
          <w:rFonts w:ascii="Times New Roman" w:hAnsi="Times New Roman"/>
          <w:sz w:val="22"/>
          <w:szCs w:val="22"/>
        </w:rPr>
        <w:t xml:space="preserve"> a na roky 2014 - 2020 vo výške 4 723 tis. eur</w:t>
      </w:r>
      <w:r w:rsidRPr="000353D9">
        <w:rPr>
          <w:rFonts w:ascii="Times New Roman" w:hAnsi="Times New Roman"/>
          <w:sz w:val="22"/>
          <w:szCs w:val="22"/>
        </w:rPr>
        <w:t>.</w:t>
      </w:r>
    </w:p>
    <w:p w:rsidR="00900E1A" w:rsidRPr="003208E6"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Čerpanie výdavkov na spolufinancovanie k zahraničným grant</w:t>
      </w:r>
      <w:r>
        <w:rPr>
          <w:rFonts w:ascii="Times New Roman" w:hAnsi="Times New Roman"/>
          <w:sz w:val="22"/>
          <w:szCs w:val="22"/>
        </w:rPr>
        <w:t>om z prostriedkov EÚ v roku 2015</w:t>
      </w:r>
      <w:r w:rsidRPr="003208E6">
        <w:rPr>
          <w:rFonts w:ascii="Times New Roman" w:hAnsi="Times New Roman"/>
          <w:sz w:val="22"/>
          <w:szCs w:val="22"/>
        </w:rPr>
        <w:t xml:space="preserve"> </w:t>
      </w:r>
      <w:r>
        <w:rPr>
          <w:rFonts w:ascii="Times New Roman" w:hAnsi="Times New Roman"/>
          <w:sz w:val="22"/>
          <w:szCs w:val="22"/>
        </w:rPr>
        <w:t xml:space="preserve">predstavovalo </w:t>
      </w:r>
      <w:r w:rsidRPr="003208E6">
        <w:rPr>
          <w:rFonts w:ascii="Times New Roman" w:hAnsi="Times New Roman"/>
          <w:sz w:val="22"/>
          <w:szCs w:val="22"/>
        </w:rPr>
        <w:t xml:space="preserve">sumu </w:t>
      </w:r>
      <w:r>
        <w:rPr>
          <w:rFonts w:ascii="Times New Roman" w:hAnsi="Times New Roman"/>
          <w:sz w:val="22"/>
          <w:szCs w:val="22"/>
        </w:rPr>
        <w:t>8 258</w:t>
      </w:r>
      <w:r w:rsidRPr="003208E6">
        <w:rPr>
          <w:rFonts w:ascii="Times New Roman" w:hAnsi="Times New Roman"/>
          <w:sz w:val="22"/>
          <w:szCs w:val="22"/>
        </w:rPr>
        <w:t xml:space="preserve"> tis. eur. Čerpanie výdavkov k prostriedkom poskytnutým na základe </w:t>
      </w:r>
      <w:r>
        <w:rPr>
          <w:rFonts w:ascii="Times New Roman" w:hAnsi="Times New Roman"/>
          <w:sz w:val="22"/>
          <w:szCs w:val="22"/>
        </w:rPr>
        <w:t>medzinárodných zmlúv v roku 2015 predstavovalo</w:t>
      </w:r>
      <w:r w:rsidRPr="003208E6">
        <w:rPr>
          <w:rFonts w:ascii="Times New Roman" w:hAnsi="Times New Roman"/>
          <w:sz w:val="22"/>
          <w:szCs w:val="22"/>
        </w:rPr>
        <w:t xml:space="preserve"> sumu </w:t>
      </w:r>
      <w:r>
        <w:rPr>
          <w:rFonts w:ascii="Times New Roman" w:hAnsi="Times New Roman"/>
          <w:sz w:val="22"/>
          <w:szCs w:val="22"/>
        </w:rPr>
        <w:t>3 839</w:t>
      </w:r>
      <w:r w:rsidRPr="003208E6">
        <w:rPr>
          <w:rFonts w:ascii="Times New Roman" w:hAnsi="Times New Roman"/>
          <w:sz w:val="22"/>
          <w:szCs w:val="22"/>
        </w:rPr>
        <w:t xml:space="preserve"> tis. eur.</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Prehľad výdavkov na spolufinancovanie zo štátneho rozpočtu k zahraničným grantom z EÚ a k prostriedkom poskytnutým na základe medzinárodných zmlúv je uvedený v nasledovnej tabuľke:</w:t>
      </w:r>
    </w:p>
    <w:tbl>
      <w:tblPr>
        <w:tblStyle w:val="TableNormal"/>
        <w:tblW w:w="5120" w:type="pct"/>
        <w:tblLayout w:type="fixed"/>
        <w:tblCellMar>
          <w:left w:w="70" w:type="dxa"/>
          <w:right w:w="70" w:type="dxa"/>
        </w:tblCellMar>
        <w:tblLook w:val="04A0"/>
      </w:tblPr>
      <w:tblGrid>
        <w:gridCol w:w="3989"/>
        <w:gridCol w:w="691"/>
        <w:gridCol w:w="920"/>
        <w:gridCol w:w="850"/>
        <w:gridCol w:w="1134"/>
        <w:gridCol w:w="850"/>
        <w:gridCol w:w="708"/>
      </w:tblGrid>
      <w:tr>
        <w:tblPrEx>
          <w:tblW w:w="5120" w:type="pct"/>
          <w:tblLayout w:type="fixed"/>
          <w:tblCellMar>
            <w:left w:w="70" w:type="dxa"/>
            <w:right w:w="70" w:type="dxa"/>
          </w:tblCellMar>
          <w:tblLook w:val="04A0"/>
        </w:tblPrEx>
        <w:trPr>
          <w:trHeight w:val="330"/>
        </w:trPr>
        <w:tc>
          <w:tcPr>
            <w:tcW w:w="5000" w:type="pct"/>
            <w:gridSpan w:val="7"/>
            <w:tcBorders>
              <w:top w:val="nil"/>
              <w:left w:val="nil"/>
              <w:bottom w:val="nil"/>
              <w:right w:val="nil"/>
            </w:tcBorders>
            <w:shd w:val="clear" w:color="000000" w:fill="000000"/>
            <w:noWrap/>
            <w:textDirection w:val="lrTb"/>
            <w:vAlign w:val="center"/>
            <w:hideMark/>
          </w:tcPr>
          <w:p w:rsidR="00900E1A" w:rsidRPr="00DE543A" w:rsidP="00900E1A">
            <w:pPr>
              <w:bidi w:val="0"/>
              <w:rPr>
                <w:rFonts w:ascii="Times New Roman" w:hAnsi="Times New Roman"/>
                <w:b/>
                <w:bCs/>
                <w:color w:val="FFFFFF"/>
                <w:sz w:val="18"/>
                <w:szCs w:val="18"/>
              </w:rPr>
            </w:pPr>
            <w:r w:rsidRPr="00DE543A">
              <w:rPr>
                <w:rFonts w:ascii="Times New Roman" w:hAnsi="Times New Roman"/>
                <w:b/>
                <w:bCs/>
                <w:color w:val="FFFFFF"/>
                <w:sz w:val="18"/>
                <w:szCs w:val="18"/>
              </w:rPr>
              <w:t xml:space="preserve">Spolufinancovanie zo ŠR k zahraničným grantom/k prostriedkom poskytnutým na základe </w:t>
              <w:br/>
              <w:t>medzinárodných zmlúv</w:t>
            </w:r>
            <w:r w:rsidRPr="00DE543A" w:rsidR="00AD13E4">
              <w:rPr>
                <w:rFonts w:ascii="Times New Roman" w:hAnsi="Times New Roman"/>
                <w:b/>
                <w:bCs/>
                <w:color w:val="FFFFFF"/>
                <w:sz w:val="18"/>
                <w:szCs w:val="18"/>
              </w:rPr>
              <w:t xml:space="preserve">                                                              </w:t>
            </w:r>
            <w:r w:rsidRPr="00DE543A" w:rsidR="00853C11">
              <w:rPr>
                <w:rFonts w:ascii="Times New Roman" w:hAnsi="Times New Roman"/>
                <w:b/>
                <w:bCs/>
                <w:color w:val="FFFFFF"/>
                <w:sz w:val="18"/>
                <w:szCs w:val="18"/>
              </w:rPr>
              <w:t xml:space="preserve">                                                                          </w:t>
            </w:r>
            <w:r w:rsidRPr="00DE543A" w:rsidR="00AD13E4">
              <w:rPr>
                <w:rFonts w:ascii="Times New Roman" w:hAnsi="Times New Roman"/>
                <w:b/>
                <w:bCs/>
                <w:color w:val="FFFFFF"/>
                <w:sz w:val="18"/>
                <w:szCs w:val="18"/>
              </w:rPr>
              <w:t xml:space="preserve">        </w:t>
            </w:r>
            <w:r w:rsidRPr="00DE543A">
              <w:rPr>
                <w:rFonts w:ascii="Times New Roman" w:hAnsi="Times New Roman"/>
                <w:b/>
                <w:bCs/>
                <w:color w:val="FFFFFF"/>
                <w:sz w:val="18"/>
                <w:szCs w:val="18"/>
              </w:rPr>
              <w:t>v tis. eur</w:t>
            </w:r>
          </w:p>
        </w:tc>
      </w:tr>
      <w:tr>
        <w:tblPrEx>
          <w:tblW w:w="5120" w:type="pct"/>
          <w:tblLayout w:type="fixed"/>
          <w:tblCellMar>
            <w:left w:w="70" w:type="dxa"/>
            <w:right w:w="70" w:type="dxa"/>
          </w:tblCellMar>
          <w:tblLook w:val="04A0"/>
        </w:tblPrEx>
        <w:trPr>
          <w:trHeight w:val="330"/>
        </w:trPr>
        <w:tc>
          <w:tcPr>
            <w:tcW w:w="2182" w:type="pct"/>
            <w:tcBorders>
              <w:top w:val="nil"/>
              <w:left w:val="nil"/>
              <w:bottom w:val="nil"/>
              <w:right w:val="nil"/>
            </w:tcBorders>
            <w:shd w:val="clear" w:color="000000" w:fill="BFBFBF"/>
            <w:textDirection w:val="lrTb"/>
            <w:vAlign w:val="center"/>
            <w:hideMark/>
          </w:tcPr>
          <w:p w:rsidR="00900E1A" w:rsidRPr="00DE543A" w:rsidP="001B6836">
            <w:pPr>
              <w:bidi w:val="0"/>
              <w:rPr>
                <w:rFonts w:ascii="Times New Roman" w:hAnsi="Times New Roman"/>
                <w:b/>
                <w:bCs/>
                <w:color w:val="FFFFFF"/>
                <w:sz w:val="18"/>
                <w:szCs w:val="18"/>
              </w:rPr>
            </w:pPr>
            <w:r w:rsidRPr="00DE543A">
              <w:rPr>
                <w:rFonts w:ascii="Times New Roman" w:hAnsi="Times New Roman"/>
                <w:b/>
                <w:bCs/>
                <w:color w:val="FFFFFF"/>
                <w:sz w:val="18"/>
                <w:szCs w:val="18"/>
              </w:rPr>
              <w:t> </w:t>
            </w:r>
          </w:p>
        </w:tc>
        <w:tc>
          <w:tcPr>
            <w:tcW w:w="881" w:type="pct"/>
            <w:gridSpan w:val="2"/>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Skutočnosť</w:t>
            </w:r>
          </w:p>
        </w:tc>
        <w:tc>
          <w:tcPr>
            <w:tcW w:w="465"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Rozpočet</w:t>
            </w:r>
          </w:p>
        </w:tc>
        <w:tc>
          <w:tcPr>
            <w:tcW w:w="620"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Skutočnosť</w:t>
            </w:r>
          </w:p>
        </w:tc>
        <w:tc>
          <w:tcPr>
            <w:tcW w:w="852" w:type="pct"/>
            <w:gridSpan w:val="2"/>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Rozdiel</w:t>
            </w:r>
          </w:p>
        </w:tc>
      </w:tr>
      <w:tr>
        <w:tblPrEx>
          <w:tblW w:w="5120" w:type="pct"/>
          <w:tblLayout w:type="fixed"/>
          <w:tblCellMar>
            <w:left w:w="70" w:type="dxa"/>
            <w:right w:w="70" w:type="dxa"/>
          </w:tblCellMar>
          <w:tblLook w:val="04A0"/>
        </w:tblPrEx>
        <w:trPr>
          <w:trHeight w:val="330"/>
        </w:trPr>
        <w:tc>
          <w:tcPr>
            <w:tcW w:w="2182"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 </w:t>
            </w:r>
          </w:p>
        </w:tc>
        <w:tc>
          <w:tcPr>
            <w:tcW w:w="378"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2013</w:t>
            </w:r>
          </w:p>
        </w:tc>
        <w:tc>
          <w:tcPr>
            <w:tcW w:w="503"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2014</w:t>
            </w:r>
          </w:p>
        </w:tc>
        <w:tc>
          <w:tcPr>
            <w:tcW w:w="465"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2015</w:t>
            </w:r>
          </w:p>
        </w:tc>
        <w:tc>
          <w:tcPr>
            <w:tcW w:w="620"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2015</w:t>
            </w:r>
          </w:p>
        </w:tc>
        <w:tc>
          <w:tcPr>
            <w:tcW w:w="465"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 xml:space="preserve"> v tis. eur</w:t>
            </w:r>
          </w:p>
        </w:tc>
        <w:tc>
          <w:tcPr>
            <w:tcW w:w="387"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v %</w:t>
            </w:r>
          </w:p>
        </w:tc>
      </w:tr>
      <w:tr>
        <w:tblPrEx>
          <w:tblW w:w="5120" w:type="pct"/>
          <w:tblLayout w:type="fixed"/>
          <w:tblCellMar>
            <w:left w:w="70" w:type="dxa"/>
            <w:right w:w="70" w:type="dxa"/>
          </w:tblCellMar>
          <w:tblLook w:val="04A0"/>
        </w:tblPrEx>
        <w:trPr>
          <w:trHeight w:val="345"/>
        </w:trPr>
        <w:tc>
          <w:tcPr>
            <w:tcW w:w="2182"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rPr>
                <w:rFonts w:ascii="Times New Roman" w:hAnsi="Times New Roman"/>
                <w:b/>
                <w:bCs/>
                <w:color w:val="FFFFFF"/>
                <w:sz w:val="18"/>
                <w:szCs w:val="18"/>
              </w:rPr>
            </w:pPr>
            <w:r w:rsidRPr="00DE543A">
              <w:rPr>
                <w:rFonts w:ascii="Times New Roman" w:hAnsi="Times New Roman"/>
                <w:b/>
                <w:bCs/>
                <w:color w:val="FFFFFF"/>
                <w:sz w:val="18"/>
                <w:szCs w:val="18"/>
              </w:rPr>
              <w:t> </w:t>
            </w:r>
          </w:p>
        </w:tc>
        <w:tc>
          <w:tcPr>
            <w:tcW w:w="378"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1</w:t>
            </w:r>
          </w:p>
        </w:tc>
        <w:tc>
          <w:tcPr>
            <w:tcW w:w="503"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2</w:t>
            </w:r>
          </w:p>
        </w:tc>
        <w:tc>
          <w:tcPr>
            <w:tcW w:w="465"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3</w:t>
            </w:r>
          </w:p>
        </w:tc>
        <w:tc>
          <w:tcPr>
            <w:tcW w:w="620"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4</w:t>
            </w:r>
          </w:p>
        </w:tc>
        <w:tc>
          <w:tcPr>
            <w:tcW w:w="465"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5=4-3</w:t>
            </w:r>
          </w:p>
        </w:tc>
        <w:tc>
          <w:tcPr>
            <w:tcW w:w="387"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6=4-3</w:t>
            </w:r>
          </w:p>
        </w:tc>
      </w:tr>
      <w:tr>
        <w:tblPrEx>
          <w:tblW w:w="5120" w:type="pct"/>
          <w:tblLayout w:type="fixed"/>
          <w:tblCellMar>
            <w:left w:w="70" w:type="dxa"/>
            <w:right w:w="70" w:type="dxa"/>
          </w:tblCellMar>
          <w:tblLook w:val="04A0"/>
        </w:tblPrEx>
        <w:trPr>
          <w:trHeight w:val="510"/>
        </w:trPr>
        <w:tc>
          <w:tcPr>
            <w:tcW w:w="218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Finančný nástroj pre životné prostredie LIFE + (2. a 3. programové obdobie)</w:t>
            </w:r>
          </w:p>
        </w:tc>
        <w:tc>
          <w:tcPr>
            <w:tcW w:w="37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141</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2 273</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5 648</w:t>
            </w:r>
          </w:p>
        </w:tc>
        <w:tc>
          <w:tcPr>
            <w:tcW w:w="620" w:type="pct"/>
            <w:tcBorders>
              <w:top w:val="single" w:sz="8" w:space="0" w:color="auto"/>
              <w:left w:val="nil"/>
              <w:bottom w:val="nil"/>
              <w:right w:val="nil"/>
            </w:tcBorders>
            <w:shd w:val="clear" w:color="000000"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2 576</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-3 072</w:t>
            </w:r>
          </w:p>
        </w:tc>
        <w:tc>
          <w:tcPr>
            <w:tcW w:w="387"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-54,4</w:t>
            </w:r>
          </w:p>
        </w:tc>
      </w:tr>
      <w:tr>
        <w:tblPrEx>
          <w:tblW w:w="5120" w:type="pct"/>
          <w:tblLayout w:type="fixed"/>
          <w:tblCellMar>
            <w:left w:w="70" w:type="dxa"/>
            <w:right w:w="70" w:type="dxa"/>
          </w:tblCellMar>
          <w:tblLook w:val="04A0"/>
        </w:tblPrEx>
        <w:trPr>
          <w:trHeight w:val="510"/>
        </w:trPr>
        <w:tc>
          <w:tcPr>
            <w:tcW w:w="218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Programy európskej územnej spolupráce (2. a 3. programové obdobie)</w:t>
            </w:r>
          </w:p>
        </w:tc>
        <w:tc>
          <w:tcPr>
            <w:tcW w:w="37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5 508</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5 193</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9 593</w:t>
            </w:r>
          </w:p>
        </w:tc>
        <w:tc>
          <w:tcPr>
            <w:tcW w:w="620" w:type="pct"/>
            <w:tcBorders>
              <w:top w:val="nil"/>
              <w:left w:val="nil"/>
              <w:bottom w:val="nil"/>
              <w:right w:val="nil"/>
            </w:tcBorders>
            <w:shd w:val="clear" w:color="000000"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5 682</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-3 911</w:t>
            </w:r>
          </w:p>
        </w:tc>
        <w:tc>
          <w:tcPr>
            <w:tcW w:w="387"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-40,8</w:t>
            </w:r>
          </w:p>
        </w:tc>
      </w:tr>
      <w:tr>
        <w:tblPrEx>
          <w:tblW w:w="5120" w:type="pct"/>
          <w:tblLayout w:type="fixed"/>
          <w:tblCellMar>
            <w:left w:w="70" w:type="dxa"/>
            <w:right w:w="70" w:type="dxa"/>
          </w:tblCellMar>
          <w:tblLook w:val="04A0"/>
        </w:tblPrEx>
        <w:trPr>
          <w:trHeight w:val="510"/>
        </w:trPr>
        <w:tc>
          <w:tcPr>
            <w:tcW w:w="218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Spolu spolufinancovanie k zahraničným grantom z prostriedkov EÚ</w:t>
            </w:r>
          </w:p>
        </w:tc>
        <w:tc>
          <w:tcPr>
            <w:tcW w:w="37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5 649</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7 466</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15 241</w:t>
            </w:r>
          </w:p>
        </w:tc>
        <w:tc>
          <w:tcPr>
            <w:tcW w:w="620" w:type="pct"/>
            <w:tcBorders>
              <w:top w:val="nil"/>
              <w:left w:val="nil"/>
              <w:bottom w:val="nil"/>
              <w:right w:val="nil"/>
            </w:tcBorders>
            <w:shd w:val="clear" w:color="000000"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8 258</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-6 983</w:t>
            </w:r>
          </w:p>
        </w:tc>
        <w:tc>
          <w:tcPr>
            <w:tcW w:w="387"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-45,8</w:t>
            </w:r>
          </w:p>
        </w:tc>
      </w:tr>
      <w:tr>
        <w:tblPrEx>
          <w:tblW w:w="5120" w:type="pct"/>
          <w:tblLayout w:type="fixed"/>
          <w:tblCellMar>
            <w:left w:w="70" w:type="dxa"/>
            <w:right w:w="70" w:type="dxa"/>
          </w:tblCellMar>
          <w:tblLook w:val="04A0"/>
        </w:tblPrEx>
        <w:trPr>
          <w:trHeight w:val="330"/>
        </w:trPr>
        <w:tc>
          <w:tcPr>
            <w:tcW w:w="218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Finančný mechanizmus EHP</w:t>
            </w:r>
          </w:p>
        </w:tc>
        <w:tc>
          <w:tcPr>
            <w:tcW w:w="37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1 346</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1 243</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1 007</w:t>
            </w:r>
          </w:p>
        </w:tc>
        <w:tc>
          <w:tcPr>
            <w:tcW w:w="620" w:type="pct"/>
            <w:tcBorders>
              <w:top w:val="nil"/>
              <w:left w:val="nil"/>
              <w:bottom w:val="nil"/>
              <w:right w:val="nil"/>
            </w:tcBorders>
            <w:shd w:val="clear" w:color="000000"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1 007</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387"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0,0</w:t>
            </w:r>
          </w:p>
        </w:tc>
      </w:tr>
      <w:tr>
        <w:tblPrEx>
          <w:tblW w:w="5120" w:type="pct"/>
          <w:tblLayout w:type="fixed"/>
          <w:tblCellMar>
            <w:left w:w="70" w:type="dxa"/>
            <w:right w:w="70" w:type="dxa"/>
          </w:tblCellMar>
          <w:tblLook w:val="04A0"/>
        </w:tblPrEx>
        <w:trPr>
          <w:trHeight w:val="330"/>
        </w:trPr>
        <w:tc>
          <w:tcPr>
            <w:tcW w:w="218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Nórsky finančný mechanizmus</w:t>
            </w:r>
          </w:p>
        </w:tc>
        <w:tc>
          <w:tcPr>
            <w:tcW w:w="37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1 193</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1 836</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2 758</w:t>
            </w:r>
          </w:p>
        </w:tc>
        <w:tc>
          <w:tcPr>
            <w:tcW w:w="620" w:type="pct"/>
            <w:tcBorders>
              <w:top w:val="nil"/>
              <w:left w:val="nil"/>
              <w:bottom w:val="nil"/>
              <w:right w:val="nil"/>
            </w:tcBorders>
            <w:shd w:val="clear" w:color="000000"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2 832</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74</w:t>
            </w:r>
          </w:p>
        </w:tc>
        <w:tc>
          <w:tcPr>
            <w:tcW w:w="387"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2,7</w:t>
            </w:r>
          </w:p>
        </w:tc>
      </w:tr>
      <w:tr>
        <w:tblPrEx>
          <w:tblW w:w="5120" w:type="pct"/>
          <w:tblLayout w:type="fixed"/>
          <w:tblCellMar>
            <w:left w:w="70" w:type="dxa"/>
            <w:right w:w="70" w:type="dxa"/>
          </w:tblCellMar>
          <w:tblLook w:val="04A0"/>
        </w:tblPrEx>
        <w:trPr>
          <w:trHeight w:val="330"/>
        </w:trPr>
        <w:tc>
          <w:tcPr>
            <w:tcW w:w="218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Švajčiarsky finančný mechanizmus</w:t>
            </w:r>
          </w:p>
        </w:tc>
        <w:tc>
          <w:tcPr>
            <w:tcW w:w="37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2 909</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620" w:type="pct"/>
            <w:tcBorders>
              <w:top w:val="nil"/>
              <w:left w:val="nil"/>
              <w:bottom w:val="nil"/>
              <w:right w:val="nil"/>
            </w:tcBorders>
            <w:shd w:val="clear" w:color="000000"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0</w:t>
            </w:r>
          </w:p>
        </w:tc>
        <w:tc>
          <w:tcPr>
            <w:tcW w:w="387"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w:t>
            </w:r>
          </w:p>
        </w:tc>
      </w:tr>
      <w:tr>
        <w:tblPrEx>
          <w:tblW w:w="5120" w:type="pct"/>
          <w:tblLayout w:type="fixed"/>
          <w:tblCellMar>
            <w:left w:w="70" w:type="dxa"/>
            <w:right w:w="70" w:type="dxa"/>
          </w:tblCellMar>
          <w:tblLook w:val="04A0"/>
        </w:tblPrEx>
        <w:trPr>
          <w:trHeight w:val="765"/>
        </w:trPr>
        <w:tc>
          <w:tcPr>
            <w:tcW w:w="2182" w:type="pct"/>
            <w:tcBorders>
              <w:top w:val="nil"/>
              <w:left w:val="nil"/>
              <w:bottom w:val="nil"/>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Spolu spolufinancovanie k prostriedkom poskytnutým na základe medzinárodných zmlúv</w:t>
            </w:r>
          </w:p>
        </w:tc>
        <w:tc>
          <w:tcPr>
            <w:tcW w:w="378"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5 448</w:t>
            </w:r>
          </w:p>
        </w:tc>
        <w:tc>
          <w:tcPr>
            <w:tcW w:w="503"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3 079</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3 765</w:t>
            </w:r>
          </w:p>
        </w:tc>
        <w:tc>
          <w:tcPr>
            <w:tcW w:w="620" w:type="pct"/>
            <w:tcBorders>
              <w:top w:val="nil"/>
              <w:left w:val="nil"/>
              <w:bottom w:val="nil"/>
              <w:right w:val="nil"/>
            </w:tcBorders>
            <w:shd w:val="clear" w:color="000000"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3 839</w:t>
            </w:r>
          </w:p>
        </w:tc>
        <w:tc>
          <w:tcPr>
            <w:tcW w:w="465"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74</w:t>
            </w:r>
          </w:p>
        </w:tc>
        <w:tc>
          <w:tcPr>
            <w:tcW w:w="387" w:type="pct"/>
            <w:tcBorders>
              <w:top w:val="nil"/>
              <w:left w:val="nil"/>
              <w:bottom w:val="nil"/>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2,0</w:t>
            </w:r>
          </w:p>
        </w:tc>
      </w:tr>
      <w:tr>
        <w:tblPrEx>
          <w:tblW w:w="5120" w:type="pct"/>
          <w:tblLayout w:type="fixed"/>
          <w:tblCellMar>
            <w:left w:w="70" w:type="dxa"/>
            <w:right w:w="70" w:type="dxa"/>
          </w:tblCellMar>
          <w:tblLook w:val="04A0"/>
        </w:tblPrEx>
        <w:trPr>
          <w:trHeight w:val="345"/>
        </w:trPr>
        <w:tc>
          <w:tcPr>
            <w:tcW w:w="2182" w:type="pct"/>
            <w:tcBorders>
              <w:top w:val="single" w:sz="4" w:space="0" w:color="auto"/>
              <w:left w:val="nil"/>
              <w:bottom w:val="single" w:sz="8" w:space="0" w:color="auto"/>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 xml:space="preserve">Spolu </w:t>
            </w:r>
          </w:p>
        </w:tc>
        <w:tc>
          <w:tcPr>
            <w:tcW w:w="378"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11 097</w:t>
            </w:r>
          </w:p>
        </w:tc>
        <w:tc>
          <w:tcPr>
            <w:tcW w:w="503"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10 545</w:t>
            </w:r>
          </w:p>
        </w:tc>
        <w:tc>
          <w:tcPr>
            <w:tcW w:w="465"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19 006</w:t>
            </w:r>
          </w:p>
        </w:tc>
        <w:tc>
          <w:tcPr>
            <w:tcW w:w="620" w:type="pct"/>
            <w:tcBorders>
              <w:top w:val="single" w:sz="4" w:space="0" w:color="auto"/>
              <w:left w:val="nil"/>
              <w:bottom w:val="single" w:sz="8" w:space="0" w:color="auto"/>
              <w:right w:val="nil"/>
            </w:tcBorders>
            <w:shd w:val="clear" w:color="000000"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12 097</w:t>
            </w:r>
          </w:p>
        </w:tc>
        <w:tc>
          <w:tcPr>
            <w:tcW w:w="465"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-6 909</w:t>
            </w:r>
          </w:p>
        </w:tc>
        <w:tc>
          <w:tcPr>
            <w:tcW w:w="387"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-36,4</w:t>
            </w:r>
          </w:p>
        </w:tc>
      </w:tr>
    </w:tbl>
    <w:p w:rsidR="00900E1A" w:rsidRPr="00271667" w:rsidP="00AC07BA">
      <w:pPr>
        <w:bidi w:val="0"/>
        <w:spacing w:after="120" w:line="336" w:lineRule="auto"/>
        <w:jc w:val="right"/>
        <w:rPr>
          <w:rFonts w:ascii="Times New Roman" w:hAnsi="Times New Roman"/>
          <w:sz w:val="18"/>
          <w:szCs w:val="18"/>
        </w:rPr>
      </w:pPr>
      <w:r w:rsidRPr="00271667">
        <w:rPr>
          <w:rFonts w:ascii="Times New Roman" w:hAnsi="Times New Roman"/>
          <w:sz w:val="18"/>
          <w:szCs w:val="18"/>
        </w:rPr>
        <w:t xml:space="preserve">Zdroj: </w:t>
      </w:r>
      <w:r>
        <w:rPr>
          <w:rFonts w:ascii="Times New Roman" w:hAnsi="Times New Roman"/>
          <w:sz w:val="18"/>
          <w:szCs w:val="18"/>
        </w:rPr>
        <w:t>MF</w:t>
      </w:r>
      <w:r w:rsidRPr="00271667">
        <w:rPr>
          <w:rFonts w:ascii="Times New Roman" w:hAnsi="Times New Roman"/>
          <w:sz w:val="18"/>
          <w:szCs w:val="18"/>
        </w:rPr>
        <w:t xml:space="preserve"> SR</w:t>
      </w:r>
    </w:p>
    <w:p w:rsidR="00900E1A" w:rsidP="00900E1A">
      <w:pPr>
        <w:bidi w:val="0"/>
        <w:spacing w:after="120" w:line="336" w:lineRule="auto"/>
        <w:jc w:val="both"/>
        <w:rPr>
          <w:rFonts w:ascii="Times New Roman" w:hAnsi="Times New Roman"/>
          <w:sz w:val="22"/>
          <w:szCs w:val="22"/>
        </w:rPr>
      </w:pPr>
      <w:r w:rsidRPr="003208E6">
        <w:rPr>
          <w:rFonts w:ascii="Times New Roman" w:hAnsi="Times New Roman"/>
          <w:sz w:val="22"/>
          <w:szCs w:val="22"/>
        </w:rPr>
        <w:t xml:space="preserve">Celkový prehľad výdavkov na spolufinancovanie zo štátneho rozpočtu k prostriedkom EÚ, </w:t>
      </w:r>
      <w:r>
        <w:rPr>
          <w:rFonts w:ascii="Times New Roman" w:hAnsi="Times New Roman"/>
          <w:sz w:val="22"/>
          <w:szCs w:val="22"/>
        </w:rPr>
        <w:t>k </w:t>
      </w:r>
      <w:r w:rsidRPr="003208E6">
        <w:rPr>
          <w:rFonts w:ascii="Times New Roman" w:hAnsi="Times New Roman"/>
          <w:sz w:val="22"/>
          <w:szCs w:val="22"/>
        </w:rPr>
        <w:t>zahraničným grantom z prostriedkov EÚ a k prostriedkom poskytnutým na základe medzinárodných zmlúv vrátane vnútorných politík EÚ je uvedený v nasledovnej tabuľke:</w:t>
      </w:r>
    </w:p>
    <w:tbl>
      <w:tblPr>
        <w:tblStyle w:val="TableNormal"/>
        <w:tblW w:w="5000" w:type="pct"/>
        <w:tblCellMar>
          <w:left w:w="70" w:type="dxa"/>
          <w:right w:w="70" w:type="dxa"/>
        </w:tblCellMar>
        <w:tblLook w:val="04A0"/>
      </w:tblPr>
      <w:tblGrid>
        <w:gridCol w:w="3429"/>
        <w:gridCol w:w="1002"/>
        <w:gridCol w:w="1000"/>
        <w:gridCol w:w="912"/>
        <w:gridCol w:w="1103"/>
        <w:gridCol w:w="677"/>
        <w:gridCol w:w="805"/>
      </w:tblGrid>
      <w:tr>
        <w:tblPrEx>
          <w:tblW w:w="5000" w:type="pct"/>
          <w:tblCellMar>
            <w:left w:w="70" w:type="dxa"/>
            <w:right w:w="70" w:type="dxa"/>
          </w:tblCellMar>
          <w:tblLook w:val="04A0"/>
        </w:tblPrEx>
        <w:trPr>
          <w:trHeight w:val="330"/>
        </w:trPr>
        <w:tc>
          <w:tcPr>
            <w:tcW w:w="3557" w:type="pct"/>
            <w:gridSpan w:val="4"/>
            <w:tcBorders>
              <w:top w:val="nil"/>
              <w:left w:val="nil"/>
              <w:bottom w:val="nil"/>
              <w:right w:val="nil"/>
            </w:tcBorders>
            <w:shd w:val="clear" w:color="000000" w:fill="000000"/>
            <w:noWrap/>
            <w:textDirection w:val="lrTb"/>
            <w:vAlign w:val="center"/>
            <w:hideMark/>
          </w:tcPr>
          <w:p w:rsidR="00900E1A" w:rsidRPr="00DE543A" w:rsidP="007C3ADC">
            <w:pPr>
              <w:bidi w:val="0"/>
              <w:rPr>
                <w:rFonts w:ascii="Times New Roman" w:hAnsi="Times New Roman"/>
                <w:b/>
                <w:bCs/>
                <w:color w:val="FFFFFF"/>
                <w:sz w:val="18"/>
                <w:szCs w:val="18"/>
              </w:rPr>
            </w:pPr>
            <w:r w:rsidRPr="00DE543A">
              <w:rPr>
                <w:rFonts w:ascii="Times New Roman" w:hAnsi="Times New Roman"/>
                <w:b/>
                <w:bCs/>
                <w:color w:val="FFFFFF"/>
                <w:sz w:val="18"/>
                <w:szCs w:val="18"/>
              </w:rPr>
              <w:t>Celkový prehľad spolufinancovania zo ŠR vrátane vnútorných politík EÚ</w:t>
            </w:r>
          </w:p>
        </w:tc>
        <w:tc>
          <w:tcPr>
            <w:tcW w:w="619" w:type="pct"/>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color w:val="000000"/>
                <w:sz w:val="18"/>
                <w:szCs w:val="18"/>
              </w:rPr>
            </w:pPr>
          </w:p>
        </w:tc>
        <w:tc>
          <w:tcPr>
            <w:tcW w:w="380" w:type="pct"/>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color w:val="000000"/>
                <w:sz w:val="18"/>
                <w:szCs w:val="18"/>
              </w:rPr>
            </w:pPr>
          </w:p>
        </w:tc>
        <w:tc>
          <w:tcPr>
            <w:tcW w:w="444" w:type="pct"/>
            <w:tcBorders>
              <w:top w:val="nil"/>
              <w:left w:val="nil"/>
              <w:bottom w:val="nil"/>
              <w:right w:val="nil"/>
            </w:tcBorders>
            <w:shd w:val="clear" w:color="000000" w:fill="000000"/>
            <w:noWrap/>
            <w:textDirection w:val="lrTb"/>
            <w:vAlign w:val="center"/>
            <w:hideMark/>
          </w:tcPr>
          <w:p w:rsidR="00900E1A" w:rsidRPr="00DE543A" w:rsidP="00AC07BA">
            <w:pPr>
              <w:bidi w:val="0"/>
              <w:jc w:val="center"/>
              <w:rPr>
                <w:rFonts w:ascii="Times New Roman" w:hAnsi="Times New Roman"/>
                <w:b/>
                <w:bCs/>
                <w:color w:val="FFFFFF"/>
                <w:sz w:val="18"/>
                <w:szCs w:val="18"/>
              </w:rPr>
            </w:pPr>
            <w:r w:rsidRPr="00DE543A">
              <w:rPr>
                <w:rFonts w:ascii="Times New Roman" w:hAnsi="Times New Roman"/>
                <w:b/>
                <w:bCs/>
                <w:color w:val="FFFFFF"/>
                <w:sz w:val="18"/>
                <w:szCs w:val="18"/>
              </w:rPr>
              <w:t>v tis. eur</w:t>
            </w:r>
          </w:p>
        </w:tc>
      </w:tr>
      <w:tr>
        <w:tblPrEx>
          <w:tblW w:w="5000" w:type="pct"/>
          <w:tblCellMar>
            <w:left w:w="70" w:type="dxa"/>
            <w:right w:w="70" w:type="dxa"/>
          </w:tblCellMar>
          <w:tblLook w:val="04A0"/>
        </w:tblPrEx>
        <w:trPr>
          <w:trHeight w:val="330"/>
        </w:trPr>
        <w:tc>
          <w:tcPr>
            <w:tcW w:w="1922" w:type="pct"/>
            <w:tcBorders>
              <w:top w:val="nil"/>
              <w:left w:val="nil"/>
              <w:bottom w:val="nil"/>
              <w:right w:val="nil"/>
            </w:tcBorders>
            <w:shd w:val="clear" w:color="000000" w:fill="BFBFBF"/>
            <w:textDirection w:val="lrTb"/>
            <w:vAlign w:val="center"/>
            <w:hideMark/>
          </w:tcPr>
          <w:p w:rsidR="00900E1A" w:rsidRPr="00DE543A" w:rsidP="001B6836">
            <w:pPr>
              <w:bidi w:val="0"/>
              <w:rPr>
                <w:rFonts w:ascii="Times New Roman" w:hAnsi="Times New Roman"/>
                <w:b/>
                <w:bCs/>
                <w:color w:val="FFFFFF"/>
                <w:sz w:val="18"/>
                <w:szCs w:val="18"/>
              </w:rPr>
            </w:pPr>
            <w:r w:rsidRPr="00DE543A">
              <w:rPr>
                <w:rFonts w:ascii="Times New Roman" w:hAnsi="Times New Roman"/>
                <w:b/>
                <w:bCs/>
                <w:color w:val="FFFFFF"/>
                <w:sz w:val="18"/>
                <w:szCs w:val="18"/>
              </w:rPr>
              <w:t> </w:t>
            </w:r>
          </w:p>
        </w:tc>
        <w:tc>
          <w:tcPr>
            <w:tcW w:w="1123" w:type="pct"/>
            <w:gridSpan w:val="2"/>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Skutočnosť</w:t>
            </w:r>
          </w:p>
        </w:tc>
        <w:tc>
          <w:tcPr>
            <w:tcW w:w="512"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Rozpočet</w:t>
            </w:r>
          </w:p>
        </w:tc>
        <w:tc>
          <w:tcPr>
            <w:tcW w:w="619"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Skutočnosť</w:t>
            </w:r>
          </w:p>
        </w:tc>
        <w:tc>
          <w:tcPr>
            <w:tcW w:w="824" w:type="pct"/>
            <w:gridSpan w:val="2"/>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Rozdiel</w:t>
            </w:r>
          </w:p>
        </w:tc>
      </w:tr>
      <w:tr>
        <w:tblPrEx>
          <w:tblW w:w="5000" w:type="pct"/>
          <w:tblCellMar>
            <w:left w:w="70" w:type="dxa"/>
            <w:right w:w="70" w:type="dxa"/>
          </w:tblCellMar>
          <w:tblLook w:val="04A0"/>
        </w:tblPrEx>
        <w:trPr>
          <w:trHeight w:val="330"/>
        </w:trPr>
        <w:tc>
          <w:tcPr>
            <w:tcW w:w="1922"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 </w:t>
            </w:r>
          </w:p>
        </w:tc>
        <w:tc>
          <w:tcPr>
            <w:tcW w:w="562"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2013</w:t>
            </w:r>
          </w:p>
        </w:tc>
        <w:tc>
          <w:tcPr>
            <w:tcW w:w="561"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2014</w:t>
            </w:r>
          </w:p>
        </w:tc>
        <w:tc>
          <w:tcPr>
            <w:tcW w:w="512"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2015</w:t>
            </w:r>
          </w:p>
        </w:tc>
        <w:tc>
          <w:tcPr>
            <w:tcW w:w="619"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2015</w:t>
            </w:r>
          </w:p>
        </w:tc>
        <w:tc>
          <w:tcPr>
            <w:tcW w:w="380"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 xml:space="preserve"> v tis. eur</w:t>
            </w:r>
          </w:p>
        </w:tc>
        <w:tc>
          <w:tcPr>
            <w:tcW w:w="444" w:type="pct"/>
            <w:tcBorders>
              <w:top w:val="nil"/>
              <w:left w:val="nil"/>
              <w:bottom w:val="nil"/>
              <w:right w:val="nil"/>
            </w:tcBorders>
            <w:shd w:val="clear" w:color="000000" w:fill="BFBFBF"/>
            <w:textDirection w:val="lrTb"/>
            <w:vAlign w:val="center"/>
            <w:hideMark/>
          </w:tcPr>
          <w:p w:rsidR="00900E1A" w:rsidRPr="00DE543A" w:rsidP="001B6836">
            <w:pPr>
              <w:bidi w:val="0"/>
              <w:jc w:val="center"/>
              <w:rPr>
                <w:rFonts w:ascii="Times New Roman" w:hAnsi="Times New Roman"/>
                <w:b/>
                <w:bCs/>
                <w:color w:val="000000"/>
                <w:sz w:val="18"/>
                <w:szCs w:val="18"/>
              </w:rPr>
            </w:pPr>
            <w:r w:rsidRPr="00DE543A">
              <w:rPr>
                <w:rFonts w:ascii="Times New Roman" w:hAnsi="Times New Roman"/>
                <w:b/>
                <w:bCs/>
                <w:color w:val="000000"/>
                <w:sz w:val="18"/>
                <w:szCs w:val="18"/>
              </w:rPr>
              <w:t>v %</w:t>
            </w:r>
          </w:p>
        </w:tc>
      </w:tr>
      <w:tr>
        <w:tblPrEx>
          <w:tblW w:w="5000" w:type="pct"/>
          <w:tblCellMar>
            <w:left w:w="70" w:type="dxa"/>
            <w:right w:w="70" w:type="dxa"/>
          </w:tblCellMar>
          <w:tblLook w:val="04A0"/>
        </w:tblPrEx>
        <w:trPr>
          <w:trHeight w:val="345"/>
        </w:trPr>
        <w:tc>
          <w:tcPr>
            <w:tcW w:w="1922"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rPr>
                <w:rFonts w:ascii="Times New Roman" w:hAnsi="Times New Roman"/>
                <w:b/>
                <w:bCs/>
                <w:color w:val="FFFFFF"/>
                <w:sz w:val="18"/>
                <w:szCs w:val="18"/>
              </w:rPr>
            </w:pPr>
            <w:r w:rsidRPr="00DE543A">
              <w:rPr>
                <w:rFonts w:ascii="Times New Roman" w:hAnsi="Times New Roman"/>
                <w:b/>
                <w:bCs/>
                <w:color w:val="FFFFFF"/>
                <w:sz w:val="18"/>
                <w:szCs w:val="18"/>
              </w:rPr>
              <w:t> </w:t>
            </w:r>
          </w:p>
        </w:tc>
        <w:tc>
          <w:tcPr>
            <w:tcW w:w="562"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1</w:t>
            </w:r>
          </w:p>
        </w:tc>
        <w:tc>
          <w:tcPr>
            <w:tcW w:w="561"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2</w:t>
            </w:r>
          </w:p>
        </w:tc>
        <w:tc>
          <w:tcPr>
            <w:tcW w:w="512"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3</w:t>
            </w:r>
          </w:p>
        </w:tc>
        <w:tc>
          <w:tcPr>
            <w:tcW w:w="619"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4</w:t>
            </w:r>
          </w:p>
        </w:tc>
        <w:tc>
          <w:tcPr>
            <w:tcW w:w="380"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5=4-3</w:t>
            </w:r>
          </w:p>
        </w:tc>
        <w:tc>
          <w:tcPr>
            <w:tcW w:w="444" w:type="pct"/>
            <w:tcBorders>
              <w:top w:val="nil"/>
              <w:left w:val="nil"/>
              <w:bottom w:val="single" w:sz="8" w:space="0" w:color="auto"/>
              <w:right w:val="nil"/>
            </w:tcBorders>
            <w:shd w:val="clear" w:color="000000" w:fill="BFBFBF"/>
            <w:textDirection w:val="lrTb"/>
            <w:vAlign w:val="center"/>
            <w:hideMark/>
          </w:tcPr>
          <w:p w:rsidR="00900E1A" w:rsidRPr="00DE543A" w:rsidP="001B6836">
            <w:pPr>
              <w:bidi w:val="0"/>
              <w:jc w:val="center"/>
              <w:rPr>
                <w:rFonts w:ascii="Times New Roman" w:hAnsi="Times New Roman"/>
                <w:b/>
                <w:bCs/>
                <w:sz w:val="18"/>
                <w:szCs w:val="18"/>
              </w:rPr>
            </w:pPr>
            <w:r w:rsidRPr="00DE543A">
              <w:rPr>
                <w:rFonts w:ascii="Times New Roman" w:hAnsi="Times New Roman"/>
                <w:b/>
                <w:bCs/>
                <w:sz w:val="18"/>
                <w:szCs w:val="18"/>
              </w:rPr>
              <w:t>6=4-3</w:t>
            </w:r>
          </w:p>
        </w:tc>
      </w:tr>
      <w:tr>
        <w:tblPrEx>
          <w:tblW w:w="5000" w:type="pct"/>
          <w:tblCellMar>
            <w:left w:w="70" w:type="dxa"/>
            <w:right w:w="70" w:type="dxa"/>
          </w:tblCellMar>
          <w:tblLook w:val="04A0"/>
        </w:tblPrEx>
        <w:trPr>
          <w:trHeight w:val="739"/>
        </w:trPr>
        <w:tc>
          <w:tcPr>
            <w:tcW w:w="1922" w:type="pct"/>
            <w:tcBorders>
              <w:top w:val="single" w:sz="4" w:space="0" w:color="auto"/>
              <w:left w:val="nil"/>
              <w:bottom w:val="nil"/>
              <w:right w:val="nil"/>
            </w:tcBorders>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Spolufinancovanie k prostriedkom EÚ (štrukturálne operácie, poľnohospodárske fondy)</w:t>
            </w:r>
          </w:p>
        </w:tc>
        <w:tc>
          <w:tcPr>
            <w:tcW w:w="562" w:type="pct"/>
            <w:tcBorders>
              <w:top w:val="single" w:sz="4" w:space="0" w:color="auto"/>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367 409</w:t>
            </w:r>
          </w:p>
        </w:tc>
        <w:tc>
          <w:tcPr>
            <w:tcW w:w="561"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372 290</w:t>
            </w:r>
          </w:p>
        </w:tc>
        <w:tc>
          <w:tcPr>
            <w:tcW w:w="51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653 829</w:t>
            </w:r>
          </w:p>
        </w:tc>
        <w:tc>
          <w:tcPr>
            <w:tcW w:w="619" w:type="pct"/>
            <w:tcBorders>
              <w:top w:val="single" w:sz="8" w:space="0" w:color="auto"/>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747 904</w:t>
            </w:r>
          </w:p>
        </w:tc>
        <w:tc>
          <w:tcPr>
            <w:tcW w:w="380"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94 075</w:t>
            </w:r>
          </w:p>
        </w:tc>
        <w:tc>
          <w:tcPr>
            <w:tcW w:w="444" w:type="pct"/>
            <w:tcBorders>
              <w:top w:val="single" w:sz="4" w:space="0" w:color="auto"/>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14,4</w:t>
            </w:r>
          </w:p>
        </w:tc>
      </w:tr>
      <w:tr>
        <w:tblPrEx>
          <w:tblW w:w="5000" w:type="pct"/>
          <w:tblCellMar>
            <w:left w:w="70" w:type="dxa"/>
            <w:right w:w="70" w:type="dxa"/>
          </w:tblCellMar>
          <w:tblLook w:val="04A0"/>
        </w:tblPrEx>
        <w:trPr>
          <w:trHeight w:val="739"/>
        </w:trPr>
        <w:tc>
          <w:tcPr>
            <w:tcW w:w="1922" w:type="pct"/>
            <w:tcBorders>
              <w:top w:val="nil"/>
              <w:left w:val="nil"/>
              <w:bottom w:val="nil"/>
              <w:right w:val="nil"/>
            </w:tcBorders>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Spolufinancovanie k zahraničným grantom z prostriedkov EÚ (ETC, LIFE+)</w:t>
            </w:r>
          </w:p>
        </w:tc>
        <w:tc>
          <w:tcPr>
            <w:tcW w:w="56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5 649</w:t>
            </w:r>
          </w:p>
        </w:tc>
        <w:tc>
          <w:tcPr>
            <w:tcW w:w="561"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7 466</w:t>
            </w:r>
          </w:p>
        </w:tc>
        <w:tc>
          <w:tcPr>
            <w:tcW w:w="51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15 241</w:t>
            </w:r>
          </w:p>
        </w:tc>
        <w:tc>
          <w:tcPr>
            <w:tcW w:w="61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8 258</w:t>
            </w:r>
          </w:p>
        </w:tc>
        <w:tc>
          <w:tcPr>
            <w:tcW w:w="380"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-6 983</w:t>
            </w:r>
          </w:p>
        </w:tc>
        <w:tc>
          <w:tcPr>
            <w:tcW w:w="444"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-45,8</w:t>
            </w:r>
          </w:p>
        </w:tc>
      </w:tr>
      <w:tr>
        <w:tblPrEx>
          <w:tblW w:w="5000" w:type="pct"/>
          <w:tblCellMar>
            <w:left w:w="70" w:type="dxa"/>
            <w:right w:w="70" w:type="dxa"/>
          </w:tblCellMar>
          <w:tblLook w:val="04A0"/>
        </w:tblPrEx>
        <w:trPr>
          <w:trHeight w:val="739"/>
        </w:trPr>
        <w:tc>
          <w:tcPr>
            <w:tcW w:w="1922" w:type="pct"/>
            <w:tcBorders>
              <w:top w:val="nil"/>
              <w:left w:val="nil"/>
              <w:bottom w:val="nil"/>
              <w:right w:val="nil"/>
            </w:tcBorders>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Spolufinancovanie k prostriedkom poskytnutým na základe medzinárodných zmlúv (EHP, NFM, ŠFM)</w:t>
            </w:r>
          </w:p>
        </w:tc>
        <w:tc>
          <w:tcPr>
            <w:tcW w:w="56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5 448</w:t>
            </w:r>
          </w:p>
        </w:tc>
        <w:tc>
          <w:tcPr>
            <w:tcW w:w="561"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3 079</w:t>
            </w:r>
          </w:p>
        </w:tc>
        <w:tc>
          <w:tcPr>
            <w:tcW w:w="51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3 765</w:t>
            </w:r>
          </w:p>
        </w:tc>
        <w:tc>
          <w:tcPr>
            <w:tcW w:w="61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3 839</w:t>
            </w:r>
          </w:p>
        </w:tc>
        <w:tc>
          <w:tcPr>
            <w:tcW w:w="380"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74</w:t>
            </w:r>
          </w:p>
        </w:tc>
        <w:tc>
          <w:tcPr>
            <w:tcW w:w="444"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2,0</w:t>
            </w:r>
          </w:p>
        </w:tc>
      </w:tr>
      <w:tr>
        <w:tblPrEx>
          <w:tblW w:w="5000" w:type="pct"/>
          <w:tblCellMar>
            <w:left w:w="70" w:type="dxa"/>
            <w:right w:w="70" w:type="dxa"/>
          </w:tblCellMar>
          <w:tblLook w:val="04A0"/>
        </w:tblPrEx>
        <w:trPr>
          <w:trHeight w:val="330"/>
        </w:trPr>
        <w:tc>
          <w:tcPr>
            <w:tcW w:w="1922" w:type="pct"/>
            <w:tcBorders>
              <w:top w:val="nil"/>
              <w:left w:val="nil"/>
              <w:bottom w:val="nil"/>
              <w:right w:val="nil"/>
            </w:tcBorders>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Spolu</w:t>
            </w:r>
          </w:p>
        </w:tc>
        <w:tc>
          <w:tcPr>
            <w:tcW w:w="56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378 506</w:t>
            </w:r>
          </w:p>
        </w:tc>
        <w:tc>
          <w:tcPr>
            <w:tcW w:w="561"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382 835</w:t>
            </w:r>
          </w:p>
        </w:tc>
        <w:tc>
          <w:tcPr>
            <w:tcW w:w="51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672 835</w:t>
            </w:r>
          </w:p>
        </w:tc>
        <w:tc>
          <w:tcPr>
            <w:tcW w:w="61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760 001</w:t>
            </w:r>
          </w:p>
        </w:tc>
        <w:tc>
          <w:tcPr>
            <w:tcW w:w="380"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87 166</w:t>
            </w:r>
          </w:p>
        </w:tc>
        <w:tc>
          <w:tcPr>
            <w:tcW w:w="444"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13,0</w:t>
            </w:r>
          </w:p>
        </w:tc>
      </w:tr>
      <w:tr>
        <w:tblPrEx>
          <w:tblW w:w="5000" w:type="pct"/>
          <w:tblCellMar>
            <w:left w:w="70" w:type="dxa"/>
            <w:right w:w="70" w:type="dxa"/>
          </w:tblCellMar>
          <w:tblLook w:val="04A0"/>
        </w:tblPrEx>
        <w:trPr>
          <w:trHeight w:val="330"/>
        </w:trPr>
        <w:tc>
          <w:tcPr>
            <w:tcW w:w="1922" w:type="pct"/>
            <w:tcBorders>
              <w:top w:val="nil"/>
              <w:left w:val="nil"/>
              <w:bottom w:val="nil"/>
              <w:right w:val="nil"/>
            </w:tcBorders>
            <w:textDirection w:val="lrTb"/>
            <w:vAlign w:val="center"/>
            <w:hideMark/>
          </w:tcPr>
          <w:p w:rsidR="00900E1A" w:rsidRPr="00DE543A" w:rsidP="001B6836">
            <w:pPr>
              <w:bidi w:val="0"/>
              <w:rPr>
                <w:rFonts w:ascii="Times New Roman" w:hAnsi="Times New Roman"/>
                <w:color w:val="000000"/>
                <w:sz w:val="18"/>
                <w:szCs w:val="18"/>
              </w:rPr>
            </w:pPr>
            <w:r w:rsidRPr="00DE543A">
              <w:rPr>
                <w:rFonts w:ascii="Times New Roman" w:hAnsi="Times New Roman"/>
                <w:color w:val="000000"/>
                <w:sz w:val="18"/>
                <w:szCs w:val="18"/>
              </w:rPr>
              <w:t>Vnútorné politiky EÚ</w:t>
            </w:r>
          </w:p>
        </w:tc>
        <w:tc>
          <w:tcPr>
            <w:tcW w:w="56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sz w:val="18"/>
                <w:szCs w:val="18"/>
              </w:rPr>
            </w:pPr>
            <w:r w:rsidRPr="00DE543A">
              <w:rPr>
                <w:rFonts w:ascii="Times New Roman" w:hAnsi="Times New Roman"/>
                <w:sz w:val="18"/>
                <w:szCs w:val="18"/>
              </w:rPr>
              <w:t>923</w:t>
            </w:r>
          </w:p>
        </w:tc>
        <w:tc>
          <w:tcPr>
            <w:tcW w:w="561"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sz w:val="18"/>
                <w:szCs w:val="18"/>
              </w:rPr>
            </w:pPr>
            <w:r w:rsidRPr="00DE543A">
              <w:rPr>
                <w:rFonts w:ascii="Times New Roman" w:hAnsi="Times New Roman"/>
                <w:sz w:val="18"/>
                <w:szCs w:val="18"/>
              </w:rPr>
              <w:t>1 099</w:t>
            </w:r>
          </w:p>
        </w:tc>
        <w:tc>
          <w:tcPr>
            <w:tcW w:w="512"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sz w:val="18"/>
                <w:szCs w:val="18"/>
              </w:rPr>
            </w:pPr>
            <w:r w:rsidRPr="00DE543A">
              <w:rPr>
                <w:rFonts w:ascii="Times New Roman" w:hAnsi="Times New Roman"/>
                <w:sz w:val="18"/>
                <w:szCs w:val="18"/>
              </w:rPr>
              <w:t>5 310</w:t>
            </w:r>
          </w:p>
        </w:tc>
        <w:tc>
          <w:tcPr>
            <w:tcW w:w="619" w:type="pct"/>
            <w:tcBorders>
              <w:top w:val="nil"/>
              <w:left w:val="nil"/>
              <w:bottom w:val="nil"/>
              <w:right w:val="nil"/>
            </w:tcBorders>
            <w:shd w:val="clear" w:color="auto" w:fill="BFBFBF"/>
            <w:noWrap/>
            <w:textDirection w:val="lrTb"/>
            <w:vAlign w:val="center"/>
            <w:hideMark/>
          </w:tcPr>
          <w:p w:rsidR="00900E1A" w:rsidRPr="00DE543A" w:rsidP="001B6836">
            <w:pPr>
              <w:bidi w:val="0"/>
              <w:jc w:val="right"/>
              <w:rPr>
                <w:rFonts w:ascii="Times New Roman" w:hAnsi="Times New Roman"/>
                <w:sz w:val="18"/>
                <w:szCs w:val="18"/>
              </w:rPr>
            </w:pPr>
            <w:r w:rsidRPr="00DE543A">
              <w:rPr>
                <w:rFonts w:ascii="Times New Roman" w:hAnsi="Times New Roman"/>
                <w:sz w:val="18"/>
                <w:szCs w:val="18"/>
              </w:rPr>
              <w:t>2 236</w:t>
            </w:r>
          </w:p>
        </w:tc>
        <w:tc>
          <w:tcPr>
            <w:tcW w:w="380"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-3 074</w:t>
            </w:r>
          </w:p>
        </w:tc>
        <w:tc>
          <w:tcPr>
            <w:tcW w:w="444" w:type="pct"/>
            <w:tcBorders>
              <w:top w:val="nil"/>
              <w:left w:val="nil"/>
              <w:bottom w:val="nil"/>
              <w:right w:val="nil"/>
            </w:tcBorders>
            <w:noWrap/>
            <w:textDirection w:val="lrTb"/>
            <w:vAlign w:val="center"/>
            <w:hideMark/>
          </w:tcPr>
          <w:p w:rsidR="00900E1A" w:rsidRPr="00DE543A" w:rsidP="001B6836">
            <w:pPr>
              <w:bidi w:val="0"/>
              <w:jc w:val="right"/>
              <w:rPr>
                <w:rFonts w:ascii="Times New Roman" w:hAnsi="Times New Roman"/>
                <w:color w:val="000000"/>
                <w:sz w:val="18"/>
                <w:szCs w:val="18"/>
              </w:rPr>
            </w:pPr>
            <w:r w:rsidRPr="00DE543A">
              <w:rPr>
                <w:rFonts w:ascii="Times New Roman" w:hAnsi="Times New Roman"/>
                <w:color w:val="000000"/>
                <w:sz w:val="18"/>
                <w:szCs w:val="18"/>
              </w:rPr>
              <w:t>-57,9</w:t>
            </w:r>
          </w:p>
        </w:tc>
      </w:tr>
      <w:tr>
        <w:tblPrEx>
          <w:tblW w:w="5000" w:type="pct"/>
          <w:tblCellMar>
            <w:left w:w="70" w:type="dxa"/>
            <w:right w:w="70" w:type="dxa"/>
          </w:tblCellMar>
          <w:tblLook w:val="04A0"/>
        </w:tblPrEx>
        <w:trPr>
          <w:trHeight w:val="345"/>
        </w:trPr>
        <w:tc>
          <w:tcPr>
            <w:tcW w:w="1922" w:type="pct"/>
            <w:tcBorders>
              <w:top w:val="single" w:sz="4" w:space="0" w:color="auto"/>
              <w:left w:val="nil"/>
              <w:bottom w:val="single" w:sz="8" w:space="0" w:color="auto"/>
              <w:right w:val="nil"/>
            </w:tcBorders>
            <w:shd w:val="clear" w:color="000000" w:fill="FFFFFF"/>
            <w:textDirection w:val="lrTb"/>
            <w:vAlign w:val="center"/>
            <w:hideMark/>
          </w:tcPr>
          <w:p w:rsidR="00900E1A" w:rsidRPr="00DE543A" w:rsidP="001B6836">
            <w:pPr>
              <w:bidi w:val="0"/>
              <w:rPr>
                <w:rFonts w:ascii="Times New Roman" w:hAnsi="Times New Roman"/>
                <w:b/>
                <w:bCs/>
                <w:color w:val="000000"/>
                <w:sz w:val="18"/>
                <w:szCs w:val="18"/>
              </w:rPr>
            </w:pPr>
            <w:r w:rsidRPr="00DE543A">
              <w:rPr>
                <w:rFonts w:ascii="Times New Roman" w:hAnsi="Times New Roman"/>
                <w:b/>
                <w:bCs/>
                <w:color w:val="000000"/>
                <w:sz w:val="18"/>
                <w:szCs w:val="18"/>
              </w:rPr>
              <w:t>Spolu (vrátane vnútorných politík EÚ)</w:t>
            </w:r>
          </w:p>
        </w:tc>
        <w:tc>
          <w:tcPr>
            <w:tcW w:w="562"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379 429</w:t>
            </w:r>
          </w:p>
        </w:tc>
        <w:tc>
          <w:tcPr>
            <w:tcW w:w="561"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383 934</w:t>
            </w:r>
          </w:p>
        </w:tc>
        <w:tc>
          <w:tcPr>
            <w:tcW w:w="512"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678 145</w:t>
            </w:r>
          </w:p>
        </w:tc>
        <w:tc>
          <w:tcPr>
            <w:tcW w:w="619" w:type="pct"/>
            <w:tcBorders>
              <w:top w:val="single" w:sz="4" w:space="0" w:color="auto"/>
              <w:left w:val="nil"/>
              <w:bottom w:val="single" w:sz="8" w:space="0" w:color="auto"/>
              <w:right w:val="nil"/>
            </w:tcBorders>
            <w:shd w:val="clear" w:color="auto" w:fill="BFBFB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762 237</w:t>
            </w:r>
          </w:p>
        </w:tc>
        <w:tc>
          <w:tcPr>
            <w:tcW w:w="380"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84 092</w:t>
            </w:r>
          </w:p>
        </w:tc>
        <w:tc>
          <w:tcPr>
            <w:tcW w:w="444" w:type="pct"/>
            <w:tcBorders>
              <w:top w:val="single" w:sz="4" w:space="0" w:color="auto"/>
              <w:left w:val="nil"/>
              <w:bottom w:val="single" w:sz="8" w:space="0" w:color="auto"/>
              <w:right w:val="nil"/>
            </w:tcBorders>
            <w:shd w:val="clear" w:color="000000" w:fill="FFFFFF"/>
            <w:noWrap/>
            <w:textDirection w:val="lrTb"/>
            <w:vAlign w:val="center"/>
            <w:hideMark/>
          </w:tcPr>
          <w:p w:rsidR="00900E1A" w:rsidRPr="00DE543A" w:rsidP="001B6836">
            <w:pPr>
              <w:bidi w:val="0"/>
              <w:jc w:val="right"/>
              <w:rPr>
                <w:rFonts w:ascii="Times New Roman" w:hAnsi="Times New Roman"/>
                <w:b/>
                <w:bCs/>
                <w:color w:val="000000"/>
                <w:sz w:val="18"/>
                <w:szCs w:val="18"/>
              </w:rPr>
            </w:pPr>
            <w:r w:rsidRPr="00DE543A">
              <w:rPr>
                <w:rFonts w:ascii="Times New Roman" w:hAnsi="Times New Roman"/>
                <w:b/>
                <w:bCs/>
                <w:color w:val="000000"/>
                <w:sz w:val="18"/>
                <w:szCs w:val="18"/>
              </w:rPr>
              <w:t>12,4</w:t>
            </w:r>
          </w:p>
        </w:tc>
      </w:tr>
    </w:tbl>
    <w:p w:rsidR="00900E1A" w:rsidRPr="00271667" w:rsidP="00AC07BA">
      <w:pPr>
        <w:bidi w:val="0"/>
        <w:spacing w:after="120" w:line="336" w:lineRule="auto"/>
        <w:jc w:val="right"/>
        <w:rPr>
          <w:rFonts w:ascii="Times New Roman" w:hAnsi="Times New Roman"/>
          <w:sz w:val="18"/>
          <w:szCs w:val="18"/>
        </w:rPr>
      </w:pPr>
      <w:r w:rsidRPr="003208E6">
        <w:rPr>
          <w:rFonts w:ascii="Times New Roman" w:hAnsi="Times New Roman"/>
          <w:sz w:val="18"/>
          <w:szCs w:val="18"/>
        </w:rPr>
        <w:t xml:space="preserve">Zdroj: </w:t>
      </w:r>
      <w:r>
        <w:rPr>
          <w:rFonts w:ascii="Times New Roman" w:hAnsi="Times New Roman"/>
          <w:sz w:val="18"/>
          <w:szCs w:val="18"/>
        </w:rPr>
        <w:t>MF</w:t>
      </w:r>
      <w:r w:rsidRPr="003208E6">
        <w:rPr>
          <w:rFonts w:ascii="Times New Roman" w:hAnsi="Times New Roman"/>
          <w:sz w:val="18"/>
          <w:szCs w:val="18"/>
        </w:rPr>
        <w:t xml:space="preserve"> SR</w:t>
      </w:r>
    </w:p>
    <w:p w:rsidR="00900E1A" w:rsidRPr="0039556F" w:rsidP="00900E1A">
      <w:pPr>
        <w:bidi w:val="0"/>
        <w:spacing w:after="120" w:line="336" w:lineRule="auto"/>
        <w:jc w:val="both"/>
        <w:rPr>
          <w:rFonts w:ascii="Times New Roman" w:hAnsi="Times New Roman"/>
          <w:i/>
          <w:sz w:val="22"/>
          <w:szCs w:val="22"/>
        </w:rPr>
      </w:pPr>
      <w:r w:rsidRPr="0039556F">
        <w:rPr>
          <w:rFonts w:ascii="Times New Roman" w:hAnsi="Times New Roman"/>
          <w:i/>
          <w:sz w:val="22"/>
          <w:szCs w:val="22"/>
        </w:rPr>
        <w:t xml:space="preserve">Plnenie príjmov </w:t>
      </w:r>
      <w:r>
        <w:rPr>
          <w:rFonts w:ascii="Times New Roman" w:hAnsi="Times New Roman"/>
          <w:i/>
          <w:sz w:val="22"/>
          <w:szCs w:val="22"/>
        </w:rPr>
        <w:t>z prostriedkov EÚ a čerpanie výdavkov z</w:t>
      </w:r>
      <w:r w:rsidRPr="0039556F">
        <w:rPr>
          <w:rFonts w:ascii="Times New Roman" w:hAnsi="Times New Roman"/>
          <w:i/>
          <w:sz w:val="22"/>
          <w:szCs w:val="22"/>
        </w:rPr>
        <w:t xml:space="preserve"> prostried</w:t>
      </w:r>
      <w:r>
        <w:rPr>
          <w:rFonts w:ascii="Times New Roman" w:hAnsi="Times New Roman"/>
          <w:i/>
          <w:sz w:val="22"/>
          <w:szCs w:val="22"/>
        </w:rPr>
        <w:t>kov</w:t>
      </w:r>
      <w:r w:rsidRPr="0039556F">
        <w:rPr>
          <w:rFonts w:ascii="Times New Roman" w:hAnsi="Times New Roman"/>
          <w:i/>
          <w:sz w:val="22"/>
          <w:szCs w:val="22"/>
        </w:rPr>
        <w:t xml:space="preserve"> EÚ je uvedené v tabuľke č. 16. Čerpanie výdavkov na spolufinancovanie zo štátneh</w:t>
      </w:r>
      <w:r>
        <w:rPr>
          <w:rFonts w:ascii="Times New Roman" w:hAnsi="Times New Roman"/>
          <w:i/>
          <w:sz w:val="22"/>
          <w:szCs w:val="22"/>
        </w:rPr>
        <w:t>o rozpočtu k prostriedkom EÚ, k </w:t>
      </w:r>
      <w:r w:rsidRPr="0039556F">
        <w:rPr>
          <w:rFonts w:ascii="Times New Roman" w:hAnsi="Times New Roman"/>
          <w:i/>
          <w:sz w:val="22"/>
          <w:szCs w:val="22"/>
        </w:rPr>
        <w:t>zahraničným grantom z prostriedkov EÚ a k prostriedkom poskytnutým na základe medzinárodných zmlúv bez vnútorných politík EÚ je uvedené v tabuľke č. 17.</w:t>
      </w:r>
    </w:p>
    <w:p w:rsidR="00900E1A" w:rsidRPr="00F12C7B" w:rsidP="00900E1A">
      <w:pPr>
        <w:bidi w:val="0"/>
        <w:spacing w:after="120" w:line="336" w:lineRule="auto"/>
        <w:jc w:val="both"/>
        <w:rPr>
          <w:rFonts w:ascii="Times New Roman" w:hAnsi="Times New Roman"/>
          <w:b/>
          <w:sz w:val="22"/>
          <w:szCs w:val="22"/>
        </w:rPr>
      </w:pPr>
      <w:r w:rsidRPr="003208E6">
        <w:rPr>
          <w:rFonts w:ascii="Times New Roman" w:hAnsi="Times New Roman"/>
          <w:sz w:val="22"/>
          <w:szCs w:val="22"/>
        </w:rPr>
        <w:t xml:space="preserve">Časť finančných prostriedkov z rozpočtu EÚ, uvádzaných vyššie a finančné prostriedky poskytované Slovenskej republike na základe medzinárodných zmlúv, ktorými je Slovenská republika viazaná, používajú štátne rozpočtové organizácie </w:t>
      </w:r>
      <w:r w:rsidRPr="003208E6">
        <w:rPr>
          <w:rFonts w:ascii="Times New Roman" w:hAnsi="Times New Roman"/>
          <w:b/>
          <w:sz w:val="22"/>
          <w:szCs w:val="22"/>
        </w:rPr>
        <w:t xml:space="preserve">prostredníctvom mimorozpočtových </w:t>
      </w:r>
      <w:r w:rsidRPr="00F12C7B">
        <w:rPr>
          <w:rFonts w:ascii="Times New Roman" w:hAnsi="Times New Roman"/>
          <w:b/>
          <w:sz w:val="22"/>
          <w:szCs w:val="22"/>
        </w:rPr>
        <w:t>účtov:</w:t>
      </w:r>
    </w:p>
    <w:p w:rsidR="00900E1A" w:rsidRPr="007F2BDA" w:rsidP="00900E1A">
      <w:pPr>
        <w:numPr>
          <w:numId w:val="13"/>
        </w:numPr>
        <w:bidi w:val="0"/>
        <w:spacing w:after="120" w:line="336" w:lineRule="auto"/>
        <w:ind w:left="426" w:hanging="426"/>
        <w:jc w:val="both"/>
        <w:rPr>
          <w:rFonts w:ascii="Times New Roman" w:hAnsi="Times New Roman"/>
          <w:sz w:val="22"/>
          <w:szCs w:val="22"/>
        </w:rPr>
      </w:pPr>
      <w:r w:rsidRPr="00F12C7B">
        <w:rPr>
          <w:rFonts w:ascii="Times New Roman" w:hAnsi="Times New Roman"/>
          <w:sz w:val="22"/>
          <w:szCs w:val="22"/>
        </w:rPr>
        <w:t>Z Úradu pre finančné mechanizmy v Bruseli boli Slovenskej republike v rámci programového obdobia 2009</w:t>
      </w:r>
      <w:r>
        <w:rPr>
          <w:rFonts w:ascii="Times New Roman" w:hAnsi="Times New Roman"/>
          <w:sz w:val="22"/>
          <w:szCs w:val="22"/>
        </w:rPr>
        <w:t xml:space="preserve"> - </w:t>
      </w:r>
      <w:r w:rsidRPr="00F12C7B">
        <w:rPr>
          <w:rFonts w:ascii="Times New Roman" w:hAnsi="Times New Roman"/>
          <w:sz w:val="22"/>
          <w:szCs w:val="22"/>
        </w:rPr>
        <w:t xml:space="preserve">2014 poukázané prostriedky z </w:t>
      </w:r>
      <w:r w:rsidRPr="00F12C7B">
        <w:rPr>
          <w:rFonts w:ascii="Times New Roman" w:hAnsi="Times New Roman"/>
          <w:b/>
          <w:i/>
          <w:sz w:val="22"/>
          <w:szCs w:val="22"/>
        </w:rPr>
        <w:t>Finančného mechanizmu EHP a Nórskeho finančného mechanizmu</w:t>
      </w:r>
      <w:r w:rsidRPr="00F12C7B">
        <w:rPr>
          <w:rFonts w:ascii="Times New Roman" w:hAnsi="Times New Roman"/>
          <w:b/>
          <w:sz w:val="22"/>
          <w:szCs w:val="22"/>
        </w:rPr>
        <w:t xml:space="preserve"> </w:t>
      </w:r>
      <w:r w:rsidRPr="00F12C7B">
        <w:rPr>
          <w:rFonts w:ascii="Times New Roman" w:hAnsi="Times New Roman"/>
          <w:sz w:val="22"/>
          <w:szCs w:val="22"/>
        </w:rPr>
        <w:t xml:space="preserve">vo výške </w:t>
      </w:r>
      <w:r>
        <w:rPr>
          <w:rFonts w:ascii="Times New Roman" w:hAnsi="Times New Roman"/>
          <w:sz w:val="22"/>
          <w:szCs w:val="22"/>
        </w:rPr>
        <w:t>19 447</w:t>
      </w:r>
      <w:r w:rsidRPr="00F12C7B">
        <w:rPr>
          <w:rFonts w:ascii="Times New Roman" w:hAnsi="Times New Roman"/>
          <w:sz w:val="22"/>
          <w:szCs w:val="22"/>
        </w:rPr>
        <w:t xml:space="preserve"> tis. eur. Správcom programu boli prevedené prostriedky </w:t>
      </w:r>
      <w:r w:rsidRPr="007F2BDA">
        <w:rPr>
          <w:rFonts w:ascii="Times New Roman" w:hAnsi="Times New Roman"/>
          <w:sz w:val="22"/>
          <w:szCs w:val="22"/>
        </w:rPr>
        <w:t>vo výške 19 447 tis. eur.</w:t>
      </w:r>
    </w:p>
    <w:p w:rsidR="00900E1A" w:rsidRPr="00D52C0D" w:rsidP="00900E1A">
      <w:pPr>
        <w:numPr>
          <w:numId w:val="13"/>
        </w:numPr>
        <w:bidi w:val="0"/>
        <w:spacing w:after="120" w:line="336" w:lineRule="auto"/>
        <w:ind w:left="426" w:hanging="426"/>
        <w:jc w:val="both"/>
        <w:rPr>
          <w:rFonts w:ascii="Times New Roman" w:hAnsi="Times New Roman"/>
          <w:sz w:val="22"/>
          <w:szCs w:val="22"/>
        </w:rPr>
      </w:pPr>
      <w:r w:rsidRPr="007F2BDA">
        <w:rPr>
          <w:rFonts w:ascii="Times New Roman" w:hAnsi="Times New Roman"/>
          <w:sz w:val="22"/>
          <w:szCs w:val="22"/>
        </w:rPr>
        <w:t xml:space="preserve">Slovenskej republike boli v roku 2014 v rámci </w:t>
      </w:r>
      <w:r w:rsidRPr="007F2BDA">
        <w:rPr>
          <w:rFonts w:ascii="Times New Roman" w:hAnsi="Times New Roman"/>
          <w:b/>
          <w:i/>
          <w:sz w:val="22"/>
          <w:szCs w:val="22"/>
        </w:rPr>
        <w:t>finančnej obálky</w:t>
      </w:r>
      <w:r w:rsidRPr="007F2BDA">
        <w:rPr>
          <w:rFonts w:ascii="Times New Roman" w:hAnsi="Times New Roman"/>
          <w:sz w:val="22"/>
          <w:szCs w:val="22"/>
        </w:rPr>
        <w:t xml:space="preserve"> poskytnuté prostriedky na</w:t>
      </w:r>
      <w:r>
        <w:rPr>
          <w:rFonts w:ascii="Times New Roman" w:hAnsi="Times New Roman"/>
          <w:sz w:val="22"/>
          <w:szCs w:val="22"/>
        </w:rPr>
        <w:t> </w:t>
      </w:r>
      <w:r w:rsidRPr="007F2BDA">
        <w:rPr>
          <w:rFonts w:ascii="Times New Roman" w:hAnsi="Times New Roman"/>
          <w:sz w:val="22"/>
          <w:szCs w:val="22"/>
        </w:rPr>
        <w:t>úhradu cestovných výdavkov, súvisiacich s účasťou zástupcov Slovenskej republiky na</w:t>
      </w:r>
      <w:r>
        <w:rPr>
          <w:rFonts w:ascii="Times New Roman" w:hAnsi="Times New Roman"/>
          <w:sz w:val="22"/>
          <w:szCs w:val="22"/>
        </w:rPr>
        <w:t> </w:t>
      </w:r>
      <w:r w:rsidRPr="007F2BDA">
        <w:rPr>
          <w:rFonts w:ascii="Times New Roman" w:hAnsi="Times New Roman"/>
          <w:sz w:val="22"/>
          <w:szCs w:val="22"/>
        </w:rPr>
        <w:t xml:space="preserve">zasadaniach výborov a pracovných skupín Rady EÚ vo výške 1 073 tis. eur, finančné prostriedky na finančnú obálku, vrátane zdrojov z predchádzajúcich rokov, boli z mimorozpočtového účtu Ministerstva financií SR použité vo výške 696 tis. eur na úhradu oprávnených výdavkov </w:t>
      </w:r>
      <w:r w:rsidRPr="00D52C0D">
        <w:rPr>
          <w:rFonts w:ascii="Times New Roman" w:hAnsi="Times New Roman"/>
          <w:sz w:val="22"/>
          <w:szCs w:val="22"/>
        </w:rPr>
        <w:t xml:space="preserve">zamestnancov ústredných orgánov štátnej správy a iných </w:t>
      </w:r>
      <w:r>
        <w:rPr>
          <w:rFonts w:ascii="Times New Roman" w:hAnsi="Times New Roman"/>
          <w:sz w:val="22"/>
          <w:szCs w:val="22"/>
        </w:rPr>
        <w:t xml:space="preserve">oprávnených </w:t>
      </w:r>
      <w:r w:rsidRPr="00D52C0D">
        <w:rPr>
          <w:rFonts w:ascii="Times New Roman" w:hAnsi="Times New Roman"/>
          <w:sz w:val="22"/>
          <w:szCs w:val="22"/>
        </w:rPr>
        <w:t>inštitúcií.</w:t>
      </w:r>
    </w:p>
    <w:p w:rsidR="00900E1A" w:rsidRPr="00D52C0D" w:rsidP="00900E1A">
      <w:pPr>
        <w:numPr>
          <w:numId w:val="13"/>
        </w:numPr>
        <w:shd w:val="clear" w:color="auto" w:fill="FFFFFF"/>
        <w:bidi w:val="0"/>
        <w:spacing w:after="120" w:line="336" w:lineRule="auto"/>
        <w:ind w:left="426" w:hanging="426"/>
        <w:jc w:val="both"/>
        <w:rPr>
          <w:rFonts w:ascii="Times New Roman" w:hAnsi="Times New Roman"/>
          <w:sz w:val="22"/>
          <w:szCs w:val="22"/>
        </w:rPr>
      </w:pPr>
      <w:r w:rsidRPr="00D52C0D">
        <w:rPr>
          <w:rFonts w:ascii="Times New Roman" w:hAnsi="Times New Roman"/>
          <w:sz w:val="22"/>
          <w:szCs w:val="22"/>
        </w:rPr>
        <w:t xml:space="preserve">V rámci programov </w:t>
      </w:r>
      <w:r w:rsidRPr="00D52C0D">
        <w:rPr>
          <w:rFonts w:ascii="Times New Roman" w:hAnsi="Times New Roman"/>
          <w:b/>
          <w:i/>
          <w:sz w:val="22"/>
          <w:szCs w:val="22"/>
        </w:rPr>
        <w:t>Európskej územnej spolupráce</w:t>
      </w:r>
      <w:r w:rsidRPr="00D52C0D">
        <w:rPr>
          <w:rFonts w:ascii="Times New Roman" w:hAnsi="Times New Roman"/>
          <w:sz w:val="22"/>
          <w:szCs w:val="22"/>
        </w:rPr>
        <w:t xml:space="preserve"> prijala Slovenská republika prostredníctvom certifikačného orgánu MF SR príspevky EÚ vo výške 3 741 tis. eur a prispievajúcich štátov vo výške 1 877 tis. eur na financovanie Operačného programu INTERACT II 2007</w:t>
      </w:r>
      <w:r>
        <w:rPr>
          <w:rFonts w:ascii="Times New Roman" w:hAnsi="Times New Roman"/>
          <w:sz w:val="22"/>
          <w:szCs w:val="22"/>
        </w:rPr>
        <w:t xml:space="preserve"> </w:t>
      </w:r>
      <w:r w:rsidRPr="00D52C0D">
        <w:rPr>
          <w:rFonts w:ascii="Times New Roman" w:hAnsi="Times New Roman"/>
          <w:sz w:val="22"/>
          <w:szCs w:val="22"/>
        </w:rPr>
        <w:t>-</w:t>
      </w:r>
      <w:r>
        <w:rPr>
          <w:rFonts w:ascii="Times New Roman" w:hAnsi="Times New Roman"/>
          <w:sz w:val="22"/>
          <w:szCs w:val="22"/>
        </w:rPr>
        <w:t xml:space="preserve"> </w:t>
      </w:r>
      <w:r w:rsidRPr="00D52C0D">
        <w:rPr>
          <w:rFonts w:ascii="Times New Roman" w:hAnsi="Times New Roman"/>
          <w:sz w:val="22"/>
          <w:szCs w:val="22"/>
        </w:rPr>
        <w:t>2013. Na financovanie programu bolo použitých 1 694</w:t>
      </w:r>
      <w:r>
        <w:rPr>
          <w:rFonts w:ascii="Times New Roman" w:hAnsi="Times New Roman"/>
          <w:sz w:val="22"/>
          <w:szCs w:val="22"/>
        </w:rPr>
        <w:t> tis. eur za </w:t>
      </w:r>
      <w:r w:rsidRPr="00D52C0D">
        <w:rPr>
          <w:rFonts w:ascii="Times New Roman" w:hAnsi="Times New Roman"/>
          <w:sz w:val="22"/>
          <w:szCs w:val="22"/>
        </w:rPr>
        <w:t xml:space="preserve">prostriedky EÚ a 299 tis. eur za spolufinancovanie z členských príspevkov. </w:t>
      </w:r>
      <w:r>
        <w:rPr>
          <w:rFonts w:ascii="Times New Roman" w:hAnsi="Times New Roman"/>
          <w:sz w:val="22"/>
          <w:szCs w:val="22"/>
        </w:rPr>
        <w:t>Na účet OP INTERACT III boli prijaté finančné prostriedky z Európskej komisie vo výške 788 tis. eur.</w:t>
      </w:r>
    </w:p>
    <w:p w:rsidR="00900E1A" w:rsidP="00927FF8">
      <w:pPr>
        <w:pStyle w:val="Heading3"/>
        <w:bidi w:val="0"/>
        <w:rPr>
          <w:rFonts w:ascii="Times New Roman" w:hAnsi="Times New Roman"/>
          <w:lang w:val="sk-SK"/>
        </w:rPr>
      </w:pPr>
      <w:r w:rsidR="009F319F">
        <w:rPr>
          <w:rFonts w:ascii="Times New Roman" w:hAnsi="Times New Roman"/>
          <w:lang w:val="sk-SK"/>
        </w:rPr>
        <w:br w:type="page"/>
      </w:r>
      <w:bookmarkStart w:id="42" w:name="_Toc449622847"/>
      <w:r w:rsidR="00000EE1">
        <w:rPr>
          <w:rFonts w:ascii="Times New Roman" w:hAnsi="Times New Roman"/>
          <w:lang w:val="sk-SK"/>
        </w:rPr>
        <w:t>3.4.3.</w:t>
        <w:tab/>
      </w:r>
      <w:r w:rsidR="00927FF8">
        <w:rPr>
          <w:rFonts w:ascii="Times New Roman" w:hAnsi="Times New Roman"/>
          <w:lang w:val="sk-SK"/>
        </w:rPr>
        <w:t>Zhrnutie čerpania záväzkov programových období po vstupe S</w:t>
      </w:r>
      <w:r w:rsidR="00563C2D">
        <w:rPr>
          <w:rFonts w:ascii="Times New Roman" w:hAnsi="Times New Roman"/>
          <w:lang w:val="sk-SK"/>
        </w:rPr>
        <w:t>R</w:t>
      </w:r>
      <w:r w:rsidR="00927FF8">
        <w:rPr>
          <w:rFonts w:ascii="Times New Roman" w:hAnsi="Times New Roman"/>
          <w:lang w:val="sk-SK"/>
        </w:rPr>
        <w:t xml:space="preserve"> do Európskej únie</w:t>
      </w:r>
      <w:bookmarkEnd w:id="42"/>
    </w:p>
    <w:p w:rsidR="00927FF8" w:rsidRPr="00212631" w:rsidP="00D66D38">
      <w:pPr>
        <w:bidi w:val="0"/>
        <w:spacing w:after="120" w:line="336" w:lineRule="auto"/>
        <w:jc w:val="both"/>
        <w:rPr>
          <w:rFonts w:ascii="Times New Roman" w:hAnsi="Times New Roman"/>
          <w:sz w:val="22"/>
          <w:szCs w:val="22"/>
        </w:rPr>
      </w:pPr>
      <w:r w:rsidR="009654DD">
        <w:rPr>
          <w:rFonts w:ascii="Times New Roman" w:hAnsi="Times New Roman"/>
          <w:sz w:val="22"/>
          <w:szCs w:val="22"/>
        </w:rPr>
        <w:t>Slovenská republika je oprávnená čerpať prostriedky z rozpočtu EÚ</w:t>
      </w:r>
      <w:r w:rsidRPr="00212631">
        <w:rPr>
          <w:rFonts w:ascii="Times New Roman" w:hAnsi="Times New Roman"/>
          <w:sz w:val="22"/>
          <w:szCs w:val="22"/>
        </w:rPr>
        <w:t xml:space="preserve"> v rámci troch programových období:</w:t>
      </w:r>
    </w:p>
    <w:p w:rsidR="00927FF8" w:rsidRPr="00212631" w:rsidP="00D66D38">
      <w:pPr>
        <w:bidi w:val="0"/>
        <w:spacing w:after="120" w:line="336" w:lineRule="auto"/>
        <w:jc w:val="both"/>
        <w:rPr>
          <w:rFonts w:ascii="Times New Roman" w:hAnsi="Times New Roman"/>
          <w:sz w:val="22"/>
          <w:szCs w:val="22"/>
        </w:rPr>
      </w:pPr>
      <w:r w:rsidRPr="00212631">
        <w:rPr>
          <w:rFonts w:ascii="Times New Roman" w:hAnsi="Times New Roman"/>
          <w:sz w:val="22"/>
          <w:szCs w:val="22"/>
        </w:rPr>
        <w:t>V rámci 1. programového obdobia 2004 - 2006 sa osobitnými programovými dokumentmi realizovali programy štrukturálnych fondov a Kohézneho fondu. V roku 2015 bola s EK odsúhlasená záverečná kalkulácia na posledný otvorený Sektorový oper</w:t>
      </w:r>
      <w:r w:rsidR="009654DD">
        <w:rPr>
          <w:rFonts w:ascii="Times New Roman" w:hAnsi="Times New Roman"/>
          <w:sz w:val="22"/>
          <w:szCs w:val="22"/>
        </w:rPr>
        <w:t>ačný program Priemysel a služby. C</w:t>
      </w:r>
      <w:r w:rsidRPr="00212631">
        <w:rPr>
          <w:rFonts w:ascii="Times New Roman" w:hAnsi="Times New Roman"/>
          <w:sz w:val="22"/>
          <w:szCs w:val="22"/>
        </w:rPr>
        <w:t>elkovo za všetky programy štrukturálnych fondov vyčerpala SR k 31.12.2015 prostriedky vo výške 1 164 053 tis. eur, čo predstavuje čerpanie na úrovni 99,</w:t>
      </w:r>
      <w:r w:rsidR="009654DD">
        <w:rPr>
          <w:rFonts w:ascii="Times New Roman" w:hAnsi="Times New Roman"/>
          <w:sz w:val="22"/>
          <w:szCs w:val="22"/>
        </w:rPr>
        <w:t xml:space="preserve">6 </w:t>
      </w:r>
      <w:r w:rsidRPr="00212631">
        <w:rPr>
          <w:rFonts w:ascii="Times New Roman" w:hAnsi="Times New Roman"/>
          <w:sz w:val="22"/>
          <w:szCs w:val="22"/>
        </w:rPr>
        <w:t>% zo záväzku 2004 – 2006. V roku 2015 došlo zo strany EK aj k uzatvoreniu posledného projektu Kohézneho fondu. Celkovo vyčerpala SR zo záväzku Kohézneho fondu prostriedky vo výške 405 035 tis. eur, čo predstavuje čerpanie na úrovni 100% záväzku. Z pohľadu čerpania výdavkov a plnenia príjmov štátneho rozpočtu sa dané programové obdobie považuje za uzatvorené.</w:t>
      </w:r>
    </w:p>
    <w:p w:rsidR="00927FF8" w:rsidRPr="00212631" w:rsidP="00D66D38">
      <w:pPr>
        <w:bidi w:val="0"/>
        <w:spacing w:after="120" w:line="336" w:lineRule="auto"/>
        <w:jc w:val="both"/>
        <w:rPr>
          <w:rFonts w:ascii="Times New Roman" w:hAnsi="Times New Roman"/>
          <w:sz w:val="22"/>
          <w:szCs w:val="22"/>
        </w:rPr>
      </w:pPr>
      <w:r w:rsidRPr="00212631">
        <w:rPr>
          <w:rFonts w:ascii="Times New Roman" w:hAnsi="Times New Roman"/>
          <w:sz w:val="22"/>
          <w:szCs w:val="22"/>
        </w:rPr>
        <w:t>V rámci 2. programového obdobia 2007 – 2013 pokračovala v roku 2015 finančná realizácia programov a k 31.12.2015 bolo ukončené oprávnené obdobie pre realizáciu vý</w:t>
      </w:r>
      <w:r w:rsidR="0017680C">
        <w:rPr>
          <w:rFonts w:ascii="Times New Roman" w:hAnsi="Times New Roman"/>
          <w:sz w:val="22"/>
          <w:szCs w:val="22"/>
        </w:rPr>
        <w:t xml:space="preserve">davkov na úrovni prijímateľov. </w:t>
      </w:r>
      <w:r w:rsidRPr="00212631">
        <w:rPr>
          <w:rFonts w:ascii="Times New Roman" w:hAnsi="Times New Roman"/>
          <w:sz w:val="22"/>
          <w:szCs w:val="22"/>
        </w:rPr>
        <w:t>Dočerpanie prostriedkov 2. programového obdobia 2007 – 2013 bude prebiehať aj v nasledujúcich rokoch a zaslaním záverečnej dokumentácie k 31. marcu 2017 začne s EK proces uzatvárania tohto programového obdobia. Z celkového záväzku 2. programového obdobia 2007 - 2013 v rámci 14 operačných programov vyčerpala SR k 31.12.2015 prostriedky vo výške 10 394 811 tis. eur, čo predstavuje čerpanie na úrovni 89,</w:t>
      </w:r>
      <w:r w:rsidR="009654DD">
        <w:rPr>
          <w:rFonts w:ascii="Times New Roman" w:hAnsi="Times New Roman"/>
          <w:sz w:val="22"/>
          <w:szCs w:val="22"/>
        </w:rPr>
        <w:t xml:space="preserve">5 </w:t>
      </w:r>
      <w:r w:rsidRPr="00212631">
        <w:rPr>
          <w:rFonts w:ascii="Times New Roman" w:hAnsi="Times New Roman"/>
          <w:sz w:val="22"/>
          <w:szCs w:val="22"/>
        </w:rPr>
        <w:t>% záväzku</w:t>
      </w:r>
      <w:r w:rsidR="009654DD">
        <w:rPr>
          <w:rFonts w:ascii="Times New Roman" w:hAnsi="Times New Roman"/>
          <w:sz w:val="22"/>
          <w:szCs w:val="22"/>
        </w:rPr>
        <w:t>, pričom výsledné čerpanie bude známe po uzavretí obdobia zo strany EK v roku 2017</w:t>
      </w:r>
      <w:r w:rsidRPr="00212631">
        <w:rPr>
          <w:rFonts w:ascii="Times New Roman" w:hAnsi="Times New Roman"/>
          <w:sz w:val="22"/>
          <w:szCs w:val="22"/>
        </w:rPr>
        <w:t xml:space="preserve">. </w:t>
      </w:r>
    </w:p>
    <w:p w:rsidR="00927FF8" w:rsidRPr="00927FF8" w:rsidP="00707DC9">
      <w:pPr>
        <w:bidi w:val="0"/>
        <w:spacing w:after="120" w:line="336" w:lineRule="auto"/>
        <w:jc w:val="both"/>
        <w:rPr>
          <w:rFonts w:ascii="Times New Roman" w:hAnsi="Times New Roman"/>
        </w:rPr>
      </w:pPr>
      <w:r w:rsidR="009654DD">
        <w:rPr>
          <w:rFonts w:ascii="Times New Roman" w:hAnsi="Times New Roman"/>
          <w:sz w:val="22"/>
          <w:szCs w:val="22"/>
        </w:rPr>
        <w:t>V</w:t>
      </w:r>
      <w:r w:rsidRPr="00212631">
        <w:rPr>
          <w:rFonts w:ascii="Times New Roman" w:hAnsi="Times New Roman"/>
          <w:sz w:val="22"/>
          <w:szCs w:val="22"/>
        </w:rPr>
        <w:t xml:space="preserve"> roku 2015 začala implementácia </w:t>
      </w:r>
      <w:r w:rsidRPr="00212631" w:rsidR="00707DC9">
        <w:rPr>
          <w:rFonts w:ascii="Times New Roman" w:hAnsi="Times New Roman"/>
          <w:sz w:val="22"/>
          <w:szCs w:val="22"/>
        </w:rPr>
        <w:t xml:space="preserve">3. programového obdobia 2014 – 2020 </w:t>
      </w:r>
      <w:r w:rsidRPr="00212631">
        <w:rPr>
          <w:rFonts w:ascii="Times New Roman" w:hAnsi="Times New Roman"/>
          <w:sz w:val="22"/>
          <w:szCs w:val="22"/>
        </w:rPr>
        <w:t>na úrovn</w:t>
      </w:r>
      <w:r w:rsidR="00707DC9">
        <w:rPr>
          <w:rFonts w:ascii="Times New Roman" w:hAnsi="Times New Roman"/>
          <w:sz w:val="22"/>
          <w:szCs w:val="22"/>
        </w:rPr>
        <w:t>i čerpania v</w:t>
      </w:r>
      <w:r w:rsidRPr="00212631">
        <w:rPr>
          <w:rFonts w:ascii="Times New Roman" w:hAnsi="Times New Roman"/>
          <w:sz w:val="22"/>
          <w:szCs w:val="22"/>
        </w:rPr>
        <w:t>ýdavkov. K 31.12.2015 boli na úrovni PJ čerpané výdavky EÚ v objeme 39 076 tis. eur a výdavky ŠR v objeme 7 102 tis. eur.</w:t>
      </w:r>
    </w:p>
    <w:p w:rsidR="00927FF8" w:rsidRPr="00900E1A" w:rsidP="00D66D38">
      <w:pPr>
        <w:bidi w:val="0"/>
        <w:spacing w:after="120" w:line="336" w:lineRule="auto"/>
        <w:rPr>
          <w:rFonts w:ascii="Times New Roman" w:hAnsi="Times New Roman"/>
        </w:rPr>
      </w:pPr>
    </w:p>
    <w:p w:rsidR="00A24D6D" w:rsidRPr="006E50E2" w:rsidP="00B46424">
      <w:pPr>
        <w:bidi w:val="0"/>
        <w:spacing w:after="120" w:line="336" w:lineRule="auto"/>
        <w:rPr>
          <w:rFonts w:ascii="Times New Roman" w:hAnsi="Times New Roman"/>
        </w:rPr>
      </w:pPr>
      <w:r w:rsidRPr="006E50E2" w:rsidR="00ED3526">
        <w:rPr>
          <w:rFonts w:ascii="Times New Roman" w:hAnsi="Times New Roman"/>
        </w:rPr>
        <w:br w:type="page"/>
      </w:r>
    </w:p>
    <w:p w:rsidR="00A24D6D" w:rsidRPr="006E50E2" w:rsidP="00B46424">
      <w:pPr>
        <w:bidi w:val="0"/>
        <w:spacing w:after="120" w:line="336" w:lineRule="auto"/>
        <w:rPr>
          <w:rFonts w:ascii="Times New Roman" w:hAnsi="Times New Roman"/>
        </w:rPr>
      </w:pPr>
    </w:p>
    <w:p w:rsidR="00E830BC" w:rsidRPr="006E50E2" w:rsidP="00B46424">
      <w:pPr>
        <w:bidi w:val="0"/>
        <w:spacing w:after="120" w:line="336" w:lineRule="auto"/>
        <w:rPr>
          <w:rFonts w:ascii="Times New Roman" w:hAnsi="Times New Roman"/>
        </w:rPr>
      </w:pPr>
    </w:p>
    <w:p w:rsidR="00E830BC" w:rsidRPr="006E50E2" w:rsidP="00B46424">
      <w:pPr>
        <w:bidi w:val="0"/>
        <w:spacing w:after="120" w:line="336" w:lineRule="auto"/>
        <w:rPr>
          <w:rFonts w:ascii="Times New Roman" w:hAnsi="Times New Roman"/>
        </w:rPr>
      </w:pPr>
    </w:p>
    <w:p w:rsidR="0081109B" w:rsidRPr="006E50E2" w:rsidP="00B46424">
      <w:pPr>
        <w:bidi w:val="0"/>
        <w:spacing w:after="120" w:line="336" w:lineRule="auto"/>
        <w:rPr>
          <w:rFonts w:ascii="Times New Roman" w:hAnsi="Times New Roman"/>
        </w:rPr>
      </w:pPr>
    </w:p>
    <w:p w:rsidR="0081109B" w:rsidRPr="006E50E2" w:rsidP="00B46424">
      <w:pPr>
        <w:bidi w:val="0"/>
        <w:spacing w:after="120" w:line="336" w:lineRule="auto"/>
        <w:rPr>
          <w:rFonts w:ascii="Times New Roman" w:hAnsi="Times New Roman"/>
        </w:rPr>
      </w:pPr>
    </w:p>
    <w:p w:rsidR="0081109B" w:rsidRPr="006E50E2" w:rsidP="00B46424">
      <w:pPr>
        <w:bidi w:val="0"/>
        <w:spacing w:after="120" w:line="336" w:lineRule="auto"/>
        <w:rPr>
          <w:rFonts w:ascii="Times New Roman" w:hAnsi="Times New Roman"/>
        </w:rPr>
      </w:pPr>
    </w:p>
    <w:p w:rsidR="0081109B" w:rsidRPr="006E50E2" w:rsidP="00B46424">
      <w:pPr>
        <w:bidi w:val="0"/>
        <w:spacing w:after="120" w:line="336" w:lineRule="auto"/>
        <w:rPr>
          <w:rFonts w:ascii="Times New Roman" w:hAnsi="Times New Roman"/>
        </w:rPr>
      </w:pPr>
    </w:p>
    <w:p w:rsidR="00E830BC" w:rsidRPr="006E50E2" w:rsidP="00B46424">
      <w:pPr>
        <w:bidi w:val="0"/>
        <w:spacing w:after="120" w:line="336" w:lineRule="auto"/>
        <w:rPr>
          <w:rFonts w:ascii="Times New Roman" w:hAnsi="Times New Roman"/>
        </w:rPr>
      </w:pPr>
    </w:p>
    <w:p w:rsidR="00E830BC" w:rsidRPr="006E50E2" w:rsidP="00B46424">
      <w:pPr>
        <w:bidi w:val="0"/>
        <w:spacing w:after="120" w:line="336" w:lineRule="auto"/>
        <w:rPr>
          <w:rFonts w:ascii="Times New Roman" w:hAnsi="Times New Roman"/>
        </w:rPr>
      </w:pPr>
    </w:p>
    <w:p w:rsidR="0053060C" w:rsidRPr="006E50E2" w:rsidP="008D72D9">
      <w:pPr>
        <w:pStyle w:val="Heading1"/>
        <w:numPr>
          <w:numId w:val="20"/>
        </w:numPr>
        <w:bidi w:val="0"/>
        <w:rPr>
          <w:rFonts w:ascii="Times New Roman" w:hAnsi="Times New Roman"/>
          <w:lang w:val="sk-SK"/>
        </w:rPr>
      </w:pPr>
      <w:bookmarkStart w:id="43" w:name="_Toc449622848"/>
      <w:r w:rsidRPr="006E50E2">
        <w:rPr>
          <w:rFonts w:ascii="Times New Roman" w:hAnsi="Times New Roman"/>
          <w:lang w:val="sk-SK"/>
        </w:rPr>
        <w:t>Tabuľková príloha</w:t>
      </w:r>
      <w:bookmarkEnd w:id="43"/>
    </w:p>
    <w:p w:rsidR="0053060C" w:rsidRPr="006E50E2" w:rsidP="00B46424">
      <w:pPr>
        <w:bidi w:val="0"/>
        <w:spacing w:after="120" w:line="336" w:lineRule="auto"/>
        <w:rPr>
          <w:rFonts w:ascii="Times New Roman" w:hAnsi="Times New Roman"/>
        </w:rPr>
      </w:pPr>
    </w:p>
    <w:p w:rsidR="0053060C" w:rsidRPr="006E50E2" w:rsidP="00B46424">
      <w:pPr>
        <w:bidi w:val="0"/>
        <w:spacing w:after="120" w:line="336" w:lineRule="auto"/>
        <w:rPr>
          <w:rFonts w:ascii="Times New Roman" w:hAnsi="Times New Roman"/>
        </w:rPr>
      </w:pPr>
    </w:p>
    <w:p w:rsidR="0053060C" w:rsidRPr="006E50E2" w:rsidP="00B46424">
      <w:pPr>
        <w:bidi w:val="0"/>
        <w:spacing w:after="120" w:line="336" w:lineRule="auto"/>
        <w:jc w:val="center"/>
        <w:rPr>
          <w:rFonts w:ascii="Times New Roman" w:hAnsi="Times New Roman"/>
          <w:b/>
        </w:rPr>
      </w:pPr>
      <w:r w:rsidRPr="006E50E2">
        <w:rPr>
          <w:rFonts w:ascii="Times New Roman" w:hAnsi="Times New Roman"/>
          <w:b/>
        </w:rPr>
        <w:t>Návrhu štátneho záverečného účtu Slovenskej republiky za rok 201</w:t>
      </w:r>
      <w:r w:rsidR="00C9491F">
        <w:rPr>
          <w:rFonts w:ascii="Times New Roman" w:hAnsi="Times New Roman"/>
          <w:b/>
        </w:rPr>
        <w:t>5</w:t>
      </w:r>
    </w:p>
    <w:p w:rsidR="0053060C" w:rsidRPr="006E50E2" w:rsidP="00B46424">
      <w:pPr>
        <w:bidi w:val="0"/>
        <w:spacing w:after="120" w:line="336" w:lineRule="auto"/>
        <w:jc w:val="center"/>
        <w:rPr>
          <w:rFonts w:ascii="Times New Roman" w:hAnsi="Times New Roman"/>
          <w:b/>
        </w:rPr>
      </w:pPr>
    </w:p>
    <w:p w:rsidR="0053060C" w:rsidRPr="006E50E2" w:rsidP="00B46424">
      <w:pPr>
        <w:bidi w:val="0"/>
        <w:spacing w:after="120" w:line="336" w:lineRule="auto"/>
        <w:jc w:val="both"/>
        <w:rPr>
          <w:rFonts w:ascii="Times New Roman" w:hAnsi="Times New Roman"/>
        </w:rPr>
      </w:pPr>
    </w:p>
    <w:p w:rsidR="0053060C" w:rsidRPr="006E50E2" w:rsidP="00B46424">
      <w:pPr>
        <w:bidi w:val="0"/>
        <w:spacing w:after="120" w:line="336" w:lineRule="auto"/>
        <w:jc w:val="both"/>
        <w:rPr>
          <w:rFonts w:ascii="Times New Roman" w:hAnsi="Times New Roman"/>
        </w:rPr>
      </w:pPr>
    </w:p>
    <w:p w:rsidR="0053060C" w:rsidRPr="006E50E2" w:rsidP="00B46424">
      <w:pPr>
        <w:bidi w:val="0"/>
        <w:spacing w:after="120" w:line="336" w:lineRule="auto"/>
        <w:jc w:val="both"/>
        <w:rPr>
          <w:rFonts w:ascii="Times New Roman" w:hAnsi="Times New Roman"/>
        </w:rPr>
      </w:pPr>
    </w:p>
    <w:p w:rsidR="00FA23F1" w:rsidRPr="006E50E2" w:rsidP="00B46424">
      <w:pPr>
        <w:bidi w:val="0"/>
        <w:spacing w:after="120" w:line="336" w:lineRule="auto"/>
        <w:jc w:val="both"/>
        <w:rPr>
          <w:rFonts w:ascii="Times New Roman" w:hAnsi="Times New Roman"/>
        </w:rPr>
      </w:pPr>
    </w:p>
    <w:p w:rsidR="00FA23F1" w:rsidRPr="006E50E2" w:rsidP="00B46424">
      <w:pPr>
        <w:bidi w:val="0"/>
        <w:spacing w:after="120" w:line="336" w:lineRule="auto"/>
        <w:jc w:val="both"/>
        <w:rPr>
          <w:rFonts w:ascii="Times New Roman" w:hAnsi="Times New Roman"/>
        </w:rPr>
      </w:pPr>
    </w:p>
    <w:p w:rsidR="00FA23F1" w:rsidRPr="006E50E2" w:rsidP="00B46424">
      <w:pPr>
        <w:bidi w:val="0"/>
        <w:spacing w:after="120" w:line="336" w:lineRule="auto"/>
        <w:jc w:val="both"/>
        <w:rPr>
          <w:rFonts w:ascii="Times New Roman" w:hAnsi="Times New Roman"/>
        </w:rPr>
      </w:pPr>
    </w:p>
    <w:p w:rsidR="0053060C" w:rsidRPr="006E50E2" w:rsidP="00B46424">
      <w:pPr>
        <w:bidi w:val="0"/>
        <w:spacing w:after="120" w:line="336" w:lineRule="auto"/>
        <w:jc w:val="both"/>
        <w:rPr>
          <w:rFonts w:ascii="Times New Roman" w:hAnsi="Times New Roman"/>
        </w:rPr>
      </w:pPr>
      <w:r w:rsidRPr="006E50E2" w:rsidR="003351C4">
        <w:rPr>
          <w:rFonts w:ascii="Times New Roman" w:hAnsi="Times New Roman"/>
        </w:rPr>
        <w:br w:type="page"/>
      </w:r>
    </w:p>
    <w:tbl>
      <w:tblPr>
        <w:tblStyle w:val="TableNormal"/>
        <w:tblW w:w="10065" w:type="dxa"/>
        <w:jc w:val="center"/>
        <w:tblLayout w:type="fixed"/>
        <w:tblLook w:val="01E0"/>
      </w:tblPr>
      <w:tblGrid>
        <w:gridCol w:w="1081"/>
        <w:gridCol w:w="8984"/>
      </w:tblGrid>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br w:type="page"/>
              <w:t>Tab. 1</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Bilancia príjmov a výdavkov štátneho rozpočtu za rok 201</w:t>
            </w:r>
            <w:r w:rsidR="00C9491F">
              <w:rPr>
                <w:rFonts w:ascii="Times New Roman" w:hAnsi="Times New Roman"/>
                <w:sz w:val="22"/>
                <w:szCs w:val="22"/>
              </w:rPr>
              <w:t>5</w:t>
            </w:r>
            <w:r w:rsidRPr="006E50E2">
              <w:rPr>
                <w:rFonts w:ascii="Times New Roman" w:hAnsi="Times New Roman"/>
                <w:sz w:val="22"/>
                <w:szCs w:val="22"/>
              </w:rPr>
              <w:t xml:space="preserv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2</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0A4266">
            <w:pPr>
              <w:bidi w:val="0"/>
              <w:jc w:val="both"/>
              <w:rPr>
                <w:rFonts w:ascii="Times New Roman" w:hAnsi="Times New Roman"/>
                <w:sz w:val="22"/>
                <w:szCs w:val="22"/>
              </w:rPr>
            </w:pPr>
            <w:r w:rsidRPr="006E50E2">
              <w:rPr>
                <w:rFonts w:ascii="Times New Roman" w:hAnsi="Times New Roman"/>
                <w:sz w:val="22"/>
                <w:szCs w:val="22"/>
              </w:rPr>
              <w:t xml:space="preserve">Daňové príjmy štátneho rozpočtu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3</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Nedaňové príjmy štátneho rozpočtu, granty a transfery za rok </w:t>
            </w:r>
            <w:r w:rsidRPr="006E50E2" w:rsidR="0043067B">
              <w:rPr>
                <w:rFonts w:ascii="Times New Roman" w:hAnsi="Times New Roman"/>
                <w:sz w:val="22"/>
                <w:szCs w:val="22"/>
              </w:rPr>
              <w:t>201</w:t>
            </w:r>
            <w:r w:rsidR="00C9491F">
              <w:rPr>
                <w:rFonts w:ascii="Times New Roman" w:hAnsi="Times New Roman"/>
                <w:sz w:val="22"/>
                <w:szCs w:val="22"/>
              </w:rPr>
              <w:t>5</w:t>
            </w:r>
            <w:r w:rsidRPr="006E50E2">
              <w:rPr>
                <w:rFonts w:ascii="Times New Roman" w:hAnsi="Times New Roman"/>
                <w:sz w:val="22"/>
                <w:szCs w:val="22"/>
              </w:rPr>
              <w:t xml:space="preserv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4</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Príjmy kapitol ŠR za rok </w:t>
            </w:r>
            <w:r w:rsidRPr="006E50E2" w:rsidR="0043067B">
              <w:rPr>
                <w:rFonts w:ascii="Times New Roman" w:hAnsi="Times New Roman"/>
                <w:sz w:val="22"/>
                <w:szCs w:val="22"/>
              </w:rPr>
              <w:t>201</w:t>
            </w:r>
            <w:r w:rsidR="00C9491F">
              <w:rPr>
                <w:rFonts w:ascii="Times New Roman" w:hAnsi="Times New Roman"/>
                <w:sz w:val="22"/>
                <w:szCs w:val="22"/>
              </w:rPr>
              <w:t>5</w:t>
            </w:r>
            <w:r w:rsidRPr="006E50E2">
              <w:rPr>
                <w:rFonts w:ascii="Times New Roman" w:hAnsi="Times New Roman"/>
                <w:sz w:val="22"/>
                <w:szCs w:val="22"/>
              </w:rPr>
              <w:t xml:space="preserve"> – záväzné ukazovatele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5</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Príjmy štátneho rozpočtu podľa kategórií a kapitol ŠR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6</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bCs/>
                <w:sz w:val="22"/>
                <w:szCs w:val="22"/>
              </w:rPr>
              <w:t xml:space="preserve">Príjmy štátneho rozpočtu podľa zdrojov v roku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7</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Výdavky štátneho rozpočtu podľa kategórií a kapitol ŠR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8</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Bežné transfery za rok </w:t>
            </w:r>
            <w:r w:rsidRPr="006E50E2" w:rsidR="000A4266">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w:t>
            </w:r>
            <w:r w:rsidRPr="006E50E2" w:rsidR="006B2503">
              <w:rPr>
                <w:rFonts w:ascii="Times New Roman" w:hAnsi="Times New Roman"/>
                <w:sz w:val="22"/>
                <w:szCs w:val="22"/>
              </w:rPr>
              <w:t xml:space="preserve"> 9</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Kapitálové výdavky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10</w:t>
            </w:r>
          </w:p>
          <w:p w:rsidR="0053060C" w:rsidRPr="006E50E2" w:rsidP="0053060C">
            <w:pPr>
              <w:bidi w:val="0"/>
              <w:rPr>
                <w:rFonts w:ascii="Times New Roman" w:hAnsi="Times New Roman"/>
                <w:sz w:val="22"/>
                <w:szCs w:val="22"/>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spacing w:line="276" w:lineRule="auto"/>
              <w:jc w:val="both"/>
              <w:rPr>
                <w:rFonts w:ascii="Times New Roman" w:hAnsi="Times New Roman"/>
                <w:sz w:val="22"/>
                <w:szCs w:val="22"/>
              </w:rPr>
            </w:pPr>
            <w:r w:rsidRPr="006E50E2">
              <w:rPr>
                <w:rFonts w:ascii="Times New Roman" w:hAnsi="Times New Roman"/>
                <w:sz w:val="22"/>
                <w:szCs w:val="22"/>
              </w:rPr>
              <w:t xml:space="preserve">Finančné operácie na mimorozpočtových účtoch štátnych rozpočtových organizácií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11</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Výdavky štátneho rozpočtu podľa funkčnej klasifikácie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12</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bCs/>
                <w:sz w:val="22"/>
                <w:szCs w:val="22"/>
              </w:rPr>
              <w:t xml:space="preserve">Výdavky štátneho rozpočtu podľa kapitol ŠR a zdrojov v roku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13</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Výdavky štátneho rozpočtu na vedu a techniku podľa kapitol ŠR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14</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spacing w:line="276" w:lineRule="auto"/>
              <w:jc w:val="both"/>
              <w:rPr>
                <w:rFonts w:ascii="Times New Roman" w:hAnsi="Times New Roman"/>
                <w:sz w:val="22"/>
                <w:szCs w:val="22"/>
              </w:rPr>
            </w:pPr>
            <w:r w:rsidRPr="006E50E2">
              <w:rPr>
                <w:rFonts w:ascii="Times New Roman" w:hAnsi="Times New Roman"/>
                <w:sz w:val="22"/>
                <w:szCs w:val="22"/>
              </w:rPr>
              <w:t xml:space="preserve">Výdavky štátneho rozpočtu na vedu a techniku podľa funkčnej klasifikácie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15</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Prehľad výdavkov štátneho rozpočtu na realizáciu programov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686"/>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16</w:t>
            </w:r>
          </w:p>
          <w:p w:rsidR="0053060C" w:rsidRPr="006E50E2" w:rsidP="0053060C">
            <w:pPr>
              <w:bidi w:val="0"/>
              <w:rPr>
                <w:rFonts w:ascii="Times New Roman" w:hAnsi="Times New Roman"/>
                <w:sz w:val="22"/>
                <w:szCs w:val="22"/>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53060C">
            <w:pPr>
              <w:bidi w:val="0"/>
              <w:spacing w:line="276" w:lineRule="auto"/>
              <w:jc w:val="both"/>
              <w:rPr>
                <w:rFonts w:ascii="Times New Roman" w:hAnsi="Times New Roman"/>
                <w:sz w:val="22"/>
                <w:szCs w:val="22"/>
              </w:rPr>
            </w:pPr>
            <w:r w:rsidRPr="006E50E2">
              <w:rPr>
                <w:rFonts w:ascii="Times New Roman" w:hAnsi="Times New Roman"/>
                <w:sz w:val="22"/>
                <w:szCs w:val="22"/>
              </w:rPr>
              <w:t>Prehľad príjmov a výdavkov z rozpočtu Európskej únie zaradených do príjmov a výdavkov štátneho rozpočtu podľa kapitol ŠR</w:t>
            </w:r>
          </w:p>
        </w:tc>
      </w:tr>
      <w:tr>
        <w:tblPrEx>
          <w:tblW w:w="10065" w:type="dxa"/>
          <w:jc w:val="center"/>
          <w:tblLayout w:type="fixed"/>
          <w:tblLook w:val="01E0"/>
        </w:tblPrEx>
        <w:trPr>
          <w:trHeight w:val="724"/>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17</w:t>
            </w:r>
          </w:p>
          <w:p w:rsidR="0053060C" w:rsidRPr="006E50E2" w:rsidP="0053060C">
            <w:pPr>
              <w:bidi w:val="0"/>
              <w:rPr>
                <w:rFonts w:ascii="Times New Roman" w:hAnsi="Times New Roman"/>
                <w:sz w:val="22"/>
                <w:szCs w:val="22"/>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53060C">
            <w:pPr>
              <w:bidi w:val="0"/>
              <w:spacing w:line="276" w:lineRule="auto"/>
              <w:jc w:val="both"/>
              <w:rPr>
                <w:rFonts w:ascii="Times New Roman" w:hAnsi="Times New Roman"/>
                <w:sz w:val="22"/>
                <w:szCs w:val="22"/>
              </w:rPr>
            </w:pPr>
            <w:r w:rsidRPr="006E50E2">
              <w:rPr>
                <w:rFonts w:ascii="Times New Roman" w:hAnsi="Times New Roman"/>
                <w:sz w:val="22"/>
                <w:szCs w:val="22"/>
              </w:rPr>
              <w:t>Prostriedky štátneho rozpočtu na financovanie spoločných programov Slovenskej republiky a EÚ podľa kapitol ŠR</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tabs>
                <w:tab w:val="left" w:pos="1310"/>
              </w:tabs>
              <w:bidi w:val="0"/>
              <w:ind w:right="34"/>
              <w:rPr>
                <w:rFonts w:ascii="Times New Roman" w:hAnsi="Times New Roman"/>
                <w:sz w:val="22"/>
                <w:szCs w:val="22"/>
              </w:rPr>
            </w:pPr>
            <w:r w:rsidRPr="006E50E2">
              <w:rPr>
                <w:rFonts w:ascii="Times New Roman" w:hAnsi="Times New Roman"/>
                <w:sz w:val="22"/>
                <w:szCs w:val="22"/>
              </w:rPr>
              <w:t>Tab. 18</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Prehľad vzťahu jednotlivých kapitol ŠR k štátnemu rozpočtu za rok </w:t>
            </w:r>
            <w:r w:rsidRPr="006E50E2" w:rsidR="0043067B">
              <w:rPr>
                <w:rFonts w:ascii="Times New Roman" w:hAnsi="Times New Roman"/>
                <w:sz w:val="22"/>
                <w:szCs w:val="22"/>
              </w:rPr>
              <w:t>201</w:t>
            </w:r>
            <w:r w:rsidR="00C9491F">
              <w:rPr>
                <w:rFonts w:ascii="Times New Roman" w:hAnsi="Times New Roman"/>
                <w:sz w:val="22"/>
                <w:szCs w:val="22"/>
              </w:rPr>
              <w:t>5</w:t>
            </w:r>
            <w:r w:rsidRPr="006E50E2">
              <w:rPr>
                <w:rFonts w:ascii="Times New Roman" w:hAnsi="Times New Roman"/>
                <w:sz w:val="22"/>
                <w:szCs w:val="22"/>
              </w:rPr>
              <w:t xml:space="preserve"> </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19</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B53EA0">
            <w:pPr>
              <w:bidi w:val="0"/>
              <w:jc w:val="both"/>
              <w:rPr>
                <w:rFonts w:ascii="Times New Roman" w:hAnsi="Times New Roman"/>
                <w:sz w:val="22"/>
                <w:szCs w:val="22"/>
              </w:rPr>
            </w:pPr>
            <w:r w:rsidRPr="006E50E2">
              <w:rPr>
                <w:rFonts w:ascii="Times New Roman" w:hAnsi="Times New Roman"/>
                <w:sz w:val="22"/>
                <w:szCs w:val="22"/>
              </w:rPr>
              <w:t>Vývoj príjmov a výdavkov štátneho rozpočtu v rokoch 201</w:t>
            </w:r>
            <w:r w:rsidR="00B53EA0">
              <w:rPr>
                <w:rFonts w:ascii="Times New Roman" w:hAnsi="Times New Roman"/>
                <w:sz w:val="22"/>
                <w:szCs w:val="22"/>
              </w:rPr>
              <w:t>4</w:t>
            </w:r>
            <w:r w:rsidRPr="006E50E2">
              <w:rPr>
                <w:rFonts w:ascii="Times New Roman" w:hAnsi="Times New Roman"/>
                <w:sz w:val="22"/>
                <w:szCs w:val="22"/>
              </w:rPr>
              <w:t xml:space="preserve"> a 201</w:t>
            </w:r>
            <w:r w:rsidR="00B53EA0">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20</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Záväzné limity dotácií zo ŠR obciam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6B2503">
            <w:pPr>
              <w:bidi w:val="0"/>
              <w:rPr>
                <w:rFonts w:ascii="Times New Roman" w:hAnsi="Times New Roman"/>
                <w:sz w:val="22"/>
                <w:szCs w:val="22"/>
              </w:rPr>
            </w:pPr>
            <w:r w:rsidRPr="006E50E2">
              <w:rPr>
                <w:rFonts w:ascii="Times New Roman" w:hAnsi="Times New Roman"/>
                <w:sz w:val="22"/>
                <w:szCs w:val="22"/>
              </w:rPr>
              <w:t>Tab. 21</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Záväzné limity dotácií zo ŠR vyšším územným celkom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845"/>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22</w:t>
            </w:r>
          </w:p>
          <w:p w:rsidR="0053060C" w:rsidRPr="006E50E2" w:rsidP="0053060C">
            <w:pPr>
              <w:bidi w:val="0"/>
              <w:rPr>
                <w:rFonts w:ascii="Times New Roman" w:hAnsi="Times New Roman"/>
                <w:sz w:val="22"/>
                <w:szCs w:val="22"/>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spacing w:line="276" w:lineRule="auto"/>
              <w:jc w:val="both"/>
              <w:rPr>
                <w:rFonts w:ascii="Times New Roman" w:hAnsi="Times New Roman"/>
                <w:sz w:val="22"/>
                <w:szCs w:val="22"/>
              </w:rPr>
            </w:pPr>
            <w:r w:rsidRPr="006E50E2">
              <w:rPr>
                <w:rFonts w:ascii="Times New Roman" w:hAnsi="Times New Roman"/>
                <w:sz w:val="22"/>
                <w:szCs w:val="22"/>
              </w:rPr>
              <w:t xml:space="preserve">Prehľad o plnení limitu počtu zamestnancov, miezd, platov, služobných príjmov a ostatných osobných vyrovnaní v kapitolách ŠR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23</w:t>
            </w:r>
          </w:p>
          <w:p w:rsidR="0053060C" w:rsidRPr="006E50E2" w:rsidP="0053060C">
            <w:pPr>
              <w:bidi w:val="0"/>
              <w:rPr>
                <w:rFonts w:ascii="Times New Roman" w:hAnsi="Times New Roman"/>
                <w:sz w:val="22"/>
                <w:szCs w:val="22"/>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spacing w:line="276" w:lineRule="auto"/>
              <w:jc w:val="both"/>
              <w:rPr>
                <w:rFonts w:ascii="Times New Roman" w:hAnsi="Times New Roman"/>
                <w:sz w:val="22"/>
                <w:szCs w:val="22"/>
              </w:rPr>
            </w:pPr>
            <w:r w:rsidRPr="006E50E2">
              <w:rPr>
                <w:rFonts w:ascii="Times New Roman" w:hAnsi="Times New Roman"/>
                <w:sz w:val="22"/>
                <w:szCs w:val="22"/>
              </w:rPr>
              <w:t xml:space="preserve">Prehľad o čerpaní miezd, platov, služobných príjmov a ostatných osobných vyrovnaní v kapitolách ŠR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24</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Systemizácia colníkov v štátnej službe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25</w:t>
            </w:r>
          </w:p>
          <w:p w:rsidR="0053060C" w:rsidRPr="006E50E2" w:rsidP="0053060C">
            <w:pPr>
              <w:bidi w:val="0"/>
              <w:rPr>
                <w:rFonts w:ascii="Times New Roman" w:hAnsi="Times New Roman"/>
                <w:sz w:val="22"/>
                <w:szCs w:val="22"/>
              </w:rPr>
            </w:pP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spacing w:line="276" w:lineRule="auto"/>
              <w:jc w:val="both"/>
              <w:rPr>
                <w:rFonts w:ascii="Times New Roman" w:hAnsi="Times New Roman"/>
                <w:sz w:val="22"/>
                <w:szCs w:val="22"/>
              </w:rPr>
            </w:pPr>
            <w:r w:rsidRPr="006E50E2">
              <w:rPr>
                <w:rFonts w:ascii="Times New Roman" w:hAnsi="Times New Roman"/>
                <w:color w:val="000000"/>
                <w:sz w:val="22"/>
                <w:szCs w:val="22"/>
              </w:rPr>
              <w:t xml:space="preserve">Systemizácia príslušníkov Hasičského záchranného zboru a príslušníkov Hasičskej záchrannej služby v štátnej službe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26</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Systemizácia policajtov v štátnej službe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trHeight w:val="39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27</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Príjmy štátnych príspevkových organizácií podľa kategórií a kapitol ŠR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cantSplit/>
          <w:trHeight w:val="437"/>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28</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Výdavky štátnych príspevkových organizácií podľa kategórií a kapitol ŠR za rok </w:t>
            </w:r>
            <w:r w:rsidRPr="006E50E2" w:rsidR="0043067B">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cantSplit/>
          <w:trHeight w:val="413"/>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29</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C9491F">
            <w:pPr>
              <w:bidi w:val="0"/>
              <w:jc w:val="both"/>
              <w:rPr>
                <w:rFonts w:ascii="Times New Roman" w:hAnsi="Times New Roman"/>
                <w:sz w:val="22"/>
                <w:szCs w:val="22"/>
              </w:rPr>
            </w:pPr>
            <w:r w:rsidRPr="006E50E2">
              <w:rPr>
                <w:rFonts w:ascii="Times New Roman" w:hAnsi="Times New Roman"/>
                <w:sz w:val="22"/>
                <w:szCs w:val="22"/>
              </w:rPr>
              <w:t xml:space="preserve">Výdavky štátnych príspevkových organizácií podľa funkčnej klasifikácie za rok </w:t>
            </w:r>
            <w:r w:rsidRPr="006E50E2" w:rsidR="000A4266">
              <w:rPr>
                <w:rFonts w:ascii="Times New Roman" w:hAnsi="Times New Roman"/>
                <w:sz w:val="22"/>
                <w:szCs w:val="22"/>
              </w:rPr>
              <w:t>201</w:t>
            </w:r>
            <w:r w:rsidR="00C9491F">
              <w:rPr>
                <w:rFonts w:ascii="Times New Roman" w:hAnsi="Times New Roman"/>
                <w:sz w:val="22"/>
                <w:szCs w:val="22"/>
              </w:rPr>
              <w:t>5</w:t>
            </w:r>
          </w:p>
        </w:tc>
      </w:tr>
      <w:tr>
        <w:tblPrEx>
          <w:tblW w:w="10065" w:type="dxa"/>
          <w:jc w:val="center"/>
          <w:tblLayout w:type="fixed"/>
          <w:tblLook w:val="01E0"/>
        </w:tblPrEx>
        <w:trPr>
          <w:cantSplit/>
          <w:trHeight w:val="433"/>
          <w:jc w:val="center"/>
        </w:trPr>
        <w:tc>
          <w:tcPr>
            <w:tcW w:w="1081" w:type="dxa"/>
            <w:tcBorders>
              <w:top w:val="none" w:sz="0" w:space="0" w:color="auto"/>
              <w:left w:val="none" w:sz="0" w:space="0" w:color="auto"/>
              <w:bottom w:val="none" w:sz="0" w:space="0" w:color="auto"/>
              <w:right w:val="none" w:sz="0" w:space="0" w:color="auto"/>
            </w:tcBorders>
            <w:tcMar>
              <w:left w:w="57" w:type="dxa"/>
              <w:right w:w="57" w:type="dxa"/>
            </w:tcMar>
            <w:textDirection w:val="lrTb"/>
            <w:vAlign w:val="center"/>
          </w:tcPr>
          <w:p w:rsidR="0053060C" w:rsidRPr="006E50E2" w:rsidP="0053060C">
            <w:pPr>
              <w:bidi w:val="0"/>
              <w:rPr>
                <w:rFonts w:ascii="Times New Roman" w:hAnsi="Times New Roman"/>
                <w:sz w:val="22"/>
                <w:szCs w:val="22"/>
              </w:rPr>
            </w:pPr>
            <w:r w:rsidRPr="006E50E2">
              <w:rPr>
                <w:rFonts w:ascii="Times New Roman" w:hAnsi="Times New Roman"/>
                <w:sz w:val="22"/>
                <w:szCs w:val="22"/>
              </w:rPr>
              <w:t>Tab. 30</w:t>
            </w:r>
          </w:p>
        </w:tc>
        <w:tc>
          <w:tcPr>
            <w:tcW w:w="8984" w:type="dxa"/>
            <w:tcBorders>
              <w:top w:val="none" w:sz="0" w:space="0" w:color="auto"/>
              <w:left w:val="none" w:sz="0" w:space="0" w:color="auto"/>
              <w:bottom w:val="none" w:sz="0" w:space="0" w:color="auto"/>
              <w:right w:val="none" w:sz="0" w:space="0" w:color="auto"/>
            </w:tcBorders>
            <w:textDirection w:val="lrTb"/>
            <w:vAlign w:val="center"/>
          </w:tcPr>
          <w:p w:rsidR="0053060C" w:rsidRPr="006E50E2" w:rsidP="00FA1D5C">
            <w:pPr>
              <w:bidi w:val="0"/>
              <w:spacing w:line="276" w:lineRule="auto"/>
              <w:jc w:val="both"/>
              <w:rPr>
                <w:rFonts w:ascii="Times New Roman" w:hAnsi="Times New Roman"/>
                <w:sz w:val="22"/>
                <w:szCs w:val="22"/>
              </w:rPr>
            </w:pPr>
            <w:r w:rsidRPr="006E50E2">
              <w:rPr>
                <w:rFonts w:ascii="Times New Roman" w:hAnsi="Times New Roman"/>
                <w:sz w:val="22"/>
                <w:szCs w:val="22"/>
              </w:rPr>
              <w:t xml:space="preserve">Finančné operácie štátnych príspevkových organizácií za rok </w:t>
            </w:r>
            <w:r w:rsidRPr="006E50E2" w:rsidR="0043067B">
              <w:rPr>
                <w:rFonts w:ascii="Times New Roman" w:hAnsi="Times New Roman"/>
                <w:sz w:val="22"/>
                <w:szCs w:val="22"/>
              </w:rPr>
              <w:t>201</w:t>
            </w:r>
            <w:r w:rsidR="00C9491F">
              <w:rPr>
                <w:rFonts w:ascii="Times New Roman" w:hAnsi="Times New Roman"/>
                <w:sz w:val="22"/>
                <w:szCs w:val="22"/>
              </w:rPr>
              <w:t>5</w:t>
            </w:r>
          </w:p>
        </w:tc>
      </w:tr>
    </w:tbl>
    <w:p w:rsidR="0053060C" w:rsidRPr="006E50E2" w:rsidP="00230016">
      <w:pPr>
        <w:bidi w:val="0"/>
        <w:spacing w:line="360" w:lineRule="auto"/>
        <w:jc w:val="both"/>
        <w:rPr>
          <w:rFonts w:ascii="Times New Roman" w:hAnsi="Times New Roman"/>
          <w:sz w:val="22"/>
          <w:szCs w:val="22"/>
        </w:rPr>
      </w:pPr>
    </w:p>
    <w:sectPr w:rsidSect="00B53EA0">
      <w:footerReference w:type="first" r:id="rId13"/>
      <w:pgSz w:w="11907" w:h="16840" w:code="9"/>
      <w:pgMar w:top="1134" w:right="1701" w:bottom="1134" w:left="284" w:header="709" w:footer="709" w:gutter="1134"/>
      <w:lnNumType w:distance="0"/>
      <w:pgNumType w:start="2"/>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NeueHaasGroteskText W02">
    <w:altName w:val="Arial"/>
    <w:panose1 w:val="00000000000000000000"/>
    <w:charset w:val="EE"/>
    <w:family w:val="swiss"/>
    <w:pitch w:val="variable"/>
    <w:sig w:usb0="00000000" w:usb1="00000000" w:usb2="00000000" w:usb3="00000000" w:csb0="00000093" w:csb1="00000000"/>
  </w:font>
  <w:font w:name="Garamond">
    <w:panose1 w:val="02020404030301010803"/>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Dutch801 SWC">
    <w:altName w:val="Times New Roman"/>
    <w:panose1 w:val="00000000000000000000"/>
    <w:charset w:val="00"/>
    <w:family w:val="roman"/>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Arno Pro">
    <w:panose1 w:val="02020502040506020403"/>
    <w:charset w:val="EE"/>
    <w:family w:val="roman"/>
    <w:pitch w:val="variable"/>
    <w:sig w:usb0="00000000" w:usb1="00000000" w:usb2="00000000" w:usb3="00000000" w:csb0="0000019F" w:csb1="00000000"/>
  </w:font>
  <w:font w:name="HP Simplified">
    <w:panose1 w:val="020B0604020204020204"/>
    <w:charset w:val="EE"/>
    <w:family w:val="swiss"/>
    <w:pitch w:val="variable"/>
    <w:sig w:usb0="00000000" w:usb1="00000000" w:usb2="00000000" w:usb3="00000000" w:csb0="00000093" w:csb1="00000000"/>
  </w:font>
  <w:font w:name="HP Simplified Light">
    <w:panose1 w:val="020B0404020204020204"/>
    <w:charset w:val="EE"/>
    <w:family w:val="swiss"/>
    <w:pitch w:val="variable"/>
    <w:sig w:usb0="00000000"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83" w:rsidRPr="007A49CA">
    <w:pPr>
      <w:pStyle w:val="Footer"/>
      <w:bidi w:val="0"/>
      <w:jc w:val="center"/>
      <w:rPr>
        <w:rFonts w:ascii="Times New Roman" w:hAnsi="Times New Roman"/>
        <w:sz w:val="22"/>
        <w:szCs w:val="22"/>
      </w:rPr>
    </w:pPr>
    <w:r w:rsidRPr="007A49CA">
      <w:rPr>
        <w:rFonts w:ascii="Times New Roman" w:hAnsi="Times New Roman"/>
        <w:sz w:val="22"/>
        <w:szCs w:val="22"/>
      </w:rPr>
      <w:fldChar w:fldCharType="begin"/>
    </w:r>
    <w:r w:rsidRPr="007A49CA">
      <w:rPr>
        <w:rFonts w:ascii="Times New Roman" w:hAnsi="Times New Roman"/>
        <w:sz w:val="22"/>
        <w:szCs w:val="22"/>
      </w:rPr>
      <w:instrText>PAGE   \* MERGEFORMAT</w:instrText>
    </w:r>
    <w:r w:rsidRPr="007A49CA">
      <w:rPr>
        <w:rFonts w:ascii="Times New Roman" w:hAnsi="Times New Roman"/>
        <w:sz w:val="22"/>
        <w:szCs w:val="22"/>
      </w:rPr>
      <w:fldChar w:fldCharType="separate"/>
    </w:r>
    <w:r w:rsidRPr="00F74CD9" w:rsidR="00F74CD9">
      <w:rPr>
        <w:rFonts w:ascii="Times New Roman" w:hAnsi="Times New Roman"/>
        <w:noProof/>
        <w:sz w:val="22"/>
        <w:szCs w:val="22"/>
        <w:lang w:val="sk-SK"/>
      </w:rPr>
      <w:t>1</w:t>
    </w:r>
    <w:r w:rsidRPr="007A49CA">
      <w:rPr>
        <w:rFonts w:ascii="Times New Roman" w:hAnsi="Times New Roman"/>
        <w:sz w:val="22"/>
        <w:szCs w:val="22"/>
      </w:rPr>
      <w:fldChar w:fldCharType="end"/>
    </w:r>
  </w:p>
  <w:p w:rsidR="00065283" w:rsidP="007B03E8">
    <w:pPr>
      <w:pStyle w:val="Footer"/>
      <w:bidi w:val="0"/>
      <w:jc w:val="cen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8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0D46C5">
      <w:rPr>
        <w:rFonts w:ascii="Times New Roman" w:hAnsi="Times New Roman"/>
        <w:noProof/>
        <w:lang w:val="sk-SK"/>
      </w:rPr>
      <w:t>1</w:t>
    </w:r>
    <w:r>
      <w:rPr>
        <w:rFonts w:ascii="Times New Roman" w:hAnsi="Times New Roman"/>
      </w:rPr>
      <w:fldChar w:fldCharType="end"/>
    </w:r>
  </w:p>
  <w:p w:rsidR="00065283">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28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F74CD9" w:rsidR="00F74CD9">
      <w:rPr>
        <w:rFonts w:ascii="Times New Roman" w:hAnsi="Times New Roman"/>
        <w:noProof/>
        <w:lang w:val="sk-SK"/>
      </w:rPr>
      <w:t>2</w:t>
    </w:r>
    <w:r>
      <w:rPr>
        <w:rFonts w:ascii="Times New Roman" w:hAnsi="Times New Roman"/>
      </w:rPr>
      <w:fldChar w:fldCharType="end"/>
    </w:r>
  </w:p>
  <w:p w:rsidR="00065283" w:rsidP="00957394">
    <w:pPr>
      <w:bidi w:val="0"/>
      <w:rPr>
        <w:rFonts w:ascii="Times New Roman" w:hAnsi="Times New Roman"/>
      </w:rPr>
    </w:pPr>
  </w:p>
  <w:p w:rsidR="00065283" w:rsidP="00957394">
    <w:pP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36D" w:rsidP="00D559E8">
      <w:pPr>
        <w:bidi w:val="0"/>
        <w:rPr>
          <w:rFonts w:ascii="Times New Roman" w:hAnsi="Times New Roman"/>
        </w:rPr>
      </w:pPr>
      <w:r>
        <w:rPr>
          <w:rFonts w:ascii="Times New Roman" w:hAnsi="Times New Roman"/>
        </w:rPr>
        <w:separator/>
      </w:r>
    </w:p>
  </w:footnote>
  <w:footnote w:type="continuationSeparator" w:id="1">
    <w:p w:rsidR="00FD736D" w:rsidP="00D559E8">
      <w:pPr>
        <w:bidi w:val="0"/>
        <w:rPr>
          <w:rFonts w:ascii="Times New Roman" w:hAnsi="Times New Roman"/>
        </w:rPr>
      </w:pPr>
      <w:r>
        <w:rPr>
          <w:rFonts w:ascii="Times New Roman" w:hAnsi="Times New Roman"/>
        </w:rPr>
        <w:continuationSeparator/>
      </w:r>
    </w:p>
    <w:p w:rsidR="00FD736D">
      <w:pPr>
        <w:bidi w:val="0"/>
        <w:rPr>
          <w:rFonts w:ascii="Times New Roman" w:hAnsi="Times New Roman"/>
        </w:rPr>
      </w:pPr>
    </w:p>
    <w:p w:rsidR="00FD736D">
      <w:pPr>
        <w:bidi w:val="0"/>
        <w:rPr>
          <w:rFonts w:ascii="Times New Roman" w:hAnsi="Times New Roman"/>
        </w:rPr>
      </w:pPr>
    </w:p>
    <w:p w:rsidR="00FD736D" w:rsidP="00957394">
      <w:pPr>
        <w:bidi w:val="0"/>
        <w:rPr>
          <w:rFonts w:ascii="Times New Roman" w:hAnsi="Times New Roman"/>
        </w:rPr>
      </w:pPr>
    </w:p>
    <w:p w:rsidR="00FD736D">
      <w:pPr>
        <w:bidi w:val="0"/>
        <w:rPr>
          <w:rFonts w:ascii="Times New Roman" w:hAnsi="Times New Roman"/>
        </w:rPr>
      </w:pPr>
    </w:p>
  </w:footnote>
  <w:footnote w:id="2">
    <w:p w:rsidP="008B7DEB">
      <w:pPr>
        <w:pStyle w:val="FootnoteText"/>
        <w:bidi w:val="0"/>
        <w:jc w:val="both"/>
        <w:rPr>
          <w:rFonts w:ascii="Times New Roman" w:hAnsi="Times New Roman"/>
        </w:rPr>
      </w:pPr>
      <w:r w:rsidRPr="008B7DEB" w:rsidR="00065283">
        <w:rPr>
          <w:rStyle w:val="FootnoteReference"/>
          <w:rFonts w:ascii="Times New Roman" w:hAnsi="Times New Roman"/>
          <w:sz w:val="18"/>
          <w:szCs w:val="18"/>
        </w:rPr>
        <w:footnoteRef/>
      </w:r>
      <w:r w:rsidRPr="008B7DEB" w:rsidR="00065283">
        <w:rPr>
          <w:rFonts w:ascii="Times New Roman" w:hAnsi="Times New Roman"/>
          <w:sz w:val="18"/>
          <w:szCs w:val="18"/>
        </w:rPr>
        <w:t xml:space="preserve"> </w:t>
      </w:r>
      <w:r w:rsidRPr="008B7DEB" w:rsidR="00065283">
        <w:rPr>
          <w:rFonts w:ascii="Times New Roman" w:hAnsi="Times New Roman"/>
          <w:sz w:val="18"/>
          <w:szCs w:val="18"/>
          <w:lang w:val="sk-SK"/>
        </w:rPr>
        <w:t>Rozpočet verejnej správy (RVS)</w:t>
      </w:r>
      <w:r w:rsidRPr="008B7DEB" w:rsidR="00065283">
        <w:rPr>
          <w:rFonts w:ascii="Times New Roman" w:hAnsi="Times New Roman"/>
          <w:sz w:val="18"/>
          <w:szCs w:val="18"/>
        </w:rPr>
        <w:t xml:space="preserve"> na roky 2015 až 2017 nad rámec prognózy schválenej</w:t>
      </w:r>
      <w:r w:rsidRPr="008B7DEB" w:rsidR="00065283">
        <w:rPr>
          <w:rFonts w:ascii="Times New Roman" w:hAnsi="Times New Roman"/>
          <w:sz w:val="18"/>
          <w:szCs w:val="18"/>
          <w:lang w:val="sk-SK"/>
        </w:rPr>
        <w:t xml:space="preserve"> Výborom pre daňové prognózy</w:t>
      </w:r>
      <w:r w:rsidRPr="008B7DEB" w:rsidR="00065283">
        <w:rPr>
          <w:rFonts w:ascii="Times New Roman" w:hAnsi="Times New Roman"/>
          <w:sz w:val="18"/>
          <w:szCs w:val="18"/>
        </w:rPr>
        <w:t xml:space="preserve"> </w:t>
      </w:r>
      <w:r w:rsidRPr="008B7DEB" w:rsidR="00065283">
        <w:rPr>
          <w:rFonts w:ascii="Times New Roman" w:hAnsi="Times New Roman"/>
          <w:sz w:val="18"/>
          <w:szCs w:val="18"/>
          <w:lang w:val="sk-SK"/>
        </w:rPr>
        <w:t>(</w:t>
      </w:r>
      <w:r w:rsidRPr="008B7DEB" w:rsidR="00065283">
        <w:rPr>
          <w:rFonts w:ascii="Times New Roman" w:hAnsi="Times New Roman"/>
          <w:sz w:val="18"/>
          <w:szCs w:val="18"/>
        </w:rPr>
        <w:t>VpDP</w:t>
      </w:r>
      <w:r w:rsidRPr="008B7DEB" w:rsidR="00065283">
        <w:rPr>
          <w:rFonts w:ascii="Times New Roman" w:hAnsi="Times New Roman"/>
          <w:sz w:val="18"/>
          <w:szCs w:val="18"/>
          <w:lang w:val="sk-SK"/>
        </w:rPr>
        <w:t>)</w:t>
      </w:r>
      <w:r w:rsidRPr="008B7DEB" w:rsidR="00065283">
        <w:rPr>
          <w:rFonts w:ascii="Times New Roman" w:hAnsi="Times New Roman"/>
          <w:sz w:val="18"/>
          <w:szCs w:val="18"/>
        </w:rPr>
        <w:t xml:space="preserve"> uvažoval so zvýšením úspešnosti výberu daní v roku 2015 o 300 mil. eur. Konk</w:t>
      </w:r>
      <w:r w:rsidR="00065283">
        <w:rPr>
          <w:rFonts w:ascii="Times New Roman" w:hAnsi="Times New Roman"/>
          <w:sz w:val="18"/>
          <w:szCs w:val="18"/>
        </w:rPr>
        <w:t>rétne 150 mil. eur na DPPO, 100</w:t>
      </w:r>
      <w:r w:rsidR="00065283">
        <w:rPr>
          <w:rFonts w:ascii="Times New Roman" w:hAnsi="Times New Roman"/>
          <w:sz w:val="18"/>
          <w:szCs w:val="18"/>
          <w:lang w:val="sk-SK"/>
        </w:rPr>
        <w:t> </w:t>
      </w:r>
      <w:r w:rsidRPr="008B7DEB" w:rsidR="00065283">
        <w:rPr>
          <w:rFonts w:ascii="Times New Roman" w:hAnsi="Times New Roman"/>
          <w:sz w:val="18"/>
          <w:szCs w:val="18"/>
        </w:rPr>
        <w:t>mil. eur na DPH a 50 mil. eur na spotrebných daniach.</w:t>
      </w:r>
    </w:p>
  </w:footnote>
  <w:footnote w:id="3">
    <w:p w:rsidP="00712106">
      <w:pPr>
        <w:pStyle w:val="FootnoteText"/>
        <w:bidi w:val="0"/>
        <w:jc w:val="both"/>
        <w:rPr>
          <w:rFonts w:ascii="Times New Roman" w:hAnsi="Times New Roman"/>
        </w:rPr>
      </w:pPr>
      <w:r w:rsidR="00065283">
        <w:rPr>
          <w:rStyle w:val="FootnoteReference"/>
          <w:rFonts w:ascii="Times New Roman" w:hAnsi="Times New Roman"/>
        </w:rPr>
        <w:footnoteRef/>
      </w:r>
      <w:r w:rsidR="00065283">
        <w:rPr>
          <w:rFonts w:ascii="Times New Roman" w:hAnsi="Times New Roman"/>
        </w:rPr>
        <w:t xml:space="preserve"> </w:t>
      </w:r>
      <w:r w:rsidRPr="00712106" w:rsidR="00065283">
        <w:rPr>
          <w:rFonts w:ascii="Times New Roman" w:hAnsi="Times New Roman"/>
          <w:sz w:val="18"/>
          <w:szCs w:val="18"/>
          <w:lang w:val="sk-SK"/>
        </w:rPr>
        <w:t>Inovatívny finančný nástroj JESSICA sa zakladá na využití návratných a foriem financovania a je v rámci Regionálneho operačného programu a Operačného programu Bratislavský kraj nasmerovaný najmä na zlepšenie infraštruktúry bývania, energetickej efektívnosti a komplexnej obnovy existujúcich bytových domov v mestských oblastiach.</w:t>
      </w:r>
    </w:p>
  </w:footnote>
  <w:footnote w:id="4">
    <w:p w:rsidP="002E5018">
      <w:pPr>
        <w:pStyle w:val="FootnoteText"/>
        <w:bidi w:val="0"/>
        <w:rPr>
          <w:rFonts w:ascii="Times New Roman" w:hAnsi="Times New Roman"/>
        </w:rPr>
      </w:pPr>
      <w:r w:rsidRPr="00EF7A18" w:rsidR="00065283">
        <w:rPr>
          <w:rStyle w:val="FootnoteReference"/>
          <w:rFonts w:ascii="Times New Roman" w:hAnsi="Times New Roman"/>
          <w:sz w:val="16"/>
          <w:szCs w:val="16"/>
        </w:rPr>
        <w:footnoteRef/>
      </w:r>
      <w:r w:rsidRPr="00EF7A18" w:rsidR="00065283">
        <w:rPr>
          <w:rFonts w:ascii="Times New Roman" w:hAnsi="Times New Roman"/>
          <w:sz w:val="16"/>
          <w:szCs w:val="16"/>
        </w:rPr>
        <w:t xml:space="preserve"> § 13 zákona č. 523/2004 Z. z. o rozpočtových pravidlách verejnej správy a o zmene a doplnení niektorých zákonov.</w:t>
      </w:r>
    </w:p>
  </w:footnote>
  <w:footnote w:id="5">
    <w:p w:rsidP="002E5018">
      <w:pPr>
        <w:pStyle w:val="FootnoteText"/>
        <w:bidi w:val="0"/>
        <w:rPr>
          <w:rFonts w:ascii="Times New Roman" w:hAnsi="Times New Roman"/>
        </w:rPr>
      </w:pPr>
      <w:r w:rsidRPr="00EF7A18" w:rsidR="00065283">
        <w:rPr>
          <w:rStyle w:val="FootnoteReference"/>
          <w:rFonts w:ascii="Times New Roman" w:hAnsi="Times New Roman"/>
          <w:sz w:val="16"/>
          <w:szCs w:val="16"/>
        </w:rPr>
        <w:footnoteRef/>
      </w:r>
      <w:r w:rsidRPr="00EF7A18" w:rsidR="00065283">
        <w:rPr>
          <w:rFonts w:ascii="Times New Roman" w:hAnsi="Times New Roman"/>
          <w:sz w:val="16"/>
          <w:szCs w:val="16"/>
        </w:rPr>
        <w:t xml:space="preserve"> Zákon č. 384/2011 Z. z. o osobitnom odvode vybraných finančných inštitúcií a o doplnení niektorých zákonov.</w:t>
      </w:r>
    </w:p>
  </w:footnote>
  <w:footnote w:id="6">
    <w:p w:rsidP="002E5018">
      <w:pPr>
        <w:pStyle w:val="FootnoteText"/>
        <w:bidi w:val="0"/>
        <w:rPr>
          <w:rFonts w:ascii="Times New Roman" w:hAnsi="Times New Roman"/>
        </w:rPr>
      </w:pPr>
      <w:r w:rsidRPr="00EF7A18" w:rsidR="00065283">
        <w:rPr>
          <w:rStyle w:val="FootnoteReference"/>
          <w:rFonts w:ascii="Times New Roman" w:hAnsi="Times New Roman"/>
          <w:sz w:val="16"/>
          <w:szCs w:val="16"/>
        </w:rPr>
        <w:footnoteRef/>
      </w:r>
      <w:r w:rsidRPr="00EF7A18" w:rsidR="00065283">
        <w:rPr>
          <w:rFonts w:ascii="Times New Roman" w:hAnsi="Times New Roman"/>
          <w:sz w:val="16"/>
          <w:szCs w:val="16"/>
        </w:rPr>
        <w:t xml:space="preserve"> Zákon č. 235/2012 Z. z. o osobitnom odvode z podnikania v regulovaných odvetviach a o zmene a doplnení niektorých zákonov.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6267"/>
    <w:multiLevelType w:val="hybridMultilevel"/>
    <w:tmpl w:val="0E0899C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EA69D7"/>
    <w:multiLevelType w:val="hybridMultilevel"/>
    <w:tmpl w:val="B8D8CE84"/>
    <w:lvl w:ilvl="0">
      <w:start w:val="1"/>
      <w:numFmt w:val="bullet"/>
      <w:lvlText w:val=""/>
      <w:lvlJc w:val="left"/>
      <w:pPr>
        <w:ind w:left="501" w:hanging="360"/>
      </w:pPr>
      <w:rPr>
        <w:rFonts w:ascii="Wingdings" w:hAnsi="Wingdings"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
    <w:nsid w:val="0CDD230A"/>
    <w:multiLevelType w:val="hybridMultilevel"/>
    <w:tmpl w:val="1D0EE32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926049F"/>
    <w:multiLevelType w:val="hybridMultilevel"/>
    <w:tmpl w:val="EB965C88"/>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12D6907"/>
    <w:multiLevelType w:val="hybridMultilevel"/>
    <w:tmpl w:val="E4B6CE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2C91EE4"/>
    <w:multiLevelType w:val="hybridMultilevel"/>
    <w:tmpl w:val="8FEE275A"/>
    <w:lvl w:ilvl="0">
      <w:start w:val="1"/>
      <w:numFmt w:val="bullet"/>
      <w:lvlText w:val=""/>
      <w:lvlJc w:val="left"/>
      <w:pPr>
        <w:tabs>
          <w:tab w:val="num" w:pos="945"/>
        </w:tabs>
        <w:ind w:left="945" w:hanging="360"/>
      </w:pPr>
      <w:rPr>
        <w:rFonts w:ascii="Symbol" w:hAnsi="Symbol" w:hint="default"/>
      </w:rPr>
    </w:lvl>
    <w:lvl w:ilvl="1">
      <w:start w:val="1"/>
      <w:numFmt w:val="bullet"/>
      <w:lvlText w:val=""/>
      <w:lvlJc w:val="left"/>
      <w:pPr>
        <w:tabs>
          <w:tab w:val="num" w:pos="945"/>
        </w:tabs>
        <w:ind w:left="945" w:hanging="360"/>
      </w:pPr>
      <w:rPr>
        <w:rFonts w:ascii="Wingdings" w:hAnsi="Wingdings" w:hint="default"/>
      </w:rPr>
    </w:lvl>
    <w:lvl w:ilvl="2">
      <w:start w:val="4"/>
      <w:numFmt w:val="bullet"/>
      <w:lvlText w:val="-"/>
      <w:lvlJc w:val="left"/>
      <w:pPr>
        <w:tabs>
          <w:tab w:val="num" w:pos="2160"/>
        </w:tabs>
        <w:ind w:left="2160" w:hanging="360"/>
      </w:pPr>
      <w:rPr>
        <w:rFonts w:ascii="Times New Roman" w:eastAsia="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47F4D27"/>
    <w:multiLevelType w:val="hybridMultilevel"/>
    <w:tmpl w:val="CC42B75A"/>
    <w:lvl w:ilvl="0">
      <w:start w:val="16"/>
      <w:numFmt w:val="bullet"/>
      <w:lvlText w:val="-"/>
      <w:lvlJc w:val="left"/>
      <w:pPr>
        <w:ind w:left="720" w:hanging="360"/>
      </w:pPr>
      <w:rPr>
        <w:rFonts w:ascii="Arial Narrow" w:eastAsia="Calibri"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B3956F4"/>
    <w:multiLevelType w:val="hybridMultilevel"/>
    <w:tmpl w:val="524A3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B836C54"/>
    <w:multiLevelType w:val="multilevel"/>
    <w:tmpl w:val="E3E43770"/>
    <w:lvl w:ilvl="0">
      <w:start w:val="2"/>
      <w:numFmt w:val="decimal"/>
      <w:lvlText w:val="%1."/>
      <w:lvlJc w:val="left"/>
      <w:pPr>
        <w:ind w:left="720" w:hanging="360"/>
      </w:pPr>
      <w:rPr>
        <w:rFonts w:cs="Times New Roman" w:hint="default"/>
        <w:rtl w:val="0"/>
        <w:cs w:val="0"/>
      </w:rPr>
    </w:lvl>
    <w:lvl w:ilvl="1">
      <w:start w:val="1"/>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9">
    <w:nsid w:val="307D608E"/>
    <w:multiLevelType w:val="hybridMultilevel"/>
    <w:tmpl w:val="378C69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4247E20"/>
    <w:multiLevelType w:val="hybridMultilevel"/>
    <w:tmpl w:val="79E6DA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E1C671B"/>
    <w:multiLevelType w:val="hybridMultilevel"/>
    <w:tmpl w:val="66A08F30"/>
    <w:lvl w:ilvl="0">
      <w:start w:val="5"/>
      <w:numFmt w:val="bullet"/>
      <w:lvlText w:val="-"/>
      <w:lvlJc w:val="left"/>
      <w:pPr>
        <w:ind w:left="705" w:hanging="360"/>
      </w:pPr>
      <w:rPr>
        <w:rFonts w:ascii="Times New Roman" w:eastAsia="Times New Roman" w:hAnsi="Times New Roman" w:hint="default"/>
      </w:rPr>
    </w:lvl>
    <w:lvl w:ilvl="1">
      <w:start w:val="1"/>
      <w:numFmt w:val="bullet"/>
      <w:lvlText w:val="o"/>
      <w:lvlJc w:val="left"/>
      <w:pPr>
        <w:ind w:left="1425" w:hanging="360"/>
      </w:pPr>
      <w:rPr>
        <w:rFonts w:ascii="Courier New" w:hAnsi="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hint="default"/>
      </w:rPr>
    </w:lvl>
    <w:lvl w:ilvl="8">
      <w:start w:val="1"/>
      <w:numFmt w:val="bullet"/>
      <w:lvlText w:val=""/>
      <w:lvlJc w:val="left"/>
      <w:pPr>
        <w:ind w:left="6465" w:hanging="360"/>
      </w:pPr>
      <w:rPr>
        <w:rFonts w:ascii="Wingdings" w:hAnsi="Wingdings" w:hint="default"/>
      </w:rPr>
    </w:lvl>
  </w:abstractNum>
  <w:abstractNum w:abstractNumId="12">
    <w:nsid w:val="3E1E4BBE"/>
    <w:multiLevelType w:val="hybridMultilevel"/>
    <w:tmpl w:val="21CE4998"/>
    <w:lvl w:ilvl="0">
      <w:start w:val="1"/>
      <w:numFmt w:val="bullet"/>
      <w:lvlText w:val=""/>
      <w:lvlJc w:val="left"/>
      <w:pPr>
        <w:ind w:left="1287" w:hanging="360"/>
      </w:pPr>
      <w:rPr>
        <w:rFonts w:ascii="Symbol" w:hAnsi="Symbol" w:hint="default"/>
      </w:rPr>
    </w:lvl>
    <w:lvl w:ilvl="1">
      <w:start w:val="1"/>
      <w:numFmt w:val="bullet"/>
      <w:lvlText w:val=""/>
      <w:lvlJc w:val="left"/>
      <w:pPr>
        <w:ind w:left="1353"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2"/>
      <w:numFmt w:val="bullet"/>
      <w:lvlText w:val="-"/>
      <w:lvlJc w:val="left"/>
      <w:pPr>
        <w:ind w:left="3447" w:hanging="360"/>
      </w:pPr>
      <w:rPr>
        <w:rFonts w:ascii="Times New Roman" w:eastAsia="Times New Roman" w:hAnsi="Times New Roman"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3">
    <w:nsid w:val="3EA208B5"/>
    <w:multiLevelType w:val="hybridMultilevel"/>
    <w:tmpl w:val="16200E80"/>
    <w:lvl w:ilvl="0">
      <w:start w:val="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EA46160"/>
    <w:multiLevelType w:val="hybridMultilevel"/>
    <w:tmpl w:val="A894B8EC"/>
    <w:lvl w:ilvl="0">
      <w:start w:val="3"/>
      <w:numFmt w:val="bullet"/>
      <w:lvlText w:val="-"/>
      <w:lvlJc w:val="left"/>
      <w:pPr>
        <w:ind w:left="720" w:hanging="360"/>
      </w:pPr>
      <w:rPr>
        <w:rFonts w:ascii="Arial Narrow" w:eastAsia="Calibri"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15C241A"/>
    <w:multiLevelType w:val="hybridMultilevel"/>
    <w:tmpl w:val="513E27D8"/>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5BA22B5"/>
    <w:multiLevelType w:val="hybridMultilevel"/>
    <w:tmpl w:val="7A3602DC"/>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7">
    <w:nsid w:val="492317CF"/>
    <w:multiLevelType w:val="hybridMultilevel"/>
    <w:tmpl w:val="0FD83DE4"/>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9447095"/>
    <w:multiLevelType w:val="hybridMultilevel"/>
    <w:tmpl w:val="A07E7A22"/>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4BEA1F1A"/>
    <w:multiLevelType w:val="hybridMultilevel"/>
    <w:tmpl w:val="C2524D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C3A1A70"/>
    <w:multiLevelType w:val="hybridMultilevel"/>
    <w:tmpl w:val="DCA8DB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CE93960"/>
    <w:multiLevelType w:val="hybridMultilevel"/>
    <w:tmpl w:val="92CAB6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F471253"/>
    <w:multiLevelType w:val="multilevel"/>
    <w:tmpl w:val="359AC180"/>
    <w:lvl w:ilvl="0">
      <w:start w:val="1"/>
      <w:numFmt w:val="decimal"/>
      <w:lvlText w:val="%1."/>
      <w:lvlJc w:val="left"/>
      <w:pPr>
        <w:ind w:left="540" w:hanging="540"/>
      </w:pPr>
      <w:rPr>
        <w:rFonts w:cs="Times New Roman" w:hint="default"/>
        <w:rtl w:val="0"/>
        <w:cs w:val="0"/>
      </w:rPr>
    </w:lvl>
    <w:lvl w:ilvl="1">
      <w:start w:val="2"/>
      <w:numFmt w:val="decimal"/>
      <w:lvlText w:val="%1.%2."/>
      <w:lvlJc w:val="left"/>
      <w:pPr>
        <w:ind w:left="540" w:hanging="54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23">
    <w:nsid w:val="4F5C3D2C"/>
    <w:multiLevelType w:val="hybridMultilevel"/>
    <w:tmpl w:val="23D4F3EE"/>
    <w:lvl w:ilvl="0">
      <w:start w:val="1"/>
      <w:numFmt w:val="bullet"/>
      <w:lvlText w:val=""/>
      <w:lvlJc w:val="left"/>
      <w:pPr>
        <w:ind w:left="1305" w:hanging="360"/>
      </w:pPr>
      <w:rPr>
        <w:rFonts w:ascii="Wingdings" w:hAnsi="Wingdings" w:hint="default"/>
      </w:rPr>
    </w:lvl>
    <w:lvl w:ilvl="1">
      <w:start w:val="1"/>
      <w:numFmt w:val="bullet"/>
      <w:lvlText w:val="o"/>
      <w:lvlJc w:val="left"/>
      <w:pPr>
        <w:ind w:left="2025" w:hanging="360"/>
      </w:pPr>
      <w:rPr>
        <w:rFonts w:ascii="Courier New" w:hAnsi="Courier New" w:hint="default"/>
      </w:rPr>
    </w:lvl>
    <w:lvl w:ilvl="2">
      <w:start w:val="1"/>
      <w:numFmt w:val="bullet"/>
      <w:lvlText w:val=""/>
      <w:lvlJc w:val="left"/>
      <w:pPr>
        <w:ind w:left="2745" w:hanging="360"/>
      </w:pPr>
      <w:rPr>
        <w:rFonts w:ascii="Wingdings" w:hAnsi="Wingdings" w:hint="default"/>
      </w:rPr>
    </w:lvl>
    <w:lvl w:ilvl="3">
      <w:start w:val="1"/>
      <w:numFmt w:val="bullet"/>
      <w:lvlText w:val=""/>
      <w:lvlJc w:val="left"/>
      <w:pPr>
        <w:ind w:left="3465" w:hanging="360"/>
      </w:pPr>
      <w:rPr>
        <w:rFonts w:ascii="Symbol" w:hAnsi="Symbol" w:hint="default"/>
      </w:rPr>
    </w:lvl>
    <w:lvl w:ilvl="4">
      <w:start w:val="1"/>
      <w:numFmt w:val="bullet"/>
      <w:lvlText w:val="o"/>
      <w:lvlJc w:val="left"/>
      <w:pPr>
        <w:ind w:left="4185" w:hanging="360"/>
      </w:pPr>
      <w:rPr>
        <w:rFonts w:ascii="Courier New" w:hAnsi="Courier New" w:hint="default"/>
      </w:rPr>
    </w:lvl>
    <w:lvl w:ilvl="5">
      <w:start w:val="1"/>
      <w:numFmt w:val="bullet"/>
      <w:lvlText w:val=""/>
      <w:lvlJc w:val="left"/>
      <w:pPr>
        <w:ind w:left="4905" w:hanging="360"/>
      </w:pPr>
      <w:rPr>
        <w:rFonts w:ascii="Wingdings" w:hAnsi="Wingdings" w:hint="default"/>
      </w:rPr>
    </w:lvl>
    <w:lvl w:ilvl="6">
      <w:start w:val="1"/>
      <w:numFmt w:val="bullet"/>
      <w:lvlText w:val=""/>
      <w:lvlJc w:val="left"/>
      <w:pPr>
        <w:ind w:left="5625" w:hanging="360"/>
      </w:pPr>
      <w:rPr>
        <w:rFonts w:ascii="Symbol" w:hAnsi="Symbol" w:hint="default"/>
      </w:rPr>
    </w:lvl>
    <w:lvl w:ilvl="7">
      <w:start w:val="1"/>
      <w:numFmt w:val="bullet"/>
      <w:lvlText w:val="o"/>
      <w:lvlJc w:val="left"/>
      <w:pPr>
        <w:ind w:left="6345" w:hanging="360"/>
      </w:pPr>
      <w:rPr>
        <w:rFonts w:ascii="Courier New" w:hAnsi="Courier New" w:hint="default"/>
      </w:rPr>
    </w:lvl>
    <w:lvl w:ilvl="8">
      <w:start w:val="1"/>
      <w:numFmt w:val="bullet"/>
      <w:lvlText w:val=""/>
      <w:lvlJc w:val="left"/>
      <w:pPr>
        <w:ind w:left="7065" w:hanging="360"/>
      </w:pPr>
      <w:rPr>
        <w:rFonts w:ascii="Wingdings" w:hAnsi="Wingdings" w:hint="default"/>
      </w:rPr>
    </w:lvl>
  </w:abstractNum>
  <w:abstractNum w:abstractNumId="24">
    <w:nsid w:val="507D01C9"/>
    <w:multiLevelType w:val="multilevel"/>
    <w:tmpl w:val="76728CF4"/>
    <w:lvl w:ilvl="0">
      <w:start w:val="1"/>
      <w:numFmt w:val="decimal"/>
      <w:pStyle w:val="Heading1"/>
      <w:lvlText w:val="%1."/>
      <w:lvlJc w:val="left"/>
      <w:pPr>
        <w:ind w:left="720" w:hanging="360"/>
      </w:pPr>
      <w:rPr>
        <w:rFonts w:cs="Times New Roman" w:hint="default"/>
        <w:rtl w:val="0"/>
        <w:cs w:val="0"/>
      </w:rPr>
    </w:lvl>
    <w:lvl w:ilvl="1">
      <w:start w:val="1"/>
      <w:numFmt w:val="decimal"/>
      <w:isLgl/>
      <w:lvlText w:val="%1.%2."/>
      <w:lvlJc w:val="left"/>
      <w:pPr>
        <w:ind w:left="780" w:hanging="42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pStyle w:val="Heading4"/>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25">
    <w:nsid w:val="565826BB"/>
    <w:multiLevelType w:val="hybridMultilevel"/>
    <w:tmpl w:val="63F2B9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9295454"/>
    <w:multiLevelType w:val="hybridMultilevel"/>
    <w:tmpl w:val="F7D406F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59AE42D0"/>
    <w:multiLevelType w:val="hybridMultilevel"/>
    <w:tmpl w:val="D8D619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FF20765"/>
    <w:multiLevelType w:val="hybridMultilevel"/>
    <w:tmpl w:val="F900384A"/>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37D104B"/>
    <w:multiLevelType w:val="hybridMultilevel"/>
    <w:tmpl w:val="8604E5AA"/>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hint="default"/>
      </w:rPr>
    </w:lvl>
    <w:lvl w:ilvl="8">
      <w:start w:val="1"/>
      <w:numFmt w:val="bullet"/>
      <w:lvlText w:val=""/>
      <w:lvlJc w:val="left"/>
      <w:pPr>
        <w:ind w:left="6837" w:hanging="360"/>
      </w:pPr>
      <w:rPr>
        <w:rFonts w:ascii="Wingdings" w:hAnsi="Wingdings" w:hint="default"/>
      </w:rPr>
    </w:lvl>
  </w:abstractNum>
  <w:abstractNum w:abstractNumId="30">
    <w:nsid w:val="64B11D9C"/>
    <w:multiLevelType w:val="hybridMultilevel"/>
    <w:tmpl w:val="752A2DE2"/>
    <w:lvl w:ilvl="0">
      <w:start w:val="2"/>
      <w:numFmt w:val="bullet"/>
      <w:lvlText w:val="-"/>
      <w:lvlJc w:val="left"/>
      <w:pPr>
        <w:ind w:left="1800" w:hanging="360"/>
      </w:pPr>
      <w:rPr>
        <w:rFonts w:ascii="Times New Roman" w:eastAsia="Times New Roman" w:hAnsi="Times New Roman"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1">
    <w:nsid w:val="659375EF"/>
    <w:multiLevelType w:val="multilevel"/>
    <w:tmpl w:val="F6781912"/>
    <w:lvl w:ilvl="0">
      <w:start w:val="1"/>
      <w:numFmt w:val="decimal"/>
      <w:lvlText w:val="%1."/>
      <w:lvlJc w:val="left"/>
      <w:pPr>
        <w:tabs>
          <w:tab w:val="num" w:pos="0"/>
        </w:tabs>
        <w:ind w:left="340" w:hanging="340"/>
      </w:pPr>
      <w:rPr>
        <w:rFonts w:ascii="Arial" w:hAnsi="Arial" w:cs="Times New Roman" w:hint="default"/>
        <w:b/>
        <w:i w:val="0"/>
        <w:sz w:val="24"/>
        <w:szCs w:val="24"/>
        <w:rtl w:val="0"/>
        <w:cs w:val="0"/>
      </w:rPr>
    </w:lvl>
    <w:lvl w:ilvl="1">
      <w:start w:val="1"/>
      <w:numFmt w:val="decimal"/>
      <w:lvlText w:val="%2.%1"/>
      <w:lvlJc w:val="left"/>
      <w:pPr>
        <w:tabs>
          <w:tab w:val="num" w:pos="284"/>
        </w:tabs>
        <w:ind w:left="-32766"/>
      </w:pPr>
      <w:rPr>
        <w:rFonts w:ascii="Times New Roman" w:hAnsi="Times New Roman" w:cs="Times New Roman" w:hint="default"/>
        <w:b w:val="0"/>
        <w:i w:val="0"/>
        <w:sz w:val="20"/>
        <w:szCs w:val="20"/>
        <w:rtl w:val="0"/>
        <w:cs w:val="0"/>
      </w:rPr>
    </w:lvl>
    <w:lvl w:ilvl="2">
      <w:start w:val="1"/>
      <w:numFmt w:val="decimal"/>
      <w:lvlText w:val="%3.%1.%2"/>
      <w:lvlJc w:val="left"/>
      <w:pPr>
        <w:tabs>
          <w:tab w:val="num" w:pos="284"/>
        </w:tabs>
        <w:ind w:left="340" w:hanging="340"/>
      </w:pPr>
      <w:rPr>
        <w:rFonts w:cs="Times New Roman" w:hint="default"/>
        <w:sz w:val="20"/>
        <w:rtl w:val="0"/>
        <w:cs w:val="0"/>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797" w:hanging="357"/>
      </w:pPr>
      <w:rPr>
        <w:rFonts w:ascii="Symbol" w:hAnsi="Symbol" w:hint="default"/>
      </w:rPr>
    </w:lvl>
    <w:lvl w:ilvl="5">
      <w:start w:val="1"/>
      <w:numFmt w:val="lowerRoman"/>
      <w:lvlText w:val="(%6)"/>
      <w:lvlJc w:val="left"/>
      <w:pPr>
        <w:tabs>
          <w:tab w:val="num" w:pos="2520"/>
        </w:tabs>
        <w:ind w:left="2160" w:hanging="360"/>
      </w:pPr>
      <w:rPr>
        <w:rFonts w:cs="Times New Roman" w:hint="default"/>
        <w:rtl w:val="0"/>
        <w:cs w:val="0"/>
      </w:rPr>
    </w:lvl>
    <w:lvl w:ilvl="6">
      <w:start w:val="1"/>
      <w:numFmt w:val="none"/>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2">
    <w:nsid w:val="65DE362F"/>
    <w:multiLevelType w:val="hybridMultilevel"/>
    <w:tmpl w:val="20A24CC6"/>
    <w:lvl w:ilvl="0">
      <w:start w:val="1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A365A7E"/>
    <w:multiLevelType w:val="multilevel"/>
    <w:tmpl w:val="D16497FC"/>
    <w:lvl w:ilvl="0">
      <w:start w:val="3"/>
      <w:numFmt w:val="decimal"/>
      <w:lvlText w:val="%1."/>
      <w:lvlJc w:val="left"/>
      <w:pPr>
        <w:ind w:left="360" w:hanging="360"/>
      </w:pPr>
      <w:rPr>
        <w:rFonts w:cs="Times New Roman" w:hint="default"/>
        <w:rtl w:val="0"/>
        <w:cs w:val="0"/>
      </w:rPr>
    </w:lvl>
    <w:lvl w:ilvl="1">
      <w:start w:val="1"/>
      <w:numFmt w:val="decimal"/>
      <w:lvlText w:val="%1.%2."/>
      <w:lvlJc w:val="left"/>
      <w:pPr>
        <w:ind w:left="720" w:hanging="360"/>
      </w:pPr>
      <w:rPr>
        <w:rFonts w:cs="Times New Roman" w:hint="default"/>
        <w:rtl w:val="0"/>
        <w:cs w:val="0"/>
      </w:rPr>
    </w:lvl>
    <w:lvl w:ilvl="2">
      <w:start w:val="1"/>
      <w:numFmt w:val="decimal"/>
      <w:lvlText w:val="%1.%2.%3."/>
      <w:lvlJc w:val="left"/>
      <w:pPr>
        <w:ind w:left="1440" w:hanging="720"/>
      </w:pPr>
      <w:rPr>
        <w:rFonts w:cs="Times New Roman" w:hint="default"/>
        <w:rtl w:val="0"/>
        <w:cs w:val="0"/>
      </w:rPr>
    </w:lvl>
    <w:lvl w:ilvl="3">
      <w:start w:val="1"/>
      <w:numFmt w:val="decimal"/>
      <w:lvlText w:val="%1.%2.%3.%4."/>
      <w:lvlJc w:val="left"/>
      <w:pPr>
        <w:ind w:left="1800" w:hanging="720"/>
      </w:pPr>
      <w:rPr>
        <w:rFonts w:cs="Times New Roman" w:hint="default"/>
        <w:rtl w:val="0"/>
        <w:cs w:val="0"/>
      </w:rPr>
    </w:lvl>
    <w:lvl w:ilvl="4">
      <w:start w:val="1"/>
      <w:numFmt w:val="decimal"/>
      <w:lvlText w:val="%1.%2.%3.%4.%5."/>
      <w:lvlJc w:val="left"/>
      <w:pPr>
        <w:ind w:left="2520" w:hanging="1080"/>
      </w:pPr>
      <w:rPr>
        <w:rFonts w:cs="Times New Roman" w:hint="default"/>
        <w:rtl w:val="0"/>
        <w:cs w:val="0"/>
      </w:rPr>
    </w:lvl>
    <w:lvl w:ilvl="5">
      <w:start w:val="1"/>
      <w:numFmt w:val="decimal"/>
      <w:lvlText w:val="%1.%2.%3.%4.%5.%6."/>
      <w:lvlJc w:val="left"/>
      <w:pPr>
        <w:ind w:left="2880" w:hanging="1080"/>
      </w:pPr>
      <w:rPr>
        <w:rFonts w:cs="Times New Roman" w:hint="default"/>
        <w:rtl w:val="0"/>
        <w:cs w:val="0"/>
      </w:rPr>
    </w:lvl>
    <w:lvl w:ilvl="6">
      <w:start w:val="1"/>
      <w:numFmt w:val="decimal"/>
      <w:lvlText w:val="%1.%2.%3.%4.%5.%6.%7."/>
      <w:lvlJc w:val="left"/>
      <w:pPr>
        <w:ind w:left="3600" w:hanging="1440"/>
      </w:pPr>
      <w:rPr>
        <w:rFonts w:cs="Times New Roman" w:hint="default"/>
        <w:rtl w:val="0"/>
        <w:cs w:val="0"/>
      </w:rPr>
    </w:lvl>
    <w:lvl w:ilvl="7">
      <w:start w:val="1"/>
      <w:numFmt w:val="decimal"/>
      <w:lvlText w:val="%1.%2.%3.%4.%5.%6.%7.%8."/>
      <w:lvlJc w:val="left"/>
      <w:pPr>
        <w:ind w:left="3960" w:hanging="1440"/>
      </w:pPr>
      <w:rPr>
        <w:rFonts w:cs="Times New Roman" w:hint="default"/>
        <w:rtl w:val="0"/>
        <w:cs w:val="0"/>
      </w:rPr>
    </w:lvl>
    <w:lvl w:ilvl="8">
      <w:start w:val="1"/>
      <w:numFmt w:val="decimal"/>
      <w:lvlText w:val="%1.%2.%3.%4.%5.%6.%7.%8.%9."/>
      <w:lvlJc w:val="left"/>
      <w:pPr>
        <w:ind w:left="4680" w:hanging="1800"/>
      </w:pPr>
      <w:rPr>
        <w:rFonts w:cs="Times New Roman" w:hint="default"/>
        <w:rtl w:val="0"/>
        <w:cs w:val="0"/>
      </w:rPr>
    </w:lvl>
  </w:abstractNum>
  <w:abstractNum w:abstractNumId="34">
    <w:nsid w:val="6E22678B"/>
    <w:multiLevelType w:val="hybridMultilevel"/>
    <w:tmpl w:val="39D2BF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12D0919"/>
    <w:multiLevelType w:val="hybridMultilevel"/>
    <w:tmpl w:val="58483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15E7579"/>
    <w:multiLevelType w:val="multilevel"/>
    <w:tmpl w:val="E3E43770"/>
    <w:lvl w:ilvl="0">
      <w:start w:val="2"/>
      <w:numFmt w:val="decimal"/>
      <w:lvlText w:val="%1."/>
      <w:lvlJc w:val="left"/>
      <w:pPr>
        <w:ind w:left="720" w:hanging="360"/>
      </w:pPr>
      <w:rPr>
        <w:rFonts w:cs="Times New Roman" w:hint="default"/>
        <w:rtl w:val="0"/>
        <w:cs w:val="0"/>
      </w:rPr>
    </w:lvl>
    <w:lvl w:ilvl="1">
      <w:start w:val="1"/>
      <w:numFmt w:val="decimal"/>
      <w:isLgl/>
      <w:lvlText w:val="%1.%2."/>
      <w:lvlJc w:val="left"/>
      <w:pPr>
        <w:ind w:left="927"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37">
    <w:nsid w:val="74C7462D"/>
    <w:multiLevelType w:val="hybridMultilevel"/>
    <w:tmpl w:val="2B5CDFE6"/>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38">
    <w:nsid w:val="7C995993"/>
    <w:multiLevelType w:val="hybridMultilevel"/>
    <w:tmpl w:val="0A8E2E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24"/>
  </w:num>
  <w:num w:numId="4">
    <w:abstractNumId w:val="0"/>
  </w:num>
  <w:num w:numId="5">
    <w:abstractNumId w:val="5"/>
  </w:num>
  <w:num w:numId="6">
    <w:abstractNumId w:val="28"/>
  </w:num>
  <w:num w:numId="7">
    <w:abstractNumId w:val="35"/>
  </w:num>
  <w:num w:numId="8">
    <w:abstractNumId w:val="9"/>
  </w:num>
  <w:num w:numId="9">
    <w:abstractNumId w:val="25"/>
  </w:num>
  <w:num w:numId="10">
    <w:abstractNumId w:val="1"/>
  </w:num>
  <w:num w:numId="11">
    <w:abstractNumId w:val="17"/>
  </w:num>
  <w:num w:numId="12">
    <w:abstractNumId w:val="3"/>
  </w:num>
  <w:num w:numId="13">
    <w:abstractNumId w:val="32"/>
  </w:num>
  <w:num w:numId="14">
    <w:abstractNumId w:val="34"/>
  </w:num>
  <w:num w:numId="15">
    <w:abstractNumId w:val="27"/>
  </w:num>
  <w:num w:numId="16">
    <w:abstractNumId w:val="10"/>
  </w:num>
  <w:num w:numId="17">
    <w:abstractNumId w:val="4"/>
  </w:num>
  <w:num w:numId="18">
    <w:abstractNumId w:val="22"/>
  </w:num>
  <w:num w:numId="19">
    <w:abstractNumId w:val="36"/>
  </w:num>
  <w:num w:numId="20">
    <w:abstractNumId w:val="33"/>
  </w:num>
  <w:num w:numId="21">
    <w:abstractNumId w:val="20"/>
  </w:num>
  <w:num w:numId="22">
    <w:abstractNumId w:val="15"/>
  </w:num>
  <w:num w:numId="23">
    <w:abstractNumId w:val="16"/>
  </w:num>
  <w:num w:numId="24">
    <w:abstractNumId w:val="29"/>
  </w:num>
  <w:num w:numId="25">
    <w:abstractNumId w:val="19"/>
  </w:num>
  <w:num w:numId="26">
    <w:abstractNumId w:val="23"/>
  </w:num>
  <w:num w:numId="27">
    <w:abstractNumId w:val="30"/>
  </w:num>
  <w:num w:numId="28">
    <w:abstractNumId w:val="38"/>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8"/>
  </w:num>
  <w:num w:numId="34">
    <w:abstractNumId w:val="21"/>
  </w:num>
  <w:num w:numId="35">
    <w:abstractNumId w:val="14"/>
  </w:num>
  <w:num w:numId="36">
    <w:abstractNumId w:val="6"/>
    <w:lvlOverride w:ilvl="0"/>
    <w:lvlOverride w:ilvl="1"/>
    <w:lvlOverride w:ilvl="2"/>
    <w:lvlOverride w:ilvl="3"/>
    <w:lvlOverride w:ilvl="4"/>
    <w:lvlOverride w:ilvl="5"/>
    <w:lvlOverride w:ilvl="6"/>
    <w:lvlOverride w:ilvl="7"/>
    <w:lvlOverride w:ilvl="8"/>
  </w:num>
  <w:num w:numId="37">
    <w:abstractNumId w:val="4"/>
    <w:lvlOverride w:ilvl="0"/>
    <w:lvlOverride w:ilvl="1"/>
    <w:lvlOverride w:ilvl="2"/>
    <w:lvlOverride w:ilvl="3"/>
    <w:lvlOverride w:ilvl="4"/>
    <w:lvlOverride w:ilvl="5"/>
    <w:lvlOverride w:ilvl="6"/>
    <w:lvlOverride w:ilvl="7"/>
    <w:lvlOverride w:ilvl="8"/>
  </w:num>
  <w:num w:numId="38">
    <w:abstractNumId w:val="24"/>
  </w:num>
  <w:num w:numId="39">
    <w:abstractNumId w:val="8"/>
  </w:num>
  <w:num w:numId="40">
    <w:abstractNumId w:val="11"/>
  </w:num>
  <w:num w:numId="41">
    <w:abstractNumId w:val="2"/>
  </w:num>
  <w:num w:numId="42">
    <w:abstractNumId w:val="13"/>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mirrorMargins/>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B07DEC"/>
    <w:rsid w:val="00000199"/>
    <w:rsid w:val="00000EE1"/>
    <w:rsid w:val="00002967"/>
    <w:rsid w:val="000040E8"/>
    <w:rsid w:val="00004EFF"/>
    <w:rsid w:val="00005991"/>
    <w:rsid w:val="00005D1D"/>
    <w:rsid w:val="000068A1"/>
    <w:rsid w:val="000073C8"/>
    <w:rsid w:val="00010253"/>
    <w:rsid w:val="0001031A"/>
    <w:rsid w:val="00010E6B"/>
    <w:rsid w:val="0001225F"/>
    <w:rsid w:val="00012FD3"/>
    <w:rsid w:val="000155FA"/>
    <w:rsid w:val="000165FB"/>
    <w:rsid w:val="000172D3"/>
    <w:rsid w:val="0001761E"/>
    <w:rsid w:val="00023624"/>
    <w:rsid w:val="00024664"/>
    <w:rsid w:val="0002584B"/>
    <w:rsid w:val="00027340"/>
    <w:rsid w:val="000276E3"/>
    <w:rsid w:val="00027E15"/>
    <w:rsid w:val="000303C3"/>
    <w:rsid w:val="000309B6"/>
    <w:rsid w:val="00030B38"/>
    <w:rsid w:val="00031A18"/>
    <w:rsid w:val="00031A6D"/>
    <w:rsid w:val="00032589"/>
    <w:rsid w:val="00034841"/>
    <w:rsid w:val="00034DD6"/>
    <w:rsid w:val="000353D9"/>
    <w:rsid w:val="00035DBD"/>
    <w:rsid w:val="00036EDD"/>
    <w:rsid w:val="000375E9"/>
    <w:rsid w:val="000377B1"/>
    <w:rsid w:val="00037CA1"/>
    <w:rsid w:val="00040120"/>
    <w:rsid w:val="0004196A"/>
    <w:rsid w:val="00043513"/>
    <w:rsid w:val="00043DBD"/>
    <w:rsid w:val="00044696"/>
    <w:rsid w:val="00052323"/>
    <w:rsid w:val="00052AAD"/>
    <w:rsid w:val="00053BDF"/>
    <w:rsid w:val="000550F8"/>
    <w:rsid w:val="000570AB"/>
    <w:rsid w:val="000571A1"/>
    <w:rsid w:val="00057E3D"/>
    <w:rsid w:val="000615E2"/>
    <w:rsid w:val="000637A7"/>
    <w:rsid w:val="00065283"/>
    <w:rsid w:val="00065EF9"/>
    <w:rsid w:val="00066234"/>
    <w:rsid w:val="000665C1"/>
    <w:rsid w:val="000702C3"/>
    <w:rsid w:val="00071A63"/>
    <w:rsid w:val="00072E96"/>
    <w:rsid w:val="00073C56"/>
    <w:rsid w:val="000742AD"/>
    <w:rsid w:val="000744B6"/>
    <w:rsid w:val="0007568A"/>
    <w:rsid w:val="00077194"/>
    <w:rsid w:val="000775E8"/>
    <w:rsid w:val="000778B9"/>
    <w:rsid w:val="00077CDC"/>
    <w:rsid w:val="0008386B"/>
    <w:rsid w:val="00084B90"/>
    <w:rsid w:val="00084C2D"/>
    <w:rsid w:val="00084C83"/>
    <w:rsid w:val="000857CC"/>
    <w:rsid w:val="00090E6A"/>
    <w:rsid w:val="00091C06"/>
    <w:rsid w:val="000933E0"/>
    <w:rsid w:val="0009576A"/>
    <w:rsid w:val="00096D2B"/>
    <w:rsid w:val="00097139"/>
    <w:rsid w:val="00097CCC"/>
    <w:rsid w:val="000A0A3C"/>
    <w:rsid w:val="000A0AE1"/>
    <w:rsid w:val="000A1271"/>
    <w:rsid w:val="000A15B7"/>
    <w:rsid w:val="000A23ED"/>
    <w:rsid w:val="000A3AB1"/>
    <w:rsid w:val="000A4266"/>
    <w:rsid w:val="000A6464"/>
    <w:rsid w:val="000A667E"/>
    <w:rsid w:val="000A789B"/>
    <w:rsid w:val="000B0EE6"/>
    <w:rsid w:val="000B27D0"/>
    <w:rsid w:val="000B2C88"/>
    <w:rsid w:val="000B37BA"/>
    <w:rsid w:val="000B4BDA"/>
    <w:rsid w:val="000B4F92"/>
    <w:rsid w:val="000B542C"/>
    <w:rsid w:val="000B6BB8"/>
    <w:rsid w:val="000B6D84"/>
    <w:rsid w:val="000B7219"/>
    <w:rsid w:val="000B74E0"/>
    <w:rsid w:val="000B77B3"/>
    <w:rsid w:val="000B7F8B"/>
    <w:rsid w:val="000C0333"/>
    <w:rsid w:val="000C0C84"/>
    <w:rsid w:val="000C0D24"/>
    <w:rsid w:val="000C1BE0"/>
    <w:rsid w:val="000C21CC"/>
    <w:rsid w:val="000C2386"/>
    <w:rsid w:val="000C3745"/>
    <w:rsid w:val="000C3A5F"/>
    <w:rsid w:val="000C46B9"/>
    <w:rsid w:val="000C4BF5"/>
    <w:rsid w:val="000C5094"/>
    <w:rsid w:val="000C5CBC"/>
    <w:rsid w:val="000C5CE9"/>
    <w:rsid w:val="000D1DF6"/>
    <w:rsid w:val="000D1ECC"/>
    <w:rsid w:val="000D22E7"/>
    <w:rsid w:val="000D2AE0"/>
    <w:rsid w:val="000D46C5"/>
    <w:rsid w:val="000D51B9"/>
    <w:rsid w:val="000D75DD"/>
    <w:rsid w:val="000E06D9"/>
    <w:rsid w:val="000E1705"/>
    <w:rsid w:val="000E29A4"/>
    <w:rsid w:val="000E2C34"/>
    <w:rsid w:val="000E2C7C"/>
    <w:rsid w:val="000E33A7"/>
    <w:rsid w:val="000E5D65"/>
    <w:rsid w:val="000E7921"/>
    <w:rsid w:val="000F1784"/>
    <w:rsid w:val="000F1A27"/>
    <w:rsid w:val="000F1C22"/>
    <w:rsid w:val="000F2028"/>
    <w:rsid w:val="000F20FA"/>
    <w:rsid w:val="000F217A"/>
    <w:rsid w:val="000F236A"/>
    <w:rsid w:val="000F2840"/>
    <w:rsid w:val="000F4140"/>
    <w:rsid w:val="000F4883"/>
    <w:rsid w:val="000F4F04"/>
    <w:rsid w:val="000F6B30"/>
    <w:rsid w:val="000F7153"/>
    <w:rsid w:val="001001EF"/>
    <w:rsid w:val="00100393"/>
    <w:rsid w:val="0010040C"/>
    <w:rsid w:val="001010B5"/>
    <w:rsid w:val="001015D6"/>
    <w:rsid w:val="001018CC"/>
    <w:rsid w:val="00101EBE"/>
    <w:rsid w:val="00102055"/>
    <w:rsid w:val="0010225D"/>
    <w:rsid w:val="00102571"/>
    <w:rsid w:val="00103670"/>
    <w:rsid w:val="00104746"/>
    <w:rsid w:val="00104B52"/>
    <w:rsid w:val="00105251"/>
    <w:rsid w:val="00105EF5"/>
    <w:rsid w:val="0010627D"/>
    <w:rsid w:val="00106BCF"/>
    <w:rsid w:val="00106E0E"/>
    <w:rsid w:val="00106E98"/>
    <w:rsid w:val="00107483"/>
    <w:rsid w:val="001078D1"/>
    <w:rsid w:val="001110AB"/>
    <w:rsid w:val="00113250"/>
    <w:rsid w:val="00113E3A"/>
    <w:rsid w:val="0011441A"/>
    <w:rsid w:val="001145B7"/>
    <w:rsid w:val="001161F0"/>
    <w:rsid w:val="00116D90"/>
    <w:rsid w:val="00117605"/>
    <w:rsid w:val="0011768B"/>
    <w:rsid w:val="0012251F"/>
    <w:rsid w:val="00122FCC"/>
    <w:rsid w:val="00123A65"/>
    <w:rsid w:val="00124600"/>
    <w:rsid w:val="00125E6A"/>
    <w:rsid w:val="00130717"/>
    <w:rsid w:val="001307E2"/>
    <w:rsid w:val="001308CF"/>
    <w:rsid w:val="00134188"/>
    <w:rsid w:val="001350AB"/>
    <w:rsid w:val="00136749"/>
    <w:rsid w:val="00136810"/>
    <w:rsid w:val="00140C50"/>
    <w:rsid w:val="0014123D"/>
    <w:rsid w:val="001470EC"/>
    <w:rsid w:val="00147B31"/>
    <w:rsid w:val="00150497"/>
    <w:rsid w:val="001504AC"/>
    <w:rsid w:val="00150B1D"/>
    <w:rsid w:val="001514AA"/>
    <w:rsid w:val="001550F7"/>
    <w:rsid w:val="0015693A"/>
    <w:rsid w:val="00156A12"/>
    <w:rsid w:val="001572D1"/>
    <w:rsid w:val="001575F4"/>
    <w:rsid w:val="00157B93"/>
    <w:rsid w:val="0016095C"/>
    <w:rsid w:val="00161140"/>
    <w:rsid w:val="00163846"/>
    <w:rsid w:val="001650C9"/>
    <w:rsid w:val="00165989"/>
    <w:rsid w:val="00166315"/>
    <w:rsid w:val="0016648A"/>
    <w:rsid w:val="001670FD"/>
    <w:rsid w:val="00167724"/>
    <w:rsid w:val="001677E9"/>
    <w:rsid w:val="00167AD6"/>
    <w:rsid w:val="00167FEB"/>
    <w:rsid w:val="00171BC6"/>
    <w:rsid w:val="001724DA"/>
    <w:rsid w:val="00172B1F"/>
    <w:rsid w:val="00172BEE"/>
    <w:rsid w:val="0017400C"/>
    <w:rsid w:val="00174409"/>
    <w:rsid w:val="00176676"/>
    <w:rsid w:val="0017680C"/>
    <w:rsid w:val="00176A36"/>
    <w:rsid w:val="00177330"/>
    <w:rsid w:val="00177E58"/>
    <w:rsid w:val="00180FB9"/>
    <w:rsid w:val="001817F6"/>
    <w:rsid w:val="00182896"/>
    <w:rsid w:val="00182A5C"/>
    <w:rsid w:val="00183787"/>
    <w:rsid w:val="00183E44"/>
    <w:rsid w:val="00184CB3"/>
    <w:rsid w:val="00185273"/>
    <w:rsid w:val="001857A6"/>
    <w:rsid w:val="00185BF7"/>
    <w:rsid w:val="00192285"/>
    <w:rsid w:val="0019436B"/>
    <w:rsid w:val="00195306"/>
    <w:rsid w:val="00195460"/>
    <w:rsid w:val="00195805"/>
    <w:rsid w:val="00195E48"/>
    <w:rsid w:val="00196F75"/>
    <w:rsid w:val="00197D8C"/>
    <w:rsid w:val="001A066A"/>
    <w:rsid w:val="001A1E11"/>
    <w:rsid w:val="001A65EC"/>
    <w:rsid w:val="001A666A"/>
    <w:rsid w:val="001A69A5"/>
    <w:rsid w:val="001A7EFB"/>
    <w:rsid w:val="001B1D31"/>
    <w:rsid w:val="001B5112"/>
    <w:rsid w:val="001B5764"/>
    <w:rsid w:val="001B5BF8"/>
    <w:rsid w:val="001B6327"/>
    <w:rsid w:val="001B6836"/>
    <w:rsid w:val="001B6973"/>
    <w:rsid w:val="001B7D32"/>
    <w:rsid w:val="001C1ACF"/>
    <w:rsid w:val="001C3C6F"/>
    <w:rsid w:val="001C41C2"/>
    <w:rsid w:val="001C4C5A"/>
    <w:rsid w:val="001C5FB6"/>
    <w:rsid w:val="001C6919"/>
    <w:rsid w:val="001C70D1"/>
    <w:rsid w:val="001D001C"/>
    <w:rsid w:val="001D01A8"/>
    <w:rsid w:val="001D0A4E"/>
    <w:rsid w:val="001D1477"/>
    <w:rsid w:val="001D15F2"/>
    <w:rsid w:val="001D1A01"/>
    <w:rsid w:val="001D2FF8"/>
    <w:rsid w:val="001D32C7"/>
    <w:rsid w:val="001D36D4"/>
    <w:rsid w:val="001D39DD"/>
    <w:rsid w:val="001D5C34"/>
    <w:rsid w:val="001E0A5D"/>
    <w:rsid w:val="001E0D10"/>
    <w:rsid w:val="001E3A6B"/>
    <w:rsid w:val="001E4769"/>
    <w:rsid w:val="001E5AC4"/>
    <w:rsid w:val="001E60EA"/>
    <w:rsid w:val="001E79EF"/>
    <w:rsid w:val="001E7C31"/>
    <w:rsid w:val="001F0171"/>
    <w:rsid w:val="001F08C4"/>
    <w:rsid w:val="001F1246"/>
    <w:rsid w:val="001F133F"/>
    <w:rsid w:val="001F378C"/>
    <w:rsid w:val="001F3B08"/>
    <w:rsid w:val="001F5C32"/>
    <w:rsid w:val="001F62B5"/>
    <w:rsid w:val="001F6753"/>
    <w:rsid w:val="001F6D11"/>
    <w:rsid w:val="001F778E"/>
    <w:rsid w:val="0020158D"/>
    <w:rsid w:val="002025D1"/>
    <w:rsid w:val="0020302E"/>
    <w:rsid w:val="00203542"/>
    <w:rsid w:val="00203CF1"/>
    <w:rsid w:val="00204A4A"/>
    <w:rsid w:val="00204D23"/>
    <w:rsid w:val="002060EF"/>
    <w:rsid w:val="00206B35"/>
    <w:rsid w:val="00210159"/>
    <w:rsid w:val="002106E9"/>
    <w:rsid w:val="00211044"/>
    <w:rsid w:val="00211978"/>
    <w:rsid w:val="002121D9"/>
    <w:rsid w:val="00212631"/>
    <w:rsid w:val="002130D4"/>
    <w:rsid w:val="00214247"/>
    <w:rsid w:val="00215C2D"/>
    <w:rsid w:val="00216E06"/>
    <w:rsid w:val="00217725"/>
    <w:rsid w:val="00221302"/>
    <w:rsid w:val="00222753"/>
    <w:rsid w:val="0022337B"/>
    <w:rsid w:val="00223EFD"/>
    <w:rsid w:val="002250E3"/>
    <w:rsid w:val="00225CC9"/>
    <w:rsid w:val="00227D0E"/>
    <w:rsid w:val="00230016"/>
    <w:rsid w:val="002308EF"/>
    <w:rsid w:val="00230B42"/>
    <w:rsid w:val="00231405"/>
    <w:rsid w:val="0023163A"/>
    <w:rsid w:val="00234DC7"/>
    <w:rsid w:val="0023615F"/>
    <w:rsid w:val="0023675C"/>
    <w:rsid w:val="0023723C"/>
    <w:rsid w:val="00237E38"/>
    <w:rsid w:val="00242C1A"/>
    <w:rsid w:val="00244750"/>
    <w:rsid w:val="00244909"/>
    <w:rsid w:val="0024561D"/>
    <w:rsid w:val="00246450"/>
    <w:rsid w:val="00247FDD"/>
    <w:rsid w:val="0025075C"/>
    <w:rsid w:val="0025125B"/>
    <w:rsid w:val="00251C7F"/>
    <w:rsid w:val="00251D89"/>
    <w:rsid w:val="00251DEF"/>
    <w:rsid w:val="00252EF9"/>
    <w:rsid w:val="00253903"/>
    <w:rsid w:val="00253F04"/>
    <w:rsid w:val="00254D99"/>
    <w:rsid w:val="00255DE1"/>
    <w:rsid w:val="0025626C"/>
    <w:rsid w:val="00256720"/>
    <w:rsid w:val="002572F5"/>
    <w:rsid w:val="002576A9"/>
    <w:rsid w:val="00257EF5"/>
    <w:rsid w:val="002601FF"/>
    <w:rsid w:val="002614D9"/>
    <w:rsid w:val="00261B74"/>
    <w:rsid w:val="00262EF2"/>
    <w:rsid w:val="00263024"/>
    <w:rsid w:val="00264844"/>
    <w:rsid w:val="00264B91"/>
    <w:rsid w:val="00265BEF"/>
    <w:rsid w:val="00266089"/>
    <w:rsid w:val="00267135"/>
    <w:rsid w:val="002706FB"/>
    <w:rsid w:val="00271667"/>
    <w:rsid w:val="002724E9"/>
    <w:rsid w:val="0027279E"/>
    <w:rsid w:val="00273206"/>
    <w:rsid w:val="00274C5B"/>
    <w:rsid w:val="00275083"/>
    <w:rsid w:val="0027514D"/>
    <w:rsid w:val="002756BE"/>
    <w:rsid w:val="002760BD"/>
    <w:rsid w:val="00276450"/>
    <w:rsid w:val="0027716F"/>
    <w:rsid w:val="002800FB"/>
    <w:rsid w:val="00281C1F"/>
    <w:rsid w:val="002820B5"/>
    <w:rsid w:val="00283DCA"/>
    <w:rsid w:val="00284362"/>
    <w:rsid w:val="00284BBA"/>
    <w:rsid w:val="002859DC"/>
    <w:rsid w:val="00286962"/>
    <w:rsid w:val="00286B93"/>
    <w:rsid w:val="0028762D"/>
    <w:rsid w:val="002903AB"/>
    <w:rsid w:val="002917DD"/>
    <w:rsid w:val="00291B79"/>
    <w:rsid w:val="00293093"/>
    <w:rsid w:val="00294AEE"/>
    <w:rsid w:val="002958EE"/>
    <w:rsid w:val="00295C29"/>
    <w:rsid w:val="00295E9B"/>
    <w:rsid w:val="00296989"/>
    <w:rsid w:val="00296E4F"/>
    <w:rsid w:val="00297484"/>
    <w:rsid w:val="00297F30"/>
    <w:rsid w:val="002A02A4"/>
    <w:rsid w:val="002A115F"/>
    <w:rsid w:val="002A1459"/>
    <w:rsid w:val="002A2350"/>
    <w:rsid w:val="002A333B"/>
    <w:rsid w:val="002A48BA"/>
    <w:rsid w:val="002A5705"/>
    <w:rsid w:val="002B1D05"/>
    <w:rsid w:val="002B2E0C"/>
    <w:rsid w:val="002B331D"/>
    <w:rsid w:val="002B392A"/>
    <w:rsid w:val="002B3A73"/>
    <w:rsid w:val="002B3F17"/>
    <w:rsid w:val="002B49DA"/>
    <w:rsid w:val="002B4FB4"/>
    <w:rsid w:val="002B52D9"/>
    <w:rsid w:val="002B720E"/>
    <w:rsid w:val="002C0F0D"/>
    <w:rsid w:val="002C38E1"/>
    <w:rsid w:val="002C5024"/>
    <w:rsid w:val="002C5528"/>
    <w:rsid w:val="002C64A1"/>
    <w:rsid w:val="002D0F56"/>
    <w:rsid w:val="002D1C11"/>
    <w:rsid w:val="002D494F"/>
    <w:rsid w:val="002D57A3"/>
    <w:rsid w:val="002D5850"/>
    <w:rsid w:val="002D599E"/>
    <w:rsid w:val="002D5BBE"/>
    <w:rsid w:val="002D6C96"/>
    <w:rsid w:val="002D72F1"/>
    <w:rsid w:val="002E179D"/>
    <w:rsid w:val="002E1AD6"/>
    <w:rsid w:val="002E235D"/>
    <w:rsid w:val="002E2D8B"/>
    <w:rsid w:val="002E3851"/>
    <w:rsid w:val="002E3A1A"/>
    <w:rsid w:val="002E49BD"/>
    <w:rsid w:val="002E4D8F"/>
    <w:rsid w:val="002E5018"/>
    <w:rsid w:val="002E533C"/>
    <w:rsid w:val="002E59F1"/>
    <w:rsid w:val="002E647D"/>
    <w:rsid w:val="002E7749"/>
    <w:rsid w:val="002F0E25"/>
    <w:rsid w:val="002F23BD"/>
    <w:rsid w:val="002F2B2A"/>
    <w:rsid w:val="002F3C08"/>
    <w:rsid w:val="002F3E69"/>
    <w:rsid w:val="002F63FA"/>
    <w:rsid w:val="002F6659"/>
    <w:rsid w:val="002F77E1"/>
    <w:rsid w:val="0030033F"/>
    <w:rsid w:val="00302CAF"/>
    <w:rsid w:val="0030308F"/>
    <w:rsid w:val="003041DA"/>
    <w:rsid w:val="00305EAF"/>
    <w:rsid w:val="003128CC"/>
    <w:rsid w:val="0031383C"/>
    <w:rsid w:val="003140CB"/>
    <w:rsid w:val="00314AC9"/>
    <w:rsid w:val="00314EF5"/>
    <w:rsid w:val="003172EC"/>
    <w:rsid w:val="003173E4"/>
    <w:rsid w:val="00317463"/>
    <w:rsid w:val="00317D89"/>
    <w:rsid w:val="003208E6"/>
    <w:rsid w:val="00320916"/>
    <w:rsid w:val="00321CA6"/>
    <w:rsid w:val="003223FB"/>
    <w:rsid w:val="003239E7"/>
    <w:rsid w:val="003251B8"/>
    <w:rsid w:val="00325B05"/>
    <w:rsid w:val="00327108"/>
    <w:rsid w:val="00327847"/>
    <w:rsid w:val="0033116F"/>
    <w:rsid w:val="003314F9"/>
    <w:rsid w:val="00332383"/>
    <w:rsid w:val="00333BC5"/>
    <w:rsid w:val="003342D7"/>
    <w:rsid w:val="00334A8E"/>
    <w:rsid w:val="00334D4B"/>
    <w:rsid w:val="00334D71"/>
    <w:rsid w:val="00335007"/>
    <w:rsid w:val="003351C4"/>
    <w:rsid w:val="00335859"/>
    <w:rsid w:val="00335EFF"/>
    <w:rsid w:val="00336833"/>
    <w:rsid w:val="00337985"/>
    <w:rsid w:val="00337F22"/>
    <w:rsid w:val="0034055C"/>
    <w:rsid w:val="00341D73"/>
    <w:rsid w:val="0034311B"/>
    <w:rsid w:val="00345AB8"/>
    <w:rsid w:val="00345F85"/>
    <w:rsid w:val="003463D4"/>
    <w:rsid w:val="00351989"/>
    <w:rsid w:val="00351C21"/>
    <w:rsid w:val="00351D5A"/>
    <w:rsid w:val="00351F19"/>
    <w:rsid w:val="0035286D"/>
    <w:rsid w:val="00352DD2"/>
    <w:rsid w:val="00354FBF"/>
    <w:rsid w:val="00355F9F"/>
    <w:rsid w:val="0035660E"/>
    <w:rsid w:val="00356799"/>
    <w:rsid w:val="00356945"/>
    <w:rsid w:val="003602F4"/>
    <w:rsid w:val="003604A9"/>
    <w:rsid w:val="00360A4F"/>
    <w:rsid w:val="00361361"/>
    <w:rsid w:val="00361A0E"/>
    <w:rsid w:val="00362671"/>
    <w:rsid w:val="003634A8"/>
    <w:rsid w:val="003649EB"/>
    <w:rsid w:val="00365102"/>
    <w:rsid w:val="00365170"/>
    <w:rsid w:val="00365298"/>
    <w:rsid w:val="0036674F"/>
    <w:rsid w:val="00367092"/>
    <w:rsid w:val="0037025A"/>
    <w:rsid w:val="00373523"/>
    <w:rsid w:val="00374FD9"/>
    <w:rsid w:val="00377568"/>
    <w:rsid w:val="003776A3"/>
    <w:rsid w:val="00377F39"/>
    <w:rsid w:val="00381259"/>
    <w:rsid w:val="0038153A"/>
    <w:rsid w:val="003829BF"/>
    <w:rsid w:val="00383EB9"/>
    <w:rsid w:val="00384E85"/>
    <w:rsid w:val="003851EC"/>
    <w:rsid w:val="00386401"/>
    <w:rsid w:val="003866EC"/>
    <w:rsid w:val="00390161"/>
    <w:rsid w:val="0039092E"/>
    <w:rsid w:val="0039140C"/>
    <w:rsid w:val="00392253"/>
    <w:rsid w:val="00392746"/>
    <w:rsid w:val="00393EC5"/>
    <w:rsid w:val="0039556F"/>
    <w:rsid w:val="00395738"/>
    <w:rsid w:val="003A04DE"/>
    <w:rsid w:val="003A0FCA"/>
    <w:rsid w:val="003A1073"/>
    <w:rsid w:val="003A119C"/>
    <w:rsid w:val="003A1B99"/>
    <w:rsid w:val="003A25C6"/>
    <w:rsid w:val="003A2849"/>
    <w:rsid w:val="003A32B9"/>
    <w:rsid w:val="003A46DE"/>
    <w:rsid w:val="003A5994"/>
    <w:rsid w:val="003A662E"/>
    <w:rsid w:val="003A7C26"/>
    <w:rsid w:val="003B04E4"/>
    <w:rsid w:val="003B0F36"/>
    <w:rsid w:val="003B1F51"/>
    <w:rsid w:val="003B203E"/>
    <w:rsid w:val="003B20D3"/>
    <w:rsid w:val="003B3241"/>
    <w:rsid w:val="003B4871"/>
    <w:rsid w:val="003B4987"/>
    <w:rsid w:val="003B4AAD"/>
    <w:rsid w:val="003B4B8C"/>
    <w:rsid w:val="003B73F0"/>
    <w:rsid w:val="003B7E74"/>
    <w:rsid w:val="003C1A7D"/>
    <w:rsid w:val="003C1F9F"/>
    <w:rsid w:val="003C203C"/>
    <w:rsid w:val="003C2255"/>
    <w:rsid w:val="003C347F"/>
    <w:rsid w:val="003C467F"/>
    <w:rsid w:val="003C536C"/>
    <w:rsid w:val="003C5EA2"/>
    <w:rsid w:val="003C7DEB"/>
    <w:rsid w:val="003D092E"/>
    <w:rsid w:val="003D5A38"/>
    <w:rsid w:val="003D7DDB"/>
    <w:rsid w:val="003D7E40"/>
    <w:rsid w:val="003E0047"/>
    <w:rsid w:val="003E20E5"/>
    <w:rsid w:val="003E5923"/>
    <w:rsid w:val="003E7037"/>
    <w:rsid w:val="003F0E14"/>
    <w:rsid w:val="003F15D4"/>
    <w:rsid w:val="003F1ACA"/>
    <w:rsid w:val="003F1D13"/>
    <w:rsid w:val="003F2111"/>
    <w:rsid w:val="003F29D2"/>
    <w:rsid w:val="003F303B"/>
    <w:rsid w:val="003F529B"/>
    <w:rsid w:val="003F5CFA"/>
    <w:rsid w:val="003F5EAA"/>
    <w:rsid w:val="003F6809"/>
    <w:rsid w:val="004003D4"/>
    <w:rsid w:val="0040103D"/>
    <w:rsid w:val="004017AC"/>
    <w:rsid w:val="00401888"/>
    <w:rsid w:val="00402864"/>
    <w:rsid w:val="0040286C"/>
    <w:rsid w:val="00403FF2"/>
    <w:rsid w:val="00405239"/>
    <w:rsid w:val="004058EB"/>
    <w:rsid w:val="004118E3"/>
    <w:rsid w:val="00411E9A"/>
    <w:rsid w:val="00412483"/>
    <w:rsid w:val="00412749"/>
    <w:rsid w:val="00413B6D"/>
    <w:rsid w:val="004143CE"/>
    <w:rsid w:val="00417C47"/>
    <w:rsid w:val="00417CD8"/>
    <w:rsid w:val="0042166B"/>
    <w:rsid w:val="00422A5E"/>
    <w:rsid w:val="00422D66"/>
    <w:rsid w:val="00423DAB"/>
    <w:rsid w:val="00423DE7"/>
    <w:rsid w:val="004242C9"/>
    <w:rsid w:val="00424F7E"/>
    <w:rsid w:val="004265B5"/>
    <w:rsid w:val="00430414"/>
    <w:rsid w:val="0043067B"/>
    <w:rsid w:val="004306BC"/>
    <w:rsid w:val="00431884"/>
    <w:rsid w:val="00431AFB"/>
    <w:rsid w:val="00432D7F"/>
    <w:rsid w:val="004332BE"/>
    <w:rsid w:val="00434394"/>
    <w:rsid w:val="00435832"/>
    <w:rsid w:val="00436059"/>
    <w:rsid w:val="00436B6B"/>
    <w:rsid w:val="004377E8"/>
    <w:rsid w:val="00441198"/>
    <w:rsid w:val="0044139F"/>
    <w:rsid w:val="00443FFF"/>
    <w:rsid w:val="00444654"/>
    <w:rsid w:val="00445210"/>
    <w:rsid w:val="00445654"/>
    <w:rsid w:val="00445C79"/>
    <w:rsid w:val="004465D0"/>
    <w:rsid w:val="00446C9E"/>
    <w:rsid w:val="00446CEA"/>
    <w:rsid w:val="00447CF0"/>
    <w:rsid w:val="00450533"/>
    <w:rsid w:val="0045116F"/>
    <w:rsid w:val="004516CD"/>
    <w:rsid w:val="00452FD5"/>
    <w:rsid w:val="0045629B"/>
    <w:rsid w:val="004576A6"/>
    <w:rsid w:val="004576DC"/>
    <w:rsid w:val="00457ACC"/>
    <w:rsid w:val="00464514"/>
    <w:rsid w:val="00465675"/>
    <w:rsid w:val="0046669A"/>
    <w:rsid w:val="00466ABA"/>
    <w:rsid w:val="00467068"/>
    <w:rsid w:val="00470A6D"/>
    <w:rsid w:val="00471CC3"/>
    <w:rsid w:val="00472126"/>
    <w:rsid w:val="0047254D"/>
    <w:rsid w:val="00473505"/>
    <w:rsid w:val="004752C6"/>
    <w:rsid w:val="00475A91"/>
    <w:rsid w:val="004770D8"/>
    <w:rsid w:val="00480BB4"/>
    <w:rsid w:val="00481E61"/>
    <w:rsid w:val="00482098"/>
    <w:rsid w:val="00483BDA"/>
    <w:rsid w:val="004845FF"/>
    <w:rsid w:val="00484A54"/>
    <w:rsid w:val="004903B6"/>
    <w:rsid w:val="0049135A"/>
    <w:rsid w:val="00491A4A"/>
    <w:rsid w:val="00491E04"/>
    <w:rsid w:val="0049394A"/>
    <w:rsid w:val="00493CEA"/>
    <w:rsid w:val="0049446F"/>
    <w:rsid w:val="00495269"/>
    <w:rsid w:val="00495E48"/>
    <w:rsid w:val="00497903"/>
    <w:rsid w:val="00497F4A"/>
    <w:rsid w:val="004A05BD"/>
    <w:rsid w:val="004A0ACE"/>
    <w:rsid w:val="004A21CF"/>
    <w:rsid w:val="004A276F"/>
    <w:rsid w:val="004A317A"/>
    <w:rsid w:val="004A3351"/>
    <w:rsid w:val="004A3989"/>
    <w:rsid w:val="004A5C06"/>
    <w:rsid w:val="004A69AD"/>
    <w:rsid w:val="004A6C06"/>
    <w:rsid w:val="004B01B0"/>
    <w:rsid w:val="004B1507"/>
    <w:rsid w:val="004B157B"/>
    <w:rsid w:val="004B16CD"/>
    <w:rsid w:val="004B18B6"/>
    <w:rsid w:val="004B1B13"/>
    <w:rsid w:val="004B2CEA"/>
    <w:rsid w:val="004B2DA0"/>
    <w:rsid w:val="004B2DD9"/>
    <w:rsid w:val="004B3AC3"/>
    <w:rsid w:val="004B3F32"/>
    <w:rsid w:val="004C026A"/>
    <w:rsid w:val="004C0601"/>
    <w:rsid w:val="004C0C36"/>
    <w:rsid w:val="004C1F8C"/>
    <w:rsid w:val="004C35FB"/>
    <w:rsid w:val="004C7E84"/>
    <w:rsid w:val="004D043C"/>
    <w:rsid w:val="004D16E6"/>
    <w:rsid w:val="004D22C7"/>
    <w:rsid w:val="004D2615"/>
    <w:rsid w:val="004D2BC9"/>
    <w:rsid w:val="004D382B"/>
    <w:rsid w:val="004D431A"/>
    <w:rsid w:val="004D50B5"/>
    <w:rsid w:val="004D6294"/>
    <w:rsid w:val="004D6B33"/>
    <w:rsid w:val="004D72CF"/>
    <w:rsid w:val="004D7E08"/>
    <w:rsid w:val="004E04C1"/>
    <w:rsid w:val="004E1120"/>
    <w:rsid w:val="004E175B"/>
    <w:rsid w:val="004E25DC"/>
    <w:rsid w:val="004E5FED"/>
    <w:rsid w:val="004E680A"/>
    <w:rsid w:val="004E7937"/>
    <w:rsid w:val="004F0DFA"/>
    <w:rsid w:val="004F11E6"/>
    <w:rsid w:val="004F2313"/>
    <w:rsid w:val="004F2DA5"/>
    <w:rsid w:val="004F3930"/>
    <w:rsid w:val="004F439D"/>
    <w:rsid w:val="004F4EFE"/>
    <w:rsid w:val="004F52C3"/>
    <w:rsid w:val="00500D10"/>
    <w:rsid w:val="005028F3"/>
    <w:rsid w:val="00502A3B"/>
    <w:rsid w:val="00502D45"/>
    <w:rsid w:val="00502F15"/>
    <w:rsid w:val="005037E9"/>
    <w:rsid w:val="00503C44"/>
    <w:rsid w:val="00505476"/>
    <w:rsid w:val="00506D6B"/>
    <w:rsid w:val="0050780A"/>
    <w:rsid w:val="00507F6B"/>
    <w:rsid w:val="00510434"/>
    <w:rsid w:val="00510C68"/>
    <w:rsid w:val="005115C4"/>
    <w:rsid w:val="00512237"/>
    <w:rsid w:val="0051460E"/>
    <w:rsid w:val="00515051"/>
    <w:rsid w:val="00515E23"/>
    <w:rsid w:val="00516439"/>
    <w:rsid w:val="00516BA2"/>
    <w:rsid w:val="00517447"/>
    <w:rsid w:val="00517A08"/>
    <w:rsid w:val="0052093A"/>
    <w:rsid w:val="00521EB5"/>
    <w:rsid w:val="00522D05"/>
    <w:rsid w:val="0052632E"/>
    <w:rsid w:val="00526A3B"/>
    <w:rsid w:val="00527549"/>
    <w:rsid w:val="00530034"/>
    <w:rsid w:val="0053060C"/>
    <w:rsid w:val="00530EEF"/>
    <w:rsid w:val="00531BD1"/>
    <w:rsid w:val="0053361D"/>
    <w:rsid w:val="00533CB2"/>
    <w:rsid w:val="00533D16"/>
    <w:rsid w:val="00534001"/>
    <w:rsid w:val="00535354"/>
    <w:rsid w:val="0053797E"/>
    <w:rsid w:val="00537A75"/>
    <w:rsid w:val="00541C9E"/>
    <w:rsid w:val="00541D4B"/>
    <w:rsid w:val="00543F7A"/>
    <w:rsid w:val="00543FC1"/>
    <w:rsid w:val="00544161"/>
    <w:rsid w:val="00545E0E"/>
    <w:rsid w:val="00546353"/>
    <w:rsid w:val="005463E6"/>
    <w:rsid w:val="0054651C"/>
    <w:rsid w:val="005465A5"/>
    <w:rsid w:val="00550996"/>
    <w:rsid w:val="005535AA"/>
    <w:rsid w:val="00553A3C"/>
    <w:rsid w:val="00554D87"/>
    <w:rsid w:val="0055563E"/>
    <w:rsid w:val="005578DA"/>
    <w:rsid w:val="005603DA"/>
    <w:rsid w:val="00560635"/>
    <w:rsid w:val="00563C01"/>
    <w:rsid w:val="00563C2D"/>
    <w:rsid w:val="00563CF6"/>
    <w:rsid w:val="00566328"/>
    <w:rsid w:val="00566600"/>
    <w:rsid w:val="005675D8"/>
    <w:rsid w:val="0057120C"/>
    <w:rsid w:val="0057157C"/>
    <w:rsid w:val="00572C26"/>
    <w:rsid w:val="00573E9D"/>
    <w:rsid w:val="0057424D"/>
    <w:rsid w:val="00576773"/>
    <w:rsid w:val="00583F0C"/>
    <w:rsid w:val="00585E53"/>
    <w:rsid w:val="0058640C"/>
    <w:rsid w:val="00591304"/>
    <w:rsid w:val="00591829"/>
    <w:rsid w:val="0059283F"/>
    <w:rsid w:val="00594DAD"/>
    <w:rsid w:val="00596425"/>
    <w:rsid w:val="00596EB0"/>
    <w:rsid w:val="00597150"/>
    <w:rsid w:val="005975A4"/>
    <w:rsid w:val="0059770E"/>
    <w:rsid w:val="00597981"/>
    <w:rsid w:val="005A0616"/>
    <w:rsid w:val="005A3049"/>
    <w:rsid w:val="005A405D"/>
    <w:rsid w:val="005A4B3B"/>
    <w:rsid w:val="005A4E8D"/>
    <w:rsid w:val="005A501E"/>
    <w:rsid w:val="005A620A"/>
    <w:rsid w:val="005A6541"/>
    <w:rsid w:val="005B007D"/>
    <w:rsid w:val="005B03D0"/>
    <w:rsid w:val="005B0CE9"/>
    <w:rsid w:val="005B0F88"/>
    <w:rsid w:val="005B1DF9"/>
    <w:rsid w:val="005B1E44"/>
    <w:rsid w:val="005B37AF"/>
    <w:rsid w:val="005B4245"/>
    <w:rsid w:val="005B5D59"/>
    <w:rsid w:val="005B620F"/>
    <w:rsid w:val="005B7CF0"/>
    <w:rsid w:val="005C02EF"/>
    <w:rsid w:val="005C0D28"/>
    <w:rsid w:val="005C184F"/>
    <w:rsid w:val="005C20CE"/>
    <w:rsid w:val="005C3A58"/>
    <w:rsid w:val="005C43A2"/>
    <w:rsid w:val="005C4F70"/>
    <w:rsid w:val="005C55AC"/>
    <w:rsid w:val="005C61C0"/>
    <w:rsid w:val="005C62AB"/>
    <w:rsid w:val="005D0773"/>
    <w:rsid w:val="005D11A4"/>
    <w:rsid w:val="005D11A8"/>
    <w:rsid w:val="005D23A2"/>
    <w:rsid w:val="005D24B7"/>
    <w:rsid w:val="005D2546"/>
    <w:rsid w:val="005D2759"/>
    <w:rsid w:val="005D49C5"/>
    <w:rsid w:val="005D5335"/>
    <w:rsid w:val="005D668C"/>
    <w:rsid w:val="005D74E9"/>
    <w:rsid w:val="005D7CF9"/>
    <w:rsid w:val="005E3CF4"/>
    <w:rsid w:val="005E3FD3"/>
    <w:rsid w:val="005E44A9"/>
    <w:rsid w:val="005E4987"/>
    <w:rsid w:val="005E4E4D"/>
    <w:rsid w:val="005E51FE"/>
    <w:rsid w:val="005E6330"/>
    <w:rsid w:val="005E781E"/>
    <w:rsid w:val="005E78F0"/>
    <w:rsid w:val="005E7B46"/>
    <w:rsid w:val="005F10D4"/>
    <w:rsid w:val="005F1220"/>
    <w:rsid w:val="005F26CE"/>
    <w:rsid w:val="005F42D7"/>
    <w:rsid w:val="005F4761"/>
    <w:rsid w:val="005F4C4F"/>
    <w:rsid w:val="005F4E37"/>
    <w:rsid w:val="005F662A"/>
    <w:rsid w:val="005F6DC8"/>
    <w:rsid w:val="005F736D"/>
    <w:rsid w:val="005F7A47"/>
    <w:rsid w:val="00600337"/>
    <w:rsid w:val="00601089"/>
    <w:rsid w:val="00601BC9"/>
    <w:rsid w:val="00602AF4"/>
    <w:rsid w:val="00605254"/>
    <w:rsid w:val="00611996"/>
    <w:rsid w:val="00611FF0"/>
    <w:rsid w:val="0061272F"/>
    <w:rsid w:val="006132ED"/>
    <w:rsid w:val="00614780"/>
    <w:rsid w:val="00614882"/>
    <w:rsid w:val="00614B7B"/>
    <w:rsid w:val="00615320"/>
    <w:rsid w:val="00615AE0"/>
    <w:rsid w:val="006173FF"/>
    <w:rsid w:val="006174DE"/>
    <w:rsid w:val="0062036C"/>
    <w:rsid w:val="00620AF2"/>
    <w:rsid w:val="0062152E"/>
    <w:rsid w:val="00621E7E"/>
    <w:rsid w:val="0062399B"/>
    <w:rsid w:val="0062504C"/>
    <w:rsid w:val="0062526E"/>
    <w:rsid w:val="006260A5"/>
    <w:rsid w:val="0062653F"/>
    <w:rsid w:val="0062790F"/>
    <w:rsid w:val="00632877"/>
    <w:rsid w:val="00632A6D"/>
    <w:rsid w:val="00633951"/>
    <w:rsid w:val="00634B6D"/>
    <w:rsid w:val="00634CE0"/>
    <w:rsid w:val="00635526"/>
    <w:rsid w:val="00635561"/>
    <w:rsid w:val="00635DEB"/>
    <w:rsid w:val="00637CB9"/>
    <w:rsid w:val="00640774"/>
    <w:rsid w:val="00640B35"/>
    <w:rsid w:val="00641E7A"/>
    <w:rsid w:val="00643331"/>
    <w:rsid w:val="006448D0"/>
    <w:rsid w:val="00644BA1"/>
    <w:rsid w:val="00644E41"/>
    <w:rsid w:val="00645E57"/>
    <w:rsid w:val="00646991"/>
    <w:rsid w:val="00647CE7"/>
    <w:rsid w:val="00651C00"/>
    <w:rsid w:val="00651D63"/>
    <w:rsid w:val="00651E20"/>
    <w:rsid w:val="0065488C"/>
    <w:rsid w:val="00654CAD"/>
    <w:rsid w:val="00654D1D"/>
    <w:rsid w:val="00656E5A"/>
    <w:rsid w:val="00657ECA"/>
    <w:rsid w:val="00660E18"/>
    <w:rsid w:val="006611AB"/>
    <w:rsid w:val="00661398"/>
    <w:rsid w:val="00661870"/>
    <w:rsid w:val="00661A7D"/>
    <w:rsid w:val="00665625"/>
    <w:rsid w:val="0066580D"/>
    <w:rsid w:val="00665A5A"/>
    <w:rsid w:val="0067145F"/>
    <w:rsid w:val="00671BAF"/>
    <w:rsid w:val="00672460"/>
    <w:rsid w:val="00673EBF"/>
    <w:rsid w:val="006755C0"/>
    <w:rsid w:val="00675703"/>
    <w:rsid w:val="00677BEE"/>
    <w:rsid w:val="00681265"/>
    <w:rsid w:val="006827A5"/>
    <w:rsid w:val="00683C62"/>
    <w:rsid w:val="0068485D"/>
    <w:rsid w:val="00684D56"/>
    <w:rsid w:val="006855D3"/>
    <w:rsid w:val="006858F5"/>
    <w:rsid w:val="00685E77"/>
    <w:rsid w:val="006871B1"/>
    <w:rsid w:val="00687676"/>
    <w:rsid w:val="0069013B"/>
    <w:rsid w:val="00691A0B"/>
    <w:rsid w:val="00692BD2"/>
    <w:rsid w:val="00692C4F"/>
    <w:rsid w:val="006935FE"/>
    <w:rsid w:val="006936E4"/>
    <w:rsid w:val="00695070"/>
    <w:rsid w:val="006961C6"/>
    <w:rsid w:val="00696A2A"/>
    <w:rsid w:val="00696B6E"/>
    <w:rsid w:val="006972AC"/>
    <w:rsid w:val="006A07E9"/>
    <w:rsid w:val="006A12FA"/>
    <w:rsid w:val="006A131D"/>
    <w:rsid w:val="006A1357"/>
    <w:rsid w:val="006A21D5"/>
    <w:rsid w:val="006A21DE"/>
    <w:rsid w:val="006A250C"/>
    <w:rsid w:val="006A3AE2"/>
    <w:rsid w:val="006A42CD"/>
    <w:rsid w:val="006A55AB"/>
    <w:rsid w:val="006A57AC"/>
    <w:rsid w:val="006A7C07"/>
    <w:rsid w:val="006B043A"/>
    <w:rsid w:val="006B1F9B"/>
    <w:rsid w:val="006B2503"/>
    <w:rsid w:val="006B2518"/>
    <w:rsid w:val="006B2C65"/>
    <w:rsid w:val="006B376C"/>
    <w:rsid w:val="006B3A7C"/>
    <w:rsid w:val="006B4258"/>
    <w:rsid w:val="006B6FEA"/>
    <w:rsid w:val="006B790A"/>
    <w:rsid w:val="006C211C"/>
    <w:rsid w:val="006C2853"/>
    <w:rsid w:val="006C38A2"/>
    <w:rsid w:val="006C628E"/>
    <w:rsid w:val="006C7600"/>
    <w:rsid w:val="006D0083"/>
    <w:rsid w:val="006D00D5"/>
    <w:rsid w:val="006D0CFE"/>
    <w:rsid w:val="006D2101"/>
    <w:rsid w:val="006D25F5"/>
    <w:rsid w:val="006D2E76"/>
    <w:rsid w:val="006D37AB"/>
    <w:rsid w:val="006D57E8"/>
    <w:rsid w:val="006D7E68"/>
    <w:rsid w:val="006E0559"/>
    <w:rsid w:val="006E07A5"/>
    <w:rsid w:val="006E152F"/>
    <w:rsid w:val="006E3825"/>
    <w:rsid w:val="006E472F"/>
    <w:rsid w:val="006E4CF2"/>
    <w:rsid w:val="006E50E2"/>
    <w:rsid w:val="006E7015"/>
    <w:rsid w:val="006E7CAE"/>
    <w:rsid w:val="006F0E3F"/>
    <w:rsid w:val="006F0ED3"/>
    <w:rsid w:val="006F1552"/>
    <w:rsid w:val="006F1C76"/>
    <w:rsid w:val="006F3414"/>
    <w:rsid w:val="006F4C94"/>
    <w:rsid w:val="006F523F"/>
    <w:rsid w:val="006F5F33"/>
    <w:rsid w:val="007000CF"/>
    <w:rsid w:val="007021BE"/>
    <w:rsid w:val="007029F7"/>
    <w:rsid w:val="0070341A"/>
    <w:rsid w:val="007035C0"/>
    <w:rsid w:val="00706A99"/>
    <w:rsid w:val="00706D06"/>
    <w:rsid w:val="00706D33"/>
    <w:rsid w:val="00707575"/>
    <w:rsid w:val="00707DC9"/>
    <w:rsid w:val="0071161E"/>
    <w:rsid w:val="00712106"/>
    <w:rsid w:val="007131EE"/>
    <w:rsid w:val="0071364C"/>
    <w:rsid w:val="00714671"/>
    <w:rsid w:val="00716E2B"/>
    <w:rsid w:val="007176F2"/>
    <w:rsid w:val="00720434"/>
    <w:rsid w:val="00720719"/>
    <w:rsid w:val="00720BB7"/>
    <w:rsid w:val="00720E42"/>
    <w:rsid w:val="00721B7B"/>
    <w:rsid w:val="00725D58"/>
    <w:rsid w:val="00726136"/>
    <w:rsid w:val="0072706A"/>
    <w:rsid w:val="00727694"/>
    <w:rsid w:val="007276D9"/>
    <w:rsid w:val="00727AA9"/>
    <w:rsid w:val="00730E74"/>
    <w:rsid w:val="007335B4"/>
    <w:rsid w:val="00733603"/>
    <w:rsid w:val="0073524E"/>
    <w:rsid w:val="0073530B"/>
    <w:rsid w:val="00737CAB"/>
    <w:rsid w:val="00740B04"/>
    <w:rsid w:val="0074337A"/>
    <w:rsid w:val="0075028E"/>
    <w:rsid w:val="00750BC1"/>
    <w:rsid w:val="0075233B"/>
    <w:rsid w:val="00753AC8"/>
    <w:rsid w:val="007560AA"/>
    <w:rsid w:val="00757A9A"/>
    <w:rsid w:val="00757BA7"/>
    <w:rsid w:val="00760375"/>
    <w:rsid w:val="007603ED"/>
    <w:rsid w:val="00761C6A"/>
    <w:rsid w:val="00762545"/>
    <w:rsid w:val="00762B43"/>
    <w:rsid w:val="00763D99"/>
    <w:rsid w:val="0076408C"/>
    <w:rsid w:val="007676AF"/>
    <w:rsid w:val="007706DC"/>
    <w:rsid w:val="00770897"/>
    <w:rsid w:val="0077181E"/>
    <w:rsid w:val="0077182C"/>
    <w:rsid w:val="007725D5"/>
    <w:rsid w:val="007737F3"/>
    <w:rsid w:val="0077385B"/>
    <w:rsid w:val="00775252"/>
    <w:rsid w:val="00775DB5"/>
    <w:rsid w:val="0077613B"/>
    <w:rsid w:val="0077634D"/>
    <w:rsid w:val="00776517"/>
    <w:rsid w:val="00777F35"/>
    <w:rsid w:val="007814FD"/>
    <w:rsid w:val="007853EB"/>
    <w:rsid w:val="007856FD"/>
    <w:rsid w:val="007861F4"/>
    <w:rsid w:val="00787080"/>
    <w:rsid w:val="00787420"/>
    <w:rsid w:val="00787A02"/>
    <w:rsid w:val="00790CCD"/>
    <w:rsid w:val="00791AE0"/>
    <w:rsid w:val="00791C7F"/>
    <w:rsid w:val="00793BC4"/>
    <w:rsid w:val="0079487E"/>
    <w:rsid w:val="00795D6C"/>
    <w:rsid w:val="007A30B8"/>
    <w:rsid w:val="007A39D7"/>
    <w:rsid w:val="007A3D03"/>
    <w:rsid w:val="007A49CA"/>
    <w:rsid w:val="007A4E79"/>
    <w:rsid w:val="007A5673"/>
    <w:rsid w:val="007A6004"/>
    <w:rsid w:val="007A648C"/>
    <w:rsid w:val="007A7A92"/>
    <w:rsid w:val="007A7E07"/>
    <w:rsid w:val="007B03E8"/>
    <w:rsid w:val="007B1498"/>
    <w:rsid w:val="007B2F24"/>
    <w:rsid w:val="007B3278"/>
    <w:rsid w:val="007B398F"/>
    <w:rsid w:val="007B4DB9"/>
    <w:rsid w:val="007B4F06"/>
    <w:rsid w:val="007B593A"/>
    <w:rsid w:val="007B5ACB"/>
    <w:rsid w:val="007B6018"/>
    <w:rsid w:val="007B6BFA"/>
    <w:rsid w:val="007B7556"/>
    <w:rsid w:val="007C0993"/>
    <w:rsid w:val="007C1460"/>
    <w:rsid w:val="007C1DAA"/>
    <w:rsid w:val="007C3ADC"/>
    <w:rsid w:val="007C4F44"/>
    <w:rsid w:val="007C563B"/>
    <w:rsid w:val="007C5C03"/>
    <w:rsid w:val="007C6147"/>
    <w:rsid w:val="007C7737"/>
    <w:rsid w:val="007C7CC2"/>
    <w:rsid w:val="007D043F"/>
    <w:rsid w:val="007D0648"/>
    <w:rsid w:val="007D0991"/>
    <w:rsid w:val="007D19BF"/>
    <w:rsid w:val="007D292F"/>
    <w:rsid w:val="007D2A08"/>
    <w:rsid w:val="007D2ADA"/>
    <w:rsid w:val="007D37C0"/>
    <w:rsid w:val="007D3E17"/>
    <w:rsid w:val="007D4197"/>
    <w:rsid w:val="007D601A"/>
    <w:rsid w:val="007D6E54"/>
    <w:rsid w:val="007D6F28"/>
    <w:rsid w:val="007D744B"/>
    <w:rsid w:val="007D7C73"/>
    <w:rsid w:val="007E0BA3"/>
    <w:rsid w:val="007E0D14"/>
    <w:rsid w:val="007E1A3C"/>
    <w:rsid w:val="007E231C"/>
    <w:rsid w:val="007E2F2E"/>
    <w:rsid w:val="007E2FA3"/>
    <w:rsid w:val="007E395B"/>
    <w:rsid w:val="007E5B90"/>
    <w:rsid w:val="007F0231"/>
    <w:rsid w:val="007F245A"/>
    <w:rsid w:val="007F2BDA"/>
    <w:rsid w:val="007F2C4B"/>
    <w:rsid w:val="007F2DBA"/>
    <w:rsid w:val="007F4AC0"/>
    <w:rsid w:val="007F4C92"/>
    <w:rsid w:val="007F5E5D"/>
    <w:rsid w:val="007F6F78"/>
    <w:rsid w:val="007F77E5"/>
    <w:rsid w:val="007F78B7"/>
    <w:rsid w:val="00801B5B"/>
    <w:rsid w:val="0080216B"/>
    <w:rsid w:val="00802C5E"/>
    <w:rsid w:val="0080439F"/>
    <w:rsid w:val="008048C1"/>
    <w:rsid w:val="008057DB"/>
    <w:rsid w:val="00805865"/>
    <w:rsid w:val="00805CBA"/>
    <w:rsid w:val="008079A4"/>
    <w:rsid w:val="0081109B"/>
    <w:rsid w:val="008111A9"/>
    <w:rsid w:val="00812331"/>
    <w:rsid w:val="00812613"/>
    <w:rsid w:val="00812D93"/>
    <w:rsid w:val="00812F26"/>
    <w:rsid w:val="008132B1"/>
    <w:rsid w:val="00813962"/>
    <w:rsid w:val="00813AB3"/>
    <w:rsid w:val="00814665"/>
    <w:rsid w:val="00817DDD"/>
    <w:rsid w:val="0082143F"/>
    <w:rsid w:val="00822179"/>
    <w:rsid w:val="00822BCF"/>
    <w:rsid w:val="0082431C"/>
    <w:rsid w:val="00826310"/>
    <w:rsid w:val="00826BC6"/>
    <w:rsid w:val="00830407"/>
    <w:rsid w:val="00830712"/>
    <w:rsid w:val="008330ED"/>
    <w:rsid w:val="00833785"/>
    <w:rsid w:val="00834CD2"/>
    <w:rsid w:val="00836166"/>
    <w:rsid w:val="008361DF"/>
    <w:rsid w:val="0083729B"/>
    <w:rsid w:val="00840321"/>
    <w:rsid w:val="00842531"/>
    <w:rsid w:val="00842D79"/>
    <w:rsid w:val="00842FFD"/>
    <w:rsid w:val="00845152"/>
    <w:rsid w:val="008467AA"/>
    <w:rsid w:val="00846E0D"/>
    <w:rsid w:val="00847C4F"/>
    <w:rsid w:val="00847CDD"/>
    <w:rsid w:val="00847D92"/>
    <w:rsid w:val="008509D0"/>
    <w:rsid w:val="00851C59"/>
    <w:rsid w:val="00852256"/>
    <w:rsid w:val="00853C11"/>
    <w:rsid w:val="00854587"/>
    <w:rsid w:val="008553EF"/>
    <w:rsid w:val="00856795"/>
    <w:rsid w:val="00857DF2"/>
    <w:rsid w:val="008614FE"/>
    <w:rsid w:val="00861638"/>
    <w:rsid w:val="008635BD"/>
    <w:rsid w:val="0086402B"/>
    <w:rsid w:val="008654EC"/>
    <w:rsid w:val="00867B18"/>
    <w:rsid w:val="00867DB3"/>
    <w:rsid w:val="00867E66"/>
    <w:rsid w:val="0087078D"/>
    <w:rsid w:val="00870857"/>
    <w:rsid w:val="0087088E"/>
    <w:rsid w:val="0087150E"/>
    <w:rsid w:val="00871B92"/>
    <w:rsid w:val="00872275"/>
    <w:rsid w:val="00872B23"/>
    <w:rsid w:val="00872D04"/>
    <w:rsid w:val="00873127"/>
    <w:rsid w:val="00874336"/>
    <w:rsid w:val="00874CB3"/>
    <w:rsid w:val="00875AD6"/>
    <w:rsid w:val="00875C00"/>
    <w:rsid w:val="008765F5"/>
    <w:rsid w:val="00880126"/>
    <w:rsid w:val="0088065B"/>
    <w:rsid w:val="00881172"/>
    <w:rsid w:val="00881506"/>
    <w:rsid w:val="00881A8B"/>
    <w:rsid w:val="00884550"/>
    <w:rsid w:val="0088481E"/>
    <w:rsid w:val="008848D2"/>
    <w:rsid w:val="00884B79"/>
    <w:rsid w:val="00885228"/>
    <w:rsid w:val="00885498"/>
    <w:rsid w:val="00887937"/>
    <w:rsid w:val="00887FD9"/>
    <w:rsid w:val="00891281"/>
    <w:rsid w:val="008912C3"/>
    <w:rsid w:val="008918FA"/>
    <w:rsid w:val="008929F9"/>
    <w:rsid w:val="00892D13"/>
    <w:rsid w:val="00893198"/>
    <w:rsid w:val="00895464"/>
    <w:rsid w:val="00895B42"/>
    <w:rsid w:val="008A0576"/>
    <w:rsid w:val="008A232D"/>
    <w:rsid w:val="008A2A71"/>
    <w:rsid w:val="008A5167"/>
    <w:rsid w:val="008B0183"/>
    <w:rsid w:val="008B3116"/>
    <w:rsid w:val="008B3FAF"/>
    <w:rsid w:val="008B49E4"/>
    <w:rsid w:val="008B4E66"/>
    <w:rsid w:val="008B52DB"/>
    <w:rsid w:val="008B5CB3"/>
    <w:rsid w:val="008B7DEB"/>
    <w:rsid w:val="008C0F74"/>
    <w:rsid w:val="008C1AF8"/>
    <w:rsid w:val="008C20CE"/>
    <w:rsid w:val="008C52A2"/>
    <w:rsid w:val="008D01D1"/>
    <w:rsid w:val="008D06ED"/>
    <w:rsid w:val="008D0E1E"/>
    <w:rsid w:val="008D106A"/>
    <w:rsid w:val="008D2630"/>
    <w:rsid w:val="008D2C83"/>
    <w:rsid w:val="008D32F8"/>
    <w:rsid w:val="008D345C"/>
    <w:rsid w:val="008D391B"/>
    <w:rsid w:val="008D46A3"/>
    <w:rsid w:val="008D47DB"/>
    <w:rsid w:val="008D48A4"/>
    <w:rsid w:val="008D5149"/>
    <w:rsid w:val="008D6EB9"/>
    <w:rsid w:val="008D72D9"/>
    <w:rsid w:val="008E1A77"/>
    <w:rsid w:val="008E356C"/>
    <w:rsid w:val="008E3B62"/>
    <w:rsid w:val="008E5AFC"/>
    <w:rsid w:val="008E5BC6"/>
    <w:rsid w:val="008E6FC7"/>
    <w:rsid w:val="008E7618"/>
    <w:rsid w:val="008F0F91"/>
    <w:rsid w:val="008F1540"/>
    <w:rsid w:val="008F3FEF"/>
    <w:rsid w:val="008F54B5"/>
    <w:rsid w:val="008F57D4"/>
    <w:rsid w:val="008F690C"/>
    <w:rsid w:val="008F72B6"/>
    <w:rsid w:val="008F750D"/>
    <w:rsid w:val="009006A4"/>
    <w:rsid w:val="00900D89"/>
    <w:rsid w:val="00900DA8"/>
    <w:rsid w:val="00900E1A"/>
    <w:rsid w:val="00900EC5"/>
    <w:rsid w:val="00901073"/>
    <w:rsid w:val="00902357"/>
    <w:rsid w:val="00902D9B"/>
    <w:rsid w:val="00903AC8"/>
    <w:rsid w:val="00905505"/>
    <w:rsid w:val="009058E4"/>
    <w:rsid w:val="00905B44"/>
    <w:rsid w:val="00907049"/>
    <w:rsid w:val="0091003A"/>
    <w:rsid w:val="00911C09"/>
    <w:rsid w:val="009125C5"/>
    <w:rsid w:val="00912648"/>
    <w:rsid w:val="00912AC4"/>
    <w:rsid w:val="00912D82"/>
    <w:rsid w:val="00913563"/>
    <w:rsid w:val="0091605B"/>
    <w:rsid w:val="00916106"/>
    <w:rsid w:val="009179B3"/>
    <w:rsid w:val="009205C9"/>
    <w:rsid w:val="00920698"/>
    <w:rsid w:val="00920733"/>
    <w:rsid w:val="0092126C"/>
    <w:rsid w:val="00921AF0"/>
    <w:rsid w:val="00921D01"/>
    <w:rsid w:val="00923131"/>
    <w:rsid w:val="00923A04"/>
    <w:rsid w:val="009241B8"/>
    <w:rsid w:val="009248CD"/>
    <w:rsid w:val="009251B7"/>
    <w:rsid w:val="0092533B"/>
    <w:rsid w:val="00925989"/>
    <w:rsid w:val="0092608F"/>
    <w:rsid w:val="00926A36"/>
    <w:rsid w:val="009279EE"/>
    <w:rsid w:val="00927FF8"/>
    <w:rsid w:val="00930D9F"/>
    <w:rsid w:val="00932060"/>
    <w:rsid w:val="0093230F"/>
    <w:rsid w:val="009331C9"/>
    <w:rsid w:val="009372BA"/>
    <w:rsid w:val="009375B1"/>
    <w:rsid w:val="0093799A"/>
    <w:rsid w:val="00941EDD"/>
    <w:rsid w:val="00942590"/>
    <w:rsid w:val="00943A8D"/>
    <w:rsid w:val="00943D01"/>
    <w:rsid w:val="00946FEF"/>
    <w:rsid w:val="00951469"/>
    <w:rsid w:val="00951A7B"/>
    <w:rsid w:val="00953B75"/>
    <w:rsid w:val="00954269"/>
    <w:rsid w:val="00956427"/>
    <w:rsid w:val="00957236"/>
    <w:rsid w:val="00957394"/>
    <w:rsid w:val="009575A1"/>
    <w:rsid w:val="00957AEE"/>
    <w:rsid w:val="009606BF"/>
    <w:rsid w:val="00961E88"/>
    <w:rsid w:val="009641CE"/>
    <w:rsid w:val="009654DD"/>
    <w:rsid w:val="009655D4"/>
    <w:rsid w:val="00966128"/>
    <w:rsid w:val="00966691"/>
    <w:rsid w:val="00966BEE"/>
    <w:rsid w:val="00971431"/>
    <w:rsid w:val="009719C9"/>
    <w:rsid w:val="00972261"/>
    <w:rsid w:val="009747E9"/>
    <w:rsid w:val="00977342"/>
    <w:rsid w:val="00980416"/>
    <w:rsid w:val="00980C48"/>
    <w:rsid w:val="00982E24"/>
    <w:rsid w:val="009837CA"/>
    <w:rsid w:val="009839C3"/>
    <w:rsid w:val="00983B67"/>
    <w:rsid w:val="0098434A"/>
    <w:rsid w:val="009859C5"/>
    <w:rsid w:val="009860AE"/>
    <w:rsid w:val="009870A6"/>
    <w:rsid w:val="00990212"/>
    <w:rsid w:val="00991390"/>
    <w:rsid w:val="009916B4"/>
    <w:rsid w:val="009940A4"/>
    <w:rsid w:val="00994C40"/>
    <w:rsid w:val="0099535A"/>
    <w:rsid w:val="009957DE"/>
    <w:rsid w:val="009A10D2"/>
    <w:rsid w:val="009A1BFD"/>
    <w:rsid w:val="009A52AA"/>
    <w:rsid w:val="009A5511"/>
    <w:rsid w:val="009A640C"/>
    <w:rsid w:val="009A6D13"/>
    <w:rsid w:val="009A7963"/>
    <w:rsid w:val="009A79E8"/>
    <w:rsid w:val="009A7A34"/>
    <w:rsid w:val="009A7DEE"/>
    <w:rsid w:val="009B02AE"/>
    <w:rsid w:val="009B2031"/>
    <w:rsid w:val="009B352A"/>
    <w:rsid w:val="009B3BE4"/>
    <w:rsid w:val="009B4758"/>
    <w:rsid w:val="009B7B34"/>
    <w:rsid w:val="009C0D8F"/>
    <w:rsid w:val="009C0E22"/>
    <w:rsid w:val="009C1C71"/>
    <w:rsid w:val="009C2747"/>
    <w:rsid w:val="009C2AFD"/>
    <w:rsid w:val="009C3082"/>
    <w:rsid w:val="009C35AD"/>
    <w:rsid w:val="009C3DED"/>
    <w:rsid w:val="009C3FFF"/>
    <w:rsid w:val="009C44F3"/>
    <w:rsid w:val="009C4632"/>
    <w:rsid w:val="009C4A1E"/>
    <w:rsid w:val="009C564F"/>
    <w:rsid w:val="009C6BE6"/>
    <w:rsid w:val="009C76A9"/>
    <w:rsid w:val="009C7BE1"/>
    <w:rsid w:val="009D1338"/>
    <w:rsid w:val="009D1A17"/>
    <w:rsid w:val="009D1B7D"/>
    <w:rsid w:val="009D40C6"/>
    <w:rsid w:val="009D50C2"/>
    <w:rsid w:val="009D571E"/>
    <w:rsid w:val="009E2EFB"/>
    <w:rsid w:val="009E3362"/>
    <w:rsid w:val="009E48F2"/>
    <w:rsid w:val="009E50B2"/>
    <w:rsid w:val="009E6F02"/>
    <w:rsid w:val="009F116B"/>
    <w:rsid w:val="009F13E7"/>
    <w:rsid w:val="009F1B20"/>
    <w:rsid w:val="009F1B83"/>
    <w:rsid w:val="009F1EE8"/>
    <w:rsid w:val="009F319F"/>
    <w:rsid w:val="009F3922"/>
    <w:rsid w:val="009F3D7A"/>
    <w:rsid w:val="009F3F3B"/>
    <w:rsid w:val="009F6979"/>
    <w:rsid w:val="00A00798"/>
    <w:rsid w:val="00A008FA"/>
    <w:rsid w:val="00A02B02"/>
    <w:rsid w:val="00A02FD4"/>
    <w:rsid w:val="00A04A50"/>
    <w:rsid w:val="00A0698B"/>
    <w:rsid w:val="00A107F2"/>
    <w:rsid w:val="00A1090F"/>
    <w:rsid w:val="00A10E40"/>
    <w:rsid w:val="00A113AC"/>
    <w:rsid w:val="00A119AB"/>
    <w:rsid w:val="00A12D28"/>
    <w:rsid w:val="00A13961"/>
    <w:rsid w:val="00A1459E"/>
    <w:rsid w:val="00A14D71"/>
    <w:rsid w:val="00A158F3"/>
    <w:rsid w:val="00A15A52"/>
    <w:rsid w:val="00A164B7"/>
    <w:rsid w:val="00A17DAB"/>
    <w:rsid w:val="00A206AC"/>
    <w:rsid w:val="00A21C86"/>
    <w:rsid w:val="00A21C9C"/>
    <w:rsid w:val="00A2248E"/>
    <w:rsid w:val="00A23E6F"/>
    <w:rsid w:val="00A24D6D"/>
    <w:rsid w:val="00A25EDB"/>
    <w:rsid w:val="00A26AFA"/>
    <w:rsid w:val="00A30B6F"/>
    <w:rsid w:val="00A317A3"/>
    <w:rsid w:val="00A31D34"/>
    <w:rsid w:val="00A31DF8"/>
    <w:rsid w:val="00A323EB"/>
    <w:rsid w:val="00A32D23"/>
    <w:rsid w:val="00A32D2B"/>
    <w:rsid w:val="00A337A7"/>
    <w:rsid w:val="00A33911"/>
    <w:rsid w:val="00A34274"/>
    <w:rsid w:val="00A3493E"/>
    <w:rsid w:val="00A34D72"/>
    <w:rsid w:val="00A3621C"/>
    <w:rsid w:val="00A36611"/>
    <w:rsid w:val="00A366F0"/>
    <w:rsid w:val="00A36930"/>
    <w:rsid w:val="00A377C1"/>
    <w:rsid w:val="00A416E2"/>
    <w:rsid w:val="00A4302E"/>
    <w:rsid w:val="00A43072"/>
    <w:rsid w:val="00A44262"/>
    <w:rsid w:val="00A44452"/>
    <w:rsid w:val="00A455E6"/>
    <w:rsid w:val="00A45D9F"/>
    <w:rsid w:val="00A464EE"/>
    <w:rsid w:val="00A475C1"/>
    <w:rsid w:val="00A53834"/>
    <w:rsid w:val="00A542BD"/>
    <w:rsid w:val="00A55123"/>
    <w:rsid w:val="00A55754"/>
    <w:rsid w:val="00A5590B"/>
    <w:rsid w:val="00A55D73"/>
    <w:rsid w:val="00A55E18"/>
    <w:rsid w:val="00A56612"/>
    <w:rsid w:val="00A56E16"/>
    <w:rsid w:val="00A57858"/>
    <w:rsid w:val="00A60093"/>
    <w:rsid w:val="00A621AA"/>
    <w:rsid w:val="00A63281"/>
    <w:rsid w:val="00A634ED"/>
    <w:rsid w:val="00A64176"/>
    <w:rsid w:val="00A642BA"/>
    <w:rsid w:val="00A64D0A"/>
    <w:rsid w:val="00A65178"/>
    <w:rsid w:val="00A653B4"/>
    <w:rsid w:val="00A668C0"/>
    <w:rsid w:val="00A66A8E"/>
    <w:rsid w:val="00A67841"/>
    <w:rsid w:val="00A7085A"/>
    <w:rsid w:val="00A72D6D"/>
    <w:rsid w:val="00A73676"/>
    <w:rsid w:val="00A73C77"/>
    <w:rsid w:val="00A73E93"/>
    <w:rsid w:val="00A74342"/>
    <w:rsid w:val="00A74FF6"/>
    <w:rsid w:val="00A75676"/>
    <w:rsid w:val="00A76A36"/>
    <w:rsid w:val="00A8025E"/>
    <w:rsid w:val="00A81DEA"/>
    <w:rsid w:val="00A8245C"/>
    <w:rsid w:val="00A82DC1"/>
    <w:rsid w:val="00A8404B"/>
    <w:rsid w:val="00A84070"/>
    <w:rsid w:val="00A84B7D"/>
    <w:rsid w:val="00A85B65"/>
    <w:rsid w:val="00A87E19"/>
    <w:rsid w:val="00A91B0B"/>
    <w:rsid w:val="00A92219"/>
    <w:rsid w:val="00A92DE6"/>
    <w:rsid w:val="00A92F2B"/>
    <w:rsid w:val="00A93589"/>
    <w:rsid w:val="00A93692"/>
    <w:rsid w:val="00A94EA0"/>
    <w:rsid w:val="00A959B4"/>
    <w:rsid w:val="00AA065D"/>
    <w:rsid w:val="00AA1BC2"/>
    <w:rsid w:val="00AA2D92"/>
    <w:rsid w:val="00AA2F14"/>
    <w:rsid w:val="00AA35D3"/>
    <w:rsid w:val="00AA381E"/>
    <w:rsid w:val="00AB0DC9"/>
    <w:rsid w:val="00AB0FD5"/>
    <w:rsid w:val="00AB188A"/>
    <w:rsid w:val="00AB27E4"/>
    <w:rsid w:val="00AB2AAD"/>
    <w:rsid w:val="00AB2EB6"/>
    <w:rsid w:val="00AB382D"/>
    <w:rsid w:val="00AB54C4"/>
    <w:rsid w:val="00AB6BE8"/>
    <w:rsid w:val="00AC006E"/>
    <w:rsid w:val="00AC074A"/>
    <w:rsid w:val="00AC07BA"/>
    <w:rsid w:val="00AC0CA7"/>
    <w:rsid w:val="00AC12DC"/>
    <w:rsid w:val="00AC2F46"/>
    <w:rsid w:val="00AC30FB"/>
    <w:rsid w:val="00AC37D3"/>
    <w:rsid w:val="00AC49B1"/>
    <w:rsid w:val="00AC6948"/>
    <w:rsid w:val="00AC6DE7"/>
    <w:rsid w:val="00AD0444"/>
    <w:rsid w:val="00AD12AF"/>
    <w:rsid w:val="00AD13E4"/>
    <w:rsid w:val="00AD1D65"/>
    <w:rsid w:val="00AD2A00"/>
    <w:rsid w:val="00AD4861"/>
    <w:rsid w:val="00AD5904"/>
    <w:rsid w:val="00AD720E"/>
    <w:rsid w:val="00AE0232"/>
    <w:rsid w:val="00AE0BBC"/>
    <w:rsid w:val="00AE127F"/>
    <w:rsid w:val="00AE23DB"/>
    <w:rsid w:val="00AE2FD1"/>
    <w:rsid w:val="00AE3F63"/>
    <w:rsid w:val="00AE516C"/>
    <w:rsid w:val="00AE67FA"/>
    <w:rsid w:val="00AE760E"/>
    <w:rsid w:val="00AE7D1C"/>
    <w:rsid w:val="00AF7FB9"/>
    <w:rsid w:val="00B009B6"/>
    <w:rsid w:val="00B01143"/>
    <w:rsid w:val="00B01AAA"/>
    <w:rsid w:val="00B02D0B"/>
    <w:rsid w:val="00B03620"/>
    <w:rsid w:val="00B03853"/>
    <w:rsid w:val="00B04C52"/>
    <w:rsid w:val="00B06A25"/>
    <w:rsid w:val="00B06BD1"/>
    <w:rsid w:val="00B07B90"/>
    <w:rsid w:val="00B07DEC"/>
    <w:rsid w:val="00B10FD5"/>
    <w:rsid w:val="00B1245F"/>
    <w:rsid w:val="00B14A2C"/>
    <w:rsid w:val="00B1519B"/>
    <w:rsid w:val="00B16D97"/>
    <w:rsid w:val="00B17572"/>
    <w:rsid w:val="00B20333"/>
    <w:rsid w:val="00B21911"/>
    <w:rsid w:val="00B22B34"/>
    <w:rsid w:val="00B3031C"/>
    <w:rsid w:val="00B31B77"/>
    <w:rsid w:val="00B31BAE"/>
    <w:rsid w:val="00B31CA4"/>
    <w:rsid w:val="00B324BC"/>
    <w:rsid w:val="00B3449E"/>
    <w:rsid w:val="00B35A28"/>
    <w:rsid w:val="00B3673A"/>
    <w:rsid w:val="00B3746B"/>
    <w:rsid w:val="00B37631"/>
    <w:rsid w:val="00B37D8A"/>
    <w:rsid w:val="00B40ACC"/>
    <w:rsid w:val="00B41890"/>
    <w:rsid w:val="00B41C2C"/>
    <w:rsid w:val="00B41FB3"/>
    <w:rsid w:val="00B421B8"/>
    <w:rsid w:val="00B4266B"/>
    <w:rsid w:val="00B43FDE"/>
    <w:rsid w:val="00B44A4D"/>
    <w:rsid w:val="00B454BD"/>
    <w:rsid w:val="00B461B6"/>
    <w:rsid w:val="00B46424"/>
    <w:rsid w:val="00B46AA6"/>
    <w:rsid w:val="00B46EEE"/>
    <w:rsid w:val="00B4734E"/>
    <w:rsid w:val="00B5081F"/>
    <w:rsid w:val="00B51525"/>
    <w:rsid w:val="00B52084"/>
    <w:rsid w:val="00B521CE"/>
    <w:rsid w:val="00B524B6"/>
    <w:rsid w:val="00B52BD6"/>
    <w:rsid w:val="00B53839"/>
    <w:rsid w:val="00B53EA0"/>
    <w:rsid w:val="00B54275"/>
    <w:rsid w:val="00B548CC"/>
    <w:rsid w:val="00B54B71"/>
    <w:rsid w:val="00B551CB"/>
    <w:rsid w:val="00B5573B"/>
    <w:rsid w:val="00B55B0A"/>
    <w:rsid w:val="00B57BCC"/>
    <w:rsid w:val="00B57C93"/>
    <w:rsid w:val="00B57DD2"/>
    <w:rsid w:val="00B61183"/>
    <w:rsid w:val="00B62AD4"/>
    <w:rsid w:val="00B63D3F"/>
    <w:rsid w:val="00B710EB"/>
    <w:rsid w:val="00B71CF7"/>
    <w:rsid w:val="00B7497A"/>
    <w:rsid w:val="00B754B3"/>
    <w:rsid w:val="00B764C2"/>
    <w:rsid w:val="00B771B9"/>
    <w:rsid w:val="00B77836"/>
    <w:rsid w:val="00B81879"/>
    <w:rsid w:val="00B82F4E"/>
    <w:rsid w:val="00B8334F"/>
    <w:rsid w:val="00B83FC7"/>
    <w:rsid w:val="00B866BC"/>
    <w:rsid w:val="00B870C1"/>
    <w:rsid w:val="00B90400"/>
    <w:rsid w:val="00B93658"/>
    <w:rsid w:val="00B94559"/>
    <w:rsid w:val="00B965DA"/>
    <w:rsid w:val="00B96B84"/>
    <w:rsid w:val="00B96FA0"/>
    <w:rsid w:val="00BA0383"/>
    <w:rsid w:val="00BA058B"/>
    <w:rsid w:val="00BA10D2"/>
    <w:rsid w:val="00BA122C"/>
    <w:rsid w:val="00BA1373"/>
    <w:rsid w:val="00BA1706"/>
    <w:rsid w:val="00BA18AB"/>
    <w:rsid w:val="00BA19AB"/>
    <w:rsid w:val="00BA19F6"/>
    <w:rsid w:val="00BA1D7F"/>
    <w:rsid w:val="00BA242C"/>
    <w:rsid w:val="00BA28EE"/>
    <w:rsid w:val="00BA3E4A"/>
    <w:rsid w:val="00BA424E"/>
    <w:rsid w:val="00BA4A32"/>
    <w:rsid w:val="00BB05CF"/>
    <w:rsid w:val="00BB1A87"/>
    <w:rsid w:val="00BB1AB3"/>
    <w:rsid w:val="00BB22DE"/>
    <w:rsid w:val="00BB30A2"/>
    <w:rsid w:val="00BB3701"/>
    <w:rsid w:val="00BB4F14"/>
    <w:rsid w:val="00BB61CB"/>
    <w:rsid w:val="00BB6835"/>
    <w:rsid w:val="00BB6C6C"/>
    <w:rsid w:val="00BB75CC"/>
    <w:rsid w:val="00BB78E6"/>
    <w:rsid w:val="00BC136F"/>
    <w:rsid w:val="00BC20CE"/>
    <w:rsid w:val="00BC23A1"/>
    <w:rsid w:val="00BC24EF"/>
    <w:rsid w:val="00BC293C"/>
    <w:rsid w:val="00BC4282"/>
    <w:rsid w:val="00BC453D"/>
    <w:rsid w:val="00BC47B2"/>
    <w:rsid w:val="00BC76AD"/>
    <w:rsid w:val="00BC7DC4"/>
    <w:rsid w:val="00BD0009"/>
    <w:rsid w:val="00BD1EBC"/>
    <w:rsid w:val="00BD3433"/>
    <w:rsid w:val="00BD35AE"/>
    <w:rsid w:val="00BD481E"/>
    <w:rsid w:val="00BD5D8F"/>
    <w:rsid w:val="00BD62FE"/>
    <w:rsid w:val="00BD6AED"/>
    <w:rsid w:val="00BD6C68"/>
    <w:rsid w:val="00BE020A"/>
    <w:rsid w:val="00BE179F"/>
    <w:rsid w:val="00BE1AF0"/>
    <w:rsid w:val="00BE1ECD"/>
    <w:rsid w:val="00BE2017"/>
    <w:rsid w:val="00BE30A9"/>
    <w:rsid w:val="00BE34CE"/>
    <w:rsid w:val="00BE396A"/>
    <w:rsid w:val="00BE3D11"/>
    <w:rsid w:val="00BE42CF"/>
    <w:rsid w:val="00BE6E98"/>
    <w:rsid w:val="00BE737A"/>
    <w:rsid w:val="00BF1A88"/>
    <w:rsid w:val="00BF273A"/>
    <w:rsid w:val="00BF2C55"/>
    <w:rsid w:val="00BF3100"/>
    <w:rsid w:val="00BF3A51"/>
    <w:rsid w:val="00BF4C28"/>
    <w:rsid w:val="00BF52A3"/>
    <w:rsid w:val="00BF52CF"/>
    <w:rsid w:val="00BF5657"/>
    <w:rsid w:val="00C002D6"/>
    <w:rsid w:val="00C005C4"/>
    <w:rsid w:val="00C0393D"/>
    <w:rsid w:val="00C044EF"/>
    <w:rsid w:val="00C05359"/>
    <w:rsid w:val="00C05398"/>
    <w:rsid w:val="00C06F26"/>
    <w:rsid w:val="00C07735"/>
    <w:rsid w:val="00C07AB9"/>
    <w:rsid w:val="00C102A7"/>
    <w:rsid w:val="00C111F2"/>
    <w:rsid w:val="00C11D07"/>
    <w:rsid w:val="00C13D6D"/>
    <w:rsid w:val="00C159A6"/>
    <w:rsid w:val="00C176F6"/>
    <w:rsid w:val="00C17B5E"/>
    <w:rsid w:val="00C214CE"/>
    <w:rsid w:val="00C221B0"/>
    <w:rsid w:val="00C23B0A"/>
    <w:rsid w:val="00C23C18"/>
    <w:rsid w:val="00C248B0"/>
    <w:rsid w:val="00C25749"/>
    <w:rsid w:val="00C2612B"/>
    <w:rsid w:val="00C2780F"/>
    <w:rsid w:val="00C30A62"/>
    <w:rsid w:val="00C31FAF"/>
    <w:rsid w:val="00C3391F"/>
    <w:rsid w:val="00C3406D"/>
    <w:rsid w:val="00C35A1D"/>
    <w:rsid w:val="00C361F3"/>
    <w:rsid w:val="00C36624"/>
    <w:rsid w:val="00C3670B"/>
    <w:rsid w:val="00C4081E"/>
    <w:rsid w:val="00C4201F"/>
    <w:rsid w:val="00C42463"/>
    <w:rsid w:val="00C459A7"/>
    <w:rsid w:val="00C45CAE"/>
    <w:rsid w:val="00C47FA6"/>
    <w:rsid w:val="00C50DDE"/>
    <w:rsid w:val="00C51169"/>
    <w:rsid w:val="00C511AD"/>
    <w:rsid w:val="00C51C90"/>
    <w:rsid w:val="00C533E6"/>
    <w:rsid w:val="00C53435"/>
    <w:rsid w:val="00C5353B"/>
    <w:rsid w:val="00C53B65"/>
    <w:rsid w:val="00C54D55"/>
    <w:rsid w:val="00C551C5"/>
    <w:rsid w:val="00C552D0"/>
    <w:rsid w:val="00C554D5"/>
    <w:rsid w:val="00C57911"/>
    <w:rsid w:val="00C57F91"/>
    <w:rsid w:val="00C602CA"/>
    <w:rsid w:val="00C60445"/>
    <w:rsid w:val="00C611C5"/>
    <w:rsid w:val="00C6195A"/>
    <w:rsid w:val="00C64710"/>
    <w:rsid w:val="00C64D15"/>
    <w:rsid w:val="00C67479"/>
    <w:rsid w:val="00C70DE1"/>
    <w:rsid w:val="00C71817"/>
    <w:rsid w:val="00C719C8"/>
    <w:rsid w:val="00C74681"/>
    <w:rsid w:val="00C74F2D"/>
    <w:rsid w:val="00C76542"/>
    <w:rsid w:val="00C76708"/>
    <w:rsid w:val="00C76CA5"/>
    <w:rsid w:val="00C77244"/>
    <w:rsid w:val="00C81600"/>
    <w:rsid w:val="00C81712"/>
    <w:rsid w:val="00C82291"/>
    <w:rsid w:val="00C8248E"/>
    <w:rsid w:val="00C83AEA"/>
    <w:rsid w:val="00C84180"/>
    <w:rsid w:val="00C845D4"/>
    <w:rsid w:val="00C84DAD"/>
    <w:rsid w:val="00C85F1E"/>
    <w:rsid w:val="00C86F94"/>
    <w:rsid w:val="00C8769C"/>
    <w:rsid w:val="00C906CF"/>
    <w:rsid w:val="00C908BD"/>
    <w:rsid w:val="00C918CE"/>
    <w:rsid w:val="00C93A46"/>
    <w:rsid w:val="00C9491F"/>
    <w:rsid w:val="00C94F94"/>
    <w:rsid w:val="00C96B9A"/>
    <w:rsid w:val="00C96E5F"/>
    <w:rsid w:val="00C97100"/>
    <w:rsid w:val="00C97118"/>
    <w:rsid w:val="00C979D2"/>
    <w:rsid w:val="00C97A68"/>
    <w:rsid w:val="00C97AF6"/>
    <w:rsid w:val="00CA05EB"/>
    <w:rsid w:val="00CA1A94"/>
    <w:rsid w:val="00CA2B05"/>
    <w:rsid w:val="00CA2DED"/>
    <w:rsid w:val="00CA49BD"/>
    <w:rsid w:val="00CA5293"/>
    <w:rsid w:val="00CA6592"/>
    <w:rsid w:val="00CA790E"/>
    <w:rsid w:val="00CA7F2C"/>
    <w:rsid w:val="00CB2590"/>
    <w:rsid w:val="00CB531A"/>
    <w:rsid w:val="00CB537E"/>
    <w:rsid w:val="00CB6127"/>
    <w:rsid w:val="00CB6D8A"/>
    <w:rsid w:val="00CB76E8"/>
    <w:rsid w:val="00CC0EE4"/>
    <w:rsid w:val="00CC2376"/>
    <w:rsid w:val="00CC3466"/>
    <w:rsid w:val="00CC362E"/>
    <w:rsid w:val="00CC3A72"/>
    <w:rsid w:val="00CC600B"/>
    <w:rsid w:val="00CC757B"/>
    <w:rsid w:val="00CC7CE4"/>
    <w:rsid w:val="00CC7FC3"/>
    <w:rsid w:val="00CD0A5D"/>
    <w:rsid w:val="00CD1956"/>
    <w:rsid w:val="00CD1A85"/>
    <w:rsid w:val="00CD1AAF"/>
    <w:rsid w:val="00CD220D"/>
    <w:rsid w:val="00CD3D37"/>
    <w:rsid w:val="00CD584F"/>
    <w:rsid w:val="00CD5FCF"/>
    <w:rsid w:val="00CD74B1"/>
    <w:rsid w:val="00CD7AFE"/>
    <w:rsid w:val="00CE047A"/>
    <w:rsid w:val="00CE0B64"/>
    <w:rsid w:val="00CE16C0"/>
    <w:rsid w:val="00CE2354"/>
    <w:rsid w:val="00CE306E"/>
    <w:rsid w:val="00CE617A"/>
    <w:rsid w:val="00CE65C6"/>
    <w:rsid w:val="00CE676B"/>
    <w:rsid w:val="00CE6CED"/>
    <w:rsid w:val="00CE7218"/>
    <w:rsid w:val="00CE7357"/>
    <w:rsid w:val="00CF0456"/>
    <w:rsid w:val="00CF1EA9"/>
    <w:rsid w:val="00CF505B"/>
    <w:rsid w:val="00CF56CA"/>
    <w:rsid w:val="00CF631B"/>
    <w:rsid w:val="00CF6C2F"/>
    <w:rsid w:val="00CF7669"/>
    <w:rsid w:val="00D00F8C"/>
    <w:rsid w:val="00D01199"/>
    <w:rsid w:val="00D01480"/>
    <w:rsid w:val="00D01974"/>
    <w:rsid w:val="00D02EFE"/>
    <w:rsid w:val="00D035CD"/>
    <w:rsid w:val="00D06462"/>
    <w:rsid w:val="00D06726"/>
    <w:rsid w:val="00D07062"/>
    <w:rsid w:val="00D07C2D"/>
    <w:rsid w:val="00D07D49"/>
    <w:rsid w:val="00D11EC1"/>
    <w:rsid w:val="00D11FE0"/>
    <w:rsid w:val="00D15C85"/>
    <w:rsid w:val="00D15F79"/>
    <w:rsid w:val="00D174D7"/>
    <w:rsid w:val="00D17DA4"/>
    <w:rsid w:val="00D17F7D"/>
    <w:rsid w:val="00D20471"/>
    <w:rsid w:val="00D21BBC"/>
    <w:rsid w:val="00D2206C"/>
    <w:rsid w:val="00D234A3"/>
    <w:rsid w:val="00D24260"/>
    <w:rsid w:val="00D24E73"/>
    <w:rsid w:val="00D251FF"/>
    <w:rsid w:val="00D254F5"/>
    <w:rsid w:val="00D265F6"/>
    <w:rsid w:val="00D2689E"/>
    <w:rsid w:val="00D27E3C"/>
    <w:rsid w:val="00D30277"/>
    <w:rsid w:val="00D30BE4"/>
    <w:rsid w:val="00D30D4D"/>
    <w:rsid w:val="00D31374"/>
    <w:rsid w:val="00D3362A"/>
    <w:rsid w:val="00D33837"/>
    <w:rsid w:val="00D338C3"/>
    <w:rsid w:val="00D34286"/>
    <w:rsid w:val="00D347B4"/>
    <w:rsid w:val="00D34BD0"/>
    <w:rsid w:val="00D35415"/>
    <w:rsid w:val="00D36319"/>
    <w:rsid w:val="00D3638B"/>
    <w:rsid w:val="00D40BD6"/>
    <w:rsid w:val="00D4461E"/>
    <w:rsid w:val="00D44688"/>
    <w:rsid w:val="00D45B8B"/>
    <w:rsid w:val="00D47370"/>
    <w:rsid w:val="00D478F6"/>
    <w:rsid w:val="00D50C3F"/>
    <w:rsid w:val="00D52C0D"/>
    <w:rsid w:val="00D53700"/>
    <w:rsid w:val="00D53E89"/>
    <w:rsid w:val="00D5456E"/>
    <w:rsid w:val="00D54AE2"/>
    <w:rsid w:val="00D54DA1"/>
    <w:rsid w:val="00D5523C"/>
    <w:rsid w:val="00D559E8"/>
    <w:rsid w:val="00D56387"/>
    <w:rsid w:val="00D56CF7"/>
    <w:rsid w:val="00D56D28"/>
    <w:rsid w:val="00D57F16"/>
    <w:rsid w:val="00D6018E"/>
    <w:rsid w:val="00D60607"/>
    <w:rsid w:val="00D60A7A"/>
    <w:rsid w:val="00D62599"/>
    <w:rsid w:val="00D633C5"/>
    <w:rsid w:val="00D63D94"/>
    <w:rsid w:val="00D642ED"/>
    <w:rsid w:val="00D64604"/>
    <w:rsid w:val="00D65797"/>
    <w:rsid w:val="00D66D38"/>
    <w:rsid w:val="00D705EF"/>
    <w:rsid w:val="00D72713"/>
    <w:rsid w:val="00D72C88"/>
    <w:rsid w:val="00D73A12"/>
    <w:rsid w:val="00D75160"/>
    <w:rsid w:val="00D75181"/>
    <w:rsid w:val="00D752DD"/>
    <w:rsid w:val="00D76203"/>
    <w:rsid w:val="00D76934"/>
    <w:rsid w:val="00D76F16"/>
    <w:rsid w:val="00D77976"/>
    <w:rsid w:val="00D8088C"/>
    <w:rsid w:val="00D83379"/>
    <w:rsid w:val="00D8473B"/>
    <w:rsid w:val="00D8498A"/>
    <w:rsid w:val="00D8626A"/>
    <w:rsid w:val="00D866F7"/>
    <w:rsid w:val="00D8691F"/>
    <w:rsid w:val="00D86993"/>
    <w:rsid w:val="00D86EB5"/>
    <w:rsid w:val="00D90143"/>
    <w:rsid w:val="00D93B36"/>
    <w:rsid w:val="00D94FC3"/>
    <w:rsid w:val="00D9545D"/>
    <w:rsid w:val="00DA2199"/>
    <w:rsid w:val="00DA2A3D"/>
    <w:rsid w:val="00DA3243"/>
    <w:rsid w:val="00DA43EF"/>
    <w:rsid w:val="00DA54B2"/>
    <w:rsid w:val="00DA6064"/>
    <w:rsid w:val="00DA6076"/>
    <w:rsid w:val="00DA736A"/>
    <w:rsid w:val="00DB18A6"/>
    <w:rsid w:val="00DB2431"/>
    <w:rsid w:val="00DB26D0"/>
    <w:rsid w:val="00DB4BB9"/>
    <w:rsid w:val="00DB4E9B"/>
    <w:rsid w:val="00DB5E64"/>
    <w:rsid w:val="00DB5EC3"/>
    <w:rsid w:val="00DB6C44"/>
    <w:rsid w:val="00DB6F6A"/>
    <w:rsid w:val="00DB736B"/>
    <w:rsid w:val="00DB7809"/>
    <w:rsid w:val="00DC0A28"/>
    <w:rsid w:val="00DC1B53"/>
    <w:rsid w:val="00DC21EB"/>
    <w:rsid w:val="00DC22F3"/>
    <w:rsid w:val="00DC3C42"/>
    <w:rsid w:val="00DC41E7"/>
    <w:rsid w:val="00DC4CFC"/>
    <w:rsid w:val="00DC652E"/>
    <w:rsid w:val="00DD1BBA"/>
    <w:rsid w:val="00DD1E0D"/>
    <w:rsid w:val="00DD2019"/>
    <w:rsid w:val="00DD3D30"/>
    <w:rsid w:val="00DD4E43"/>
    <w:rsid w:val="00DD509A"/>
    <w:rsid w:val="00DD51B1"/>
    <w:rsid w:val="00DD54B2"/>
    <w:rsid w:val="00DD5E22"/>
    <w:rsid w:val="00DE0313"/>
    <w:rsid w:val="00DE118A"/>
    <w:rsid w:val="00DE1505"/>
    <w:rsid w:val="00DE16CF"/>
    <w:rsid w:val="00DE2E94"/>
    <w:rsid w:val="00DE41E4"/>
    <w:rsid w:val="00DE543A"/>
    <w:rsid w:val="00DE6120"/>
    <w:rsid w:val="00DE6E30"/>
    <w:rsid w:val="00DE70B3"/>
    <w:rsid w:val="00DE7F38"/>
    <w:rsid w:val="00DF04FF"/>
    <w:rsid w:val="00DF28CD"/>
    <w:rsid w:val="00DF397E"/>
    <w:rsid w:val="00DF39A5"/>
    <w:rsid w:val="00DF3D63"/>
    <w:rsid w:val="00DF3EDF"/>
    <w:rsid w:val="00DF4601"/>
    <w:rsid w:val="00DF5542"/>
    <w:rsid w:val="00DF5CB2"/>
    <w:rsid w:val="00DF7C5A"/>
    <w:rsid w:val="00E0009E"/>
    <w:rsid w:val="00E0037D"/>
    <w:rsid w:val="00E01089"/>
    <w:rsid w:val="00E02E7C"/>
    <w:rsid w:val="00E03774"/>
    <w:rsid w:val="00E03BC1"/>
    <w:rsid w:val="00E05F95"/>
    <w:rsid w:val="00E10C90"/>
    <w:rsid w:val="00E11890"/>
    <w:rsid w:val="00E22C66"/>
    <w:rsid w:val="00E22DF3"/>
    <w:rsid w:val="00E23FBE"/>
    <w:rsid w:val="00E2653E"/>
    <w:rsid w:val="00E2674C"/>
    <w:rsid w:val="00E267F1"/>
    <w:rsid w:val="00E26C3C"/>
    <w:rsid w:val="00E27535"/>
    <w:rsid w:val="00E27D29"/>
    <w:rsid w:val="00E31042"/>
    <w:rsid w:val="00E32AB5"/>
    <w:rsid w:val="00E32B82"/>
    <w:rsid w:val="00E33A5F"/>
    <w:rsid w:val="00E33F6B"/>
    <w:rsid w:val="00E35949"/>
    <w:rsid w:val="00E37CB9"/>
    <w:rsid w:val="00E4030A"/>
    <w:rsid w:val="00E413E7"/>
    <w:rsid w:val="00E415E9"/>
    <w:rsid w:val="00E42808"/>
    <w:rsid w:val="00E430B8"/>
    <w:rsid w:val="00E458E2"/>
    <w:rsid w:val="00E46F65"/>
    <w:rsid w:val="00E47F07"/>
    <w:rsid w:val="00E50ACF"/>
    <w:rsid w:val="00E513CD"/>
    <w:rsid w:val="00E51D4D"/>
    <w:rsid w:val="00E5232F"/>
    <w:rsid w:val="00E54307"/>
    <w:rsid w:val="00E54FBF"/>
    <w:rsid w:val="00E55398"/>
    <w:rsid w:val="00E55A99"/>
    <w:rsid w:val="00E55C1D"/>
    <w:rsid w:val="00E576A5"/>
    <w:rsid w:val="00E6047A"/>
    <w:rsid w:val="00E60643"/>
    <w:rsid w:val="00E61439"/>
    <w:rsid w:val="00E61486"/>
    <w:rsid w:val="00E62281"/>
    <w:rsid w:val="00E62A64"/>
    <w:rsid w:val="00E62FD7"/>
    <w:rsid w:val="00E634AA"/>
    <w:rsid w:val="00E638AB"/>
    <w:rsid w:val="00E645EA"/>
    <w:rsid w:val="00E648B7"/>
    <w:rsid w:val="00E65222"/>
    <w:rsid w:val="00E654DB"/>
    <w:rsid w:val="00E6599E"/>
    <w:rsid w:val="00E663BD"/>
    <w:rsid w:val="00E66C0A"/>
    <w:rsid w:val="00E66D44"/>
    <w:rsid w:val="00E67ED9"/>
    <w:rsid w:val="00E70B9F"/>
    <w:rsid w:val="00E70E4F"/>
    <w:rsid w:val="00E7197E"/>
    <w:rsid w:val="00E719A1"/>
    <w:rsid w:val="00E73B53"/>
    <w:rsid w:val="00E742B6"/>
    <w:rsid w:val="00E74856"/>
    <w:rsid w:val="00E75BFA"/>
    <w:rsid w:val="00E765DE"/>
    <w:rsid w:val="00E770DC"/>
    <w:rsid w:val="00E77207"/>
    <w:rsid w:val="00E775FD"/>
    <w:rsid w:val="00E80009"/>
    <w:rsid w:val="00E804E6"/>
    <w:rsid w:val="00E82CE4"/>
    <w:rsid w:val="00E830BC"/>
    <w:rsid w:val="00E83CA3"/>
    <w:rsid w:val="00E8494C"/>
    <w:rsid w:val="00E84CAD"/>
    <w:rsid w:val="00E85368"/>
    <w:rsid w:val="00E867F8"/>
    <w:rsid w:val="00E87F6B"/>
    <w:rsid w:val="00E905E2"/>
    <w:rsid w:val="00E907C7"/>
    <w:rsid w:val="00E90B4E"/>
    <w:rsid w:val="00E91D04"/>
    <w:rsid w:val="00E93844"/>
    <w:rsid w:val="00E95444"/>
    <w:rsid w:val="00E96AB1"/>
    <w:rsid w:val="00E97DCD"/>
    <w:rsid w:val="00EA04F9"/>
    <w:rsid w:val="00EA0890"/>
    <w:rsid w:val="00EA1B6E"/>
    <w:rsid w:val="00EA23DD"/>
    <w:rsid w:val="00EA2471"/>
    <w:rsid w:val="00EA2B9D"/>
    <w:rsid w:val="00EA2B9E"/>
    <w:rsid w:val="00EA49F0"/>
    <w:rsid w:val="00EA6171"/>
    <w:rsid w:val="00EA75FD"/>
    <w:rsid w:val="00EB1FB0"/>
    <w:rsid w:val="00EB2541"/>
    <w:rsid w:val="00EB2D00"/>
    <w:rsid w:val="00EB3637"/>
    <w:rsid w:val="00EB3FEB"/>
    <w:rsid w:val="00EB4F28"/>
    <w:rsid w:val="00EC2647"/>
    <w:rsid w:val="00EC3874"/>
    <w:rsid w:val="00EC3FCD"/>
    <w:rsid w:val="00EC45BF"/>
    <w:rsid w:val="00EC6198"/>
    <w:rsid w:val="00EC7402"/>
    <w:rsid w:val="00EC78AC"/>
    <w:rsid w:val="00ED0AA3"/>
    <w:rsid w:val="00ED3526"/>
    <w:rsid w:val="00ED3B90"/>
    <w:rsid w:val="00ED5BA4"/>
    <w:rsid w:val="00ED6A11"/>
    <w:rsid w:val="00ED6C2B"/>
    <w:rsid w:val="00EE19A8"/>
    <w:rsid w:val="00EE1AB1"/>
    <w:rsid w:val="00EF0D1E"/>
    <w:rsid w:val="00EF23C7"/>
    <w:rsid w:val="00EF2B06"/>
    <w:rsid w:val="00EF3D1C"/>
    <w:rsid w:val="00EF5F62"/>
    <w:rsid w:val="00EF62F9"/>
    <w:rsid w:val="00EF7A18"/>
    <w:rsid w:val="00F00010"/>
    <w:rsid w:val="00F00A31"/>
    <w:rsid w:val="00F00B4B"/>
    <w:rsid w:val="00F00BCE"/>
    <w:rsid w:val="00F00E2F"/>
    <w:rsid w:val="00F01552"/>
    <w:rsid w:val="00F022DD"/>
    <w:rsid w:val="00F02833"/>
    <w:rsid w:val="00F02B2C"/>
    <w:rsid w:val="00F03705"/>
    <w:rsid w:val="00F03792"/>
    <w:rsid w:val="00F061AB"/>
    <w:rsid w:val="00F1026C"/>
    <w:rsid w:val="00F106B2"/>
    <w:rsid w:val="00F11B8C"/>
    <w:rsid w:val="00F12C7B"/>
    <w:rsid w:val="00F13307"/>
    <w:rsid w:val="00F14246"/>
    <w:rsid w:val="00F14DF2"/>
    <w:rsid w:val="00F154AA"/>
    <w:rsid w:val="00F15580"/>
    <w:rsid w:val="00F16436"/>
    <w:rsid w:val="00F20FAB"/>
    <w:rsid w:val="00F21206"/>
    <w:rsid w:val="00F23D98"/>
    <w:rsid w:val="00F24D85"/>
    <w:rsid w:val="00F25532"/>
    <w:rsid w:val="00F25785"/>
    <w:rsid w:val="00F25E99"/>
    <w:rsid w:val="00F263C4"/>
    <w:rsid w:val="00F26ED5"/>
    <w:rsid w:val="00F302D6"/>
    <w:rsid w:val="00F30609"/>
    <w:rsid w:val="00F30ECD"/>
    <w:rsid w:val="00F313C1"/>
    <w:rsid w:val="00F318E9"/>
    <w:rsid w:val="00F33330"/>
    <w:rsid w:val="00F34C72"/>
    <w:rsid w:val="00F36D7E"/>
    <w:rsid w:val="00F370EE"/>
    <w:rsid w:val="00F3743C"/>
    <w:rsid w:val="00F40D89"/>
    <w:rsid w:val="00F41026"/>
    <w:rsid w:val="00F41346"/>
    <w:rsid w:val="00F446CE"/>
    <w:rsid w:val="00F447BA"/>
    <w:rsid w:val="00F46377"/>
    <w:rsid w:val="00F46DF6"/>
    <w:rsid w:val="00F473D3"/>
    <w:rsid w:val="00F503E6"/>
    <w:rsid w:val="00F50FCC"/>
    <w:rsid w:val="00F515DC"/>
    <w:rsid w:val="00F51DB3"/>
    <w:rsid w:val="00F52C9F"/>
    <w:rsid w:val="00F5419D"/>
    <w:rsid w:val="00F5551C"/>
    <w:rsid w:val="00F55D43"/>
    <w:rsid w:val="00F5699F"/>
    <w:rsid w:val="00F60F5B"/>
    <w:rsid w:val="00F60F82"/>
    <w:rsid w:val="00F61A92"/>
    <w:rsid w:val="00F61DD8"/>
    <w:rsid w:val="00F61EBB"/>
    <w:rsid w:val="00F6223B"/>
    <w:rsid w:val="00F622AF"/>
    <w:rsid w:val="00F6299A"/>
    <w:rsid w:val="00F644EA"/>
    <w:rsid w:val="00F65240"/>
    <w:rsid w:val="00F70120"/>
    <w:rsid w:val="00F71515"/>
    <w:rsid w:val="00F71572"/>
    <w:rsid w:val="00F71931"/>
    <w:rsid w:val="00F72169"/>
    <w:rsid w:val="00F72573"/>
    <w:rsid w:val="00F72899"/>
    <w:rsid w:val="00F728D2"/>
    <w:rsid w:val="00F7317D"/>
    <w:rsid w:val="00F746FC"/>
    <w:rsid w:val="00F74CD9"/>
    <w:rsid w:val="00F75DE3"/>
    <w:rsid w:val="00F75FF3"/>
    <w:rsid w:val="00F76672"/>
    <w:rsid w:val="00F774E9"/>
    <w:rsid w:val="00F77902"/>
    <w:rsid w:val="00F81959"/>
    <w:rsid w:val="00F81E4F"/>
    <w:rsid w:val="00F82AA7"/>
    <w:rsid w:val="00F82E47"/>
    <w:rsid w:val="00F83A2D"/>
    <w:rsid w:val="00F83DCF"/>
    <w:rsid w:val="00F841A6"/>
    <w:rsid w:val="00F84DE8"/>
    <w:rsid w:val="00F856C9"/>
    <w:rsid w:val="00F85777"/>
    <w:rsid w:val="00F85810"/>
    <w:rsid w:val="00F8582D"/>
    <w:rsid w:val="00F85C06"/>
    <w:rsid w:val="00F85E1D"/>
    <w:rsid w:val="00F908ED"/>
    <w:rsid w:val="00F90D4C"/>
    <w:rsid w:val="00F91007"/>
    <w:rsid w:val="00F9182D"/>
    <w:rsid w:val="00F92A80"/>
    <w:rsid w:val="00F93321"/>
    <w:rsid w:val="00F93497"/>
    <w:rsid w:val="00F93684"/>
    <w:rsid w:val="00F95783"/>
    <w:rsid w:val="00F95AFA"/>
    <w:rsid w:val="00FA0B69"/>
    <w:rsid w:val="00FA1D5C"/>
    <w:rsid w:val="00FA23F1"/>
    <w:rsid w:val="00FA2BE3"/>
    <w:rsid w:val="00FA343C"/>
    <w:rsid w:val="00FA3D96"/>
    <w:rsid w:val="00FA5307"/>
    <w:rsid w:val="00FA575B"/>
    <w:rsid w:val="00FA7958"/>
    <w:rsid w:val="00FB1D73"/>
    <w:rsid w:val="00FB2018"/>
    <w:rsid w:val="00FB28BC"/>
    <w:rsid w:val="00FB2AB3"/>
    <w:rsid w:val="00FB2D61"/>
    <w:rsid w:val="00FB2FA4"/>
    <w:rsid w:val="00FB4D25"/>
    <w:rsid w:val="00FB5C08"/>
    <w:rsid w:val="00FB711E"/>
    <w:rsid w:val="00FB7196"/>
    <w:rsid w:val="00FB71ED"/>
    <w:rsid w:val="00FC0213"/>
    <w:rsid w:val="00FC11C5"/>
    <w:rsid w:val="00FC36EB"/>
    <w:rsid w:val="00FC471B"/>
    <w:rsid w:val="00FC5336"/>
    <w:rsid w:val="00FC71DA"/>
    <w:rsid w:val="00FD1E7F"/>
    <w:rsid w:val="00FD3C60"/>
    <w:rsid w:val="00FD53D9"/>
    <w:rsid w:val="00FD5530"/>
    <w:rsid w:val="00FD6EC4"/>
    <w:rsid w:val="00FD7145"/>
    <w:rsid w:val="00FD736D"/>
    <w:rsid w:val="00FD774A"/>
    <w:rsid w:val="00FE08C3"/>
    <w:rsid w:val="00FE1A17"/>
    <w:rsid w:val="00FE29C3"/>
    <w:rsid w:val="00FE3DFB"/>
    <w:rsid w:val="00FE3E94"/>
    <w:rsid w:val="00FE426E"/>
    <w:rsid w:val="00FE47C8"/>
    <w:rsid w:val="00FE587B"/>
    <w:rsid w:val="00FF167C"/>
    <w:rsid w:val="00FF273D"/>
    <w:rsid w:val="00FF3CE3"/>
    <w:rsid w:val="00FF4692"/>
    <w:rsid w:val="00FF535C"/>
    <w:rsid w:val="00FF57F0"/>
    <w:rsid w:val="00FF6FF8"/>
    <w:rsid w:val="00FF74D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E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2F63FA"/>
    <w:pPr>
      <w:keepNext/>
      <w:keepLines/>
      <w:numPr>
        <w:numId w:val="3"/>
      </w:numPr>
      <w:spacing w:before="100" w:beforeAutospacing="1" w:after="120" w:line="336" w:lineRule="auto"/>
      <w:ind w:left="720" w:hanging="360"/>
      <w:jc w:val="center"/>
      <w:outlineLvl w:val="0"/>
    </w:pPr>
    <w:rPr>
      <w:b/>
      <w:bCs/>
      <w:sz w:val="26"/>
      <w:szCs w:val="26"/>
    </w:rPr>
  </w:style>
  <w:style w:type="paragraph" w:styleId="Heading2">
    <w:name w:val="heading 2"/>
    <w:basedOn w:val="Normal"/>
    <w:next w:val="Normal"/>
    <w:link w:val="Heading2Char"/>
    <w:uiPriority w:val="9"/>
    <w:qFormat/>
    <w:rsid w:val="00B41890"/>
    <w:pPr>
      <w:keepNext/>
      <w:keepLines/>
      <w:tabs>
        <w:tab w:val="left" w:pos="1134"/>
      </w:tabs>
      <w:spacing w:before="100" w:beforeAutospacing="1" w:after="120"/>
      <w:jc w:val="center"/>
      <w:outlineLvl w:val="1"/>
    </w:pPr>
    <w:rPr>
      <w:b/>
      <w:bCs/>
    </w:rPr>
  </w:style>
  <w:style w:type="paragraph" w:styleId="Heading3">
    <w:name w:val="heading 3"/>
    <w:basedOn w:val="Normal"/>
    <w:next w:val="Normal"/>
    <w:link w:val="Heading3Char"/>
    <w:uiPriority w:val="9"/>
    <w:qFormat/>
    <w:rsid w:val="00F91007"/>
    <w:pPr>
      <w:keepNext/>
      <w:keepLines/>
      <w:spacing w:before="100" w:beforeAutospacing="1" w:after="120" w:line="360" w:lineRule="auto"/>
      <w:jc w:val="center"/>
      <w:outlineLvl w:val="2"/>
    </w:pPr>
    <w:rPr>
      <w:b/>
      <w:bCs/>
    </w:rPr>
  </w:style>
  <w:style w:type="paragraph" w:styleId="Heading4">
    <w:name w:val="heading 4"/>
    <w:basedOn w:val="Normal"/>
    <w:next w:val="Normal"/>
    <w:link w:val="Heading4Char"/>
    <w:uiPriority w:val="9"/>
    <w:qFormat/>
    <w:rsid w:val="005E7B46"/>
    <w:pPr>
      <w:keepNext/>
      <w:numPr>
        <w:ilvl w:val="3"/>
        <w:numId w:val="3"/>
      </w:numPr>
      <w:spacing w:before="100" w:beforeAutospacing="1" w:after="120" w:line="360" w:lineRule="auto"/>
      <w:jc w:val="center"/>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FooterChar"/>
    <w:uiPriority w:val="99"/>
    <w:rsid w:val="00B07DEC"/>
    <w:pPr>
      <w:tabs>
        <w:tab w:val="center" w:pos="4536"/>
        <w:tab w:val="right" w:pos="9072"/>
      </w:tabs>
      <w:jc w:val="left"/>
    </w:pPr>
  </w:style>
  <w:style w:type="character" w:customStyle="1" w:styleId="FooterChar">
    <w:name w:val="Footer Char"/>
    <w:link w:val="Footer"/>
    <w:uiPriority w:val="99"/>
    <w:locked/>
    <w:rsid w:val="00B07DEC"/>
    <w:rPr>
      <w:rFonts w:ascii="Times New Roman" w:hAnsi="Times New Roman" w:cs="Times New Roman"/>
      <w:sz w:val="24"/>
      <w:lang w:val="x-none" w:eastAsia="sk-SK"/>
    </w:rPr>
  </w:style>
  <w:style w:type="character" w:styleId="PageNumber">
    <w:name w:val="page number"/>
    <w:basedOn w:val="DefaultParagraphFont"/>
    <w:rsid w:val="00B07DEC"/>
    <w:rPr>
      <w:rFonts w:cs="Times New Roman"/>
      <w:rtl w:val="0"/>
      <w:cs w:val="0"/>
    </w:rPr>
  </w:style>
  <w:style w:type="paragraph" w:styleId="ListParagraph">
    <w:name w:val="List Paragraph"/>
    <w:basedOn w:val="Normal"/>
    <w:uiPriority w:val="34"/>
    <w:qFormat/>
    <w:rsid w:val="00B07DEC"/>
    <w:pPr>
      <w:spacing w:after="200" w:line="276" w:lineRule="auto"/>
      <w:ind w:left="720"/>
      <w:contextualSpacing/>
      <w:jc w:val="left"/>
    </w:pPr>
    <w:rPr>
      <w:rFonts w:ascii="Calibri" w:hAnsi="Calibri"/>
      <w:sz w:val="22"/>
      <w:szCs w:val="22"/>
      <w:lang w:eastAsia="en-US"/>
    </w:rPr>
  </w:style>
  <w:style w:type="character" w:customStyle="1" w:styleId="Heading1Char">
    <w:name w:val="Heading 1 Char"/>
    <w:link w:val="Heading1"/>
    <w:uiPriority w:val="9"/>
    <w:locked/>
    <w:rsid w:val="002F63FA"/>
    <w:rPr>
      <w:rFonts w:ascii="Times New Roman" w:hAnsi="Times New Roman" w:cs="Times New Roman"/>
      <w:b/>
      <w:sz w:val="26"/>
      <w:lang w:val="x-none" w:eastAsia="x-none"/>
    </w:rPr>
  </w:style>
  <w:style w:type="character" w:customStyle="1" w:styleId="Heading2Char">
    <w:name w:val="Heading 2 Char"/>
    <w:link w:val="Heading2"/>
    <w:uiPriority w:val="9"/>
    <w:locked/>
    <w:rsid w:val="00B41890"/>
    <w:rPr>
      <w:rFonts w:ascii="Times New Roman" w:hAnsi="Times New Roman" w:cs="Times New Roman"/>
      <w:b/>
      <w:sz w:val="24"/>
    </w:rPr>
  </w:style>
  <w:style w:type="character" w:customStyle="1" w:styleId="Heading3Char">
    <w:name w:val="Heading 3 Char"/>
    <w:link w:val="Heading3"/>
    <w:uiPriority w:val="9"/>
    <w:locked/>
    <w:rsid w:val="00F91007"/>
    <w:rPr>
      <w:rFonts w:ascii="Times New Roman" w:hAnsi="Times New Roman" w:cs="Times New Roman"/>
      <w:b/>
      <w:sz w:val="24"/>
      <w:lang w:val="x-none" w:eastAsia="x-none"/>
    </w:rPr>
  </w:style>
  <w:style w:type="paragraph" w:styleId="TOC1">
    <w:name w:val="toc 1"/>
    <w:basedOn w:val="Normal"/>
    <w:next w:val="Normal"/>
    <w:autoRedefine/>
    <w:uiPriority w:val="39"/>
    <w:unhideWhenUsed/>
    <w:rsid w:val="009B2031"/>
    <w:pPr>
      <w:tabs>
        <w:tab w:val="left" w:pos="426"/>
        <w:tab w:val="right" w:leader="dot" w:pos="9498"/>
      </w:tabs>
      <w:spacing w:after="100"/>
      <w:jc w:val="both"/>
    </w:pPr>
  </w:style>
  <w:style w:type="paragraph" w:styleId="TOC2">
    <w:name w:val="toc 2"/>
    <w:basedOn w:val="Normal"/>
    <w:next w:val="Normal"/>
    <w:autoRedefine/>
    <w:uiPriority w:val="39"/>
    <w:unhideWhenUsed/>
    <w:rsid w:val="00B46AA6"/>
    <w:pPr>
      <w:tabs>
        <w:tab w:val="left" w:pos="426"/>
        <w:tab w:val="right" w:leader="dot" w:pos="9487"/>
      </w:tabs>
      <w:spacing w:after="100"/>
      <w:jc w:val="left"/>
    </w:pPr>
  </w:style>
  <w:style w:type="paragraph" w:styleId="TOC3">
    <w:name w:val="toc 3"/>
    <w:basedOn w:val="Normal"/>
    <w:next w:val="Normal"/>
    <w:autoRedefine/>
    <w:uiPriority w:val="39"/>
    <w:unhideWhenUsed/>
    <w:rsid w:val="00A3621C"/>
    <w:pPr>
      <w:tabs>
        <w:tab w:val="left" w:pos="1320"/>
        <w:tab w:val="right" w:leader="dot" w:pos="9498"/>
      </w:tabs>
      <w:spacing w:after="100"/>
      <w:ind w:left="480" w:right="-851"/>
      <w:jc w:val="left"/>
    </w:pPr>
  </w:style>
  <w:style w:type="character" w:styleId="Hyperlink">
    <w:name w:val="Hyperlink"/>
    <w:uiPriority w:val="99"/>
    <w:unhideWhenUsed/>
    <w:rsid w:val="00B07DEC"/>
    <w:rPr>
      <w:color w:val="0000FF"/>
      <w:u w:val="single"/>
    </w:rPr>
  </w:style>
  <w:style w:type="paragraph" w:customStyle="1" w:styleId="Zakladnmtext">
    <w:name w:val="Z&lt;/a&gt;kladn&lt;/m&gt; text"/>
    <w:rsid w:val="00526A3B"/>
    <w:pPr>
      <w:framePr w:wrap="auto"/>
      <w:widowControl/>
      <w:autoSpaceDE/>
      <w:autoSpaceDN/>
      <w:adjustRightInd/>
      <w:ind w:left="0" w:right="0"/>
      <w:jc w:val="left"/>
      <w:textAlignment w:val="auto"/>
    </w:pPr>
    <w:rPr>
      <w:rFonts w:cs="Times New Roman"/>
      <w:color w:val="000000"/>
      <w:sz w:val="24"/>
      <w:szCs w:val="20"/>
      <w:rtl w:val="0"/>
      <w:cs w:val="0"/>
      <w:lang w:val="en-US" w:eastAsia="sk-SK" w:bidi="ar-SA"/>
    </w:rPr>
  </w:style>
  <w:style w:type="paragraph" w:styleId="BodyText">
    <w:name w:val="Body Text"/>
    <w:basedOn w:val="Normal"/>
    <w:link w:val="BodyTextChar"/>
    <w:uiPriority w:val="99"/>
    <w:semiHidden/>
    <w:unhideWhenUsed/>
    <w:rsid w:val="00526A3B"/>
    <w:pPr>
      <w:spacing w:after="120"/>
      <w:jc w:val="left"/>
    </w:pPr>
  </w:style>
  <w:style w:type="character" w:customStyle="1" w:styleId="BodyTextChar">
    <w:name w:val="Body Text Char"/>
    <w:link w:val="BodyText"/>
    <w:uiPriority w:val="99"/>
    <w:semiHidden/>
    <w:locked/>
    <w:rsid w:val="00526A3B"/>
    <w:rPr>
      <w:rFonts w:ascii="Times New Roman" w:hAnsi="Times New Roman" w:cs="Times New Roman"/>
      <w:sz w:val="24"/>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FootnoteTextChar"/>
    <w:uiPriority w:val="99"/>
    <w:semiHidden/>
    <w:rsid w:val="00D559E8"/>
    <w:pPr>
      <w:jc w:val="left"/>
    </w:pPr>
    <w:rPr>
      <w:lang w:eastAsia="cs-CZ"/>
    </w:rPr>
  </w:style>
  <w:style w:type="character" w:customStyle="1" w:styleId="FootnoteTextChar">
    <w:name w:val="Footnote Text Char"/>
    <w:aliases w:val="Footnote Text Char Char1 Char Char Char Char Char,Footnote Text Char1 Char Char,Footnote Text Char1 Char Char Char Char,Footnote Text Char2 Char,Footnote Text Char2 Char Char Char,Footnote Text Char2 Char Char Char Char Char"/>
    <w:link w:val="FootnoteText"/>
    <w:uiPriority w:val="99"/>
    <w:semiHidden/>
    <w:locked/>
    <w:rsid w:val="00D559E8"/>
    <w:rPr>
      <w:rFonts w:ascii="Times New Roman" w:hAnsi="Times New Roman" w:cs="Times New Roman"/>
      <w:sz w:val="24"/>
      <w:lang w:val="x-none" w:eastAsia="cs-CZ"/>
    </w:rPr>
  </w:style>
  <w:style w:type="character" w:styleId="FootnoteReference">
    <w:name w:val="footnote reference"/>
    <w:uiPriority w:val="99"/>
    <w:semiHidden/>
    <w:rsid w:val="00D559E8"/>
    <w:rPr>
      <w:vertAlign w:val="superscript"/>
    </w:rPr>
  </w:style>
  <w:style w:type="table" w:styleId="TableGrid">
    <w:name w:val="Table Grid"/>
    <w:basedOn w:val="TableNormal"/>
    <w:uiPriority w:val="59"/>
    <w:rsid w:val="00D070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B79"/>
    <w:pPr>
      <w:tabs>
        <w:tab w:val="center" w:pos="4536"/>
        <w:tab w:val="right" w:pos="9072"/>
      </w:tabs>
      <w:jc w:val="left"/>
    </w:pPr>
  </w:style>
  <w:style w:type="character" w:customStyle="1" w:styleId="HeaderChar">
    <w:name w:val="Header Char"/>
    <w:link w:val="Header"/>
    <w:uiPriority w:val="99"/>
    <w:locked/>
    <w:rsid w:val="00291B79"/>
    <w:rPr>
      <w:rFonts w:ascii="Times New Roman" w:hAnsi="Times New Roman" w:cs="Times New Roman"/>
      <w:sz w:val="24"/>
      <w:lang w:val="x-none" w:eastAsia="sk-SK"/>
    </w:rPr>
  </w:style>
  <w:style w:type="paragraph" w:styleId="BalloonText">
    <w:name w:val="Balloon Text"/>
    <w:basedOn w:val="Normal"/>
    <w:link w:val="BalloonTextChar"/>
    <w:uiPriority w:val="99"/>
    <w:unhideWhenUsed/>
    <w:rsid w:val="00291B79"/>
    <w:pPr>
      <w:jc w:val="left"/>
    </w:pPr>
    <w:rPr>
      <w:rFonts w:ascii="Tahoma" w:hAnsi="Tahoma"/>
      <w:sz w:val="16"/>
      <w:szCs w:val="16"/>
    </w:rPr>
  </w:style>
  <w:style w:type="character" w:customStyle="1" w:styleId="BalloonTextChar">
    <w:name w:val="Balloon Text Char"/>
    <w:link w:val="BalloonText"/>
    <w:uiPriority w:val="99"/>
    <w:locked/>
    <w:rsid w:val="00291B79"/>
    <w:rPr>
      <w:rFonts w:ascii="Tahoma" w:hAnsi="Tahoma" w:cs="Tahoma"/>
      <w:sz w:val="16"/>
      <w:lang w:val="x-none" w:eastAsia="sk-SK"/>
    </w:rPr>
  </w:style>
  <w:style w:type="paragraph" w:styleId="BodyTextIndent">
    <w:name w:val="Body Text Indent"/>
    <w:basedOn w:val="Normal"/>
    <w:link w:val="BodyTextIndentChar"/>
    <w:rsid w:val="009205C9"/>
    <w:pPr>
      <w:spacing w:after="120"/>
      <w:ind w:left="283"/>
      <w:jc w:val="left"/>
    </w:pPr>
    <w:rPr>
      <w:szCs w:val="20"/>
    </w:rPr>
  </w:style>
  <w:style w:type="character" w:customStyle="1" w:styleId="BodyTextIndentChar">
    <w:name w:val="Body Text Indent Char"/>
    <w:link w:val="BodyTextIndent"/>
    <w:locked/>
    <w:rsid w:val="009205C9"/>
    <w:rPr>
      <w:rFonts w:ascii="Times New Roman" w:hAnsi="Times New Roman" w:cs="Times New Roman"/>
      <w:sz w:val="24"/>
    </w:rPr>
  </w:style>
  <w:style w:type="paragraph" w:customStyle="1" w:styleId="Zkladntext">
    <w:name w:val="Základní text"/>
    <w:rsid w:val="009205C9"/>
    <w:pPr>
      <w:framePr w:wrap="auto"/>
      <w:widowControl w:val="0"/>
      <w:autoSpaceDE/>
      <w:autoSpaceDN/>
      <w:adjustRightInd/>
      <w:ind w:left="0" w:right="0"/>
      <w:jc w:val="left"/>
      <w:textAlignment w:val="auto"/>
    </w:pPr>
    <w:rPr>
      <w:rFonts w:cs="Times New Roman"/>
      <w:color w:val="000000"/>
      <w:sz w:val="26"/>
      <w:szCs w:val="20"/>
      <w:rtl w:val="0"/>
      <w:cs w:val="0"/>
      <w:lang w:val="sk-SK" w:eastAsia="sk-SK" w:bidi="ar-SA"/>
    </w:rPr>
  </w:style>
  <w:style w:type="paragraph" w:styleId="BodyText2">
    <w:name w:val="Body Text 2"/>
    <w:basedOn w:val="Normal"/>
    <w:link w:val="BodyText2Char"/>
    <w:uiPriority w:val="99"/>
    <w:unhideWhenUsed/>
    <w:rsid w:val="009205C9"/>
    <w:pPr>
      <w:spacing w:after="120" w:line="480" w:lineRule="auto"/>
      <w:jc w:val="left"/>
    </w:pPr>
    <w:rPr>
      <w:szCs w:val="20"/>
    </w:rPr>
  </w:style>
  <w:style w:type="character" w:customStyle="1" w:styleId="BodyText2Char">
    <w:name w:val="Body Text 2 Char"/>
    <w:link w:val="BodyText2"/>
    <w:uiPriority w:val="99"/>
    <w:locked/>
    <w:rsid w:val="009205C9"/>
    <w:rPr>
      <w:rFonts w:ascii="Times New Roman" w:hAnsi="Times New Roman" w:cs="Times New Roman"/>
      <w:sz w:val="24"/>
    </w:rPr>
  </w:style>
  <w:style w:type="paragraph" w:styleId="NoSpacing">
    <w:name w:val="No Spacing"/>
    <w:uiPriority w:val="1"/>
    <w:qFormat/>
    <w:rsid w:val="0030033F"/>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character" w:customStyle="1" w:styleId="Heading4Char">
    <w:name w:val="Heading 4 Char"/>
    <w:link w:val="Heading4"/>
    <w:uiPriority w:val="9"/>
    <w:locked/>
    <w:rsid w:val="005E7B46"/>
    <w:rPr>
      <w:rFonts w:ascii="Times New Roman" w:hAnsi="Times New Roman" w:cs="Times New Roman"/>
      <w:b/>
      <w:sz w:val="24"/>
      <w:lang w:val="x-none" w:eastAsia="x-none"/>
    </w:rPr>
  </w:style>
  <w:style w:type="paragraph" w:customStyle="1" w:styleId="Zkladntext1">
    <w:name w:val="Základný text1"/>
    <w:rsid w:val="00365298"/>
    <w:pPr>
      <w:framePr w:wrap="auto"/>
      <w:widowControl/>
      <w:autoSpaceDE/>
      <w:autoSpaceDN/>
      <w:adjustRightInd/>
      <w:ind w:left="0" w:right="0"/>
      <w:jc w:val="left"/>
      <w:textAlignment w:val="auto"/>
    </w:pPr>
    <w:rPr>
      <w:rFonts w:ascii="Dutch801 SWC" w:hAnsi="Dutch801 SWC" w:cs="Times New Roman"/>
      <w:color w:val="000000"/>
      <w:sz w:val="24"/>
      <w:szCs w:val="20"/>
      <w:rtl w:val="0"/>
      <w:cs w:val="0"/>
      <w:lang w:val="en-US" w:eastAsia="sk-SK" w:bidi="ar-SA"/>
    </w:rPr>
  </w:style>
  <w:style w:type="character" w:styleId="CommentReference">
    <w:name w:val="annotation reference"/>
    <w:uiPriority w:val="99"/>
    <w:semiHidden/>
    <w:unhideWhenUsed/>
    <w:rsid w:val="008E6FC7"/>
    <w:rPr>
      <w:sz w:val="16"/>
    </w:rPr>
  </w:style>
  <w:style w:type="paragraph" w:styleId="CommentText">
    <w:name w:val="annotation text"/>
    <w:basedOn w:val="Normal"/>
    <w:link w:val="CommentTextChar"/>
    <w:uiPriority w:val="99"/>
    <w:unhideWhenUsed/>
    <w:rsid w:val="008E6FC7"/>
    <w:pPr>
      <w:jc w:val="left"/>
    </w:pPr>
    <w:rPr>
      <w:sz w:val="20"/>
      <w:szCs w:val="20"/>
    </w:rPr>
  </w:style>
  <w:style w:type="character" w:customStyle="1" w:styleId="CommentTextChar">
    <w:name w:val="Comment Text Char"/>
    <w:link w:val="CommentText"/>
    <w:uiPriority w:val="99"/>
    <w:locked/>
    <w:rsid w:val="008E6FC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E6FC7"/>
    <w:pPr>
      <w:jc w:val="left"/>
    </w:pPr>
    <w:rPr>
      <w:b/>
      <w:bCs/>
    </w:rPr>
  </w:style>
  <w:style w:type="character" w:customStyle="1" w:styleId="CommentSubjectChar">
    <w:name w:val="Comment Subject Char"/>
    <w:link w:val="CommentSubject"/>
    <w:uiPriority w:val="99"/>
    <w:semiHidden/>
    <w:locked/>
    <w:rsid w:val="008E6FC7"/>
    <w:rPr>
      <w:rFonts w:ascii="Times New Roman" w:hAnsi="Times New Roman" w:cs="Times New Roman"/>
      <w:b/>
    </w:rPr>
  </w:style>
  <w:style w:type="paragraph" w:customStyle="1" w:styleId="Default">
    <w:name w:val="Default"/>
    <w:rsid w:val="00445210"/>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en-US" w:bidi="ar-SA"/>
    </w:rPr>
  </w:style>
  <w:style w:type="paragraph" w:customStyle="1" w:styleId="HALVNEPISMOVS">
    <w:name w:val="HALVNEPISMO_VS"/>
    <w:basedOn w:val="Normal"/>
    <w:rsid w:val="00DE1505"/>
    <w:pPr>
      <w:spacing w:after="120"/>
      <w:jc w:val="both"/>
    </w:pPr>
    <w:rPr>
      <w:rFonts w:ascii="Arial Narrow" w:eastAsia="Calibri" w:hAnsi="Arial Narrow"/>
      <w:color w:val="000000"/>
      <w:sz w:val="22"/>
      <w:szCs w:val="22"/>
    </w:rPr>
  </w:style>
  <w:style w:type="paragraph" w:customStyle="1" w:styleId="HLAVNYVS">
    <w:name w:val="HLAVNY_VS"/>
    <w:basedOn w:val="Normal"/>
    <w:rsid w:val="00DE1505"/>
    <w:pPr>
      <w:jc w:val="left"/>
    </w:pPr>
    <w:rPr>
      <w:rFonts w:ascii="Arial Narrow" w:eastAsia="Calibri" w:hAnsi="Arial Narrow"/>
      <w:b/>
      <w:bCs/>
      <w:caps/>
      <w:color w:val="000080"/>
      <w:sz w:val="22"/>
      <w:szCs w:val="22"/>
    </w:rPr>
  </w:style>
  <w:style w:type="character" w:styleId="Strong">
    <w:name w:val="Strong"/>
    <w:uiPriority w:val="22"/>
    <w:qFormat/>
    <w:rsid w:val="00AA1BC2"/>
    <w:rPr>
      <w:b/>
    </w:rPr>
  </w:style>
  <w:style w:type="character" w:styleId="FollowedHyperlink">
    <w:name w:val="FollowedHyperlink"/>
    <w:uiPriority w:val="99"/>
    <w:semiHidden/>
    <w:unhideWhenUsed/>
    <w:rsid w:val="008D46A3"/>
    <w:rPr>
      <w:color w:val="800080"/>
      <w:u w:val="single"/>
    </w:rPr>
  </w:style>
  <w:style w:type="paragraph" w:styleId="EndnoteText">
    <w:name w:val="endnote text"/>
    <w:basedOn w:val="Normal"/>
    <w:link w:val="EndnoteTextChar"/>
    <w:uiPriority w:val="99"/>
    <w:semiHidden/>
    <w:unhideWhenUsed/>
    <w:rsid w:val="00CA05EB"/>
    <w:pPr>
      <w:jc w:val="left"/>
    </w:pPr>
    <w:rPr>
      <w:sz w:val="20"/>
      <w:szCs w:val="20"/>
    </w:rPr>
  </w:style>
  <w:style w:type="character" w:customStyle="1" w:styleId="EndnoteTextChar">
    <w:name w:val="Endnote Text Char"/>
    <w:link w:val="EndnoteText"/>
    <w:uiPriority w:val="99"/>
    <w:semiHidden/>
    <w:locked/>
    <w:rsid w:val="00CA05EB"/>
    <w:rPr>
      <w:rFonts w:ascii="Times New Roman" w:hAnsi="Times New Roman" w:cs="Times New Roman"/>
    </w:rPr>
  </w:style>
  <w:style w:type="character" w:styleId="EndnoteReference">
    <w:name w:val="endnote reference"/>
    <w:uiPriority w:val="99"/>
    <w:semiHidden/>
    <w:unhideWhenUsed/>
    <w:rsid w:val="00CA05EB"/>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03595-C5B4-4588-9E00-06B6378D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76</Pages>
  <Words>32286</Words>
  <Characters>184031</Characters>
  <Application>Microsoft Office Word</Application>
  <DocSecurity>0</DocSecurity>
  <Lines>0</Lines>
  <Paragraphs>0</Paragraphs>
  <ScaleCrop>false</ScaleCrop>
  <Company>MF SR</Company>
  <LinksUpToDate>false</LinksUpToDate>
  <CharactersWithSpaces>215886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Suttova Jana</dc:creator>
  <cp:lastModifiedBy>Gašparíková, Jarmila</cp:lastModifiedBy>
  <cp:revision>2</cp:revision>
  <cp:lastPrinted>2016-05-20T08:38:00Z</cp:lastPrinted>
  <dcterms:created xsi:type="dcterms:W3CDTF">2016-05-20T08:39:00Z</dcterms:created>
  <dcterms:modified xsi:type="dcterms:W3CDTF">2016-05-20T08:39:00Z</dcterms:modified>
</cp:coreProperties>
</file>