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E6C12">
        <w:rPr>
          <w:sz w:val="22"/>
          <w:szCs w:val="22"/>
        </w:rPr>
        <w:t>825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E6C12">
        <w:t>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E6C12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E6C12">
        <w:rPr>
          <w:rFonts w:cs="Arial"/>
          <w:szCs w:val="22"/>
        </w:rPr>
        <w:t>Lucie NICHOLSONOVEJ, Jozefa MIHÁLA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FE6C12">
        <w:rPr>
          <w:rFonts w:cs="Arial"/>
          <w:szCs w:val="22"/>
        </w:rPr>
        <w:t xml:space="preserve">zákon </w:t>
        <w:br/>
        <w:t>č. 561/2008 Z. z. o príspevku na starostlivosť o dieťa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E6C12">
        <w:rPr>
          <w:rFonts w:cs="Arial"/>
          <w:szCs w:val="22"/>
        </w:rPr>
        <w:t>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E6C12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E6C1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E6C12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6C1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E6C1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E6C12" w:rsidP="00FE6C1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348C6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6C12"/>
    <w:rsid w:val="00FF3C8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2016-05-03T06:50:00Z</cp:lastPrinted>
  <dcterms:created xsi:type="dcterms:W3CDTF">2016-05-04T09:50:00Z</dcterms:created>
  <dcterms:modified xsi:type="dcterms:W3CDTF">2016-05-04T09:50:00Z</dcterms:modified>
</cp:coreProperties>
</file>