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306D9">
        <w:rPr>
          <w:sz w:val="22"/>
          <w:szCs w:val="22"/>
        </w:rPr>
        <w:t>823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306D9">
        <w:t>91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306D9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306D9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306D9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D306D9">
        <w:rPr>
          <w:rFonts w:cs="Arial"/>
          <w:szCs w:val="22"/>
        </w:rPr>
        <w:t>Lucie NICHOLSONOVEJ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306D9">
        <w:rPr>
          <w:rFonts w:cs="Arial"/>
          <w:szCs w:val="22"/>
        </w:rPr>
        <w:t>zákon č. 600/2003 Z. z. o prídavku na dieťa a o zmene a doplnení zákona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306D9">
        <w:rPr>
          <w:rFonts w:cs="Arial"/>
          <w:szCs w:val="22"/>
        </w:rPr>
        <w:t>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306D9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306D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306D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306D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306D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306D9" w:rsidP="00D306D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304EC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74C3C"/>
    <w:rsid w:val="00C87421"/>
    <w:rsid w:val="00C90136"/>
    <w:rsid w:val="00D306D9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2016-05-02T17:18:00Z</cp:lastPrinted>
  <dcterms:created xsi:type="dcterms:W3CDTF">2016-05-04T09:50:00Z</dcterms:created>
  <dcterms:modified xsi:type="dcterms:W3CDTF">2016-05-04T09:50:00Z</dcterms:modified>
</cp:coreProperties>
</file>