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069FE">
        <w:rPr>
          <w:sz w:val="22"/>
          <w:szCs w:val="22"/>
        </w:rPr>
        <w:t>818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069FE">
        <w:t>88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069FE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E069FE">
        <w:rPr>
          <w:rFonts w:cs="Arial"/>
          <w:szCs w:val="22"/>
        </w:rPr>
        <w:t xml:space="preserve"> Miroslava IVANA a Jany KIŠŠOVEJ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E069FE">
        <w:rPr>
          <w:rFonts w:cs="Arial"/>
          <w:szCs w:val="22"/>
        </w:rPr>
        <w:t>zákon č. 488/2013 Z. z. o diaľničnej známke a o zmene niektorých zákonov v znení zákona č. 387/2015 Z. z.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069FE">
        <w:rPr>
          <w:rFonts w:cs="Arial"/>
          <w:szCs w:val="22"/>
        </w:rPr>
        <w:t>89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069FE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069F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069FE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069FE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069FE" w:rsidP="00E069FE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82969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12AFF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9FE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181</Words>
  <Characters>1032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2016-05-02T17:02:00Z</cp:lastPrinted>
  <dcterms:created xsi:type="dcterms:W3CDTF">2016-05-04T09:49:00Z</dcterms:created>
  <dcterms:modified xsi:type="dcterms:W3CDTF">2016-05-04T09:49:00Z</dcterms:modified>
</cp:coreProperties>
</file>