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71F72">
        <w:rPr>
          <w:sz w:val="22"/>
          <w:szCs w:val="22"/>
        </w:rPr>
        <w:t>781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71F72">
        <w:t>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71F7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71F7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71F7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71F7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471F72">
        <w:rPr>
          <w:rFonts w:cs="Arial"/>
          <w:szCs w:val="22"/>
        </w:rPr>
        <w:t xml:space="preserve"> o odmenách a náhradách súdnych exekútorov a o zmene a doplnení zákona Národnej rady Slovenskej republiky 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71F72">
        <w:rPr>
          <w:rFonts w:cs="Arial"/>
          <w:szCs w:val="22"/>
        </w:rPr>
        <w:t>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71F7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1F7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71F72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71F7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A67F4" w:rsidP="00EA67F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2AAD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1F7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3C31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A67F4"/>
    <w:rsid w:val="00EE1DE3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2016-05-02T15:29:00Z</cp:lastPrinted>
  <dcterms:created xsi:type="dcterms:W3CDTF">2016-05-04T09:17:00Z</dcterms:created>
  <dcterms:modified xsi:type="dcterms:W3CDTF">2016-05-04T09:17:00Z</dcterms:modified>
</cp:coreProperties>
</file>