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D8F" w:rsidRPr="0017622F" w:rsidP="009E1D8F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Beblavý, Katarína Macháčková a Simona Petrík</w:t>
      </w:r>
    </w:p>
    <w:p w:rsidR="009E1D8F" w:rsidRPr="0017622F" w:rsidP="009E1D8F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 </w:t>
      </w:r>
      <w:r w:rsidRPr="000B3BCB">
        <w:rPr>
          <w:rFonts w:eastAsia="Times New Roman" w:cs="Times New Roman"/>
          <w:lang w:eastAsia="en-US" w:bidi="ar-SA"/>
        </w:rPr>
        <w:t xml:space="preserve">o </w:t>
      </w:r>
      <w:r w:rsidRPr="001128E2">
        <w:rPr>
          <w:rFonts w:eastAsia="Times New Roman" w:cs="Times New Roman"/>
          <w:lang w:eastAsia="en-US" w:bidi="ar-SA"/>
        </w:rPr>
        <w:t>zabezpečení predškolskej starostlivosti a o zmene a doplnení niektorých zákonov</w:t>
      </w: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9E1D8F" w:rsidRPr="0059264F" w:rsidP="009E1D8F">
      <w:pPr>
        <w:bidi w:val="0"/>
        <w:jc w:val="both"/>
        <w:rPr>
          <w:rFonts w:cs="Times New Roman"/>
        </w:rPr>
      </w:pPr>
      <w:r w:rsidRPr="0059264F">
        <w:rPr>
          <w:rFonts w:cs="Times New Roman"/>
        </w:rPr>
        <w:t>a)</w:t>
        <w:tab/>
      </w:r>
      <w:r>
        <w:rPr>
          <w:rFonts w:cs="Times New Roman"/>
        </w:rPr>
        <w:t xml:space="preserve">nie </w:t>
      </w:r>
      <w:r w:rsidRPr="0059264F">
        <w:rPr>
          <w:rFonts w:cs="Times New Roman" w:hint="default"/>
        </w:rPr>
        <w:t>je upravená</w:t>
      </w:r>
      <w:r w:rsidRPr="0059264F">
        <w:rPr>
          <w:rFonts w:cs="Times New Roman" w:hint="default"/>
        </w:rPr>
        <w:t xml:space="preserve"> v prá</w:t>
      </w:r>
      <w:r w:rsidRPr="0059264F">
        <w:rPr>
          <w:rFonts w:cs="Times New Roman" w:hint="default"/>
        </w:rPr>
        <w:t>ve Euró</w:t>
      </w:r>
      <w:r w:rsidRPr="0059264F">
        <w:rPr>
          <w:rFonts w:cs="Times New Roman" w:hint="default"/>
        </w:rPr>
        <w:t>pskej ú</w:t>
      </w:r>
      <w:r w:rsidRPr="0059264F">
        <w:rPr>
          <w:rFonts w:cs="Times New Roman" w:hint="default"/>
        </w:rPr>
        <w:t>nie</w:t>
      </w:r>
      <w:r>
        <w:rPr>
          <w:rFonts w:cs="Times New Roman"/>
        </w:rPr>
        <w:t>,</w:t>
      </w:r>
    </w:p>
    <w:p w:rsidR="009E1D8F" w:rsidRPr="0059264F" w:rsidP="009E1D8F">
      <w:pPr>
        <w:bidi w:val="0"/>
        <w:jc w:val="both"/>
        <w:rPr>
          <w:rFonts w:cs="Times New Roman"/>
        </w:rPr>
      </w:pPr>
    </w:p>
    <w:p w:rsidR="009E1D8F" w:rsidP="009E1D8F">
      <w:pPr>
        <w:bidi w:val="0"/>
        <w:jc w:val="both"/>
        <w:rPr>
          <w:rFonts w:cs="Times New Roman"/>
        </w:rPr>
      </w:pPr>
    </w:p>
    <w:p w:rsidR="009E1D8F" w:rsidP="009E1D8F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b)</w:t>
        <w:tab/>
      </w:r>
      <w:r>
        <w:rPr>
          <w:rFonts w:cs="Times New Roman" w:hint="default"/>
        </w:rPr>
        <w:t>nie je obsiahnutá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judikatú</w:t>
      </w:r>
      <w:r>
        <w:rPr>
          <w:rFonts w:cs="Times New Roman" w:hint="default"/>
        </w:rPr>
        <w:t>re Sú</w:t>
      </w:r>
      <w:r>
        <w:rPr>
          <w:rFonts w:cs="Times New Roman" w:hint="default"/>
        </w:rPr>
        <w:t>dneho dvora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nie.</w:t>
      </w:r>
    </w:p>
    <w:p w:rsidR="009E1D8F" w:rsidP="009E1D8F">
      <w:pPr>
        <w:bidi w:val="0"/>
        <w:rPr>
          <w:rFonts w:cs="Times New Roman"/>
        </w:rPr>
      </w:pPr>
    </w:p>
    <w:p w:rsidR="009E1D8F" w:rsidRPr="00500C8A" w:rsidP="009E1D8F">
      <w:pPr>
        <w:bidi w:val="0"/>
        <w:jc w:val="both"/>
        <w:rPr>
          <w:rFonts w:cs="Times New Roman"/>
        </w:rPr>
      </w:pP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firstLine="708"/>
        <w:jc w:val="both"/>
        <w:rPr>
          <w:rFonts w:eastAsia="Times New Roman" w:cs="Times New Roman"/>
          <w:lang w:eastAsia="en-US" w:bidi="ar-SA"/>
        </w:rPr>
      </w:pPr>
      <w:r w:rsidRPr="00D162D5">
        <w:rPr>
          <w:rFonts w:eastAsia="Times New Roman" w:cs="Times New Roman"/>
          <w:lang w:eastAsia="en-US" w:bidi="ar-SA"/>
        </w:rPr>
        <w:t>- bezpredmetné</w:t>
      </w:r>
    </w:p>
    <w:p w:rsidR="009E1D8F" w:rsidRPr="0017622F" w:rsidP="009E1D8F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9E1D8F" w:rsidP="009E1D8F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9E1D8F" w:rsidRPr="00520E89" w:rsidP="009E1D8F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9E1D8F" w:rsidRPr="00520E89" w:rsidP="009E1D8F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1128E2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0B3BCB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="000B3B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vrh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 </w:t>
      </w:r>
      <w:r w:rsidRPr="001128E2">
        <w:rPr>
          <w:rFonts w:ascii="Times New Roman" w:hAnsi="Times New Roman" w:cs="Times New Roman"/>
          <w:sz w:val="24"/>
          <w:szCs w:val="24"/>
          <w:lang w:val="sk-SK"/>
        </w:rPr>
        <w:t xml:space="preserve">o 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>zabezpeč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>ení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predš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>kolskej starostlivosti a o zmene a doplnení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1128E2">
        <w:rPr>
          <w:rFonts w:ascii="Times New Roman" w:hAnsi="Times New Roman" w:cs="Times New Roman" w:hint="default"/>
          <w:sz w:val="24"/>
          <w:szCs w:val="24"/>
          <w:lang w:val="sk-SK"/>
        </w:rPr>
        <w:t>konov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1128E2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C41815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C41815" w:rsidR="00DB6C4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67499F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DB6C4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DB6C4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DB6C4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DB6C4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A.3. 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9740D8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 w:rsidR="009255B8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Predpokladá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sa, ž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na finanč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krytie negatí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vnych dô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sledkov ná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vrhu na rozpoč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 budú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postač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ovať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finanč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prostriedky z 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rozpoč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tovej kapitoly Ministerstva š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kolstva, vedy, vý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skumu a 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š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portu Slovenskej republiky. Dostupnosť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tý</w:t>
      </w:r>
      <w:r w:rsidR="00BE0E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chto 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finanč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ný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prostriedkov vyplý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 z</w:t>
      </w:r>
      <w:r w:rsidR="005E1789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aktiví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predchá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dzajú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cej vlá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dy Slovenskej republiky, kedy doš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lo k 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vyč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leneniu 250 milió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 eur prá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ve kvô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li parcialné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mu dosiahnutiu cieľ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sledované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predlož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ený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vrhom zá</w:t>
      </w:r>
      <w:r w:rsidR="005E178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kona. </w:t>
      </w:r>
      <w:r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Upozorň</w:t>
      </w:r>
      <w:r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ujeme tiež</w:t>
      </w:r>
      <w:r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na 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materiá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 Ná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rodný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program r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eforiem Slovenskej republiky 2016 (rezortné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čí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slo MF/012496/2016-26, schvá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lený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dň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29. aprí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la 2016 na rokovaní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vlá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dy Slovenskej republiky), v zmysle ktoré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sa vý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stavba nový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materský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kô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 a rozš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irovanie existujú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cich kapací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podporí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sumou takmer 80 mil.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eur z fondov EÚ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o ktorú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budú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mô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cť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uchá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dzať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obecní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cirkevní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ako aj sú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kromní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zriaď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ovatelia: „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Súč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asne prebiehajú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 xml:space="preserve"> vý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zvy na predkladanie projektov zameraný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ch na rozš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irovanie kapací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t v materský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ch 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kolá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ch s vyšší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m zastú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pení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m detí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 xml:space="preserve"> z MRK s aloká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ciou 58 mil. e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ur (...) Vyhlá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sili sa vý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zvy na rozš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irovanie kapací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t materský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ch 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kô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l z Integrované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ho regioná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lneho operač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né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ho programu (80 mil. eur) a operač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né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ho programu Ľ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>udské</w:t>
      </w:r>
      <w:r w:rsidRPr="00CD316D" w:rsidR="00CD316D">
        <w:rPr>
          <w:rFonts w:ascii="Times New Roman" w:hAnsi="Times New Roman" w:cs="Times New Roman" w:hint="default"/>
          <w:i/>
          <w:color w:val="000000"/>
          <w:sz w:val="24"/>
          <w:szCs w:val="24"/>
          <w:lang w:val="sk-SK"/>
        </w:rPr>
        <w:t xml:space="preserve"> zdroje (58 mil. eur)</w:t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.“</w:t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Presnú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výš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ku negatí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vnych dô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sledkov </w:t>
      </w:r>
      <w:r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vš</w:t>
      </w:r>
      <w:r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ak 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nie je mož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kvantifikovať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, a to 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najmä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vzhľ</w:t>
      </w:r>
      <w:r w:rsidR="00742FA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adom na zmeny v demografickom 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vý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voji populá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cie Slovenskej republiky.</w:t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bude mať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viacero pozití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vnych sociá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lnych vplyvov. Pozití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dopad na hospodá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renie obyvateľ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stva bude zabezpeč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ený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garantovaný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miestom pre dieť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a, prí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padne prí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spevkom n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predš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kolskú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starostlivosť</w:t>
      </w:r>
      <w:r w:rsidR="00083720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. 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Sociá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lna inklú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zia sa predpokladá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vzhľ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adom na umiestň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ovanie detí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bez ohľ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adu na majetkové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pomery ich zá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konný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zá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stupcov. V 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neposlednom rade mož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 od ná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vrhu zá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oč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vať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vplyvy na zamestnanosť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pretož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ak budú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mať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konní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zá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stupcovia istotu starostlivosti o 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dieť</w:t>
      </w:r>
      <w:r w:rsidR="00D5290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a,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tak </w:t>
      </w:r>
      <w:r w:rsidR="00D52901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ase jej poskytovania sa budú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okrem iné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venovať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aj zamestnaniu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konu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robkovej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innosti.</w:t>
      </w:r>
    </w:p>
    <w:p w:rsidR="009740D8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</w:p>
    <w:p w:rsidR="00CD316D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  <w:tab/>
        <w:tab/>
        <w:tab/>
        <w:tab/>
      </w:r>
      <w:r w:rsidRP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  <w:tab/>
        <w:tab/>
        <w:tab/>
        <w:tab/>
        <w:tab/>
      </w:r>
      <w:r w:rsidRPr="00CD316D" w:rsidR="00CD316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6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52496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6BC4"/>
    <w:rsid w:val="00011A4B"/>
    <w:rsid w:val="0003434F"/>
    <w:rsid w:val="00070006"/>
    <w:rsid w:val="00075997"/>
    <w:rsid w:val="00077A6C"/>
    <w:rsid w:val="0008356A"/>
    <w:rsid w:val="00083720"/>
    <w:rsid w:val="00091102"/>
    <w:rsid w:val="000A4469"/>
    <w:rsid w:val="000A5AAE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9329B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55C4F"/>
    <w:rsid w:val="00364C2A"/>
    <w:rsid w:val="00367762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497E"/>
    <w:rsid w:val="00577000"/>
    <w:rsid w:val="00577988"/>
    <w:rsid w:val="0059264F"/>
    <w:rsid w:val="00592EE9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42FAE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6A70"/>
    <w:rsid w:val="008D6D37"/>
    <w:rsid w:val="008E46C0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6E39"/>
    <w:rsid w:val="00981CED"/>
    <w:rsid w:val="00984E2A"/>
    <w:rsid w:val="009850EE"/>
    <w:rsid w:val="009878B3"/>
    <w:rsid w:val="00987D38"/>
    <w:rsid w:val="009A3C33"/>
    <w:rsid w:val="009A532B"/>
    <w:rsid w:val="009B0DE2"/>
    <w:rsid w:val="009B1A48"/>
    <w:rsid w:val="009B41E9"/>
    <w:rsid w:val="009C58A3"/>
    <w:rsid w:val="009C607B"/>
    <w:rsid w:val="009C6CD0"/>
    <w:rsid w:val="009E1D8F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20B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03631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D1915"/>
    <w:rsid w:val="00CD316D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23EE4"/>
    <w:rsid w:val="00D40347"/>
    <w:rsid w:val="00D43E64"/>
    <w:rsid w:val="00D46E40"/>
    <w:rsid w:val="00D52901"/>
    <w:rsid w:val="00D530A3"/>
    <w:rsid w:val="00D7539F"/>
    <w:rsid w:val="00D75B68"/>
    <w:rsid w:val="00D86CD2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0AFD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25F7"/>
    <w:rsid w:val="00FF40BF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8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1CC2-257F-4A1F-8C1F-A678FC41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490</Words>
  <Characters>2796</Characters>
  <Application>Microsoft Office Word</Application>
  <DocSecurity>0</DocSecurity>
  <Lines>0</Lines>
  <Paragraphs>0</Paragraphs>
  <ScaleCrop>false</ScaleCrop>
  <Company>HP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2016-04-29T14:50:00Z</cp:lastPrinted>
  <dcterms:created xsi:type="dcterms:W3CDTF">2016-04-29T17:59:00Z</dcterms:created>
  <dcterms:modified xsi:type="dcterms:W3CDTF">2016-04-29T17:59:00Z</dcterms:modified>
</cp:coreProperties>
</file>