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909" w:rsidP="000C3909">
      <w:pPr>
        <w:bidi w:val="0"/>
        <w:spacing w:line="240" w:lineRule="auto"/>
        <w:jc w:val="center"/>
        <w:rPr>
          <w:rFonts w:ascii="Times New Roman" w:hAnsi="Times New Roman"/>
          <w:b/>
          <w:sz w:val="24"/>
          <w:szCs w:val="24"/>
        </w:rPr>
      </w:pPr>
      <w:r>
        <w:rPr>
          <w:rFonts w:ascii="Times New Roman" w:hAnsi="Times New Roman"/>
          <w:b/>
          <w:sz w:val="24"/>
          <w:szCs w:val="24"/>
        </w:rPr>
        <w:t>Dôvodová správa</w:t>
      </w:r>
    </w:p>
    <w:p w:rsidR="000C3909" w:rsidP="00B53362">
      <w:pPr>
        <w:bidi w:val="0"/>
        <w:spacing w:line="240" w:lineRule="auto"/>
        <w:ind w:firstLine="708"/>
        <w:rPr>
          <w:rFonts w:ascii="Times New Roman" w:hAnsi="Times New Roman"/>
          <w:b/>
          <w:sz w:val="24"/>
          <w:szCs w:val="24"/>
        </w:rPr>
      </w:pPr>
      <w:r>
        <w:rPr>
          <w:rFonts w:ascii="Times New Roman" w:hAnsi="Times New Roman"/>
          <w:b/>
          <w:sz w:val="24"/>
          <w:szCs w:val="24"/>
        </w:rPr>
        <w:t xml:space="preserve">A.   Všeobecná časť </w:t>
      </w:r>
    </w:p>
    <w:p w:rsidR="00B53362" w:rsidP="0066659F">
      <w:pPr>
        <w:bidi w:val="0"/>
        <w:spacing w:after="0" w:line="240" w:lineRule="auto"/>
        <w:ind w:firstLine="708"/>
        <w:jc w:val="both"/>
        <w:rPr>
          <w:rFonts w:ascii="Times New Roman" w:hAnsi="Times New Roman"/>
          <w:sz w:val="24"/>
          <w:szCs w:val="24"/>
        </w:rPr>
      </w:pPr>
      <w:r w:rsidR="000C3909">
        <w:rPr>
          <w:rFonts w:ascii="Times New Roman" w:hAnsi="Times New Roman"/>
          <w:sz w:val="24"/>
          <w:szCs w:val="24"/>
        </w:rPr>
        <w:t xml:space="preserve">Návrh zákona, </w:t>
      </w:r>
      <w:r w:rsidR="000C3909">
        <w:rPr>
          <w:rFonts w:ascii="Times New Roman" w:hAnsi="Times New Roman"/>
          <w:sz w:val="24"/>
          <w:szCs w:val="24"/>
          <w:lang w:eastAsia="sk-SK"/>
        </w:rPr>
        <w:t xml:space="preserve">ktorým sa mení a dopĺňa zákon č. </w:t>
      </w:r>
      <w:r w:rsidR="000C3909">
        <w:rPr>
          <w:rFonts w:ascii="Times New Roman" w:hAnsi="Times New Roman"/>
          <w:sz w:val="24"/>
          <w:szCs w:val="24"/>
        </w:rPr>
        <w:t xml:space="preserve">7/2005 Z. z. o konkurze a reštrukturalizácii  a o zmene a doplnení niektorých zákonov v znení neskorších predpisov predkladá na rokovanie Národnej rady Slovenskej republiky </w:t>
      </w:r>
      <w:r>
        <w:rPr>
          <w:rFonts w:ascii="Times New Roman" w:hAnsi="Times New Roman"/>
          <w:sz w:val="24"/>
          <w:szCs w:val="24"/>
        </w:rPr>
        <w:t>skupina poslancov Národnej rady Slovenskej republiky</w:t>
      </w:r>
      <w:r w:rsidR="000C3909">
        <w:rPr>
          <w:rFonts w:ascii="Times New Roman" w:hAnsi="Times New Roman"/>
          <w:sz w:val="24"/>
          <w:szCs w:val="24"/>
        </w:rPr>
        <w:t xml:space="preserve">. </w:t>
      </w:r>
    </w:p>
    <w:p w:rsidR="00B53362" w:rsidP="0066659F">
      <w:pPr>
        <w:bidi w:val="0"/>
        <w:spacing w:after="0" w:line="240" w:lineRule="auto"/>
        <w:ind w:firstLine="708"/>
        <w:jc w:val="both"/>
        <w:rPr>
          <w:rFonts w:ascii="Times New Roman" w:hAnsi="Times New Roman"/>
          <w:sz w:val="24"/>
          <w:szCs w:val="24"/>
        </w:rPr>
      </w:pPr>
    </w:p>
    <w:p w:rsidR="000C3909" w:rsidP="0066659F">
      <w:pPr>
        <w:bidi w:val="0"/>
        <w:spacing w:after="0" w:line="240" w:lineRule="auto"/>
        <w:ind w:firstLine="708"/>
        <w:jc w:val="both"/>
        <w:rPr>
          <w:rFonts w:ascii="Times New Roman" w:hAnsi="Times New Roman"/>
          <w:sz w:val="24"/>
          <w:szCs w:val="24"/>
        </w:rPr>
      </w:pPr>
      <w:r>
        <w:rPr>
          <w:rFonts w:ascii="Times New Roman" w:hAnsi="Times New Roman"/>
          <w:sz w:val="24"/>
          <w:szCs w:val="24"/>
        </w:rPr>
        <w:t>Cieľom predloženého návrhu je zjednodušiť postup podávania návrhu na vyhlásenie konkurzu</w:t>
      </w:r>
      <w:r w:rsidR="00B53362">
        <w:rPr>
          <w:rFonts w:ascii="Times New Roman" w:hAnsi="Times New Roman"/>
          <w:sz w:val="24"/>
          <w:szCs w:val="24"/>
        </w:rPr>
        <w:t xml:space="preserve">. </w:t>
      </w:r>
      <w:r>
        <w:rPr>
          <w:rFonts w:ascii="Times New Roman" w:hAnsi="Times New Roman"/>
          <w:sz w:val="24"/>
          <w:szCs w:val="24"/>
        </w:rPr>
        <w:t>Predložený</w:t>
      </w:r>
      <w:r w:rsidR="00B53362">
        <w:rPr>
          <w:rFonts w:ascii="Times New Roman" w:hAnsi="Times New Roman"/>
          <w:sz w:val="24"/>
          <w:szCs w:val="24"/>
        </w:rPr>
        <w:t>m</w:t>
      </w:r>
      <w:r>
        <w:rPr>
          <w:rFonts w:ascii="Times New Roman" w:hAnsi="Times New Roman"/>
          <w:sz w:val="24"/>
          <w:szCs w:val="24"/>
        </w:rPr>
        <w:t xml:space="preserve"> návrh</w:t>
      </w:r>
      <w:r w:rsidR="00B53362">
        <w:rPr>
          <w:rFonts w:ascii="Times New Roman" w:hAnsi="Times New Roman"/>
          <w:sz w:val="24"/>
          <w:szCs w:val="24"/>
        </w:rPr>
        <w:t>om sa umožňuje, aby mohol p</w:t>
      </w:r>
      <w:r>
        <w:rPr>
          <w:rFonts w:ascii="Times New Roman" w:hAnsi="Times New Roman"/>
          <w:sz w:val="24"/>
          <w:szCs w:val="24"/>
        </w:rPr>
        <w:t>odať návrh na vyhlásenie konkurzu aj len jeden veriteľ s nesplatenou pohľadávkou (teda nie najmenej dvaja, ako je tomu v súčasnosti).</w:t>
      </w:r>
    </w:p>
    <w:p w:rsidR="00B53362" w:rsidP="0066659F">
      <w:pPr>
        <w:bidi w:val="0"/>
        <w:spacing w:after="0" w:line="240" w:lineRule="auto"/>
        <w:ind w:firstLine="708"/>
        <w:jc w:val="both"/>
        <w:rPr>
          <w:rFonts w:ascii="Times New Roman" w:hAnsi="Times New Roman"/>
          <w:sz w:val="24"/>
          <w:szCs w:val="24"/>
        </w:rPr>
      </w:pPr>
    </w:p>
    <w:p w:rsidR="00B53362" w:rsidP="0066659F">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 súčasnosti je veriteľ  oprávnený podať návrh na vyhlásenie konkurzu, ak môže odôvodnenie predpokladať platobnú neschopnosť svojho dlžníka. Platobnú neschopnosť dlžníka možno odôvodnene predpokladať vtedy, ak je dlžník viac ako 30 dní v omeškaní s plnením aspoň dvoch peňažných záväzkov viac ako jednému veriteľovi a bol jedným z týchto veriteľov písomne vyzvaný na zaplatenie. Súčasná konštrukcia, že musí ísť o dlh voči viac ako jednému veriteľovi (teda najmenej dvom) sťažuje situáciu veriteľom a naopak uľahčuje situáciu dlžníkom. Podľa navrhovanej úpravy bude na vyhlásenie konkurzu postačovať, ak bude dlžník v omeškaní aspoň jedného peňažného záväzku voči najmenej jednému veriteľovi a bude týmto veriteľom písomne vyzvaný na zaplatenie. Veriteľovi tak odpadne povinnosť hľadať na účely podania návrhu na konkurz  ďalšieho veriteľa, voči ktorému je dlžník v omeškaní.   </w:t>
      </w:r>
    </w:p>
    <w:p w:rsidR="0066659F" w:rsidP="0066659F">
      <w:pPr>
        <w:bidi w:val="0"/>
        <w:spacing w:after="0" w:line="240" w:lineRule="auto"/>
        <w:ind w:firstLine="708"/>
        <w:jc w:val="both"/>
        <w:rPr>
          <w:rFonts w:ascii="Times New Roman" w:hAnsi="Times New Roman"/>
          <w:sz w:val="24"/>
          <w:szCs w:val="24"/>
        </w:rPr>
      </w:pPr>
    </w:p>
    <w:p w:rsidR="000C3909" w:rsidP="0066659F">
      <w:pPr>
        <w:bidi w:val="0"/>
        <w:spacing w:after="0" w:line="240" w:lineRule="auto"/>
        <w:ind w:firstLine="708"/>
        <w:jc w:val="both"/>
      </w:pPr>
      <w:r>
        <w:rPr>
          <w:rFonts w:ascii="Times New Roman" w:hAnsi="Times New Roman"/>
          <w:sz w:val="24"/>
          <w:szCs w:val="24"/>
        </w:rPr>
        <w:t>Predložený návrh zákona je v súlade s Ústavou Slovenskej republiky, ústavnými zákonmi, zákonmi, ako aj s medzinárodnými zmluvami, ktorými je Slovenská republika viazaná.</w:t>
      </w:r>
    </w:p>
    <w:p w:rsidR="0066659F" w:rsidP="0066659F">
      <w:pPr>
        <w:bidi w:val="0"/>
        <w:spacing w:after="0" w:line="240" w:lineRule="auto"/>
        <w:ind w:firstLine="709"/>
        <w:jc w:val="both"/>
        <w:rPr>
          <w:rFonts w:ascii="Times New Roman" w:hAnsi="Times New Roman"/>
          <w:sz w:val="24"/>
          <w:szCs w:val="24"/>
        </w:rPr>
      </w:pPr>
    </w:p>
    <w:p w:rsidR="000C3909" w:rsidP="0066659F">
      <w:pPr>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Návrh zákona nebude mať negatívny vplyv na verejné financie, životné prostredie a na informatizáciu spoločnosti ani sociálny vplyv. Návrh bude mať pozitívny vplyv na podnikateľské prostredie, keďže výrazne obmedzí možnosť zneužívania inštitútu reštrukturalizácie na zjednodušené zbavovanie sa dlhov. </w:t>
      </w:r>
    </w:p>
    <w:p w:rsidR="000C3909" w:rsidP="0066659F">
      <w:pPr>
        <w:bidi w:val="0"/>
        <w:spacing w:after="0" w:line="240" w:lineRule="auto"/>
        <w:ind w:firstLine="709"/>
        <w:jc w:val="both"/>
        <w:rPr>
          <w:rFonts w:ascii="Times New Roman" w:hAnsi="Times New Roman"/>
          <w:sz w:val="24"/>
          <w:szCs w:val="24"/>
        </w:rPr>
      </w:pPr>
    </w:p>
    <w:p w:rsidR="00B53362" w:rsidP="0066659F">
      <w:pPr>
        <w:bidi w:val="0"/>
        <w:spacing w:after="0" w:line="240" w:lineRule="auto"/>
        <w:ind w:firstLine="708"/>
        <w:jc w:val="both"/>
        <w:rPr>
          <w:rFonts w:ascii="Times New Roman" w:hAnsi="Times New Roman"/>
          <w:b/>
          <w:sz w:val="24"/>
          <w:szCs w:val="24"/>
        </w:rPr>
      </w:pPr>
    </w:p>
    <w:p w:rsidR="00B53362" w:rsidP="0066659F">
      <w:pPr>
        <w:bidi w:val="0"/>
        <w:spacing w:after="0" w:line="240" w:lineRule="auto"/>
        <w:ind w:firstLine="708"/>
        <w:jc w:val="both"/>
        <w:rPr>
          <w:rFonts w:ascii="Times New Roman" w:hAnsi="Times New Roman"/>
          <w:b/>
          <w:sz w:val="24"/>
          <w:szCs w:val="24"/>
        </w:rPr>
      </w:pPr>
    </w:p>
    <w:p w:rsidR="00B53362" w:rsidP="0066659F">
      <w:pPr>
        <w:bidi w:val="0"/>
        <w:spacing w:after="0" w:line="240" w:lineRule="auto"/>
        <w:ind w:firstLine="708"/>
        <w:jc w:val="both"/>
        <w:rPr>
          <w:rFonts w:ascii="Times New Roman" w:hAnsi="Times New Roman"/>
          <w:b/>
          <w:sz w:val="24"/>
          <w:szCs w:val="24"/>
        </w:rPr>
      </w:pPr>
    </w:p>
    <w:p w:rsidR="00B53362" w:rsidP="000C3909">
      <w:pPr>
        <w:bidi w:val="0"/>
        <w:spacing w:line="240" w:lineRule="auto"/>
        <w:ind w:firstLine="708"/>
        <w:jc w:val="both"/>
        <w:rPr>
          <w:rFonts w:ascii="Times New Roman" w:hAnsi="Times New Roman"/>
          <w:b/>
          <w:sz w:val="24"/>
          <w:szCs w:val="24"/>
        </w:rPr>
      </w:pPr>
    </w:p>
    <w:p w:rsidR="00B53362" w:rsidP="000C3909">
      <w:pPr>
        <w:bidi w:val="0"/>
        <w:spacing w:line="240" w:lineRule="auto"/>
        <w:ind w:firstLine="708"/>
        <w:jc w:val="both"/>
        <w:rPr>
          <w:rFonts w:ascii="Times New Roman" w:hAnsi="Times New Roman"/>
          <w:b/>
          <w:sz w:val="24"/>
          <w:szCs w:val="24"/>
        </w:rPr>
      </w:pPr>
    </w:p>
    <w:p w:rsidR="00B53362" w:rsidP="000C3909">
      <w:pPr>
        <w:bidi w:val="0"/>
        <w:spacing w:line="240" w:lineRule="auto"/>
        <w:ind w:firstLine="708"/>
        <w:jc w:val="both"/>
        <w:rPr>
          <w:rFonts w:ascii="Times New Roman" w:hAnsi="Times New Roman"/>
          <w:b/>
          <w:sz w:val="24"/>
          <w:szCs w:val="24"/>
        </w:rPr>
      </w:pPr>
    </w:p>
    <w:p w:rsidR="00B53362" w:rsidP="000C3909">
      <w:pPr>
        <w:bidi w:val="0"/>
        <w:spacing w:line="240" w:lineRule="auto"/>
        <w:ind w:firstLine="708"/>
        <w:jc w:val="both"/>
        <w:rPr>
          <w:rFonts w:ascii="Times New Roman" w:hAnsi="Times New Roman"/>
          <w:b/>
          <w:sz w:val="24"/>
          <w:szCs w:val="24"/>
        </w:rPr>
      </w:pPr>
    </w:p>
    <w:p w:rsidR="0066659F" w:rsidP="000C3909">
      <w:pPr>
        <w:bidi w:val="0"/>
        <w:spacing w:line="240" w:lineRule="auto"/>
        <w:ind w:firstLine="708"/>
        <w:jc w:val="both"/>
        <w:rPr>
          <w:rFonts w:ascii="Times New Roman" w:hAnsi="Times New Roman"/>
          <w:b/>
          <w:sz w:val="24"/>
          <w:szCs w:val="24"/>
        </w:rPr>
      </w:pPr>
    </w:p>
    <w:p w:rsidR="0066659F" w:rsidP="000C3909">
      <w:pPr>
        <w:bidi w:val="0"/>
        <w:spacing w:line="240" w:lineRule="auto"/>
        <w:ind w:firstLine="708"/>
        <w:jc w:val="both"/>
        <w:rPr>
          <w:rFonts w:ascii="Times New Roman" w:hAnsi="Times New Roman"/>
          <w:b/>
          <w:sz w:val="24"/>
          <w:szCs w:val="24"/>
        </w:rPr>
      </w:pPr>
    </w:p>
    <w:p w:rsidR="0066659F" w:rsidP="000C3909">
      <w:pPr>
        <w:bidi w:val="0"/>
        <w:spacing w:line="240" w:lineRule="auto"/>
        <w:ind w:firstLine="708"/>
        <w:jc w:val="both"/>
        <w:rPr>
          <w:rFonts w:ascii="Times New Roman" w:hAnsi="Times New Roman"/>
          <w:b/>
          <w:sz w:val="24"/>
          <w:szCs w:val="24"/>
        </w:rPr>
      </w:pPr>
    </w:p>
    <w:p w:rsidR="00B53362" w:rsidP="000C3909">
      <w:pPr>
        <w:bidi w:val="0"/>
        <w:spacing w:line="240" w:lineRule="auto"/>
        <w:ind w:firstLine="708"/>
        <w:jc w:val="both"/>
        <w:rPr>
          <w:rFonts w:ascii="Times New Roman" w:hAnsi="Times New Roman"/>
          <w:b/>
          <w:sz w:val="24"/>
          <w:szCs w:val="24"/>
        </w:rPr>
      </w:pPr>
    </w:p>
    <w:p w:rsidR="000C3909" w:rsidP="000C3909">
      <w:pPr>
        <w:bidi w:val="0"/>
        <w:spacing w:line="240" w:lineRule="auto"/>
        <w:ind w:firstLine="708"/>
        <w:jc w:val="both"/>
        <w:rPr>
          <w:rFonts w:ascii="Times New Roman" w:hAnsi="Times New Roman"/>
          <w:b/>
          <w:sz w:val="24"/>
          <w:szCs w:val="24"/>
        </w:rPr>
      </w:pPr>
      <w:r>
        <w:rPr>
          <w:rFonts w:ascii="Times New Roman" w:hAnsi="Times New Roman"/>
          <w:b/>
          <w:sz w:val="24"/>
          <w:szCs w:val="24"/>
        </w:rPr>
        <w:t>B. Osobitná časť</w:t>
      </w:r>
    </w:p>
    <w:p w:rsidR="000C3909" w:rsidP="000C3909">
      <w:pPr>
        <w:bidi w:val="0"/>
        <w:spacing w:line="240" w:lineRule="auto"/>
        <w:ind w:firstLine="708"/>
        <w:rPr>
          <w:rFonts w:ascii="Times New Roman" w:hAnsi="Times New Roman"/>
          <w:b/>
          <w:sz w:val="24"/>
          <w:szCs w:val="24"/>
        </w:rPr>
      </w:pPr>
      <w:r>
        <w:rPr>
          <w:rFonts w:ascii="Times New Roman" w:hAnsi="Times New Roman"/>
          <w:b/>
          <w:sz w:val="24"/>
          <w:szCs w:val="24"/>
        </w:rPr>
        <w:t>K čl. I</w:t>
      </w:r>
    </w:p>
    <w:p w:rsidR="000C3909" w:rsidP="000C3909">
      <w:pPr>
        <w:tabs>
          <w:tab w:val="left" w:pos="2100"/>
        </w:tabs>
        <w:bidi w:val="0"/>
        <w:spacing w:line="240" w:lineRule="auto"/>
        <w:ind w:firstLine="708"/>
        <w:jc w:val="both"/>
        <w:rPr>
          <w:rFonts w:ascii="Times New Roman" w:hAnsi="Times New Roman"/>
          <w:b/>
          <w:sz w:val="24"/>
          <w:szCs w:val="24"/>
        </w:rPr>
      </w:pPr>
      <w:r>
        <w:rPr>
          <w:rFonts w:ascii="Times New Roman" w:hAnsi="Times New Roman"/>
          <w:b/>
          <w:sz w:val="24"/>
          <w:szCs w:val="24"/>
        </w:rPr>
        <w:t>K bodu 1</w:t>
        <w:tab/>
      </w:r>
    </w:p>
    <w:p w:rsidR="00B53362" w:rsidP="00FB60FA">
      <w:pPr>
        <w:bidi w:val="0"/>
        <w:spacing w:line="240" w:lineRule="auto"/>
        <w:ind w:firstLine="708"/>
        <w:jc w:val="both"/>
        <w:rPr>
          <w:rFonts w:ascii="Times New Roman" w:hAnsi="Times New Roman"/>
          <w:b/>
          <w:sz w:val="24"/>
          <w:szCs w:val="24"/>
          <w:lang w:eastAsia="sk-SK"/>
        </w:rPr>
      </w:pPr>
      <w:r>
        <w:rPr>
          <w:rFonts w:ascii="Times New Roman" w:hAnsi="Times New Roman"/>
          <w:sz w:val="24"/>
          <w:szCs w:val="24"/>
        </w:rPr>
        <w:t>Navrhovanou zm</w:t>
      </w:r>
      <w:r w:rsidR="00FB60FA">
        <w:rPr>
          <w:rFonts w:ascii="Times New Roman" w:hAnsi="Times New Roman"/>
          <w:sz w:val="24"/>
          <w:szCs w:val="24"/>
        </w:rPr>
        <w:t xml:space="preserve">enou sa v § 11 ods. 3 sa mení zákonná podmienka možnosti podania návrhu na vyhlásenie konkurzu tak, že </w:t>
      </w:r>
      <w:r w:rsidR="0066659F">
        <w:rPr>
          <w:rFonts w:ascii="Times New Roman" w:hAnsi="Times New Roman"/>
          <w:sz w:val="24"/>
          <w:szCs w:val="24"/>
        </w:rPr>
        <w:t xml:space="preserve">podľa novej úpravy bude postačovať, </w:t>
      </w:r>
      <w:r w:rsidR="00FB60FA">
        <w:rPr>
          <w:rFonts w:ascii="Times New Roman" w:hAnsi="Times New Roman"/>
          <w:sz w:val="24"/>
          <w:szCs w:val="24"/>
        </w:rPr>
        <w:t xml:space="preserve">ak dlžník bude v omeškaní </w:t>
      </w:r>
      <w:r w:rsidRPr="001A30C8">
        <w:rPr>
          <w:rFonts w:ascii="Times New Roman" w:hAnsi="Times New Roman"/>
          <w:sz w:val="24"/>
          <w:szCs w:val="24"/>
        </w:rPr>
        <w:t>jedného peňažného záväzku najmenej jednému veriteľovi</w:t>
      </w:r>
      <w:r w:rsidR="00FB60FA">
        <w:rPr>
          <w:rFonts w:ascii="Times New Roman" w:hAnsi="Times New Roman"/>
          <w:sz w:val="24"/>
          <w:szCs w:val="24"/>
        </w:rPr>
        <w:t xml:space="preserve">. Podľa doterajšej úpravy bolo potrebné, aby dlžník bol v omeškaní aspoň dvoch peňažných záväzkov viac ako jednému veriteľovi. </w:t>
      </w:r>
    </w:p>
    <w:p w:rsidR="000C3909" w:rsidP="000C3909">
      <w:pPr>
        <w:bidi w:val="0"/>
        <w:spacing w:line="240" w:lineRule="auto"/>
        <w:ind w:firstLine="708"/>
        <w:rPr>
          <w:rFonts w:ascii="Times New Roman" w:hAnsi="Times New Roman"/>
          <w:b/>
          <w:sz w:val="24"/>
          <w:szCs w:val="24"/>
          <w:lang w:eastAsia="sk-SK"/>
        </w:rPr>
      </w:pPr>
      <w:r>
        <w:rPr>
          <w:rFonts w:ascii="Times New Roman" w:hAnsi="Times New Roman"/>
          <w:b/>
          <w:sz w:val="24"/>
          <w:szCs w:val="24"/>
          <w:lang w:eastAsia="sk-SK"/>
        </w:rPr>
        <w:t>K čl. III</w:t>
      </w:r>
    </w:p>
    <w:p w:rsidR="000C3909" w:rsidP="000C3909">
      <w:pPr>
        <w:bidi w:val="0"/>
        <w:spacing w:line="240" w:lineRule="auto"/>
        <w:ind w:firstLine="708"/>
        <w:rPr>
          <w:rFonts w:ascii="Times New Roman" w:hAnsi="Times New Roman"/>
          <w:sz w:val="24"/>
          <w:szCs w:val="24"/>
          <w:lang w:eastAsia="sk-SK"/>
        </w:rPr>
      </w:pPr>
      <w:r>
        <w:rPr>
          <w:rFonts w:ascii="Times New Roman" w:hAnsi="Times New Roman"/>
          <w:sz w:val="24"/>
          <w:szCs w:val="24"/>
          <w:lang w:eastAsia="sk-SK"/>
        </w:rPr>
        <w:t>V článku III sa navrhuje účinnosť pre</w:t>
      </w:r>
      <w:r w:rsidR="005F1E3E">
        <w:rPr>
          <w:rFonts w:ascii="Times New Roman" w:hAnsi="Times New Roman"/>
          <w:sz w:val="24"/>
          <w:szCs w:val="24"/>
          <w:lang w:eastAsia="sk-SK"/>
        </w:rPr>
        <w:t xml:space="preserve">dkladanej novely na 1. januára </w:t>
      </w:r>
      <w:r w:rsidR="00B53362">
        <w:rPr>
          <w:rFonts w:ascii="Times New Roman" w:hAnsi="Times New Roman"/>
          <w:sz w:val="24"/>
          <w:szCs w:val="24"/>
          <w:lang w:eastAsia="sk-SK"/>
        </w:rPr>
        <w:t>2017</w:t>
      </w:r>
      <w:r>
        <w:rPr>
          <w:rFonts w:ascii="Times New Roman" w:hAnsi="Times New Roman"/>
          <w:sz w:val="24"/>
          <w:szCs w:val="24"/>
          <w:lang w:eastAsia="sk-SK"/>
        </w:rPr>
        <w:t xml:space="preserve">. </w:t>
      </w:r>
    </w:p>
    <w:p w:rsidR="000C3909" w:rsidP="000C3909">
      <w:pPr>
        <w:bidi w:val="0"/>
        <w:spacing w:line="240" w:lineRule="auto"/>
      </w:pPr>
    </w:p>
    <w:p w:rsidR="000C3909" w:rsidP="000C3909">
      <w:pPr>
        <w:bidi w:val="0"/>
      </w:pPr>
    </w:p>
    <w:p w:rsidR="00207304">
      <w:pPr>
        <w:bidi w:val="0"/>
      </w:pPr>
    </w:p>
    <w:sectPr w:rsidSect="0020730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doNotUseIndentAsNumberingTabStop/>
    <w:allowSpaceOfSameStyleInTable/>
    <w:splitPgBreakAndParaMark/>
    <w:useAnsiKerningPairs/>
  </w:compat>
  <w:rsids>
    <w:rsidRoot w:val="000C3909"/>
    <w:rsid w:val="000C3909"/>
    <w:rsid w:val="001A30C8"/>
    <w:rsid w:val="00207304"/>
    <w:rsid w:val="002F6F99"/>
    <w:rsid w:val="00342BC1"/>
    <w:rsid w:val="00510D8A"/>
    <w:rsid w:val="005527B4"/>
    <w:rsid w:val="005E2159"/>
    <w:rsid w:val="005F1E3E"/>
    <w:rsid w:val="0066659F"/>
    <w:rsid w:val="00A43788"/>
    <w:rsid w:val="00B53362"/>
    <w:rsid w:val="00E859C8"/>
    <w:rsid w:val="00F77767"/>
    <w:rsid w:val="00FB60F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09"/>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34"/>
    <w:qFormat/>
    <w:rsid w:val="000C3909"/>
    <w:pPr>
      <w:spacing w:after="0" w:line="240" w:lineRule="auto"/>
      <w:ind w:left="720"/>
      <w:contextualSpacing/>
      <w:jc w:val="left"/>
    </w:pPr>
    <w:rPr>
      <w:rFonts w:ascii="Times New Roman" w:hAnsi="Times New Roman"/>
      <w:sz w:val="24"/>
      <w:szCs w:val="24"/>
      <w:lang w:eastAsia="sk-SK"/>
    </w:rPr>
  </w:style>
  <w:style w:type="character" w:customStyle="1" w:styleId="apple-converted-space">
    <w:name w:val="apple-converted-space"/>
    <w:rsid w:val="000C390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362</Words>
  <Characters>2067</Characters>
  <Application>Microsoft Office Word</Application>
  <DocSecurity>0</DocSecurity>
  <Lines>0</Lines>
  <Paragraphs>0</Paragraphs>
  <ScaleCrop>false</ScaleCrop>
  <Company>Kancelaria NR SR</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2016-04-29T12:18:00Z</dcterms:created>
  <dcterms:modified xsi:type="dcterms:W3CDTF">2016-04-29T12:18:00Z</dcterms:modified>
</cp:coreProperties>
</file>