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4781" w:rsidRPr="00DC0F2E" w:rsidP="002301EE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C0F2E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pStyle w:val="Odsekzoznamu1"/>
        <w:numPr>
          <w:numId w:val="16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rokovanie Národnej rady Slovenskej republiky sa predkladá návrh zákona, ktorým sa mení a dopĺňa zákon č. 575/2001 Z. z. o organizácii činnosti vlády a organizácii ústrednej štátnej správy v znení neskorších predpisov a ktorým sa menia a dopĺňajú niektoré zákony (ďalej len „návrh zákona“).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Návrh zákona bol vypracovaný z dôvodu potreby zabezpečenia odborného, administratívneho a personálneho výkonu kompetencií, za ktorých koordináciu a  riadenie zodpovedá podpredseda vlády Slovenskej republiky pre investície.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Návrh zákona predstavuje reálny nástroj na plnenie Programového vyhlásenia vlády Slovenskej republiky, v súlade s ktorým </w:t>
      </w:r>
      <w:r>
        <w:rPr>
          <w:rFonts w:ascii="Times New Roman" w:hAnsi="Times New Roman"/>
          <w:sz w:val="24"/>
          <w:szCs w:val="24"/>
          <w:lang w:eastAsia="en-GB"/>
        </w:rPr>
        <w:t xml:space="preserve">majú byť posilnené princípy transparentnosti, efektívnosti, účelovosti a výsledkovej orientácie pri využívaní fondov EÚ. Tento cieľ má byť dosiahnutý prostredníctvom účinných opatrení na posilnenie riadiacich, koordinačných a kontrolných kompetencií podpredsedu vlády Slovenskej republiky pre investície. 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ohľadom na dôležitosť vykonávaných funkcií, ktoré majú byť napĺňané pod gesciou podpredsedu vlády Slovenskej republiky pre investície, ako aj v nadväznosti na znenie Programového vyhlásenia vlády Slovenskej republiky, ktoré počíta s novovytvoreným úradom, sa navrhuje zriadenie nového ústredného orgánu štátnej správy. Výkon navrhovaných kompetencií vyžaduje, aby tieto boli centralizované na úrovni jediného subjektu s právnou subjektivitou, nakoľko doterajšia fragmentácia medzi viaceré subjekty neumožňuje dostatočne silnú koordinačnú úlohu a včasné dosahovanie stanovených cieľov. Navrhované kompetencie nového ústredného orgánu štátnej správy zabezpečia vhodnejšie prostredie na dosahovanie stanovených cieľov, pod koordinačnou úlohou podpredsedu vlády Slovenskej republiky pre investície a informatizáciu. Navrhovaná zmena predstavuje centralizáciu výkonu kompetencií v oblasti informatizácie spoločnosti, ktorá bola doteraz rozdelená medzi viaceré ústredné orgány štátnej správy za účelom efektívneho výkonu týchto kompetencií na národnej úrovni.</w:t>
      </w:r>
    </w:p>
    <w:p w:rsidR="006B43D6" w:rsidP="006B43D6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Vzhľadom na novelizáciu zákona č. 575/2001 Z. z. v znení neskorších predpisov (v čl. I) je potrebné pristúpiť aj k novelizácii zákona č. 90/2008 Z. z. o európskom zoskupení územnej spolupráce a o doplnení zákona č. 540/2001 Z. z. o štátnej štatistike v znení neskorších predpisov. Centrálny koordinačný orgán okrem iného plní úlohu a implementuje nariadenie (ES) č. 1082/2006 o EZÚS v platnom znení. Z toho dôvodu je potrebné vzhľadom na zmenu kompetenčného zákona  túto zmenu preniesť aj do národného implementačného opatrenia, ktorým je zákon č. 90/2008 Z. z.    </w:t>
      </w:r>
    </w:p>
    <w:p w:rsidR="006B43D6" w:rsidP="006B43D6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Návrh zákona zároveň novelizuje zákon č. 292/2014 Z. z. o príspevku poskytovanom z európskych štrukturálnych a investičných fondov a o zmene a doplnení niektorých zákonov v znení neskorších predpisov. Cieľom navrhovanej zmeny je premietnuť zmeny prijaté návrhom zákona aj do tohto zákona, v dôsledku čoho dochádza k výraznému posilneniu úloh Centrálneho koordinačného orgánu, ktorého úlohy bude plniť novo zriaďovaný ústredný orgán štátnej správy v oblasti riadenia, koordinácie a dohľadu nad využívaním fondov Európskej únie. Navrhované zmeny smerujú k naplneniu Programového vyhlásenia vlády Slovenskej republiky, kde si vláda Slovenskej republika stanovila aj prostredníctvom navrhovaných opatrení </w:t>
      </w:r>
      <w:r>
        <w:rPr>
          <w:rFonts w:ascii="Times New Roman" w:hAnsi="Times New Roman"/>
          <w:sz w:val="24"/>
          <w:szCs w:val="24"/>
          <w:lang w:eastAsia="en-GB"/>
        </w:rPr>
        <w:t xml:space="preserve">zlepšiť implementáciu európskych štrukturálnych a investičných fondov a dosahovanie ich výsledkovej orientácie. </w:t>
      </w:r>
      <w:r>
        <w:rPr>
          <w:rFonts w:ascii="Times New Roman" w:hAnsi="Times New Roman"/>
          <w:sz w:val="24"/>
          <w:szCs w:val="24"/>
        </w:rPr>
        <w:t>Zmeny sú predpokladom na naplnenie cieľa riadneho a včasného čerpania finančných prostriedkov z fondov Európskej únie. Podrobnosti o spôsobe výkonu kompetencií Úradu podpredsedu vlády Slovenskej republiky pre investície a informatizáciu obsiahnuté v § 6 ods. 2 písm. i) až k) upraví Systém riadenia európskych štrukturálnych a investičných fondov, ktorý schváli vláda Slovenskej republiky. Výkon kompetencií opísaných v § 6 ods. 2 písm. i) až k) nemá vplyv na výkon pôsobnosti a kompetencií riadiacich orgánov v zmysle nariadenia  Európskeho parlamentu a Rady č. 1303/2013 zo 17. decembra 2013.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Ďalšími dôvodmi vypracovania návrhu zákona je potreba </w:t>
      </w:r>
      <w:r>
        <w:rPr>
          <w:rFonts w:ascii="Times New Roman" w:hAnsi="Times New Roman"/>
          <w:sz w:val="24"/>
        </w:rPr>
        <w:t xml:space="preserve">zavŕšiť proces presunu agendy ľudských práv z Ministerstva zahraničných vecí a európskych záležitostí Slovenskej republiky na Ministerstvo spravodlivosti Slovenskej republiky, a to presunom agendy poskytovania dotácií v oblasti ochrany ľudských práv na Ministerstvo spravodlivosti Slovenskej republiky. </w:t>
      </w: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Zároveň sa navrhujú niektoré úpravy precizujúce právnu úpravu úloh Úradu vlády Slovenskej republiky vo vzťahu k predsedovi vlády Slovenskej republiky, ako aj z hľadiska kontroly plnenia úloh vyplývajúcich z programového vyhlásenia vlády Slovenskej republiky a koordinácie</w:t>
      </w:r>
      <w:r>
        <w:rPr>
          <w:rFonts w:ascii="Times New Roman" w:hAnsi="Times New Roman"/>
          <w:sz w:val="24"/>
          <w:szCs w:val="24"/>
        </w:rPr>
        <w:t xml:space="preserve"> prípravy zásadných opatrení na zabezpečenie hospodárskej a sociálnej politiky Slovenskej republiky. Tieto úlohy plní Úrad vlády Slovenskej republiky už v súčasnosti, keďže implicitne vyplývajú z platnej právnej úpravy.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Tieto časti navrhovanej právnej úpravy sú súčasťou návrhu zákona z dôvodu legislatívnej hospodárnosti.</w:t>
      </w: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Návrh zákona je v súlade s Ústavou Slovenskej republiky, ústavnými zákonmi, medzinárodnými zmluvami, ktorými je Slovenská republika viazaná a zákonmi a súčasne je v súlade s právom Európskej únie.</w:t>
      </w:r>
    </w:p>
    <w:p w:rsidR="006B43D6" w:rsidP="006B43D6">
      <w:pPr>
        <w:pStyle w:val="BodyText"/>
        <w:bidi w:val="0"/>
        <w:ind w:firstLine="360"/>
        <w:rPr>
          <w:rFonts w:ascii="Times New Roman" w:hAnsi="Times New Roman" w:cs="Times New Roman"/>
          <w:color w:val="000000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Návrh zákona bude mať neutrálny vplyv na rozpočet verejnej správy, nebude mať vplyv na podnikateľské prostredie, sociálne vplyvy, ani vplyvy na životné prostredie a bude mať pozitívny vplyv na informatizáciu spoločnosti. 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>dolOŽKA  ZLUČITEĽNOSTI</w:t>
      </w:r>
    </w:p>
    <w:p w:rsidR="006B43D6" w:rsidP="006B43D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návrhu právneho predpisu s právom Európskej únie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Predkladateľ právneho predpisu:</w:t>
      </w:r>
      <w:r>
        <w:rPr>
          <w:rFonts w:ascii="Times New Roman" w:hAnsi="Times New Roman"/>
          <w:sz w:val="24"/>
          <w:szCs w:val="24"/>
        </w:rPr>
        <w:t xml:space="preserve"> predseda vlády Slovenskej republiky 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 Názov návrhu právneho predpisu:</w:t>
      </w:r>
      <w:r>
        <w:rPr>
          <w:rFonts w:ascii="Times New Roman" w:hAnsi="Times New Roman"/>
          <w:sz w:val="24"/>
          <w:szCs w:val="24"/>
        </w:rPr>
        <w:t xml:space="preserve"> zákon, ktorým sa mení a dopĺňa zákon č. 575/2001 Z. z. o organizácii činnosti vlády a organizácii ústrednej štátnej správy v znení neskorších predpisov a ktorým sa menia a dopĺňajú niektoré zákony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43D6" w:rsidP="006B43D6">
      <w:pPr>
        <w:bidi w:val="0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Problematika návrhu právneho predpisu:</w:t>
      </w:r>
    </w:p>
    <w:p w:rsidR="006B43D6" w:rsidP="006B43D6">
      <w:pPr>
        <w:bidi w:val="0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a)</w:t>
        <w:tab/>
        <w:t>je upravená v práve Európskej únie</w:t>
      </w:r>
    </w:p>
    <w:p w:rsidR="006B43D6" w:rsidP="006B43D6">
      <w:pPr>
        <w:widowControl w:val="0"/>
        <w:tabs>
          <w:tab w:val="left" w:pos="1068"/>
        </w:tabs>
        <w:bidi w:val="0"/>
        <w:adjustRightInd w:val="0"/>
        <w:spacing w:after="0" w:line="240" w:lineRule="auto"/>
        <w:ind w:left="879" w:hanging="171"/>
        <w:rPr>
          <w:rFonts w:ascii="Times New Roman" w:hAnsi="Times New Roman"/>
          <w:i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</w:t>
        <w:tab/>
      </w:r>
      <w:r>
        <w:rPr>
          <w:rFonts w:ascii="Times New Roman" w:hAnsi="Times New Roman"/>
          <w:i/>
          <w:sz w:val="24"/>
          <w:szCs w:val="24"/>
          <w:lang w:eastAsia="sk-SK"/>
        </w:rPr>
        <w:t>primárnom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Zmluva o fungovaní Európskej únie, najmä články 38 až 44, 162 až 164, 174 až 178, 320 až 324, </w:t>
      </w:r>
      <w:smartTag w:uri="urn:schemas-microsoft-com:office:smarttags" w:element="metricconverter">
        <w:smartTagPr>
          <w:attr w:name="ProductID" w:val="325 a"/>
        </w:smartTagPr>
        <w:r>
          <w:rPr>
            <w:rFonts w:ascii="Times New Roman" w:hAnsi="Times New Roman"/>
            <w:sz w:val="24"/>
            <w:szCs w:val="24"/>
            <w:lang w:eastAsia="sk-SK"/>
          </w:rPr>
          <w:t>325 a</w:t>
        </w:r>
      </w:smartTag>
      <w:r>
        <w:rPr>
          <w:rFonts w:ascii="Times New Roman" w:hAnsi="Times New Roman"/>
          <w:sz w:val="24"/>
          <w:szCs w:val="24"/>
          <w:lang w:eastAsia="sk-SK"/>
        </w:rPr>
        <w:t xml:space="preserve"> 349.  </w:t>
      </w:r>
    </w:p>
    <w:p w:rsidR="006B43D6" w:rsidP="006B43D6">
      <w:pPr>
        <w:widowControl w:val="0"/>
        <w:tabs>
          <w:tab w:val="left" w:pos="1068"/>
        </w:tabs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</w:t>
        <w:tab/>
      </w:r>
      <w:r>
        <w:rPr>
          <w:rFonts w:ascii="Times New Roman" w:hAnsi="Times New Roman"/>
          <w:i/>
          <w:sz w:val="24"/>
          <w:szCs w:val="24"/>
          <w:lang w:eastAsia="sk-SK"/>
        </w:rPr>
        <w:t>sekundárnom (prijatom po nadobudnutím platnosti Lisabonskej zmluvy, ktorou sa mení a dopĺňa Zmluva o Európskom spoločenstve a Zmluva o Európskej únii – po 30. novembri 2009)</w:t>
      </w:r>
    </w:p>
    <w:p w:rsidR="006B43D6" w:rsidP="006B43D6">
      <w:pPr>
        <w:widowControl w:val="0"/>
        <w:tabs>
          <w:tab w:val="left" w:pos="1068"/>
        </w:tabs>
        <w:bidi w:val="0"/>
        <w:adjustRightInd w:val="0"/>
        <w:spacing w:after="0" w:line="240" w:lineRule="auto"/>
        <w:ind w:left="879" w:hanging="171"/>
        <w:rPr>
          <w:rFonts w:ascii="Times New Roman" w:hAnsi="Times New Roman"/>
          <w:i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1239" w:hanging="360"/>
        <w:rPr>
          <w:rFonts w:ascii="Times New Roman" w:hAnsi="Times New Roman"/>
          <w:i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1.</w:t>
        <w:tab/>
        <w:t xml:space="preserve">legislatívne akty </w:t>
      </w:r>
    </w:p>
    <w:p w:rsidR="006B43D6" w:rsidP="006B43D6">
      <w:pPr>
        <w:widowControl w:val="0"/>
        <w:bidi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Nariadenie Európskeho parlamentu a Rady (EÚ) č. 1301/2013 zo 17. decembra 2013 o Európskom fonde regionálneho rozvoja a o osobitných ustanoveniach týkajúcich sa cieľa Investovanie do rastu a zamestnanosti, a ktorým sa zrušuje nariadenie (ES) č. 1080/2006. 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(EÚ) č. 1304/2013 z 17. decembri 2013 o Európskom sociálnom fonde a o zrušení nariadenia Rady (ES) č. 1081/2006.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(EÚ) č. 1300/2013 zo 17. decembra 2013 o Kohéznom fonde, ktorým sa zrušuje nariadenie Rady (ES) č. 1084/2006.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(EÚ) č. 1305/2013 zo 17. decembra 2013 o podpore rozvoja vidieka prostredníctvom Európskeho poľnohospodárskeho fondu pre rozvoj vidieka (EPFRV) a o zrušení nariadenia Rady (ES) č. 1698/2005.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(EÚ) č. 508/2014 z 15.mája 2014 o Európskom námornom a rybárskom fonde, ktorým sa zrušujú nariadenia Rady (ES) č. 2328/2003, (ES) č. 861/2006, (ES) č. 1198/2006 a (ES) č. 791/2007 a nariadenie Európskeho parlamentu a Rady (EÚ) č.1255/2011.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(EÚ) č. 1299/2013 z 17. decembra 2013 o osobitných ustanoveniach na podporu cieľa Európska územná spolupráca z Európskeho fondu regionálneho rozvoja.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(EÚ) č. 1302/2013 zo 17. decembra 2013, ktorým sa mení nariadenie (ES) č. 1082/2006 o Európskom zoskupení územnej spolupráce (EZÚS), pokiaľ ide o vyjasnenie, zjednodušenie a zlepšenie zakladania a fungovania takýchto zoskupení.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(EÚ) č. 1306/2013 zo 17. decembra 2013 o financovaní, riadení a monitorovaní spoločnej poľnohospodárskej politiky a ktorým sa zrušujú nariadenia Rady (EHS) č. 352/78, (ES) č. 165/94, (ES) č. 2799/98, (ES) č. 814/2000, (ES) č. 1290/2005 a (ES) č. 485/2008.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(EÚ, Euratom) č. 966/2012 z 25. októbra 2012, o rozpočtových pravidlách, ktoré sa vzťahujú na všeobecný rozpočet Únie, a zrušení nariadenia Rady (ES, Euratom) č. 1605/2002.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Nariadenie Európskeho parlamentu a Rady (ES) č. 1082/2006 z 5. júla 2006 o Európskom zoskupení územnej spolupráce (EZÚS).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851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1239" w:hanging="360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2.</w:t>
        <w:tab/>
        <w:t>nelegislatívne akty</w:t>
      </w:r>
    </w:p>
    <w:p w:rsidR="006B43D6" w:rsidP="006B43D6">
      <w:pPr>
        <w:widowControl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6B43D6">
            <w:pPr>
              <w:widowControl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Vykonávacie nariadenie Komisie (EÚ) č. 215/2014 zo 7. marca 2014, ktorým sa stanovujú pravidlá vykonávania nariadenia Európskeho parlamentu a Rady (EÚ) č. 1303/2013,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 v súvislosti s metodikami poskytovania podpory na riešenie zmeny klímy, určovaním čiastkových cieľov a zámerov vo výkonnostnom rámci a nomenklatúrou kategórií intervencií pre európske štrukturálne a investičné fondy.</w:t>
            </w:r>
          </w:p>
        </w:tc>
      </w:tr>
    </w:tbl>
    <w:p w:rsidR="006B43D6" w:rsidP="006B43D6">
      <w:pPr>
        <w:widowControl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</w:t>
        <w:tab/>
      </w:r>
      <w:r>
        <w:rPr>
          <w:rFonts w:ascii="Times New Roman" w:hAnsi="Times New Roman"/>
          <w:i/>
          <w:sz w:val="24"/>
          <w:szCs w:val="24"/>
          <w:lang w:eastAsia="sk-SK"/>
        </w:rPr>
        <w:t>sekundárnom (prijatom pred nadobudnutím platnosti Lisabonskej zmluvy, ktorou sa mení a dopĺňa Zmluva o Európskom spoločenstve a Zmluva o Európskej únii – do 30. novembra 2009)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6B43D6">
            <w:pPr>
              <w:widowControl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br/>
              <w:t>Rozhodnutie Rady z 25. júna 2007, ktorým sa zriaďuje Európsky fond pre integráciu štátnych príslušníkov tretích krajín na obdobie rokov 2007 až 2013 ako súčasť všeobecného programu Solidarita a riadenie migračných tokov (2007/435/ES) v platnom znení.</w:t>
            </w:r>
          </w:p>
          <w:p w:rsidR="006B43D6">
            <w:pPr>
              <w:widowControl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Nariadenie Komisie (ES) č. 1828/2006 z 8. decembra 2006, ktorým sa stanovujú vykonávacie pravidlá nariadenia Rady (ES) č. 1083/2006, ktorým sa ustanovujú všeobecné ustanovenia o Európskom fonde regionálneho rozvoja, Európskom sociálnom fonde a Kohéznom fonde a nariadenia Európskeho parlamentu a Rady (ES) č. 1080/2006 o Európskom fonde regionálneho rozvoja v platnom znení.</w:t>
            </w:r>
          </w:p>
          <w:p w:rsidR="006B43D6">
            <w:pPr>
              <w:widowControl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Nariadenie Európskeho parlamentu a Rady (ES) č. 1082/2006 z 5. júla 2006 o Európskom zoskupení územnej spolupráce (EZÚS) v platnom znení.</w:t>
            </w:r>
          </w:p>
          <w:p w:rsidR="006B43D6">
            <w:pPr>
              <w:widowControl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Nariadenie Komisie (ES) č. 885/2006 z 21. júna 2006, ktorým sa ustanovujú podrobné pravidlá uplatňovania nariadenia Rady (ES) č. 1290/2005, pokiaľ ide o akreditáciu platobných agentúr a iných orgánov a zúčtovania EPZF a EPFRV v platnom znení.</w:t>
            </w:r>
          </w:p>
          <w:p w:rsidR="006B43D6">
            <w:pPr>
              <w:widowControl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Nariadenie Rady (EURATOM, ES) č. 2185/96 z 11. novembra 1996 o kontrolách a inšpekciách na mieste, vykonávaných Komisiou s cieľom ochrany finančných záujmov Európskych spoločenstiev pred spreneverou a inými podvodmi v platnom znení.</w:t>
            </w:r>
          </w:p>
          <w:p w:rsidR="006B43D6">
            <w:pPr>
              <w:widowControl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Nariadenie Rady (ES, Euratom) č. 2988/95 z 18. decembra 1995 o ochrane finančných záujmov Európskych spoločenstiev v platnom znení.</w:t>
            </w:r>
          </w:p>
        </w:tc>
      </w:tr>
    </w:tbl>
    <w:p w:rsidR="006B43D6" w:rsidP="006B43D6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b)</w:t>
        <w:tab/>
        <w:t>je obsiahnutá v judikatúre Súdneho dvora Európskej únie.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numPr>
          <w:numId w:val="14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rozhodnutie Súdneho dvora vo veci C 46/03, Spojené kráľovstvo Veľkej Británie a Severného Írska proti EK, [2005] 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2. rozhodnutie Súdneho dvora vo veci T-102/03, Centro informativo per la collaborazione tra le imprese e la promozione degli investimenti in Sicilia SpA (CIS) proti EK, [2005] </w:t>
      </w:r>
    </w:p>
    <w:p w:rsidR="006B43D6" w:rsidP="006B43D6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4.</w:t>
        <w:tab/>
        <w:t xml:space="preserve">Záväzky Slovenskej republiky vo vzťahu k Európskej únii: </w:t>
      </w:r>
    </w:p>
    <w:p w:rsidR="006B43D6" w:rsidP="006B43D6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a)</w:t>
        <w:tab/>
        <w:t>lehota na prebratie smernice alebo lehota na implementáciu nariadenia alebo rozhodnutia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nie je určená </w:t>
      </w:r>
    </w:p>
    <w:p w:rsidR="006B43D6" w:rsidP="006B43D6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b)</w:t>
        <w:tab/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  <w:t>nie je určená 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c)</w:t>
        <w:tab/>
        <w:t>informácia o konaní začatom proti Slovenskej republike o porušení podľa čl. 258 až 260 Zmluvy o fungovaní Európskej únie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konanie nebolo začaté </w:t>
      </w:r>
    </w:p>
    <w:p w:rsidR="006B43D6" w:rsidP="006B43D6">
      <w:pPr>
        <w:widowControl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d)</w:t>
        <w:tab/>
        <w:t>informácia o právnych predpisoch, v ktorých sú preberané smernice už prebraté spolu s uvedením rozsahu tohto prebratia</w:t>
      </w:r>
    </w:p>
    <w:p w:rsidR="006B43D6" w:rsidP="006B43D6">
      <w:pPr>
        <w:widowControl w:val="0"/>
        <w:bidi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návrh zákona nepreberá smernice </w:t>
      </w:r>
    </w:p>
    <w:p w:rsidR="006B43D6" w:rsidP="006B43D6">
      <w:pPr>
        <w:widowControl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5.</w:t>
        <w:tab/>
        <w:t>Stupeň zlučiteľnosti návrhu právneho predpisu s právom Európskej únie:</w:t>
      </w:r>
    </w:p>
    <w:p w:rsidR="006B43D6" w:rsidP="006B43D6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B43D6" w:rsidP="006B43D6">
      <w:pPr>
        <w:widowControl w:val="0"/>
        <w:bidi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Stupeň zlučiteľnosti - úplný </w:t>
      </w:r>
    </w:p>
    <w:p w:rsidR="006B43D6" w:rsidP="006B43D6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eastAsia="sk-SK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</w:pPr>
    </w:p>
    <w:p w:rsidR="006B43D6" w:rsidP="006B43D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Doložka vybraných vplyvov</w:t>
      </w:r>
    </w:p>
    <w:p w:rsidR="006B43D6" w:rsidP="006B43D6">
      <w:pPr>
        <w:pStyle w:val="Odsekzoznamu1"/>
        <w:bidi w:val="0"/>
        <w:spacing w:after="0" w:line="240" w:lineRule="auto"/>
        <w:ind w:left="426"/>
        <w:rPr>
          <w:rFonts w:ascii="Times New Roman" w:hAnsi="Times New Roman"/>
          <w:b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zákona, ktorým sa mení a dopĺňa zákon č. 575/2001 Z. z. o organizácii činnosti vlády a organizácii ústrednej štátnej správy v znení neskorších predpisov a ktorým sa menia a dopĺňajú niektoré zákony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Predseda vlády Slovenskej republiky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center"/>
            <w:hideMark/>
          </w:tcPr>
          <w:p w:rsidR="006B43D6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 prípade transpozície uveďte zoznam transponovaných predpisov:-</w:t>
            </w:r>
          </w:p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Návrh zákona bol vypracovaný na základe Programového vyhlásenia vlády Slovenskej republiky, s ohľadom na dôležitosť vykonávaných funkcií, ktoré majú byť napĺňané pod gesciou podpredsedu vlády Slovenskej republiky pre investície a informatizáciu. Navrhuje sa zriadenie nového ústredného orgánu štátnej správy. Výkon navrhovaných kompetencií vyžaduje, aby tieto boli centralizované na úrovni jediného subjektu s právnou subjektivitou, nakoľko doterajšia fragmentácia medzi viaceré subjekty neumožňovala dostatočne silnú koordinačnú úlohu a včasné dosahovanie stanovených cieľov. 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Cieľom predkladaného návrhu zákona je zriadenie nového ústredného orgánu štátnej správy za účelom zabezpečenia kvalitného, odborného a účinného výkonu úloh v politickej gescii podpredsedu vlády Slovenskej republiky pre investície a informatizáciu. Zároveň je cieľom predkladaného návrhu zákona priniesť konkrétne opatrenia, ktoré vo výslednom stave prinesú lepšie výsledky pri čerpaní finančných prostriedkov z fondov Európskej únie.</w:t>
            </w:r>
            <w:r>
              <w:t xml:space="preserve"> 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Štátne orgány, orgány územnej samosprávy, fyzické osoby, právnické osoby.</w:t>
            </w:r>
          </w:p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Alternatívne riešenia neboli posudzované.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  <w:r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☒</w:t>
            </w:r>
            <w:r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Národná právna úprava nejde nad rámec minimálnych požiadaviek EÚ.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B43D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Preskúmanie účinnosti a účelnosti navrhovaného predpisu bude vykonávané priebežne po nadobudnutí účinnosti.</w:t>
            </w:r>
          </w:p>
          <w:p w:rsidR="006B43D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6B43D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13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....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586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6B43D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Ing. Alena Sabelová, PhD., generálna riaditeľka sekcie centrálny koordinačný orgán, Úrad vlády Slovenskej republiky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401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Bezpredmetné </w:t>
            </w:r>
          </w:p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B43D6" w:rsidP="006B43D6">
            <w:pPr>
              <w:pStyle w:val="Odsekzoznamu1"/>
              <w:numPr>
                <w:numId w:val="17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...</w:t>
            </w:r>
          </w:p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B43D6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B43D6" w:rsidP="006B43D6">
      <w:pPr>
        <w:bidi w:val="0"/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43D6" w:rsidP="006B43D6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</w:t>
        <w:tab/>
        <w:t>Osobitná časť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</w:rPr>
        <w:t>zákon č. 575/2001 Z. z. o organizácii činnosti vlády a organizácii ústrednej štátnej správy v znení neskorších predpisov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precizovať znenie § 1b, keďže Úrad vlády Slovenskej republiky  plnením úloh spojených s odborným, organizačným a technickým zabezpečovaním činnosti vlády plní tieto úlohy aj pre predsedu vlády Slovenskej republiky, ktorý riadi činnosť vlády Slovenskej republiky.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skutočnosť, že v rámci príprav Slovenskej republiky na jej predsedníctvo v Rade EÚ došlo k ukončeniu politického cyklu, navrhuje sa aby niektorí bývalí štátni tajomníci ministerstiev, ktorí pôsobili  v predchádzajúcom volebnom období, mohli využiť svoju odbornosť získanú pri príprave predmetného predsedníctva aj v bezprostredne nadväzujúcom volebnom období. Z uvedeného dôvodu sa navrhuje aby tento výnimočný mandát bol len dočasný a súvisel len s úlohami vyplývajúcimi z prípravy na výkon a z výkonu predsedníctva Slovenskej republiky v Rade EÚ.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3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ohľadom na cieľ koncentrácie výkonu funkcií v oblasti informatizácie spoločnosti pod novo navrhovaný ústredný orgán štátnej správy sa navrhuje presun kompetencií v oblasti informatizácie spoločnosti a vypustenie z kompetencií Ministerstva financií Slovenskej republiky.  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4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Keďže agenda ľudský</w:t>
      </w:r>
      <w:r w:rsidR="0054013B"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z w:val="24"/>
        </w:rPr>
        <w:t xml:space="preserve"> práv prešla na Ministerstvo spravodlivosti Slovenskej republiky je potrebné zavŕšiť proces presunu tejto agendy presunom kompetencie poskytovania dotácií v oblasti ochrany ľudských práv na Ministerstvo spravodlivosti Slovenskej republiky. 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5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sústavy ostatných ústredných orgánov štátnej správy sa navrhuje doplniť nový Úrad podpredsedu vlády Slovenskej republiky pre investície a informatizáciu.    </w:t>
      </w: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6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upraviť personálne riadenie novo navrhovaného ústredného orgánu štátnej správy, pričom vedúceho Úradu podpredsedu vlády Slovenskej republiky pre investície a informatizáciu vymenúva a odvoláva vláda Slovenskej republiky na návrh podpredsedu vlády Slovenskej republiky pre investície a informatizáciu.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7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precizovať § 24 ods. 2, už v súčasnosti Úrad vlády Slovenskej republiky popri kontrole plnení úloh vyplývajúcich z uznesení vlády kontroluje aj plnenie úloh vyplývajúcich z Programového vyhlásenia vlády Slovenskej republiky. </w:t>
      </w: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odporúčania OECD sa navrhuje, tak ako to už bolo v minulosti, doplniť pôsobnosť Úradu vlády Slovenskej republiky aj o koordináciu prípravy zásadných opatrení na zabezpečenie hospodárskej a sociálnej politiky Slovenskej republiky. Podľa návrhov OECD je potrebné vo viacerých smeroch zvýšiť koordinačné funkcie Úradu vlády Slovenskej republiky.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8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ohľadom na cieľ koncentrácie výkonu funkcií v oblasti informatizácie spoločnosti a koordinácie využívania prostriedkov z fondov Európskej únie pod novo navrhovaný ústredný orgán štátnej správy sa navrhuje presun kompetencií v týchto oblastiach z kompetencií Úradu vlády Slovenskej republiky.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9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vecné vymedzenie pôsobnosti nového ústredného orgánu štátnej správy.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10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upraviť právne, personálne a majetkové vzťahy v súvislosti s presunom kompetencií na nový ústredný orgán štátnej správy.</w:t>
      </w: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Zároveň sa v nadväznosti na zmeny navrhované v novelizačnom bode 4 navrhuje upraviť prechod </w:t>
      </w:r>
      <w:r>
        <w:rPr>
          <w:rFonts w:ascii="Times New Roman" w:hAnsi="Times New Roman"/>
          <w:sz w:val="24"/>
        </w:rPr>
        <w:t>pôsobnosti Ministerstva zahraničných vecí a európskych záležitostí Slovenskej republiky v oblasti poskytovania dotácií v oblasti ľudských práv podľa doterajších všeobecne záväzných právnych predpisov na Ministerstvo spravodlivosti Slovenskej republiky</w:t>
      </w:r>
      <w:r>
        <w:rPr>
          <w:rFonts w:ascii="Times New Roman" w:hAnsi="Times New Roman"/>
          <w:sz w:val="24"/>
          <w:szCs w:val="24"/>
        </w:rPr>
        <w:t>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</w:rPr>
        <w:t>zákon č. 90/2008 Z. z. o európskom zoskupení územnej spolupráce a o doplnení zákona č. 540/2001 Z. z. o štátnej štatistike v znení neskorších predpisov)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K bodu 1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Centrálny koordinačný orgán okrem iného plní úlohu a implementuje nariadenie (ES) č. 1082/2006 o EZÚS v platnom znení. Z toho dôvodu je potrebné vzhľadom na zmenu zákona č. 575/2001 Z. z. v znení neskorších predpisov túto zmenu preniesť aj do národného implementačného opatrenia, ktorým je zákon č. 90/2008 Z. z.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prechodné ustanovenie súvisiace s prechodom kompetencie z Úradu vlády Slovenskej republiky na Úrad podpredsedu vlády Slovenskej republiky pre investície a informatizáciu.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III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(zákon č. 292/2014 Z. z. o príspevku poskytovanom z európskych štrukturálnych                               a investičných fondov a o zmene a doplnení niektorých zákonov v znení neskorších predpisov)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v nadväznosti na zmeny v kompetenčnom zákone jasné určenie ústredného orgánu štátnej správy, ktorý bude plniť úlohy centrálneho koordinačného orgánu.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vypustiť kompetenciu centrálneho koordinačného orgánu v oblasti publicity na národnej úrovni. Túto kompetenciu naďalej nebude vykonávať centrálny koordinačný orgán. V prípade povinností publicity na centrálnej úrovni je túto kompetenciu možné zaradiť pod výkon ďalších úloh v oblasti poskytovania príspevku vykonávaných vládou Slovenskej republiky v súlade s § 4 písm. c) zákona o príspevku z EŠIF. Reálny výkon činností v tejto oblasti bude potom v súlade so zákonom č. 575/2001 Z. z. v znení neskorších predpisov vykonávať Úrad vlády Slovenskej republiky.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bodu 3</w:t>
      </w:r>
    </w:p>
    <w:p w:rsidR="006B43D6" w:rsidP="006B43D6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posilniť koordinačnú, riadiacu a dozornú funkciu centrálneho koordinačného orgánu vo vzťahu k poskytovaniu príspevkov z európskych štrukturálnych a investičných fondoch, a to v troch smeroch: </w:t>
      </w:r>
    </w:p>
    <w:p w:rsidR="006B43D6" w:rsidP="006B43D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Podmienenie schválenia výziev a vyzvaní pred ich vyhlásením, resp. oznámením, súhlasným stanoviskom centrálneho koordinačného orgánu.</w:t>
      </w:r>
    </w:p>
    <w:p w:rsidR="006B43D6" w:rsidP="006B43D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plánov na úrovni operačného programu, ktoré obsahujú aj záväzné ukazovatele pre jednotlivé riadiace orgány z hľadiska implementácie nimi riadených operačných programov. </w:t>
      </w:r>
      <w:r>
        <w:rPr>
          <w:rFonts w:ascii="Times New Roman" w:hAnsi="Times New Roman"/>
          <w:sz w:val="24"/>
          <w:szCs w:val="24"/>
          <w:lang w:eastAsia="en-GB"/>
        </w:rPr>
        <w:t>Novovytvorený úrad stanoví po konzultácii s riadiacimi orgánmi operačných programov záväzné ukazovatele dosahovania cieľov operačných programov a bude sledovať ich plnenie.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43D6" w:rsidP="006B43D6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Možnosť aktívne zasiahnuť do riadenia operačného programu v podobe krízového riadenia je v prípade nepredloženia alebo neplnenia plánu aspoň na 80%. Krízové riadenie obsahuje</w:t>
      </w:r>
      <w:r>
        <w:rPr>
          <w:rFonts w:ascii="Times New Roman" w:hAnsi="Times New Roman"/>
          <w:sz w:val="24"/>
        </w:rPr>
        <w:t xml:space="preserve"> časový harmonogram a finančný harmonogram poskytovania finančných prostriedkov určených pre operačný program a plán napĺňania cieľov operačného programu,</w:t>
      </w:r>
      <w:r>
        <w:rPr>
          <w:rFonts w:ascii="Times New Roman" w:hAnsi="Times New Roman"/>
          <w:sz w:val="24"/>
          <w:szCs w:val="24"/>
        </w:rPr>
        <w:t xml:space="preserve"> vrátane neplnenia záväzných ukazovateľov, na úrovni operačného programu. Štatutárny orgán riadiaceho orgánu preto musí aktívne spolupracovať s osobami vykonávajúcimi krízový manažment a je povinný akceptovať výsledky krízového riadenia. Konečná zodpovednosť riadiaceho orgánu za realizáciu operačného programu vo vzťahu k Európskej únii ostáva v zmysle legislatívy Európskej únie návrhom zákona nedotknutá, na národnej úrovni sa však z pohľadu členského štátu EÚ ako celku navrhuje prijať posilnené kompetencie s ohľadom na včasné zavedenie účinných mechanizmov na predchádzanie vzniku problémov s čerpaním finančných prostriedkov. </w:t>
      </w:r>
    </w:p>
    <w:p w:rsidR="006B43D6" w:rsidP="006B43D6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V súlade s Programovým vyhlásením vlády Slovenskej republiky, vláda považuje úspešné a transparentné čerpanie fondov Európskej únie za rozhodujúce vo vzťahu k poľnohospodárstvu a rozvoju vidieka. Z uvedeného dôvodu sa rozšírené kompetencie centrálneho koordinačného orgánu vzťahujú aj na Program rozvoja vidieka. Prostredníctvom posilneného rozsahu kompetencií sa tak zabezpečí dosiahnutie cieľov stanovených v Programovom vyhlásení vlády Slovenskej republiky.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4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doplniť nový odsek splnomocňujúci vládu Slovenskej republiky upraviť systém uplatňovania právomocí podľa § 6 ods. 2 písm. i) až k) (čl. III bod 3).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5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ohľadom na zmeny popísané v bode 4 sa navrhuje doplnenie recipročnej povinnosti riadiaceho orgánu vo vzťahu záväznému plánu a výkonu krízového riadenia.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IV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(účinnosť)</w:t>
      </w:r>
    </w:p>
    <w:p w:rsidR="006B43D6" w:rsidP="006B43D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3D6" w:rsidP="006B4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sa, aby návrh zákona nadobudol účinnosť 1. júna 2016 z dôvodu potreby vykonať navrhované zmeny čo najskôr. </w:t>
      </w:r>
      <w:r>
        <w:rPr>
          <w:rFonts w:ascii="Times New Roman" w:hAnsi="Times New Roman"/>
          <w:sz w:val="24"/>
        </w:rPr>
        <w:t>Z dôvodu zabezpečenia plynulosti realizácie dotačného mechanizmu v roku 2016 sa navrhuje, aby k prechodu agendy ľudských práv, t.j. dotačnej schémy došlo až od 1. decembra 2016. Zámerom je zároveň umožniť Ministerstvu spravodlivosti Slovenskej republiky zverejniť výzvu na predkladanie žiadostí o poskytnutie dotácie na rok 2017 ešte v decembri.</w:t>
      </w:r>
    </w:p>
    <w:p w:rsidR="00667B15" w:rsidP="00667B15">
      <w:pPr>
        <w:bidi w:val="0"/>
        <w:spacing w:after="0" w:line="240" w:lineRule="auto"/>
      </w:pPr>
    </w:p>
    <w:p w:rsidR="00705E53" w:rsidP="00705E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Bratislave, 25. apríla 2016</w:t>
      </w:r>
    </w:p>
    <w:p w:rsidR="00705E53" w:rsidP="00705E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53" w:rsidP="00705E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53" w:rsidP="00705E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53" w:rsidP="00705E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53" w:rsidP="00705E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53" w:rsidP="00705E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53" w:rsidP="00705E5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53" w:rsidP="00705E5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Robert Fico, v.r.</w:t>
      </w:r>
    </w:p>
    <w:p w:rsidR="00705E53" w:rsidRPr="00AF2BA2" w:rsidP="00705E5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sectPr w:rsidSect="007B0A46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46" w:rsidRPr="00C60946">
    <w:pPr>
      <w:pStyle w:val="Footer"/>
      <w:bidi w:val="0"/>
      <w:jc w:val="center"/>
      <w:rPr>
        <w:rFonts w:ascii="Times New Roman" w:hAnsi="Times New Roman"/>
        <w:sz w:val="24"/>
      </w:rPr>
    </w:pPr>
    <w:r w:rsidRPr="00C60946">
      <w:rPr>
        <w:rFonts w:ascii="Times New Roman" w:hAnsi="Times New Roman"/>
        <w:sz w:val="24"/>
      </w:rPr>
      <w:fldChar w:fldCharType="begin"/>
    </w:r>
    <w:r w:rsidRPr="00C60946">
      <w:rPr>
        <w:rFonts w:ascii="Times New Roman" w:hAnsi="Times New Roman"/>
        <w:sz w:val="24"/>
      </w:rPr>
      <w:instrText>PAGE   \* MERGEFORMAT</w:instrText>
    </w:r>
    <w:r w:rsidRPr="00C60946">
      <w:rPr>
        <w:rFonts w:ascii="Times New Roman" w:hAnsi="Times New Roman"/>
        <w:sz w:val="24"/>
      </w:rPr>
      <w:fldChar w:fldCharType="separate"/>
    </w:r>
    <w:r w:rsidR="0054013B">
      <w:rPr>
        <w:rFonts w:ascii="Times New Roman" w:hAnsi="Times New Roman"/>
        <w:noProof/>
        <w:sz w:val="24"/>
      </w:rPr>
      <w:t>11</w:t>
    </w:r>
    <w:r w:rsidRPr="00C60946">
      <w:rPr>
        <w:rFonts w:ascii="Times New Roman" w:hAnsi="Times New Roman"/>
        <w:sz w:val="24"/>
      </w:rPr>
      <w:fldChar w:fldCharType="end"/>
    </w:r>
  </w:p>
  <w:p w:rsidR="00EE02C0" w:rsidRPr="00C60946" w:rsidP="007E52A4">
    <w:pPr>
      <w:pStyle w:val="Footer"/>
      <w:bidi w:val="0"/>
      <w:rPr>
        <w:rFonts w:ascii="Times New Roman" w:hAnsi="Times New Roman"/>
        <w:sz w:val="2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C81"/>
    <w:multiLevelType w:val="multilevel"/>
    <w:tmpl w:val="451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536C3"/>
    <w:multiLevelType w:val="hybridMultilevel"/>
    <w:tmpl w:val="1EE48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E50EC"/>
    <w:multiLevelType w:val="hybridMultilevel"/>
    <w:tmpl w:val="4E94F7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F35E6C"/>
    <w:multiLevelType w:val="hybridMultilevel"/>
    <w:tmpl w:val="AFCEF4E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99E0867"/>
    <w:multiLevelType w:val="hybridMultilevel"/>
    <w:tmpl w:val="15F6E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5C34946"/>
    <w:multiLevelType w:val="hybridMultilevel"/>
    <w:tmpl w:val="2FE6DD2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64795"/>
    <w:multiLevelType w:val="hybridMultilevel"/>
    <w:tmpl w:val="1FE4F8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1095166"/>
    <w:multiLevelType w:val="hybridMultilevel"/>
    <w:tmpl w:val="EC46F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CC2427"/>
    <w:multiLevelType w:val="hybridMultilevel"/>
    <w:tmpl w:val="662C18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12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DFE55BA"/>
    <w:multiLevelType w:val="hybridMultilevel"/>
    <w:tmpl w:val="A5F2E1A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10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914781"/>
    <w:rsid w:val="0000108F"/>
    <w:rsid w:val="00001BEB"/>
    <w:rsid w:val="00001C9D"/>
    <w:rsid w:val="00002842"/>
    <w:rsid w:val="00003034"/>
    <w:rsid w:val="000043C5"/>
    <w:rsid w:val="00006469"/>
    <w:rsid w:val="00007445"/>
    <w:rsid w:val="0001084F"/>
    <w:rsid w:val="00012D3C"/>
    <w:rsid w:val="000135B7"/>
    <w:rsid w:val="00014490"/>
    <w:rsid w:val="00015ABA"/>
    <w:rsid w:val="00016611"/>
    <w:rsid w:val="000179B4"/>
    <w:rsid w:val="00023BF4"/>
    <w:rsid w:val="00027E26"/>
    <w:rsid w:val="0003125E"/>
    <w:rsid w:val="000335D7"/>
    <w:rsid w:val="000345C6"/>
    <w:rsid w:val="00034FEC"/>
    <w:rsid w:val="000361E4"/>
    <w:rsid w:val="000378EE"/>
    <w:rsid w:val="00042BC9"/>
    <w:rsid w:val="00043BD3"/>
    <w:rsid w:val="00047520"/>
    <w:rsid w:val="000501F2"/>
    <w:rsid w:val="00050D16"/>
    <w:rsid w:val="00051CDC"/>
    <w:rsid w:val="00052E0F"/>
    <w:rsid w:val="000544E0"/>
    <w:rsid w:val="0005594B"/>
    <w:rsid w:val="00057538"/>
    <w:rsid w:val="000617F5"/>
    <w:rsid w:val="00061DCC"/>
    <w:rsid w:val="000635C6"/>
    <w:rsid w:val="0007348C"/>
    <w:rsid w:val="0007442A"/>
    <w:rsid w:val="00074738"/>
    <w:rsid w:val="0007518E"/>
    <w:rsid w:val="00080FF7"/>
    <w:rsid w:val="000870C1"/>
    <w:rsid w:val="000875BB"/>
    <w:rsid w:val="00087DA5"/>
    <w:rsid w:val="00091BD9"/>
    <w:rsid w:val="00093700"/>
    <w:rsid w:val="0009438C"/>
    <w:rsid w:val="000947C1"/>
    <w:rsid w:val="000955FE"/>
    <w:rsid w:val="000959B0"/>
    <w:rsid w:val="000969B0"/>
    <w:rsid w:val="00096F89"/>
    <w:rsid w:val="000A2BF1"/>
    <w:rsid w:val="000A2D64"/>
    <w:rsid w:val="000A5CC3"/>
    <w:rsid w:val="000B01FA"/>
    <w:rsid w:val="000B0C38"/>
    <w:rsid w:val="000B614F"/>
    <w:rsid w:val="000B627D"/>
    <w:rsid w:val="000B6D3A"/>
    <w:rsid w:val="000C26EC"/>
    <w:rsid w:val="000C330B"/>
    <w:rsid w:val="000C39C4"/>
    <w:rsid w:val="000C534B"/>
    <w:rsid w:val="000D0939"/>
    <w:rsid w:val="000D0F8F"/>
    <w:rsid w:val="000D1756"/>
    <w:rsid w:val="000D178E"/>
    <w:rsid w:val="000D324E"/>
    <w:rsid w:val="000D4C6B"/>
    <w:rsid w:val="000D5006"/>
    <w:rsid w:val="000D5511"/>
    <w:rsid w:val="000E1D63"/>
    <w:rsid w:val="000E3ABB"/>
    <w:rsid w:val="000E4455"/>
    <w:rsid w:val="000E4E1E"/>
    <w:rsid w:val="000E5138"/>
    <w:rsid w:val="000E5C5F"/>
    <w:rsid w:val="000E7FEC"/>
    <w:rsid w:val="000F13A1"/>
    <w:rsid w:val="000F5028"/>
    <w:rsid w:val="000F6196"/>
    <w:rsid w:val="000F62E5"/>
    <w:rsid w:val="000F6B14"/>
    <w:rsid w:val="000F73EB"/>
    <w:rsid w:val="000F7A08"/>
    <w:rsid w:val="00100088"/>
    <w:rsid w:val="00105A8C"/>
    <w:rsid w:val="00106E84"/>
    <w:rsid w:val="00107969"/>
    <w:rsid w:val="001109C5"/>
    <w:rsid w:val="001111B5"/>
    <w:rsid w:val="00113C38"/>
    <w:rsid w:val="001177B2"/>
    <w:rsid w:val="00120DAD"/>
    <w:rsid w:val="001215E3"/>
    <w:rsid w:val="00121FC4"/>
    <w:rsid w:val="00123AFE"/>
    <w:rsid w:val="00126AAF"/>
    <w:rsid w:val="00131C61"/>
    <w:rsid w:val="001329D8"/>
    <w:rsid w:val="00133A16"/>
    <w:rsid w:val="0013464C"/>
    <w:rsid w:val="001353B6"/>
    <w:rsid w:val="00137472"/>
    <w:rsid w:val="001430EC"/>
    <w:rsid w:val="00143B0D"/>
    <w:rsid w:val="00147031"/>
    <w:rsid w:val="0014728D"/>
    <w:rsid w:val="001521CE"/>
    <w:rsid w:val="001522DB"/>
    <w:rsid w:val="001528E7"/>
    <w:rsid w:val="001530C8"/>
    <w:rsid w:val="001541CA"/>
    <w:rsid w:val="00160F16"/>
    <w:rsid w:val="001619A4"/>
    <w:rsid w:val="00171FF3"/>
    <w:rsid w:val="00172A2C"/>
    <w:rsid w:val="00172D07"/>
    <w:rsid w:val="001802F0"/>
    <w:rsid w:val="00183C38"/>
    <w:rsid w:val="00185034"/>
    <w:rsid w:val="001853DD"/>
    <w:rsid w:val="00186D15"/>
    <w:rsid w:val="001877FF"/>
    <w:rsid w:val="001947EF"/>
    <w:rsid w:val="001949D2"/>
    <w:rsid w:val="0019511B"/>
    <w:rsid w:val="0019680B"/>
    <w:rsid w:val="00196E24"/>
    <w:rsid w:val="00197638"/>
    <w:rsid w:val="00197681"/>
    <w:rsid w:val="001A15B9"/>
    <w:rsid w:val="001A24A5"/>
    <w:rsid w:val="001A2848"/>
    <w:rsid w:val="001A3713"/>
    <w:rsid w:val="001A4C78"/>
    <w:rsid w:val="001A66C5"/>
    <w:rsid w:val="001A6F42"/>
    <w:rsid w:val="001B169F"/>
    <w:rsid w:val="001B20AC"/>
    <w:rsid w:val="001B2C06"/>
    <w:rsid w:val="001B37D5"/>
    <w:rsid w:val="001B5717"/>
    <w:rsid w:val="001C1518"/>
    <w:rsid w:val="001C318B"/>
    <w:rsid w:val="001C361F"/>
    <w:rsid w:val="001C55D3"/>
    <w:rsid w:val="001D1E06"/>
    <w:rsid w:val="001D5FB4"/>
    <w:rsid w:val="001D6153"/>
    <w:rsid w:val="001E0A7A"/>
    <w:rsid w:val="001E43C8"/>
    <w:rsid w:val="001E45F7"/>
    <w:rsid w:val="001E638B"/>
    <w:rsid w:val="001E737A"/>
    <w:rsid w:val="001F020B"/>
    <w:rsid w:val="001F172A"/>
    <w:rsid w:val="001F188D"/>
    <w:rsid w:val="001F2852"/>
    <w:rsid w:val="001F41A7"/>
    <w:rsid w:val="001F437A"/>
    <w:rsid w:val="001F7EE5"/>
    <w:rsid w:val="00201585"/>
    <w:rsid w:val="00201A61"/>
    <w:rsid w:val="002020F8"/>
    <w:rsid w:val="00204640"/>
    <w:rsid w:val="00205738"/>
    <w:rsid w:val="00205FCD"/>
    <w:rsid w:val="00211ABF"/>
    <w:rsid w:val="002121FC"/>
    <w:rsid w:val="0021373C"/>
    <w:rsid w:val="00213D9A"/>
    <w:rsid w:val="00214EA0"/>
    <w:rsid w:val="00216323"/>
    <w:rsid w:val="00224BEC"/>
    <w:rsid w:val="002301EE"/>
    <w:rsid w:val="002303C5"/>
    <w:rsid w:val="0023385A"/>
    <w:rsid w:val="00234229"/>
    <w:rsid w:val="00234552"/>
    <w:rsid w:val="00234D6C"/>
    <w:rsid w:val="00235C3E"/>
    <w:rsid w:val="00236397"/>
    <w:rsid w:val="0024220D"/>
    <w:rsid w:val="0024388D"/>
    <w:rsid w:val="002469F9"/>
    <w:rsid w:val="00246FA3"/>
    <w:rsid w:val="00247821"/>
    <w:rsid w:val="002511C0"/>
    <w:rsid w:val="002511FF"/>
    <w:rsid w:val="00253F25"/>
    <w:rsid w:val="0025517C"/>
    <w:rsid w:val="00256A6B"/>
    <w:rsid w:val="00260AE8"/>
    <w:rsid w:val="00261075"/>
    <w:rsid w:val="0026119B"/>
    <w:rsid w:val="00261400"/>
    <w:rsid w:val="002618DE"/>
    <w:rsid w:val="00264D09"/>
    <w:rsid w:val="00265F31"/>
    <w:rsid w:val="00267B2E"/>
    <w:rsid w:val="002725A2"/>
    <w:rsid w:val="002725BA"/>
    <w:rsid w:val="0027289A"/>
    <w:rsid w:val="0027381A"/>
    <w:rsid w:val="0028308D"/>
    <w:rsid w:val="00283ACF"/>
    <w:rsid w:val="002856BF"/>
    <w:rsid w:val="002867A9"/>
    <w:rsid w:val="0029027A"/>
    <w:rsid w:val="00293ECC"/>
    <w:rsid w:val="00295E81"/>
    <w:rsid w:val="00296796"/>
    <w:rsid w:val="00296924"/>
    <w:rsid w:val="002A0627"/>
    <w:rsid w:val="002A1889"/>
    <w:rsid w:val="002A39FA"/>
    <w:rsid w:val="002A54DB"/>
    <w:rsid w:val="002A7188"/>
    <w:rsid w:val="002B2B63"/>
    <w:rsid w:val="002B43B2"/>
    <w:rsid w:val="002B5B09"/>
    <w:rsid w:val="002B5E32"/>
    <w:rsid w:val="002B78A3"/>
    <w:rsid w:val="002C4E93"/>
    <w:rsid w:val="002D0C1C"/>
    <w:rsid w:val="002D26CA"/>
    <w:rsid w:val="002D376B"/>
    <w:rsid w:val="002D5C1A"/>
    <w:rsid w:val="002D64FB"/>
    <w:rsid w:val="002D6D80"/>
    <w:rsid w:val="002E0848"/>
    <w:rsid w:val="002E0E07"/>
    <w:rsid w:val="002E1FB0"/>
    <w:rsid w:val="002E3020"/>
    <w:rsid w:val="002E3A76"/>
    <w:rsid w:val="002E4854"/>
    <w:rsid w:val="002E6CEE"/>
    <w:rsid w:val="002E784A"/>
    <w:rsid w:val="002F12B1"/>
    <w:rsid w:val="002F29A2"/>
    <w:rsid w:val="002F4BF5"/>
    <w:rsid w:val="002F736E"/>
    <w:rsid w:val="003013C0"/>
    <w:rsid w:val="00304825"/>
    <w:rsid w:val="003073CD"/>
    <w:rsid w:val="003073F4"/>
    <w:rsid w:val="003106D7"/>
    <w:rsid w:val="00313258"/>
    <w:rsid w:val="00314A6D"/>
    <w:rsid w:val="00314CA8"/>
    <w:rsid w:val="00315671"/>
    <w:rsid w:val="003220E7"/>
    <w:rsid w:val="0032416F"/>
    <w:rsid w:val="00327B67"/>
    <w:rsid w:val="00327E80"/>
    <w:rsid w:val="00331648"/>
    <w:rsid w:val="00332C68"/>
    <w:rsid w:val="00333FD5"/>
    <w:rsid w:val="00334CB2"/>
    <w:rsid w:val="003368AE"/>
    <w:rsid w:val="00341B01"/>
    <w:rsid w:val="0034522D"/>
    <w:rsid w:val="00350971"/>
    <w:rsid w:val="00351579"/>
    <w:rsid w:val="003521B4"/>
    <w:rsid w:val="00353BEE"/>
    <w:rsid w:val="00353EF8"/>
    <w:rsid w:val="0035404E"/>
    <w:rsid w:val="00362421"/>
    <w:rsid w:val="003665BE"/>
    <w:rsid w:val="00367996"/>
    <w:rsid w:val="003679F0"/>
    <w:rsid w:val="003711F4"/>
    <w:rsid w:val="00371655"/>
    <w:rsid w:val="0037194E"/>
    <w:rsid w:val="00372999"/>
    <w:rsid w:val="00373A76"/>
    <w:rsid w:val="00373F31"/>
    <w:rsid w:val="0037489A"/>
    <w:rsid w:val="00374D51"/>
    <w:rsid w:val="003765FD"/>
    <w:rsid w:val="00376714"/>
    <w:rsid w:val="003773C7"/>
    <w:rsid w:val="003842A0"/>
    <w:rsid w:val="00385432"/>
    <w:rsid w:val="0038600F"/>
    <w:rsid w:val="00386515"/>
    <w:rsid w:val="00390A84"/>
    <w:rsid w:val="00390E58"/>
    <w:rsid w:val="00390F84"/>
    <w:rsid w:val="0039276B"/>
    <w:rsid w:val="0039276E"/>
    <w:rsid w:val="00392FC9"/>
    <w:rsid w:val="00393949"/>
    <w:rsid w:val="00394D21"/>
    <w:rsid w:val="00397F46"/>
    <w:rsid w:val="003A008F"/>
    <w:rsid w:val="003A00AB"/>
    <w:rsid w:val="003A0820"/>
    <w:rsid w:val="003A0AA0"/>
    <w:rsid w:val="003A0FA9"/>
    <w:rsid w:val="003A1C8C"/>
    <w:rsid w:val="003A6089"/>
    <w:rsid w:val="003B057F"/>
    <w:rsid w:val="003B05EC"/>
    <w:rsid w:val="003B181A"/>
    <w:rsid w:val="003B2369"/>
    <w:rsid w:val="003B2894"/>
    <w:rsid w:val="003B2CEF"/>
    <w:rsid w:val="003B487F"/>
    <w:rsid w:val="003B70FB"/>
    <w:rsid w:val="003B7222"/>
    <w:rsid w:val="003C047D"/>
    <w:rsid w:val="003C1757"/>
    <w:rsid w:val="003C1C3D"/>
    <w:rsid w:val="003C6F88"/>
    <w:rsid w:val="003D2BC6"/>
    <w:rsid w:val="003D5035"/>
    <w:rsid w:val="003D539D"/>
    <w:rsid w:val="003D7B55"/>
    <w:rsid w:val="003E17F2"/>
    <w:rsid w:val="003E6703"/>
    <w:rsid w:val="003F0236"/>
    <w:rsid w:val="003F1070"/>
    <w:rsid w:val="003F4D15"/>
    <w:rsid w:val="003F520E"/>
    <w:rsid w:val="003F6A62"/>
    <w:rsid w:val="003F7D6A"/>
    <w:rsid w:val="004005EE"/>
    <w:rsid w:val="00405D79"/>
    <w:rsid w:val="0041092A"/>
    <w:rsid w:val="004116B4"/>
    <w:rsid w:val="0041521E"/>
    <w:rsid w:val="00417488"/>
    <w:rsid w:val="0042283E"/>
    <w:rsid w:val="00422A51"/>
    <w:rsid w:val="00423650"/>
    <w:rsid w:val="00423D72"/>
    <w:rsid w:val="00427BFE"/>
    <w:rsid w:val="004319D8"/>
    <w:rsid w:val="004320B9"/>
    <w:rsid w:val="00433925"/>
    <w:rsid w:val="00435BF7"/>
    <w:rsid w:val="00440097"/>
    <w:rsid w:val="0044082C"/>
    <w:rsid w:val="00441502"/>
    <w:rsid w:val="00441846"/>
    <w:rsid w:val="004421E4"/>
    <w:rsid w:val="00442FF0"/>
    <w:rsid w:val="00445BFB"/>
    <w:rsid w:val="00446258"/>
    <w:rsid w:val="004510BC"/>
    <w:rsid w:val="00452F6D"/>
    <w:rsid w:val="004549C0"/>
    <w:rsid w:val="00454F2A"/>
    <w:rsid w:val="00455CCA"/>
    <w:rsid w:val="004567D2"/>
    <w:rsid w:val="004577FD"/>
    <w:rsid w:val="00460FDE"/>
    <w:rsid w:val="00461A6A"/>
    <w:rsid w:val="00465332"/>
    <w:rsid w:val="00466208"/>
    <w:rsid w:val="00467E68"/>
    <w:rsid w:val="00470B9E"/>
    <w:rsid w:val="004771B4"/>
    <w:rsid w:val="00477AB6"/>
    <w:rsid w:val="00477AB9"/>
    <w:rsid w:val="00477F24"/>
    <w:rsid w:val="004803BF"/>
    <w:rsid w:val="00483674"/>
    <w:rsid w:val="00486772"/>
    <w:rsid w:val="00486828"/>
    <w:rsid w:val="0049039C"/>
    <w:rsid w:val="00492AD7"/>
    <w:rsid w:val="00495464"/>
    <w:rsid w:val="0049678D"/>
    <w:rsid w:val="00496B64"/>
    <w:rsid w:val="004A13CF"/>
    <w:rsid w:val="004A27E3"/>
    <w:rsid w:val="004A4566"/>
    <w:rsid w:val="004A490B"/>
    <w:rsid w:val="004A4FAF"/>
    <w:rsid w:val="004A7247"/>
    <w:rsid w:val="004A757C"/>
    <w:rsid w:val="004B1D8B"/>
    <w:rsid w:val="004B501D"/>
    <w:rsid w:val="004B5675"/>
    <w:rsid w:val="004B7EF4"/>
    <w:rsid w:val="004C19E7"/>
    <w:rsid w:val="004C243C"/>
    <w:rsid w:val="004C2A31"/>
    <w:rsid w:val="004C47CB"/>
    <w:rsid w:val="004C4841"/>
    <w:rsid w:val="004C6AD9"/>
    <w:rsid w:val="004C7F86"/>
    <w:rsid w:val="004D0BEF"/>
    <w:rsid w:val="004D0FB4"/>
    <w:rsid w:val="004D1644"/>
    <w:rsid w:val="004D197C"/>
    <w:rsid w:val="004D2C55"/>
    <w:rsid w:val="004D56B7"/>
    <w:rsid w:val="004D5ED7"/>
    <w:rsid w:val="004E2B9D"/>
    <w:rsid w:val="004E2F55"/>
    <w:rsid w:val="004E3E25"/>
    <w:rsid w:val="004E561B"/>
    <w:rsid w:val="004E59C2"/>
    <w:rsid w:val="004E5A78"/>
    <w:rsid w:val="004E7145"/>
    <w:rsid w:val="004F577A"/>
    <w:rsid w:val="0050109A"/>
    <w:rsid w:val="0050214A"/>
    <w:rsid w:val="00504AE7"/>
    <w:rsid w:val="00504E2E"/>
    <w:rsid w:val="0051042F"/>
    <w:rsid w:val="00512892"/>
    <w:rsid w:val="005130A4"/>
    <w:rsid w:val="005162C4"/>
    <w:rsid w:val="005163E3"/>
    <w:rsid w:val="005166B0"/>
    <w:rsid w:val="0052146D"/>
    <w:rsid w:val="0052196F"/>
    <w:rsid w:val="00521E05"/>
    <w:rsid w:val="00522C65"/>
    <w:rsid w:val="00524286"/>
    <w:rsid w:val="00524586"/>
    <w:rsid w:val="00525519"/>
    <w:rsid w:val="005264A2"/>
    <w:rsid w:val="00530EF4"/>
    <w:rsid w:val="0053302E"/>
    <w:rsid w:val="00533974"/>
    <w:rsid w:val="00534F31"/>
    <w:rsid w:val="005376C8"/>
    <w:rsid w:val="0054013B"/>
    <w:rsid w:val="0054613B"/>
    <w:rsid w:val="00546EAB"/>
    <w:rsid w:val="005550D9"/>
    <w:rsid w:val="0055705A"/>
    <w:rsid w:val="00563763"/>
    <w:rsid w:val="005637B3"/>
    <w:rsid w:val="00564DD7"/>
    <w:rsid w:val="005716FB"/>
    <w:rsid w:val="00571BC8"/>
    <w:rsid w:val="00574D98"/>
    <w:rsid w:val="00575952"/>
    <w:rsid w:val="00577BE3"/>
    <w:rsid w:val="00580548"/>
    <w:rsid w:val="00582B5C"/>
    <w:rsid w:val="00582D22"/>
    <w:rsid w:val="00585555"/>
    <w:rsid w:val="005878B7"/>
    <w:rsid w:val="00590C0C"/>
    <w:rsid w:val="00590C14"/>
    <w:rsid w:val="00592E02"/>
    <w:rsid w:val="00594CF1"/>
    <w:rsid w:val="0059620D"/>
    <w:rsid w:val="00596681"/>
    <w:rsid w:val="00597B8C"/>
    <w:rsid w:val="005A38A3"/>
    <w:rsid w:val="005A45B1"/>
    <w:rsid w:val="005B232C"/>
    <w:rsid w:val="005B26F0"/>
    <w:rsid w:val="005B445F"/>
    <w:rsid w:val="005B551F"/>
    <w:rsid w:val="005C621B"/>
    <w:rsid w:val="005C6511"/>
    <w:rsid w:val="005D12C5"/>
    <w:rsid w:val="005D244B"/>
    <w:rsid w:val="005D3066"/>
    <w:rsid w:val="005D4A03"/>
    <w:rsid w:val="005D7B4F"/>
    <w:rsid w:val="005D7F64"/>
    <w:rsid w:val="005E016A"/>
    <w:rsid w:val="005E0CB1"/>
    <w:rsid w:val="005E2421"/>
    <w:rsid w:val="005E2888"/>
    <w:rsid w:val="005E4400"/>
    <w:rsid w:val="005E4C97"/>
    <w:rsid w:val="005E6B40"/>
    <w:rsid w:val="005E7EC5"/>
    <w:rsid w:val="005F0296"/>
    <w:rsid w:val="005F2072"/>
    <w:rsid w:val="005F2702"/>
    <w:rsid w:val="005F2C4F"/>
    <w:rsid w:val="005F32F5"/>
    <w:rsid w:val="006001F2"/>
    <w:rsid w:val="00600B5F"/>
    <w:rsid w:val="006011D5"/>
    <w:rsid w:val="00601D4A"/>
    <w:rsid w:val="00602CAF"/>
    <w:rsid w:val="0060314B"/>
    <w:rsid w:val="00603654"/>
    <w:rsid w:val="00603E6E"/>
    <w:rsid w:val="006049B2"/>
    <w:rsid w:val="006065C8"/>
    <w:rsid w:val="0061040B"/>
    <w:rsid w:val="00610692"/>
    <w:rsid w:val="00612266"/>
    <w:rsid w:val="006134E6"/>
    <w:rsid w:val="00613ED3"/>
    <w:rsid w:val="006165A1"/>
    <w:rsid w:val="00617111"/>
    <w:rsid w:val="00617A8C"/>
    <w:rsid w:val="00630D4A"/>
    <w:rsid w:val="00631019"/>
    <w:rsid w:val="00631AF0"/>
    <w:rsid w:val="00633D2E"/>
    <w:rsid w:val="00637D08"/>
    <w:rsid w:val="00643302"/>
    <w:rsid w:val="0064577D"/>
    <w:rsid w:val="00651442"/>
    <w:rsid w:val="00651C05"/>
    <w:rsid w:val="00652E04"/>
    <w:rsid w:val="00654D70"/>
    <w:rsid w:val="00660D61"/>
    <w:rsid w:val="00664848"/>
    <w:rsid w:val="00665FD0"/>
    <w:rsid w:val="00667B15"/>
    <w:rsid w:val="00680A5A"/>
    <w:rsid w:val="00681CCB"/>
    <w:rsid w:val="00682549"/>
    <w:rsid w:val="00683C4C"/>
    <w:rsid w:val="00685EF0"/>
    <w:rsid w:val="00687F19"/>
    <w:rsid w:val="00691133"/>
    <w:rsid w:val="006937A5"/>
    <w:rsid w:val="006A209F"/>
    <w:rsid w:val="006A2D0F"/>
    <w:rsid w:val="006A6639"/>
    <w:rsid w:val="006B0200"/>
    <w:rsid w:val="006B111C"/>
    <w:rsid w:val="006B1DF9"/>
    <w:rsid w:val="006B43D6"/>
    <w:rsid w:val="006B5157"/>
    <w:rsid w:val="006C0DF7"/>
    <w:rsid w:val="006C3559"/>
    <w:rsid w:val="006D1030"/>
    <w:rsid w:val="006D1DFE"/>
    <w:rsid w:val="006D2672"/>
    <w:rsid w:val="006D5375"/>
    <w:rsid w:val="006D5F42"/>
    <w:rsid w:val="006E19B0"/>
    <w:rsid w:val="006E4EE7"/>
    <w:rsid w:val="006E53F2"/>
    <w:rsid w:val="006E79C3"/>
    <w:rsid w:val="006E79C5"/>
    <w:rsid w:val="006F4AF0"/>
    <w:rsid w:val="006F6EAC"/>
    <w:rsid w:val="007055D9"/>
    <w:rsid w:val="00705B33"/>
    <w:rsid w:val="00705E53"/>
    <w:rsid w:val="00707C13"/>
    <w:rsid w:val="00711098"/>
    <w:rsid w:val="00711E40"/>
    <w:rsid w:val="00712CF9"/>
    <w:rsid w:val="00712D3A"/>
    <w:rsid w:val="007160C2"/>
    <w:rsid w:val="00722450"/>
    <w:rsid w:val="00724782"/>
    <w:rsid w:val="00725EA2"/>
    <w:rsid w:val="007312DE"/>
    <w:rsid w:val="00733C2A"/>
    <w:rsid w:val="00737A93"/>
    <w:rsid w:val="00740C99"/>
    <w:rsid w:val="00741C8A"/>
    <w:rsid w:val="00743922"/>
    <w:rsid w:val="00745252"/>
    <w:rsid w:val="007477CF"/>
    <w:rsid w:val="0075330C"/>
    <w:rsid w:val="00756714"/>
    <w:rsid w:val="00756D71"/>
    <w:rsid w:val="00760426"/>
    <w:rsid w:val="0076133D"/>
    <w:rsid w:val="00761B61"/>
    <w:rsid w:val="00762D04"/>
    <w:rsid w:val="00772966"/>
    <w:rsid w:val="00772A5C"/>
    <w:rsid w:val="00774D85"/>
    <w:rsid w:val="0077763B"/>
    <w:rsid w:val="007819CC"/>
    <w:rsid w:val="00782227"/>
    <w:rsid w:val="00782D50"/>
    <w:rsid w:val="0078380D"/>
    <w:rsid w:val="00784A57"/>
    <w:rsid w:val="00786C9E"/>
    <w:rsid w:val="007911CC"/>
    <w:rsid w:val="0079358F"/>
    <w:rsid w:val="00797520"/>
    <w:rsid w:val="00797EDA"/>
    <w:rsid w:val="007A0B2F"/>
    <w:rsid w:val="007A0F2C"/>
    <w:rsid w:val="007A244C"/>
    <w:rsid w:val="007A247A"/>
    <w:rsid w:val="007A2EB6"/>
    <w:rsid w:val="007A300D"/>
    <w:rsid w:val="007A37B0"/>
    <w:rsid w:val="007A3C6A"/>
    <w:rsid w:val="007A3F24"/>
    <w:rsid w:val="007A454E"/>
    <w:rsid w:val="007A4AC9"/>
    <w:rsid w:val="007A695D"/>
    <w:rsid w:val="007A6B1D"/>
    <w:rsid w:val="007A71D5"/>
    <w:rsid w:val="007B00DE"/>
    <w:rsid w:val="007B0A46"/>
    <w:rsid w:val="007B24AB"/>
    <w:rsid w:val="007B67A9"/>
    <w:rsid w:val="007C169B"/>
    <w:rsid w:val="007C46C7"/>
    <w:rsid w:val="007C48F7"/>
    <w:rsid w:val="007C508D"/>
    <w:rsid w:val="007C5C12"/>
    <w:rsid w:val="007D07C2"/>
    <w:rsid w:val="007D1836"/>
    <w:rsid w:val="007D1EC9"/>
    <w:rsid w:val="007D2287"/>
    <w:rsid w:val="007D3F06"/>
    <w:rsid w:val="007D7951"/>
    <w:rsid w:val="007E1C8A"/>
    <w:rsid w:val="007E3041"/>
    <w:rsid w:val="007E3E2B"/>
    <w:rsid w:val="007E40B6"/>
    <w:rsid w:val="007E52A4"/>
    <w:rsid w:val="007E5D58"/>
    <w:rsid w:val="007E7F2D"/>
    <w:rsid w:val="007F4A3A"/>
    <w:rsid w:val="007F551A"/>
    <w:rsid w:val="007F6BB7"/>
    <w:rsid w:val="007F72EC"/>
    <w:rsid w:val="007F7F1D"/>
    <w:rsid w:val="00800FDB"/>
    <w:rsid w:val="00807113"/>
    <w:rsid w:val="008078CF"/>
    <w:rsid w:val="00807D28"/>
    <w:rsid w:val="008112B3"/>
    <w:rsid w:val="00811E82"/>
    <w:rsid w:val="0081480E"/>
    <w:rsid w:val="00817DA4"/>
    <w:rsid w:val="00817E97"/>
    <w:rsid w:val="00821D31"/>
    <w:rsid w:val="008230E0"/>
    <w:rsid w:val="00823FBC"/>
    <w:rsid w:val="00824EEB"/>
    <w:rsid w:val="00825988"/>
    <w:rsid w:val="008260D8"/>
    <w:rsid w:val="0082615F"/>
    <w:rsid w:val="008353D2"/>
    <w:rsid w:val="008363C6"/>
    <w:rsid w:val="00836A75"/>
    <w:rsid w:val="00836F0C"/>
    <w:rsid w:val="00836FEA"/>
    <w:rsid w:val="008425B5"/>
    <w:rsid w:val="008427B7"/>
    <w:rsid w:val="008430FD"/>
    <w:rsid w:val="0084469B"/>
    <w:rsid w:val="008456CA"/>
    <w:rsid w:val="00846079"/>
    <w:rsid w:val="00847E36"/>
    <w:rsid w:val="00850848"/>
    <w:rsid w:val="00855E8A"/>
    <w:rsid w:val="0086314B"/>
    <w:rsid w:val="00864884"/>
    <w:rsid w:val="00865A13"/>
    <w:rsid w:val="00866C2B"/>
    <w:rsid w:val="00866D88"/>
    <w:rsid w:val="00870B2E"/>
    <w:rsid w:val="00870FEB"/>
    <w:rsid w:val="008733A4"/>
    <w:rsid w:val="00873D60"/>
    <w:rsid w:val="00874D8F"/>
    <w:rsid w:val="008768A4"/>
    <w:rsid w:val="008771A4"/>
    <w:rsid w:val="008773B6"/>
    <w:rsid w:val="00880879"/>
    <w:rsid w:val="00881446"/>
    <w:rsid w:val="00882C1A"/>
    <w:rsid w:val="0088434F"/>
    <w:rsid w:val="00885D87"/>
    <w:rsid w:val="00887C74"/>
    <w:rsid w:val="00895A05"/>
    <w:rsid w:val="008A0399"/>
    <w:rsid w:val="008A111B"/>
    <w:rsid w:val="008A1937"/>
    <w:rsid w:val="008A2830"/>
    <w:rsid w:val="008A3E2A"/>
    <w:rsid w:val="008A5186"/>
    <w:rsid w:val="008A5A39"/>
    <w:rsid w:val="008A5E8C"/>
    <w:rsid w:val="008A6282"/>
    <w:rsid w:val="008B0BBC"/>
    <w:rsid w:val="008B30FE"/>
    <w:rsid w:val="008B37D7"/>
    <w:rsid w:val="008B4301"/>
    <w:rsid w:val="008B567F"/>
    <w:rsid w:val="008B6620"/>
    <w:rsid w:val="008B7D2F"/>
    <w:rsid w:val="008C0089"/>
    <w:rsid w:val="008C15C6"/>
    <w:rsid w:val="008C2B1D"/>
    <w:rsid w:val="008C3ABF"/>
    <w:rsid w:val="008C47DF"/>
    <w:rsid w:val="008C48EF"/>
    <w:rsid w:val="008D2218"/>
    <w:rsid w:val="008D403C"/>
    <w:rsid w:val="008D42FA"/>
    <w:rsid w:val="008D5C2F"/>
    <w:rsid w:val="008D77A2"/>
    <w:rsid w:val="008E054C"/>
    <w:rsid w:val="008E142B"/>
    <w:rsid w:val="008E1CE1"/>
    <w:rsid w:val="008E2ACE"/>
    <w:rsid w:val="008E4B0D"/>
    <w:rsid w:val="008E6008"/>
    <w:rsid w:val="008F03CF"/>
    <w:rsid w:val="008F082F"/>
    <w:rsid w:val="008F4D3C"/>
    <w:rsid w:val="008F7C4D"/>
    <w:rsid w:val="00900561"/>
    <w:rsid w:val="009023BD"/>
    <w:rsid w:val="00902702"/>
    <w:rsid w:val="00905B7C"/>
    <w:rsid w:val="0090756E"/>
    <w:rsid w:val="00907C85"/>
    <w:rsid w:val="0091136B"/>
    <w:rsid w:val="00914781"/>
    <w:rsid w:val="00915FEA"/>
    <w:rsid w:val="0091631B"/>
    <w:rsid w:val="0091705C"/>
    <w:rsid w:val="00922906"/>
    <w:rsid w:val="00924152"/>
    <w:rsid w:val="00930682"/>
    <w:rsid w:val="009325B5"/>
    <w:rsid w:val="0093347E"/>
    <w:rsid w:val="009345FD"/>
    <w:rsid w:val="00934F7A"/>
    <w:rsid w:val="00937E1C"/>
    <w:rsid w:val="00940C0F"/>
    <w:rsid w:val="00943FFA"/>
    <w:rsid w:val="0094453B"/>
    <w:rsid w:val="00944952"/>
    <w:rsid w:val="00945E0D"/>
    <w:rsid w:val="009526BB"/>
    <w:rsid w:val="00953D88"/>
    <w:rsid w:val="00955CA2"/>
    <w:rsid w:val="00956260"/>
    <w:rsid w:val="009616BA"/>
    <w:rsid w:val="0096226B"/>
    <w:rsid w:val="00966DB7"/>
    <w:rsid w:val="00970B7B"/>
    <w:rsid w:val="0097129E"/>
    <w:rsid w:val="00973DCA"/>
    <w:rsid w:val="00974396"/>
    <w:rsid w:val="0097439B"/>
    <w:rsid w:val="00976BE2"/>
    <w:rsid w:val="0098118E"/>
    <w:rsid w:val="009835AD"/>
    <w:rsid w:val="00984273"/>
    <w:rsid w:val="009854F3"/>
    <w:rsid w:val="00985A04"/>
    <w:rsid w:val="00986A12"/>
    <w:rsid w:val="00990A51"/>
    <w:rsid w:val="00991269"/>
    <w:rsid w:val="00992223"/>
    <w:rsid w:val="00995AB4"/>
    <w:rsid w:val="009A0C9F"/>
    <w:rsid w:val="009A429D"/>
    <w:rsid w:val="009A76B1"/>
    <w:rsid w:val="009B1293"/>
    <w:rsid w:val="009B1608"/>
    <w:rsid w:val="009B3487"/>
    <w:rsid w:val="009C0931"/>
    <w:rsid w:val="009D15E1"/>
    <w:rsid w:val="009E4B23"/>
    <w:rsid w:val="009E59AB"/>
    <w:rsid w:val="009E5D87"/>
    <w:rsid w:val="009E5E32"/>
    <w:rsid w:val="009E6161"/>
    <w:rsid w:val="009E64FC"/>
    <w:rsid w:val="009E6DAE"/>
    <w:rsid w:val="009F103D"/>
    <w:rsid w:val="009F1E3D"/>
    <w:rsid w:val="009F22B2"/>
    <w:rsid w:val="009F2B0D"/>
    <w:rsid w:val="009F588F"/>
    <w:rsid w:val="009F7A30"/>
    <w:rsid w:val="00A02C3B"/>
    <w:rsid w:val="00A04E25"/>
    <w:rsid w:val="00A062A1"/>
    <w:rsid w:val="00A06690"/>
    <w:rsid w:val="00A06B1F"/>
    <w:rsid w:val="00A10685"/>
    <w:rsid w:val="00A12A49"/>
    <w:rsid w:val="00A12AB9"/>
    <w:rsid w:val="00A132EF"/>
    <w:rsid w:val="00A16021"/>
    <w:rsid w:val="00A172DF"/>
    <w:rsid w:val="00A20273"/>
    <w:rsid w:val="00A27A82"/>
    <w:rsid w:val="00A3065F"/>
    <w:rsid w:val="00A3107E"/>
    <w:rsid w:val="00A321CA"/>
    <w:rsid w:val="00A33499"/>
    <w:rsid w:val="00A343AD"/>
    <w:rsid w:val="00A34A29"/>
    <w:rsid w:val="00A34B72"/>
    <w:rsid w:val="00A35729"/>
    <w:rsid w:val="00A36970"/>
    <w:rsid w:val="00A374CC"/>
    <w:rsid w:val="00A402C1"/>
    <w:rsid w:val="00A402F4"/>
    <w:rsid w:val="00A40B52"/>
    <w:rsid w:val="00A41B92"/>
    <w:rsid w:val="00A41CD7"/>
    <w:rsid w:val="00A43EA4"/>
    <w:rsid w:val="00A43F53"/>
    <w:rsid w:val="00A44EE9"/>
    <w:rsid w:val="00A45D7A"/>
    <w:rsid w:val="00A4627C"/>
    <w:rsid w:val="00A46574"/>
    <w:rsid w:val="00A5049D"/>
    <w:rsid w:val="00A50C4E"/>
    <w:rsid w:val="00A521EE"/>
    <w:rsid w:val="00A528BD"/>
    <w:rsid w:val="00A53D87"/>
    <w:rsid w:val="00A54431"/>
    <w:rsid w:val="00A54720"/>
    <w:rsid w:val="00A54B75"/>
    <w:rsid w:val="00A54DF1"/>
    <w:rsid w:val="00A5561D"/>
    <w:rsid w:val="00A57FBA"/>
    <w:rsid w:val="00A6034D"/>
    <w:rsid w:val="00A6083D"/>
    <w:rsid w:val="00A62819"/>
    <w:rsid w:val="00A62A4E"/>
    <w:rsid w:val="00A62AE9"/>
    <w:rsid w:val="00A62F7F"/>
    <w:rsid w:val="00A62F9F"/>
    <w:rsid w:val="00A63E2B"/>
    <w:rsid w:val="00A65DC8"/>
    <w:rsid w:val="00A672F3"/>
    <w:rsid w:val="00A70CAF"/>
    <w:rsid w:val="00A72B32"/>
    <w:rsid w:val="00A760FE"/>
    <w:rsid w:val="00A76A3C"/>
    <w:rsid w:val="00A801FE"/>
    <w:rsid w:val="00A80490"/>
    <w:rsid w:val="00A826AE"/>
    <w:rsid w:val="00A85353"/>
    <w:rsid w:val="00A91A5C"/>
    <w:rsid w:val="00A94A3A"/>
    <w:rsid w:val="00A95C8C"/>
    <w:rsid w:val="00AA0F1B"/>
    <w:rsid w:val="00AA1FD9"/>
    <w:rsid w:val="00AA295D"/>
    <w:rsid w:val="00AA44FB"/>
    <w:rsid w:val="00AA5EC4"/>
    <w:rsid w:val="00AB6BF8"/>
    <w:rsid w:val="00AC2A15"/>
    <w:rsid w:val="00AC52C3"/>
    <w:rsid w:val="00AC7364"/>
    <w:rsid w:val="00AD2434"/>
    <w:rsid w:val="00AD3C0B"/>
    <w:rsid w:val="00AD4455"/>
    <w:rsid w:val="00AD5F91"/>
    <w:rsid w:val="00AD6C72"/>
    <w:rsid w:val="00AD73D4"/>
    <w:rsid w:val="00AD79AE"/>
    <w:rsid w:val="00AE1397"/>
    <w:rsid w:val="00AE245E"/>
    <w:rsid w:val="00AE4836"/>
    <w:rsid w:val="00AF140E"/>
    <w:rsid w:val="00AF1718"/>
    <w:rsid w:val="00AF2BA2"/>
    <w:rsid w:val="00B00140"/>
    <w:rsid w:val="00B00BD9"/>
    <w:rsid w:val="00B049EB"/>
    <w:rsid w:val="00B04CF8"/>
    <w:rsid w:val="00B0513F"/>
    <w:rsid w:val="00B05FF7"/>
    <w:rsid w:val="00B10435"/>
    <w:rsid w:val="00B10EF2"/>
    <w:rsid w:val="00B11D9B"/>
    <w:rsid w:val="00B1299C"/>
    <w:rsid w:val="00B12BCD"/>
    <w:rsid w:val="00B16268"/>
    <w:rsid w:val="00B2024B"/>
    <w:rsid w:val="00B230D5"/>
    <w:rsid w:val="00B25A0F"/>
    <w:rsid w:val="00B2654A"/>
    <w:rsid w:val="00B30BE1"/>
    <w:rsid w:val="00B31C84"/>
    <w:rsid w:val="00B342AA"/>
    <w:rsid w:val="00B34A89"/>
    <w:rsid w:val="00B35AEA"/>
    <w:rsid w:val="00B40454"/>
    <w:rsid w:val="00B41E85"/>
    <w:rsid w:val="00B42D33"/>
    <w:rsid w:val="00B4460A"/>
    <w:rsid w:val="00B4625F"/>
    <w:rsid w:val="00B51C5E"/>
    <w:rsid w:val="00B5415C"/>
    <w:rsid w:val="00B55880"/>
    <w:rsid w:val="00B56098"/>
    <w:rsid w:val="00B6137F"/>
    <w:rsid w:val="00B61A06"/>
    <w:rsid w:val="00B63E91"/>
    <w:rsid w:val="00B64641"/>
    <w:rsid w:val="00B65963"/>
    <w:rsid w:val="00B66F4C"/>
    <w:rsid w:val="00B71C99"/>
    <w:rsid w:val="00B75A62"/>
    <w:rsid w:val="00B77DBE"/>
    <w:rsid w:val="00B8063B"/>
    <w:rsid w:val="00B80B11"/>
    <w:rsid w:val="00B83E8F"/>
    <w:rsid w:val="00B840F3"/>
    <w:rsid w:val="00B84B09"/>
    <w:rsid w:val="00B864E9"/>
    <w:rsid w:val="00B8712E"/>
    <w:rsid w:val="00B93DDC"/>
    <w:rsid w:val="00B93FCD"/>
    <w:rsid w:val="00B964F7"/>
    <w:rsid w:val="00B968F2"/>
    <w:rsid w:val="00BA02C1"/>
    <w:rsid w:val="00BA3073"/>
    <w:rsid w:val="00BA434D"/>
    <w:rsid w:val="00BA6E68"/>
    <w:rsid w:val="00BA7330"/>
    <w:rsid w:val="00BA77FF"/>
    <w:rsid w:val="00BB27DE"/>
    <w:rsid w:val="00BB31FD"/>
    <w:rsid w:val="00BB6F82"/>
    <w:rsid w:val="00BB76FE"/>
    <w:rsid w:val="00BB7E97"/>
    <w:rsid w:val="00BC23D2"/>
    <w:rsid w:val="00BC2509"/>
    <w:rsid w:val="00BC378A"/>
    <w:rsid w:val="00BC4805"/>
    <w:rsid w:val="00BC538F"/>
    <w:rsid w:val="00BC6696"/>
    <w:rsid w:val="00BC70DE"/>
    <w:rsid w:val="00BD10FE"/>
    <w:rsid w:val="00BD264E"/>
    <w:rsid w:val="00BD4591"/>
    <w:rsid w:val="00BD7B18"/>
    <w:rsid w:val="00BE73F0"/>
    <w:rsid w:val="00BF07E9"/>
    <w:rsid w:val="00BF148D"/>
    <w:rsid w:val="00BF1BE5"/>
    <w:rsid w:val="00BF2F1C"/>
    <w:rsid w:val="00BF3078"/>
    <w:rsid w:val="00BF597F"/>
    <w:rsid w:val="00BF6AAE"/>
    <w:rsid w:val="00BF6B8E"/>
    <w:rsid w:val="00BF7448"/>
    <w:rsid w:val="00C008AF"/>
    <w:rsid w:val="00C049F6"/>
    <w:rsid w:val="00C10153"/>
    <w:rsid w:val="00C108DB"/>
    <w:rsid w:val="00C136D7"/>
    <w:rsid w:val="00C13C25"/>
    <w:rsid w:val="00C13E56"/>
    <w:rsid w:val="00C21E51"/>
    <w:rsid w:val="00C3264F"/>
    <w:rsid w:val="00C32B32"/>
    <w:rsid w:val="00C339DE"/>
    <w:rsid w:val="00C3715C"/>
    <w:rsid w:val="00C379B0"/>
    <w:rsid w:val="00C43276"/>
    <w:rsid w:val="00C44EAE"/>
    <w:rsid w:val="00C5048A"/>
    <w:rsid w:val="00C51BE7"/>
    <w:rsid w:val="00C5315C"/>
    <w:rsid w:val="00C53BCA"/>
    <w:rsid w:val="00C53D2F"/>
    <w:rsid w:val="00C53EB1"/>
    <w:rsid w:val="00C57A1F"/>
    <w:rsid w:val="00C60946"/>
    <w:rsid w:val="00C60C79"/>
    <w:rsid w:val="00C611F4"/>
    <w:rsid w:val="00C64F07"/>
    <w:rsid w:val="00C6613A"/>
    <w:rsid w:val="00C702A8"/>
    <w:rsid w:val="00C70625"/>
    <w:rsid w:val="00C71BA4"/>
    <w:rsid w:val="00C730AD"/>
    <w:rsid w:val="00C73114"/>
    <w:rsid w:val="00C75028"/>
    <w:rsid w:val="00C823A6"/>
    <w:rsid w:val="00C83827"/>
    <w:rsid w:val="00C847B9"/>
    <w:rsid w:val="00C84D77"/>
    <w:rsid w:val="00C85E9F"/>
    <w:rsid w:val="00C861B0"/>
    <w:rsid w:val="00C867C9"/>
    <w:rsid w:val="00C87224"/>
    <w:rsid w:val="00C92E77"/>
    <w:rsid w:val="00C9497E"/>
    <w:rsid w:val="00CA069C"/>
    <w:rsid w:val="00CA1D6D"/>
    <w:rsid w:val="00CA2E53"/>
    <w:rsid w:val="00CA626D"/>
    <w:rsid w:val="00CA76A4"/>
    <w:rsid w:val="00CA7FF6"/>
    <w:rsid w:val="00CB02B5"/>
    <w:rsid w:val="00CB44E7"/>
    <w:rsid w:val="00CB497E"/>
    <w:rsid w:val="00CB4F41"/>
    <w:rsid w:val="00CB4FBF"/>
    <w:rsid w:val="00CB55B6"/>
    <w:rsid w:val="00CB59F7"/>
    <w:rsid w:val="00CB5E24"/>
    <w:rsid w:val="00CB7871"/>
    <w:rsid w:val="00CC0D87"/>
    <w:rsid w:val="00CC27F7"/>
    <w:rsid w:val="00CC385B"/>
    <w:rsid w:val="00CC75DE"/>
    <w:rsid w:val="00CD0A06"/>
    <w:rsid w:val="00CD65BD"/>
    <w:rsid w:val="00CE1026"/>
    <w:rsid w:val="00CE1730"/>
    <w:rsid w:val="00CE1C1C"/>
    <w:rsid w:val="00CE2D27"/>
    <w:rsid w:val="00CE3860"/>
    <w:rsid w:val="00CF01A9"/>
    <w:rsid w:val="00CF1B74"/>
    <w:rsid w:val="00CF2AF3"/>
    <w:rsid w:val="00CF3194"/>
    <w:rsid w:val="00CF3E51"/>
    <w:rsid w:val="00CF40C7"/>
    <w:rsid w:val="00CF45E0"/>
    <w:rsid w:val="00CF5683"/>
    <w:rsid w:val="00CF57BF"/>
    <w:rsid w:val="00CF5F00"/>
    <w:rsid w:val="00CF7F86"/>
    <w:rsid w:val="00D0340C"/>
    <w:rsid w:val="00D0358F"/>
    <w:rsid w:val="00D03630"/>
    <w:rsid w:val="00D04D20"/>
    <w:rsid w:val="00D04DA7"/>
    <w:rsid w:val="00D0566F"/>
    <w:rsid w:val="00D071FD"/>
    <w:rsid w:val="00D1093E"/>
    <w:rsid w:val="00D134BC"/>
    <w:rsid w:val="00D1578C"/>
    <w:rsid w:val="00D21D6C"/>
    <w:rsid w:val="00D22361"/>
    <w:rsid w:val="00D228A0"/>
    <w:rsid w:val="00D230E1"/>
    <w:rsid w:val="00D2418E"/>
    <w:rsid w:val="00D247B9"/>
    <w:rsid w:val="00D25BD1"/>
    <w:rsid w:val="00D301FA"/>
    <w:rsid w:val="00D322D7"/>
    <w:rsid w:val="00D33CB2"/>
    <w:rsid w:val="00D40C7B"/>
    <w:rsid w:val="00D45BFB"/>
    <w:rsid w:val="00D46DCB"/>
    <w:rsid w:val="00D47CD5"/>
    <w:rsid w:val="00D52FD8"/>
    <w:rsid w:val="00D5325F"/>
    <w:rsid w:val="00D53C63"/>
    <w:rsid w:val="00D5555E"/>
    <w:rsid w:val="00D55A4A"/>
    <w:rsid w:val="00D561E5"/>
    <w:rsid w:val="00D571B7"/>
    <w:rsid w:val="00D60CD4"/>
    <w:rsid w:val="00D63533"/>
    <w:rsid w:val="00D66880"/>
    <w:rsid w:val="00D6701F"/>
    <w:rsid w:val="00D7142D"/>
    <w:rsid w:val="00D71C79"/>
    <w:rsid w:val="00D73005"/>
    <w:rsid w:val="00D73439"/>
    <w:rsid w:val="00D73716"/>
    <w:rsid w:val="00D73B26"/>
    <w:rsid w:val="00D75BDE"/>
    <w:rsid w:val="00D764B9"/>
    <w:rsid w:val="00D824FB"/>
    <w:rsid w:val="00D855E6"/>
    <w:rsid w:val="00D91B1E"/>
    <w:rsid w:val="00D9406D"/>
    <w:rsid w:val="00D95DDB"/>
    <w:rsid w:val="00DA0DCD"/>
    <w:rsid w:val="00DA379F"/>
    <w:rsid w:val="00DB02AB"/>
    <w:rsid w:val="00DB0331"/>
    <w:rsid w:val="00DB1B29"/>
    <w:rsid w:val="00DB5655"/>
    <w:rsid w:val="00DC0514"/>
    <w:rsid w:val="00DC0F2E"/>
    <w:rsid w:val="00DC4E9C"/>
    <w:rsid w:val="00DD0D5F"/>
    <w:rsid w:val="00DD13A6"/>
    <w:rsid w:val="00DD27AF"/>
    <w:rsid w:val="00DD3950"/>
    <w:rsid w:val="00DD4A96"/>
    <w:rsid w:val="00DD7388"/>
    <w:rsid w:val="00DE08D1"/>
    <w:rsid w:val="00DE1BB4"/>
    <w:rsid w:val="00DE2FDA"/>
    <w:rsid w:val="00DE5550"/>
    <w:rsid w:val="00DE78F7"/>
    <w:rsid w:val="00DF21D3"/>
    <w:rsid w:val="00DF2EE2"/>
    <w:rsid w:val="00DF30EE"/>
    <w:rsid w:val="00DF3169"/>
    <w:rsid w:val="00DF3E20"/>
    <w:rsid w:val="00DF5960"/>
    <w:rsid w:val="00DF7267"/>
    <w:rsid w:val="00DF7335"/>
    <w:rsid w:val="00DF7FEC"/>
    <w:rsid w:val="00E06281"/>
    <w:rsid w:val="00E07114"/>
    <w:rsid w:val="00E07FA4"/>
    <w:rsid w:val="00E106A5"/>
    <w:rsid w:val="00E11284"/>
    <w:rsid w:val="00E12879"/>
    <w:rsid w:val="00E12B70"/>
    <w:rsid w:val="00E12D89"/>
    <w:rsid w:val="00E135E6"/>
    <w:rsid w:val="00E137EA"/>
    <w:rsid w:val="00E16F6C"/>
    <w:rsid w:val="00E211F3"/>
    <w:rsid w:val="00E30929"/>
    <w:rsid w:val="00E3303D"/>
    <w:rsid w:val="00E33A69"/>
    <w:rsid w:val="00E34F94"/>
    <w:rsid w:val="00E40C0F"/>
    <w:rsid w:val="00E414C6"/>
    <w:rsid w:val="00E4711C"/>
    <w:rsid w:val="00E50CD4"/>
    <w:rsid w:val="00E51B9F"/>
    <w:rsid w:val="00E52674"/>
    <w:rsid w:val="00E532E2"/>
    <w:rsid w:val="00E5416E"/>
    <w:rsid w:val="00E55CC0"/>
    <w:rsid w:val="00E634AD"/>
    <w:rsid w:val="00E66B4A"/>
    <w:rsid w:val="00E70335"/>
    <w:rsid w:val="00E70F1C"/>
    <w:rsid w:val="00E80419"/>
    <w:rsid w:val="00E8415C"/>
    <w:rsid w:val="00E855C4"/>
    <w:rsid w:val="00E85939"/>
    <w:rsid w:val="00E86C49"/>
    <w:rsid w:val="00E87D3D"/>
    <w:rsid w:val="00E90996"/>
    <w:rsid w:val="00E90ABF"/>
    <w:rsid w:val="00E90B27"/>
    <w:rsid w:val="00E939AD"/>
    <w:rsid w:val="00E9586B"/>
    <w:rsid w:val="00E95B64"/>
    <w:rsid w:val="00EA019E"/>
    <w:rsid w:val="00EA0E6D"/>
    <w:rsid w:val="00EA46F1"/>
    <w:rsid w:val="00EA4EF6"/>
    <w:rsid w:val="00EA635D"/>
    <w:rsid w:val="00EA6EA1"/>
    <w:rsid w:val="00EA7A28"/>
    <w:rsid w:val="00EB08DD"/>
    <w:rsid w:val="00EB0AEB"/>
    <w:rsid w:val="00EB2F66"/>
    <w:rsid w:val="00EB2F97"/>
    <w:rsid w:val="00EB6C43"/>
    <w:rsid w:val="00EB6E18"/>
    <w:rsid w:val="00EC2A3E"/>
    <w:rsid w:val="00EC442C"/>
    <w:rsid w:val="00EC7EBC"/>
    <w:rsid w:val="00ED18A8"/>
    <w:rsid w:val="00ED1F52"/>
    <w:rsid w:val="00ED1FCF"/>
    <w:rsid w:val="00ED205B"/>
    <w:rsid w:val="00ED5D41"/>
    <w:rsid w:val="00ED7451"/>
    <w:rsid w:val="00ED7AE7"/>
    <w:rsid w:val="00EE0296"/>
    <w:rsid w:val="00EE02C0"/>
    <w:rsid w:val="00EE17BB"/>
    <w:rsid w:val="00EE1804"/>
    <w:rsid w:val="00EE3684"/>
    <w:rsid w:val="00EE5EA4"/>
    <w:rsid w:val="00EE6863"/>
    <w:rsid w:val="00EF2CB9"/>
    <w:rsid w:val="00EF6091"/>
    <w:rsid w:val="00F0278B"/>
    <w:rsid w:val="00F040B8"/>
    <w:rsid w:val="00F05662"/>
    <w:rsid w:val="00F07AA9"/>
    <w:rsid w:val="00F12638"/>
    <w:rsid w:val="00F148BF"/>
    <w:rsid w:val="00F15564"/>
    <w:rsid w:val="00F16CEE"/>
    <w:rsid w:val="00F20D67"/>
    <w:rsid w:val="00F23125"/>
    <w:rsid w:val="00F25DE6"/>
    <w:rsid w:val="00F266A1"/>
    <w:rsid w:val="00F269BF"/>
    <w:rsid w:val="00F30072"/>
    <w:rsid w:val="00F319BA"/>
    <w:rsid w:val="00F31ADD"/>
    <w:rsid w:val="00F31E82"/>
    <w:rsid w:val="00F32EDF"/>
    <w:rsid w:val="00F33897"/>
    <w:rsid w:val="00F34288"/>
    <w:rsid w:val="00F34D8B"/>
    <w:rsid w:val="00F43273"/>
    <w:rsid w:val="00F45149"/>
    <w:rsid w:val="00F469D8"/>
    <w:rsid w:val="00F47A40"/>
    <w:rsid w:val="00F51C76"/>
    <w:rsid w:val="00F53EFD"/>
    <w:rsid w:val="00F56748"/>
    <w:rsid w:val="00F609DF"/>
    <w:rsid w:val="00F61B5E"/>
    <w:rsid w:val="00F62C66"/>
    <w:rsid w:val="00F63A09"/>
    <w:rsid w:val="00F651EC"/>
    <w:rsid w:val="00F67B90"/>
    <w:rsid w:val="00F67F19"/>
    <w:rsid w:val="00F712F7"/>
    <w:rsid w:val="00F73681"/>
    <w:rsid w:val="00F744F3"/>
    <w:rsid w:val="00F74C60"/>
    <w:rsid w:val="00F74DA6"/>
    <w:rsid w:val="00F75106"/>
    <w:rsid w:val="00F77E36"/>
    <w:rsid w:val="00F80B59"/>
    <w:rsid w:val="00F84639"/>
    <w:rsid w:val="00F861EB"/>
    <w:rsid w:val="00F863E2"/>
    <w:rsid w:val="00F9485A"/>
    <w:rsid w:val="00F94913"/>
    <w:rsid w:val="00F96A1A"/>
    <w:rsid w:val="00F9765C"/>
    <w:rsid w:val="00FA3492"/>
    <w:rsid w:val="00FA5A08"/>
    <w:rsid w:val="00FA66E1"/>
    <w:rsid w:val="00FA6F2B"/>
    <w:rsid w:val="00FA7773"/>
    <w:rsid w:val="00FB0225"/>
    <w:rsid w:val="00FC01DD"/>
    <w:rsid w:val="00FC0B87"/>
    <w:rsid w:val="00FC1E1D"/>
    <w:rsid w:val="00FC3381"/>
    <w:rsid w:val="00FC7E2E"/>
    <w:rsid w:val="00FD0020"/>
    <w:rsid w:val="00FD3E73"/>
    <w:rsid w:val="00FD4387"/>
    <w:rsid w:val="00FD4ABF"/>
    <w:rsid w:val="00FE1E0D"/>
    <w:rsid w:val="00FE37AA"/>
    <w:rsid w:val="00FE391D"/>
    <w:rsid w:val="00FE620E"/>
    <w:rsid w:val="00FE76B8"/>
    <w:rsid w:val="00FE77F7"/>
    <w:rsid w:val="00FF1A4B"/>
    <w:rsid w:val="00FF2A2B"/>
    <w:rsid w:val="00FF5A2A"/>
    <w:rsid w:val="00FF7F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footer" w:uiPriority="99"/>
    <w:lsdException w:name="Body Text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EE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zoznamu1">
    <w:name w:val="Odsek zoznamu1"/>
    <w:basedOn w:val="Normal"/>
    <w:rsid w:val="00914781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914781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14781"/>
    <w:rPr>
      <w:rFonts w:ascii="Verdana" w:hAnsi="Verdana" w:cs="Times New Roman"/>
      <w:sz w:val="24"/>
      <w:rtl w:val="0"/>
      <w:cs w:val="0"/>
      <w:lang w:val="x-none" w:eastAsia="sk-SK"/>
    </w:rPr>
  </w:style>
  <w:style w:type="paragraph" w:customStyle="1" w:styleId="CharCharCharCharCharChar">
    <w:name w:val="Char Char Char Char Char Char"/>
    <w:basedOn w:val="Normal"/>
    <w:rsid w:val="00FE391D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lavikaChar"/>
    <w:uiPriority w:val="99"/>
    <w:rsid w:val="00EE02C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E02C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EE02C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E02C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62C6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62C66"/>
    <w:rPr>
      <w:rFonts w:ascii="Tahoma" w:hAnsi="Tahoma" w:cs="Times New Roman"/>
      <w:sz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B2024B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B2024B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rsid w:val="00B2024B"/>
    <w:rPr>
      <w:rFonts w:cs="Times New Roman"/>
      <w:vertAlign w:val="superscript"/>
      <w:rtl w:val="0"/>
      <w:cs w:val="0"/>
    </w:rPr>
  </w:style>
  <w:style w:type="table" w:styleId="TableGrid">
    <w:name w:val="Table Grid"/>
    <w:basedOn w:val="TableNormal"/>
    <w:uiPriority w:val="59"/>
    <w:rsid w:val="00707C1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iadkovania1">
    <w:name w:val="Bez riadkovania1"/>
    <w:rsid w:val="002301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CommentReference">
    <w:name w:val="annotation reference"/>
    <w:basedOn w:val="DefaultParagraphFont"/>
    <w:uiPriority w:val="99"/>
    <w:rsid w:val="00EE180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EE180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E1804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EE1804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EE1804"/>
    <w:rPr>
      <w:b/>
    </w:rPr>
  </w:style>
  <w:style w:type="paragraph" w:styleId="ListParagraph">
    <w:name w:val="List Paragraph"/>
    <w:basedOn w:val="Normal"/>
    <w:uiPriority w:val="34"/>
    <w:qFormat/>
    <w:rsid w:val="00667B1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3518</Words>
  <Characters>20055</Characters>
  <Application>Microsoft Office Word</Application>
  <DocSecurity>0</DocSecurity>
  <Lines>0</Lines>
  <Paragraphs>0</Paragraphs>
  <ScaleCrop>false</ScaleCrop>
  <Company/>
  <LinksUpToDate>false</LinksUpToDate>
  <CharactersWithSpaces>23526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cp:revision>1</cp:revision>
  <dcterms:created xsi:type="dcterms:W3CDTF">2016-04-25T09:37:00Z</dcterms:created>
  <dcterms:modified xsi:type="dcterms:W3CDTF">2016-04-25T11:37:00Z</dcterms:modified>
</cp:coreProperties>
</file>