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557" w:rsidRPr="00FF6557" w:rsidP="00FF6557">
      <w:pPr>
        <w:pStyle w:val="Default"/>
        <w:bidi w:val="0"/>
        <w:jc w:val="center"/>
        <w:rPr>
          <w:kern w:val="2"/>
          <w:sz w:val="28"/>
          <w:szCs w:val="28"/>
          <w:u w:val="single"/>
        </w:rPr>
      </w:pPr>
      <w:r w:rsidRPr="00FF6557">
        <w:rPr>
          <w:rFonts w:hint="default"/>
          <w:b/>
          <w:bCs/>
          <w:kern w:val="2"/>
          <w:sz w:val="28"/>
          <w:szCs w:val="28"/>
          <w:u w:val="single"/>
        </w:rPr>
        <w:t>Prí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loha IV: Zoznam ná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vrhov v 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tá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diu schvaľ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ovania, ktoré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 xml:space="preserve"> Komisia plá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nuje stiahnuť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 xml:space="preserve"> alebo upraviť</w:t>
      </w:r>
    </w:p>
    <w:p w:rsidR="00FF6557" w:rsidP="00FF6557">
      <w:pPr>
        <w:pStyle w:val="Default"/>
        <w:bidi w:val="0"/>
        <w:jc w:val="center"/>
        <w:rPr>
          <w:kern w:val="2"/>
          <w:sz w:val="22"/>
          <w:szCs w:val="22"/>
        </w:rPr>
      </w:pPr>
    </w:p>
    <w:p w:rsidR="00FF6557" w:rsidRPr="00FF6557" w:rsidP="00FF6557">
      <w:pPr>
        <w:pStyle w:val="Default"/>
        <w:bidi w:val="0"/>
        <w:jc w:val="center"/>
        <w:rPr>
          <w:rFonts w:hint="default"/>
          <w:kern w:val="2"/>
          <w:sz w:val="22"/>
          <w:szCs w:val="22"/>
        </w:rPr>
      </w:pPr>
      <w:r w:rsidRPr="00FF6557">
        <w:rPr>
          <w:rFonts w:hint="default"/>
          <w:kern w:val="2"/>
          <w:sz w:val="22"/>
          <w:szCs w:val="22"/>
        </w:rPr>
        <w:t>Komisia má</w:t>
      </w:r>
      <w:r w:rsidRPr="00FF6557">
        <w:rPr>
          <w:rFonts w:hint="default"/>
          <w:kern w:val="2"/>
          <w:sz w:val="22"/>
          <w:szCs w:val="22"/>
        </w:rPr>
        <w:t xml:space="preserve"> v ú</w:t>
      </w:r>
      <w:r w:rsidRPr="00FF6557">
        <w:rPr>
          <w:rFonts w:hint="default"/>
          <w:kern w:val="2"/>
          <w:sz w:val="22"/>
          <w:szCs w:val="22"/>
        </w:rPr>
        <w:t>mysle stiahnuť</w:t>
      </w:r>
      <w:r w:rsidRPr="00FF6557">
        <w:rPr>
          <w:rFonts w:hint="default"/>
          <w:kern w:val="2"/>
          <w:sz w:val="22"/>
          <w:szCs w:val="22"/>
        </w:rPr>
        <w:t xml:space="preserve"> uvedené</w:t>
      </w:r>
      <w:r w:rsidRPr="00FF6557">
        <w:rPr>
          <w:rFonts w:hint="default"/>
          <w:kern w:val="2"/>
          <w:sz w:val="22"/>
          <w:szCs w:val="22"/>
        </w:rPr>
        <w:t xml:space="preserve"> ná</w:t>
      </w:r>
      <w:r w:rsidRPr="00FF6557">
        <w:rPr>
          <w:rFonts w:hint="default"/>
          <w:kern w:val="2"/>
          <w:sz w:val="22"/>
          <w:szCs w:val="22"/>
        </w:rPr>
        <w:t>vrhy do š</w:t>
      </w:r>
      <w:r w:rsidRPr="00FF6557">
        <w:rPr>
          <w:rFonts w:hint="default"/>
          <w:kern w:val="2"/>
          <w:sz w:val="22"/>
          <w:szCs w:val="22"/>
        </w:rPr>
        <w:t>iestich mesiacov (do aprí</w:t>
      </w:r>
      <w:r w:rsidRPr="00FF6557">
        <w:rPr>
          <w:rFonts w:hint="default"/>
          <w:kern w:val="2"/>
          <w:sz w:val="22"/>
          <w:szCs w:val="22"/>
        </w:rPr>
        <w:t>la 2016).</w:t>
      </w:r>
    </w:p>
    <w:p w:rsidR="00F9279F" w:rsidRPr="00FF6557" w:rsidP="00FF6557">
      <w:pPr>
        <w:bidi w:val="0"/>
        <w:jc w:val="center"/>
        <w:rPr>
          <w:kern w:val="2"/>
        </w:rPr>
      </w:pPr>
      <w:r w:rsidRPr="00FF6557" w:rsidR="00FF6557">
        <w:rPr>
          <w:rFonts w:hint="default"/>
          <w:kern w:val="2"/>
        </w:rPr>
        <w:t>Ná</w:t>
      </w:r>
      <w:r w:rsidRPr="00FF6557" w:rsidR="00FF6557">
        <w:rPr>
          <w:rFonts w:hint="default"/>
          <w:kern w:val="2"/>
        </w:rPr>
        <w:t>vrhy stiahnuté</w:t>
      </w:r>
      <w:r w:rsidRPr="00FF6557" w:rsidR="00FF6557">
        <w:rPr>
          <w:rFonts w:hint="default"/>
          <w:kern w:val="2"/>
        </w:rPr>
        <w:t xml:space="preserve"> pred schvá</w:t>
      </w:r>
      <w:r w:rsidRPr="00FF6557" w:rsidR="00FF6557">
        <w:rPr>
          <w:rFonts w:hint="default"/>
          <w:kern w:val="2"/>
        </w:rPr>
        <w:t>lení</w:t>
      </w:r>
      <w:r w:rsidRPr="00FF6557" w:rsidR="00FF6557">
        <w:rPr>
          <w:rFonts w:hint="default"/>
          <w:kern w:val="2"/>
        </w:rPr>
        <w:t>m z iný</w:t>
      </w:r>
      <w:r w:rsidRPr="00FF6557" w:rsidR="00FF6557">
        <w:rPr>
          <w:rFonts w:hint="default"/>
          <w:kern w:val="2"/>
        </w:rPr>
        <w:t>ch dô</w:t>
      </w:r>
      <w:r w:rsidRPr="00FF6557" w:rsidR="00FF6557">
        <w:rPr>
          <w:rFonts w:hint="default"/>
          <w:kern w:val="2"/>
        </w:rPr>
        <w:t>vodov ako zastaranosť</w:t>
      </w:r>
      <w:r w:rsidRPr="00FF6557" w:rsidR="00FF6557">
        <w:rPr>
          <w:rFonts w:hint="default"/>
          <w:kern w:val="2"/>
        </w:rPr>
        <w:t>, ako aj ú</w:t>
      </w:r>
      <w:r w:rsidRPr="00FF6557" w:rsidR="00FF6557">
        <w:rPr>
          <w:rFonts w:hint="default"/>
          <w:kern w:val="2"/>
        </w:rPr>
        <w:t>pra</w:t>
      </w:r>
      <w:r w:rsidRPr="00FF6557" w:rsidR="00FF6557">
        <w:rPr>
          <w:rFonts w:hint="default"/>
          <w:kern w:val="2"/>
        </w:rPr>
        <w:t>vy sú</w:t>
      </w:r>
      <w:r w:rsidRPr="00FF6557" w:rsidR="00FF6557">
        <w:rPr>
          <w:rFonts w:hint="default"/>
          <w:kern w:val="2"/>
        </w:rPr>
        <w:t xml:space="preserve"> vyznač</w:t>
      </w:r>
      <w:r w:rsidRPr="00FF6557" w:rsidR="00FF6557">
        <w:rPr>
          <w:rFonts w:hint="default"/>
          <w:kern w:val="2"/>
        </w:rPr>
        <w:t>ené</w:t>
      </w:r>
      <w:r w:rsidRPr="00FF6557" w:rsidR="00FF6557">
        <w:rPr>
          <w:rFonts w:hint="default"/>
          <w:kern w:val="2"/>
        </w:rPr>
        <w:t xml:space="preserve"> </w:t>
      </w:r>
      <w:r w:rsidRPr="00FF6557" w:rsidR="00FF6557">
        <w:rPr>
          <w:rFonts w:hint="default"/>
          <w:b/>
          <w:bCs/>
          <w:kern w:val="2"/>
        </w:rPr>
        <w:t>tuč</w:t>
      </w:r>
      <w:r w:rsidRPr="00FF6557" w:rsidR="00FF6557">
        <w:rPr>
          <w:rFonts w:hint="default"/>
          <w:b/>
          <w:bCs/>
          <w:kern w:val="2"/>
        </w:rPr>
        <w:t>ný</w:t>
      </w:r>
      <w:r w:rsidRPr="00FF6557" w:rsidR="00FF6557">
        <w:rPr>
          <w:rFonts w:hint="default"/>
          <w:b/>
          <w:bCs/>
          <w:kern w:val="2"/>
        </w:rPr>
        <w:t>m pí</w:t>
      </w:r>
      <w:r w:rsidRPr="00FF6557" w:rsidR="00FF6557">
        <w:rPr>
          <w:rFonts w:hint="default"/>
          <w:b/>
          <w:bCs/>
          <w:kern w:val="2"/>
        </w:rPr>
        <w:t>smom</w:t>
      </w:r>
      <w:r w:rsidRPr="00FF6557" w:rsidR="00FF6557">
        <w:rPr>
          <w:kern w:val="2"/>
        </w:rPr>
        <w:t>.</w:t>
      </w: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736"/>
        <w:gridCol w:w="2418"/>
        <w:gridCol w:w="4035"/>
        <w:gridCol w:w="3511"/>
        <w:gridCol w:w="1276"/>
        <w:gridCol w:w="2732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trHeight w:val="207"/>
          <w:tblHeader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Č.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COM(KOM)/Medziinš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ti</w:t>
            </w:r>
            <w:r w:rsidRPr="00BA1D64" w:rsidR="00BA1D64">
              <w:rPr>
                <w:b/>
                <w:bCs/>
                <w:kern w:val="2"/>
                <w:sz w:val="20"/>
                <w:szCs w:val="20"/>
              </w:rPr>
              <w:t>-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tucioná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lne čí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slo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zov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Dô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vody stiahnutia/ú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pravy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671B78">
              <w:rPr>
                <w:b/>
                <w:bCs/>
                <w:kern w:val="2"/>
                <w:sz w:val="20"/>
                <w:szCs w:val="20"/>
              </w:rPr>
              <w:t>Gestor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>Stupeň</w:t>
            </w: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priority a </w:t>
            </w: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>pozí</w:t>
            </w: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FF655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Hospodá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rske a finanč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né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zá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lež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itosti, dane a clá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FF655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FF655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1.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KOM/2007/0746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NARIADENIE RADY, ktorý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sa ustanovujú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vykoná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vacie opatrenia k smernici 2006/112/ES o spoloč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nom systé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me dane z pridanej hodnoty,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zaobchá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dzanie s poisť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ovací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a finanč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služ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bami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pochá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dza z roku 2007 a dohoda sa nepredpokladá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(ž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iadne z nedá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vnych predsední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ctiev Rady nezač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alo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diskusie).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bCs/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KOM/2007/0747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2007/0267/CNS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SMERNICU RADY, ktorou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a dopĺň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 smernica 2006/112/ES o spoloč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nom systé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me dane z pridanej hodnoty,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zaobchá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dzanie s poisť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ovací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a finanč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služ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bami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pochá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za z roku 2007 a dohoda sa nepredpokladá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(ž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iadne z nedá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vnych predsední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ctiev Rady nezač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alo diskusie).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bCs/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49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3.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COM/2013/0721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2013/0343/CNS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SMERNICU RADY, ktorou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smernica 2006/112/ES o spoloč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nom systé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me dane z pridanej hodnot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jednotné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daň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ové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priznanie k DPH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sledkom rokovaní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bol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kompromisné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ho znenia, z ktoré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ho sa 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plne stratila podstata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vrhu Komisie. Predovš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etký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najnovš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ie znenie bolo v rozpore s cieľ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zjednoduš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enia, harmonizá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cie a podstatné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ho zníž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eni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 záť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 obsiahnutý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v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vrhu Komisie.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bCs/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4.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KOM/2011/0594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2011/0261/CNS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SMERNICU RADY 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systé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me dane z finanč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transakcií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ktorou sa mení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dopĺň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a smernica 2008/7/ES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Tento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bol nahradený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zodpovedajú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cim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om v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mci postupu posilnenej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ce z roku 2013.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64674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5.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KOM/2011/0738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2011/0334/CNS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NARIADENIE RADY o metó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dach a postupe sprí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ovania vlastné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zdroja založ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na dani z finanč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transakcií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pska rada na svojom za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sadnutí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vo februá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ri 2013 pri rozhodovaní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o balí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ku opatrení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 obdobie 2014 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–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2020 „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Vyzvala zúč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astnené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ty, aby preskú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mali,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 sa 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daň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(t. j. daň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 finanč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transakcií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) môž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stať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kladom pre nový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vlastný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zdroj rozpoč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tu EÚ“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Je potrebné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uvi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skupina na vysokej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rovni pre vlastné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zdroje bola poverená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vykonať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„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eobecné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preskú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manie systé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mu vlastný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zdrojov na 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klade celkový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cieľ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 jednoduchosti, transparentnosti, spravodlivosti a demokratickej zodpovednosti“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sprí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stupnené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naria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enie vychá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dzalo z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vrhu Komisie na nové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rozhodnutie o vlastný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zdrojoch z 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na 2011,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tejto sú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vislosti nebolo prijaté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nie je navrhované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nariadenie 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relevantné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a Komisia preto zamýšľ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stiahnuť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Aký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koľ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vek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padný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budú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Komisie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sa vlastné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zdroja založ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na DFT by opäť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muselo sprevá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dzať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zodpovedajú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ce sprí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stupnené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nariadenie.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64674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hrad     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6.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KOM/2011/0121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2011/0058/CNS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SMERNICU RADY 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konsolidovanom 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klade dane z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jmov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vnický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osô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b (CCCTB)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V nadvä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znosti na ozná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menie „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Spravodlivý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efektí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vny systé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dane z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jmu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vnický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osô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 v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nii: päť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kľúč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oblastí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v ktorý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treba konať“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(COM(2015) 302) Komisia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sluš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ce začí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na znovu s nový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postupný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stupom. Sú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ne b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ude stiahnutý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existujú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64674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>Stupeň</w:t>
            </w:r>
            <w:r w:rsidRPr="00646749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B27787" w:rsidRPr="00646749" w:rsidP="00110674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SK sú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hlasí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so stiahnutí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 pô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vodné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ho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CCCTB zo strany COM. Otvorenie rokovaní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o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obnovenom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(C)CCTB s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odlož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ení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 konsolidá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cie sa oč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aká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vajú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druhej polovici roka 2016 (rokovania o novo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sa teda oč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aká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vajú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otvoriť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poč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as SK PRES). Aktuá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lne prebieha k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plá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nované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mu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verejná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konzultá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cia. SK pozí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cia k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nové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mu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bude zná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ma až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po jeho predlož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ení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a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obozná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mení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sa s jeho detailmi.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7.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KOM/1998/0637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ROZHODNUTIA RADY o zastú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pozí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 na medziná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rodnej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rovni v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mci hospodá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rskej a menovej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nie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Tento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bol stiahnutý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(C(2015) 8001) a 21. októ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bra 2015 bol nahradený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vrhom (COM(2015) 603).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Zahranič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né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veci a bezpeč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nostná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politika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8.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>KOM/2007/01</w:t>
            </w:r>
            <w:r w:rsidRPr="00BA1D64">
              <w:rPr>
                <w:kern w:val="2"/>
                <w:sz w:val="20"/>
                <w:szCs w:val="20"/>
              </w:rPr>
              <w:t xml:space="preserve">41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2007/0049/APP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A KOMISIE o uzatvorení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protokolu k Dohode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enstvami a ich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Turkmé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nskou republikou na druhej strane na 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ely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adnenia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enia Bulharskej republiky a Rumunska k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Zastarané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Tento protokol prispô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sobovania sa mal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penie Bulharska a Rumunska, nebol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ak nikdy dokonč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sledne sa rozhodlo navrhnúť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rozhodnutie,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penia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etký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tov od roku 2004.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9.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KOM/2007/0144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ROZHODNUTIA RADY o podpí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predbež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protokolu k Dohode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enstvami a ich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Turk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nskou republikou na druhej strane na 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ely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adnenia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penia Bulharskej republiky a Rumunska k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Zastarané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Tento protokol prispô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sobovania sa mal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penie Bulharska a Rumunska, nebol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ak nikdy dokonč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sledne sa rozhodlo navrhnúť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rozhodnutie,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penia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etký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tov od roku 2004.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>10</w:t>
            </w:r>
            <w:r w:rsidRPr="00BA1D64">
              <w:rPr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KOM/2004/808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ROZHODNUTIA RADY o podpí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pskeho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 a o predbež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urč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ustanovení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Euro-stredomorskej dohody o pridruž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a Sý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rskou arabskou republikou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vne znenia z rokov 2004 a 2008 sa medzič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asom stali zastaraný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mi.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11.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KOM/2008/853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podpí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pskeho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 a o predbež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urč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ustanovení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Eur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o-stredomorskej dohody o pridruž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a Sý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rskou arabskou republikou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vne znenia z rokov 2004 a 2008 sa medzič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asom stali zastaraný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mi.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b/>
                <w:bCs/>
                <w:kern w:val="2"/>
                <w:sz w:val="20"/>
                <w:szCs w:val="20"/>
              </w:rPr>
              <w:t xml:space="preserve">Obchod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5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12.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KOM/2008/0522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2008/0169/APP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uzavretí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Dohody, ktorou sa ustanovuje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mec pre dohodu o hospodá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rskom partnerstve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partnerský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chodoafrické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spolo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enstva na druhej strane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ju predstihla komplexnejš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ia dohoda prerokovaná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po roku 2007 a parafovaná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roku 2014.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13.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KOM/2008/0565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2008/0177/APP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uzavretí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Doč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asnej dohody o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hospodá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rskom partnerstve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tmi SADC DHP na druhej strane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ju predstihla komplexnejš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ia dohoda prerokovaná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po roku 2007 a parafovaná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roku 2014.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kern w:val="2"/>
                <w:sz w:val="20"/>
                <w:szCs w:val="20"/>
              </w:rPr>
              <w:t>M</w:t>
            </w:r>
            <w:r w:rsidR="00646749">
              <w:rPr>
                <w:kern w:val="2"/>
                <w:sz w:val="20"/>
                <w:szCs w:val="20"/>
              </w:rPr>
              <w:t>H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14.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COM/2012/0593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2012/0287/NLE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pozí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cii, ktorá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má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zaujať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nie vo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bore pre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cu zriadenom Dohodou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ci, ktorou sa zakladá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partnerstvo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stvami a ich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strane jednej a Ruskou federá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ciou na strane druhej z 24. 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na 1994, vo vzť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ahu k zostaveniu zoznamu mediá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torov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Zastarané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Rusko oficiá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lne odmietlo 13. decembra 2012 zostaviť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zoznam mediá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torov, a umož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tak fungovanie mecha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nizmu na urovná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vanie sporov podľ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 dohody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ci. EÚ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využ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eobecné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ustanovenia WTO.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b/>
                <w:bCs/>
                <w:kern w:val="2"/>
                <w:sz w:val="20"/>
                <w:szCs w:val="20"/>
              </w:rPr>
              <w:t xml:space="preserve">Doprava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6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15.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COM/2014/0083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2014/0042/NLE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pozí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ktorá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má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prijať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pskej 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nie v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mci Medziná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rodnej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mornej organizá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cie poč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 66. schô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dze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boru pre ochranu morské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prostredia k prijatiu zmien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lohy VI k dohovoru MARPOL,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odkladu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ovania emisný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noriem pre NOx na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rovni III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Hoci stanovisko Komisie uved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vrhu rozhodnutia je stá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 platné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tento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sa stal zastaraný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m,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66. zasadnutie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boru pre ochranu morské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prostredia sa 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uskutoč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nilo (31. marca 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–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4. aprí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la 2014).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2D6214" w:rsidP="0011067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2D6214" w:rsidP="0011067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b/>
                <w:bCs/>
                <w:kern w:val="2"/>
                <w:sz w:val="20"/>
                <w:szCs w:val="20"/>
              </w:rPr>
              <w:t xml:space="preserve">16.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COM/2013/484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2013/0226/COD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NARIADENI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 EURÓ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PSKEHO PARLAMENTU A RADY, ktorý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nariadenie (ES) 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. 1365/2006 o 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tatistike prepravy tovaru po vnú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trozemský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vodný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cestá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prenesenie delegovaný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a vykoná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vací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prá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vomocí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na Komisiu s cieľ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om prijať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urč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opatrenia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Ak sa do 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iestich mesiacov nedosiahne dohoda, mal by sa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stiahnuť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49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17.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COM/2013/0611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2013/0297/COD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PSKEHO PARLAMENTU A RADY, ktorý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nariadenie Euró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pskeho parlamentu a Rady (ES) 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. 91/2003 zo 16. decembr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 2002 o 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tatistike 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eleznič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nej dopravy,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zber 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dajov o tovare, cestujú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cich a nehodá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ch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Ak sa do 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iestich mesiacov nedosiahne dohoda, mal by sa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stiahnuť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Migrá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cia, vnú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torné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zá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lež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itosti a obč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ianstvo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18.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>COM/2013/</w:t>
            </w:r>
            <w:r w:rsidRPr="005409C2">
              <w:rPr>
                <w:bCs/>
                <w:kern w:val="2"/>
                <w:sz w:val="20"/>
                <w:szCs w:val="20"/>
              </w:rPr>
              <w:t xml:space="preserve">0095 </w:t>
            </w:r>
          </w:p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2013/0057/COD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PSKEHO PARLAMENTU A RADY ktorý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sa ustanovuje systé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vstup/vý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stup na registrá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ciu 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dajov o vstupe a vý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stupe 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tnych prí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sluš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kov tretí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krají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 prekrač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ujú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cich vonkajš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ie hranice 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lenský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tov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pskej 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nie (s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bor opatrení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pre inteligentné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hranice)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 programe „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pska migrač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agenda“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(COM(2015) 240) ozná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mila Komisia svoj zá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mer predlož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iť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v roku 2016 upravený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37523E">
              <w:rPr>
                <w:bCs/>
                <w:kern w:val="2"/>
                <w:sz w:val="20"/>
                <w:szCs w:val="20"/>
              </w:rPr>
              <w:t>MV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 xml:space="preserve">hrad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19.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COM/2013/0097 </w:t>
            </w:r>
          </w:p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2013/0059/COD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PSKEHO PARLAMENT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U A RADY, ktorý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sa zriaď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uje program registrovaný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cestujú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cich (sú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bor opatrení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pre inteligentné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hranice)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 programe „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pska migrač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agenda“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(COM(2015) 240) ozná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mila Komisia svoj zá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mer predlož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iť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v roku 2016 upravený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37523E">
              <w:rPr>
                <w:bCs/>
                <w:kern w:val="2"/>
                <w:sz w:val="20"/>
                <w:szCs w:val="20"/>
              </w:rPr>
              <w:t>MV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49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>COM/2</w:t>
            </w:r>
            <w:r w:rsidRPr="005409C2">
              <w:rPr>
                <w:bCs/>
                <w:kern w:val="2"/>
                <w:sz w:val="20"/>
                <w:szCs w:val="20"/>
              </w:rPr>
              <w:t xml:space="preserve">013/0096 </w:t>
            </w:r>
          </w:p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2013/0060/COD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PSKEHO PARLAMENTU A RADY, ktorý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sa mení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 dopĺň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a nariadenie (ES) 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. 562/2006, pokiaľ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ide o použí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vanie systé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mu vstup/vý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stup a programu registrovaný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cestujú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cich (sú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bor opatrení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pre inteligentné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hranice)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V 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programe „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pska migrač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agenda“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(COM(2015) 240) ozná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mila Komisia svoj zá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mer predlož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iť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v roku 2016 upravený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37523E">
              <w:rPr>
                <w:bCs/>
                <w:kern w:val="2"/>
                <w:sz w:val="20"/>
                <w:szCs w:val="20"/>
              </w:rPr>
              <w:t>MV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hrad</w:t>
            </w:r>
          </w:p>
        </w:tc>
      </w:tr>
    </w:tbl>
    <w:p w:rsidR="00FF6557" w:rsidRPr="00FF6557" w:rsidP="00FF6557">
      <w:pPr>
        <w:bidi w:val="0"/>
        <w:rPr>
          <w:kern w:val="2"/>
        </w:rPr>
      </w:pPr>
    </w:p>
    <w:sectPr w:rsidSect="00FF6557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F6557"/>
    <w:rsid w:val="00110674"/>
    <w:rsid w:val="00121D80"/>
    <w:rsid w:val="001D37DF"/>
    <w:rsid w:val="002D6214"/>
    <w:rsid w:val="0032758A"/>
    <w:rsid w:val="0037523E"/>
    <w:rsid w:val="003E0951"/>
    <w:rsid w:val="004A6565"/>
    <w:rsid w:val="005409C2"/>
    <w:rsid w:val="00577151"/>
    <w:rsid w:val="00646749"/>
    <w:rsid w:val="00671B78"/>
    <w:rsid w:val="00696D78"/>
    <w:rsid w:val="00B27787"/>
    <w:rsid w:val="00BA1D64"/>
    <w:rsid w:val="00BB0EEF"/>
    <w:rsid w:val="00F9279F"/>
    <w:rsid w:val="00FF65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655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1490</Words>
  <Characters>8495</Characters>
  <Application>Microsoft Office Word</Application>
  <DocSecurity>0</DocSecurity>
  <Lines>0</Lines>
  <Paragraphs>0</Paragraphs>
  <ScaleCrop>false</ScaleCrop>
  <Company>DOMA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2016-04-21T14:13:00Z</dcterms:created>
  <dcterms:modified xsi:type="dcterms:W3CDTF">2016-04-21T14:13:00Z</dcterms:modified>
</cp:coreProperties>
</file>