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304A" w:rsidRPr="007C5275" w:rsidP="00BA063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7C5275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EC304A" w:rsidRPr="007C5275" w:rsidP="00BA0632">
      <w:pPr>
        <w:bidi w:val="0"/>
        <w:spacing w:before="120" w:line="276" w:lineRule="auto"/>
        <w:rPr>
          <w:rFonts w:ascii="Book Antiqua" w:hAnsi="Book Antiqua" w:cs="Book Antiqua"/>
          <w:spacing w:val="20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7C5275">
        <w:rPr>
          <w:rFonts w:ascii="Book Antiqua" w:hAnsi="Book Antiqua" w:cs="Book Antiqua"/>
          <w:spacing w:val="20"/>
          <w:sz w:val="22"/>
          <w:szCs w:val="22"/>
        </w:rPr>
        <w:t>VI</w:t>
      </w:r>
      <w:r w:rsidR="00E60F9A">
        <w:rPr>
          <w:rFonts w:ascii="Book Antiqua" w:hAnsi="Book Antiqua" w:cs="Book Antiqua"/>
          <w:spacing w:val="20"/>
          <w:sz w:val="22"/>
          <w:szCs w:val="22"/>
        </w:rPr>
        <w:t>I</w:t>
      </w:r>
      <w:r w:rsidRPr="007C5275">
        <w:rPr>
          <w:rFonts w:ascii="Book Antiqua" w:hAnsi="Book Antiqua" w:cs="Book Antiqua"/>
          <w:spacing w:val="20"/>
          <w:sz w:val="22"/>
          <w:szCs w:val="22"/>
        </w:rPr>
        <w:t>. volebné obdobie</w:t>
      </w:r>
    </w:p>
    <w:p w:rsidR="00EC304A" w:rsidP="00BA0632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BA0632" w:rsidRPr="007C5275" w:rsidP="00BA0632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7C5275">
        <w:rPr>
          <w:rFonts w:ascii="Book Antiqua" w:hAnsi="Book Antiqua" w:cs="Book Antiqua"/>
          <w:b/>
          <w:bCs/>
          <w:spacing w:val="30"/>
          <w:sz w:val="22"/>
          <w:szCs w:val="22"/>
        </w:rPr>
        <w:t xml:space="preserve">Návrh </w:t>
      </w:r>
    </w:p>
    <w:p w:rsidR="00EC304A" w:rsidRPr="007C5275" w:rsidP="00BA0632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7C5275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EC304A" w:rsidRPr="007C5275" w:rsidP="00BA0632">
      <w:pPr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:rsidR="00EC304A" w:rsidP="00BA0632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/>
          <w:sz w:val="22"/>
          <w:szCs w:val="22"/>
        </w:rPr>
        <w:t>z ... 201</w:t>
      </w:r>
      <w:r w:rsidR="00737266">
        <w:rPr>
          <w:rFonts w:ascii="Book Antiqua" w:hAnsi="Book Antiqua" w:cs="Book Antiqua"/>
          <w:sz w:val="22"/>
          <w:szCs w:val="22"/>
        </w:rPr>
        <w:t>6</w:t>
      </w:r>
      <w:r w:rsidR="00BA0632">
        <w:rPr>
          <w:rFonts w:ascii="Book Antiqua" w:hAnsi="Book Antiqua" w:cs="Book Antiqua"/>
          <w:sz w:val="22"/>
          <w:szCs w:val="22"/>
        </w:rPr>
        <w:t>,</w:t>
      </w:r>
    </w:p>
    <w:p w:rsidR="00BA0632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7C5275">
        <w:rPr>
          <w:rFonts w:ascii="Book Antiqua" w:hAnsi="Book Antiqua" w:cs="Book Antiqua"/>
          <w:b/>
          <w:bCs/>
          <w:sz w:val="22"/>
          <w:szCs w:val="22"/>
        </w:rPr>
        <w:t>k</w:t>
      </w:r>
      <w:r w:rsidRPr="007C5275" w:rsidR="009F69EA">
        <w:rPr>
          <w:rFonts w:ascii="Book Antiqua" w:hAnsi="Book Antiqua" w:cs="Book Antiqua"/>
          <w:b/>
          <w:bCs/>
          <w:sz w:val="22"/>
          <w:szCs w:val="22"/>
        </w:rPr>
        <w:t xml:space="preserve">torým sa mení a dopĺňa zákon </w:t>
      </w:r>
      <w:r w:rsidRPr="007C5275">
        <w:rPr>
          <w:rFonts w:ascii="Book Antiqua" w:hAnsi="Book Antiqua" w:cs="Book Antiqua"/>
          <w:b/>
          <w:bCs/>
          <w:sz w:val="22"/>
          <w:szCs w:val="22"/>
        </w:rPr>
        <w:t>č. 308/2000 Z. z. o vysielaní a retransmisii a o zmene zákona č. 195/2000 Z. z. o telekomunikáciách v znení neskorších predpisov</w:t>
      </w:r>
    </w:p>
    <w:p w:rsidR="00EC304A" w:rsidRPr="007C5275" w:rsidP="00BA0632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C304A" w:rsidRPr="00BA0632" w:rsidP="00BA063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BA0632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EC304A" w:rsidRPr="007C5275" w:rsidP="00BA0632">
      <w:pPr>
        <w:bidi w:val="0"/>
        <w:spacing w:before="12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  <w:r w:rsidRPr="007C5275" w:rsidR="009F69EA">
        <w:rPr>
          <w:rFonts w:ascii="Book Antiqua" w:hAnsi="Book Antiqua" w:cs="Book Antiqua"/>
          <w:sz w:val="22"/>
          <w:szCs w:val="22"/>
        </w:rPr>
        <w:t xml:space="preserve">Zákon </w:t>
      </w:r>
      <w:r w:rsidRPr="007C5275">
        <w:rPr>
          <w:rFonts w:ascii="Book Antiqua" w:hAnsi="Book Antiqua" w:cs="Book Antiqua"/>
          <w:sz w:val="22"/>
          <w:szCs w:val="22"/>
        </w:rPr>
        <w:t xml:space="preserve">č. 308/2000 Z. z. o vysielaní a retransmisii a o zmene zákona č. 195/2000 Z. z. o telekomunikáciách v znení zákona č. 147/2001 Z. z., zákona č. 206/2002 Z. z., zákona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</w:t>
      </w:r>
      <w:r w:rsidRPr="007C5275">
        <w:rPr>
          <w:rFonts w:ascii="Book Antiqua" w:hAnsi="Book Antiqua" w:cs="Book Antiqua"/>
          <w:sz w:val="22"/>
          <w:szCs w:val="22"/>
        </w:rPr>
        <w:t>č. 289/2005 Z. z., zákona č. 95/2006</w:t>
      </w:r>
      <w:r w:rsidRPr="007C5275" w:rsidR="007075E6">
        <w:rPr>
          <w:rFonts w:ascii="Book Antiqua" w:hAnsi="Book Antiqua" w:cs="Book Antiqua"/>
          <w:sz w:val="22"/>
          <w:szCs w:val="22"/>
        </w:rPr>
        <w:t xml:space="preserve"> Z. z., zákona </w:t>
      </w:r>
      <w:r w:rsidRPr="007C5275">
        <w:rPr>
          <w:rFonts w:ascii="Book Antiqua" w:hAnsi="Book Antiqua" w:cs="Book Antiqua"/>
          <w:sz w:val="22"/>
          <w:szCs w:val="22"/>
        </w:rPr>
        <w:t xml:space="preserve">č. 121/2006 Z. z., zákona č. 13/2007 Z. z., zákona č. 220/2007 Z. z., zákona č. 343/2007 Z. z., zákona č. 654/2007 Z. z., zákona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        </w:t>
      </w:r>
      <w:r w:rsidRPr="007C5275">
        <w:rPr>
          <w:rFonts w:ascii="Book Antiqua" w:hAnsi="Book Antiqua" w:cs="Book Antiqua"/>
          <w:sz w:val="22"/>
          <w:szCs w:val="22"/>
        </w:rPr>
        <w:t>č. 167/2008 Z. z., zákona č. 287/20</w:t>
      </w:r>
      <w:r w:rsidRPr="007C5275" w:rsidR="007075E6">
        <w:rPr>
          <w:rFonts w:ascii="Book Antiqua" w:hAnsi="Book Antiqua" w:cs="Book Antiqua"/>
          <w:sz w:val="22"/>
          <w:szCs w:val="22"/>
        </w:rPr>
        <w:t xml:space="preserve">08 Z. z., zákona </w:t>
      </w:r>
      <w:r w:rsidRPr="007C5275">
        <w:rPr>
          <w:rFonts w:ascii="Book Antiqua" w:hAnsi="Book Antiqua" w:cs="Book Antiqua"/>
          <w:sz w:val="22"/>
          <w:szCs w:val="22"/>
        </w:rPr>
        <w:t>č. 516/2008 Z. z., zákona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</w:t>
      </w:r>
      <w:r w:rsidRPr="007C5275">
        <w:rPr>
          <w:rFonts w:ascii="Book Antiqua" w:hAnsi="Book Antiqua" w:cs="Book Antiqua"/>
          <w:sz w:val="22"/>
          <w:szCs w:val="22"/>
        </w:rPr>
        <w:t xml:space="preserve">č. 77/2009 Z. z., zákona č. 318/2009 Z. z., zákona č. 498/2009 Z. z., zákona č. 532/2010 Z. z., zákona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        </w:t>
      </w:r>
      <w:r w:rsidRPr="007C5275">
        <w:rPr>
          <w:rFonts w:ascii="Book Antiqua" w:hAnsi="Book Antiqua" w:cs="Book Antiqua"/>
          <w:sz w:val="22"/>
          <w:szCs w:val="22"/>
        </w:rPr>
        <w:t>č. 221/2011 Z. z., zákona č. 397/20</w:t>
      </w:r>
      <w:r w:rsidRPr="007C5275" w:rsidR="007075E6">
        <w:rPr>
          <w:rFonts w:ascii="Book Antiqua" w:hAnsi="Book Antiqua" w:cs="Book Antiqua"/>
          <w:sz w:val="22"/>
          <w:szCs w:val="22"/>
        </w:rPr>
        <w:t>11 Z. z.</w:t>
      </w:r>
      <w:r w:rsidRPr="007C5275" w:rsidR="00E87B7A">
        <w:rPr>
          <w:rFonts w:ascii="Book Antiqua" w:hAnsi="Book Antiqua" w:cs="Book Antiqua"/>
          <w:sz w:val="22"/>
          <w:szCs w:val="22"/>
        </w:rPr>
        <w:t xml:space="preserve">, </w:t>
      </w:r>
      <w:r w:rsidRPr="007C5275" w:rsidR="007075E6">
        <w:rPr>
          <w:rFonts w:ascii="Book Antiqua" w:hAnsi="Book Antiqua" w:cs="Book Antiqua"/>
          <w:sz w:val="22"/>
          <w:szCs w:val="22"/>
        </w:rPr>
        <w:t xml:space="preserve">zákona </w:t>
      </w:r>
      <w:r w:rsidRPr="007C5275" w:rsidR="00E87B7A">
        <w:rPr>
          <w:rFonts w:ascii="Book Antiqua" w:hAnsi="Book Antiqua" w:cs="Book Antiqua"/>
          <w:sz w:val="22"/>
          <w:szCs w:val="22"/>
        </w:rPr>
        <w:t xml:space="preserve">č. 547/2011 Z. z. </w:t>
      </w:r>
      <w:r w:rsidRPr="007C5275">
        <w:rPr>
          <w:rFonts w:ascii="Book Antiqua" w:hAnsi="Book Antiqua" w:cs="Book Antiqua"/>
          <w:sz w:val="22"/>
          <w:szCs w:val="22"/>
        </w:rPr>
        <w:t>a</w:t>
      </w:r>
      <w:r w:rsidRPr="007C5275" w:rsidR="009F69EA">
        <w:rPr>
          <w:rFonts w:ascii="Book Antiqua" w:hAnsi="Book Antiqua" w:cs="Book Antiqua"/>
          <w:sz w:val="22"/>
          <w:szCs w:val="22"/>
        </w:rPr>
        <w:t> </w:t>
      </w:r>
      <w:r w:rsidRPr="007C5275">
        <w:rPr>
          <w:rFonts w:ascii="Book Antiqua" w:hAnsi="Book Antiqua" w:cs="Book Antiqua"/>
          <w:sz w:val="22"/>
          <w:szCs w:val="22"/>
        </w:rPr>
        <w:t>zákona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</w:t>
      </w:r>
      <w:r w:rsidR="00737266">
        <w:rPr>
          <w:rFonts w:ascii="Book Antiqua" w:hAnsi="Book Antiqua" w:cs="Book Antiqua"/>
          <w:sz w:val="22"/>
          <w:szCs w:val="22"/>
        </w:rPr>
        <w:t>č. 342/2012 Z. z., zákona č. 352/2013 Z.</w:t>
      </w:r>
      <w:r w:rsidR="00E60F9A">
        <w:rPr>
          <w:rFonts w:ascii="Book Antiqua" w:hAnsi="Book Antiqua" w:cs="Book Antiqua"/>
          <w:sz w:val="22"/>
          <w:szCs w:val="22"/>
        </w:rPr>
        <w:t xml:space="preserve"> z., zákona č. 373/2013 Z. z., </w:t>
      </w:r>
      <w:r w:rsidR="00737266">
        <w:rPr>
          <w:rFonts w:ascii="Book Antiqua" w:hAnsi="Book Antiqua" w:cs="Book Antiqua"/>
          <w:sz w:val="22"/>
          <w:szCs w:val="22"/>
        </w:rPr>
        <w:t>zákona č. 40/2015 Z. z.</w:t>
      </w:r>
      <w:r w:rsidR="00E60F9A">
        <w:rPr>
          <w:rFonts w:ascii="Book Antiqua" w:hAnsi="Book Antiqua" w:cs="Book Antiqua"/>
          <w:sz w:val="22"/>
          <w:szCs w:val="22"/>
        </w:rPr>
        <w:t xml:space="preserve">, zákona č. 278/2015 Z. z., zákona č. 91/2016 Z. z. a zákon č. </w:t>
      </w:r>
      <w:r w:rsidR="00737266">
        <w:rPr>
          <w:rFonts w:ascii="Book Antiqua" w:hAnsi="Book Antiqua" w:cs="Book Antiqua"/>
          <w:sz w:val="22"/>
          <w:szCs w:val="22"/>
        </w:rPr>
        <w:t xml:space="preserve"> </w:t>
      </w:r>
      <w:r w:rsidR="00E60F9A">
        <w:rPr>
          <w:rFonts w:ascii="Book Antiqua" w:hAnsi="Book Antiqua" w:cs="Book Antiqua"/>
          <w:sz w:val="22"/>
          <w:szCs w:val="22"/>
        </w:rPr>
        <w:t xml:space="preserve">125/2016 Z. z. </w:t>
      </w:r>
      <w:r w:rsidRPr="007C5275">
        <w:rPr>
          <w:rFonts w:ascii="Book Antiqua" w:hAnsi="Book Antiqua" w:cs="Book Antiqua"/>
          <w:sz w:val="22"/>
          <w:szCs w:val="22"/>
        </w:rPr>
        <w:t>sa mení a dopĺňa takto:</w:t>
      </w:r>
    </w:p>
    <w:p w:rsidR="00EC304A" w:rsidRPr="00BA0632" w:rsidP="00BA0632">
      <w:pPr>
        <w:pStyle w:val="ListParagraph"/>
        <w:numPr>
          <w:numId w:val="2"/>
        </w:numPr>
        <w:tabs>
          <w:tab w:val="left" w:pos="142"/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DB59D2">
        <w:rPr>
          <w:rFonts w:ascii="Book Antiqua" w:hAnsi="Book Antiqua" w:cs="Book Antiqua"/>
          <w:sz w:val="22"/>
          <w:szCs w:val="22"/>
        </w:rPr>
        <w:t>V §</w:t>
      </w:r>
      <w:r w:rsidRPr="00DB59D2" w:rsidR="003D4E2E">
        <w:rPr>
          <w:rFonts w:ascii="Book Antiqua" w:hAnsi="Book Antiqua" w:cs="Book Antiqua"/>
          <w:sz w:val="22"/>
          <w:szCs w:val="22"/>
        </w:rPr>
        <w:t xml:space="preserve"> 45 ods. 1 sa vypúšťajú slová: „</w:t>
      </w:r>
      <w:r w:rsidRPr="00DB59D2">
        <w:rPr>
          <w:rFonts w:ascii="Book Antiqua" w:hAnsi="Book Antiqua" w:cs="Book Antiqua"/>
          <w:sz w:val="22"/>
          <w:szCs w:val="22"/>
        </w:rPr>
        <w:t>alebo jednu licenciu na vysielanie rozhlasovej programovej služby” a </w:t>
      </w:r>
      <w:r w:rsidRPr="00DB59D2" w:rsidR="003D4E2E">
        <w:rPr>
          <w:rFonts w:ascii="Book Antiqua" w:hAnsi="Book Antiqua" w:cs="Book Antiqua"/>
          <w:sz w:val="22"/>
          <w:szCs w:val="22"/>
        </w:rPr>
        <w:t>na konci sa pripája táto veta: „</w:t>
      </w:r>
      <w:r w:rsidRPr="00DB59D2">
        <w:rPr>
          <w:rFonts w:ascii="Book Antiqua" w:hAnsi="Book Antiqua" w:cs="Book Antiqua"/>
          <w:sz w:val="22"/>
          <w:szCs w:val="22"/>
        </w:rPr>
        <w:t xml:space="preserve">Jednej </w:t>
      </w:r>
      <w:r w:rsidRPr="00DB59D2" w:rsidR="003D4E2E">
        <w:rPr>
          <w:rFonts w:ascii="Book Antiqua" w:hAnsi="Book Antiqua" w:cs="Book Antiqua"/>
          <w:sz w:val="22"/>
          <w:szCs w:val="22"/>
        </w:rPr>
        <w:t xml:space="preserve">právnickej osobe alebo jednej fyzickej osobe </w:t>
      </w:r>
      <w:r w:rsidRPr="00DB59D2">
        <w:rPr>
          <w:rFonts w:ascii="Book Antiqua" w:hAnsi="Book Antiqua" w:cs="Book Antiqua"/>
          <w:sz w:val="22"/>
          <w:szCs w:val="22"/>
        </w:rPr>
        <w:t>možno udeliť viacero licencií na vysielanie rozhlasovej programovej služby.”.</w:t>
      </w:r>
    </w:p>
    <w:p w:rsidR="00EC304A" w:rsidRPr="007C5275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/>
          <w:sz w:val="22"/>
          <w:szCs w:val="22"/>
        </w:rPr>
        <w:t xml:space="preserve">V § 46 ods. 1 písm. c) sa na konci </w:t>
      </w:r>
      <w:r w:rsidR="007C5275">
        <w:rPr>
          <w:rFonts w:ascii="Book Antiqua" w:hAnsi="Book Antiqua" w:cs="Book Antiqua"/>
          <w:sz w:val="22"/>
          <w:szCs w:val="22"/>
        </w:rPr>
        <w:t xml:space="preserve">vkladá </w:t>
      </w:r>
      <w:r w:rsidR="00C4381A">
        <w:rPr>
          <w:rFonts w:ascii="Book Antiqua" w:hAnsi="Book Antiqua" w:cs="Book Antiqua"/>
          <w:sz w:val="22"/>
          <w:szCs w:val="22"/>
        </w:rPr>
        <w:t>bodko</w:t>
      </w:r>
      <w:r w:rsidR="007C5275">
        <w:rPr>
          <w:rFonts w:ascii="Book Antiqua" w:hAnsi="Book Antiqua" w:cs="Book Antiqua"/>
          <w:sz w:val="22"/>
          <w:szCs w:val="22"/>
        </w:rPr>
        <w:t xml:space="preserve">čiarka a </w:t>
      </w:r>
      <w:r w:rsidRPr="007C5275">
        <w:rPr>
          <w:rFonts w:ascii="Book Antiqua" w:hAnsi="Book Antiqua" w:cs="Book Antiqua"/>
          <w:sz w:val="22"/>
          <w:szCs w:val="22"/>
        </w:rPr>
        <w:t xml:space="preserve">pripájajú </w:t>
      </w:r>
      <w:r w:rsidR="007C5275">
        <w:rPr>
          <w:rFonts w:ascii="Book Antiqua" w:hAnsi="Book Antiqua" w:cs="Book Antiqua"/>
          <w:sz w:val="22"/>
          <w:szCs w:val="22"/>
        </w:rPr>
        <w:t>sa tieto slová: „</w:t>
      </w:r>
      <w:r w:rsidRPr="007C5275">
        <w:rPr>
          <w:rFonts w:ascii="Book Antiqua" w:hAnsi="Book Antiqua" w:cs="Book Antiqua"/>
          <w:sz w:val="22"/>
          <w:szCs w:val="22"/>
        </w:rPr>
        <w:t>ak je spoloční</w:t>
      </w:r>
      <w:r w:rsidR="00C4381A">
        <w:rPr>
          <w:rFonts w:ascii="Book Antiqua" w:hAnsi="Book Antiqua" w:cs="Book Antiqua"/>
          <w:sz w:val="22"/>
          <w:szCs w:val="22"/>
        </w:rPr>
        <w:t xml:space="preserve">kom alebo </w:t>
      </w:r>
      <w:r w:rsidRPr="007C5275">
        <w:rPr>
          <w:rFonts w:ascii="Book Antiqua" w:hAnsi="Book Antiqua" w:cs="Book Antiqua"/>
          <w:sz w:val="22"/>
          <w:szCs w:val="22"/>
        </w:rPr>
        <w:t>akcionárom právnická osoba, aj údaje o všetkých spoloční</w:t>
      </w:r>
      <w:r w:rsidR="00C4381A">
        <w:rPr>
          <w:rFonts w:ascii="Book Antiqua" w:hAnsi="Book Antiqua" w:cs="Book Antiqua"/>
          <w:sz w:val="22"/>
          <w:szCs w:val="22"/>
        </w:rPr>
        <w:t xml:space="preserve">koch a </w:t>
      </w:r>
      <w:r w:rsidRPr="007C5275">
        <w:rPr>
          <w:rFonts w:ascii="Book Antiqua" w:hAnsi="Book Antiqua" w:cs="Book Antiqua"/>
          <w:sz w:val="22"/>
          <w:szCs w:val="22"/>
        </w:rPr>
        <w:t>akcioná</w:t>
      </w:r>
      <w:r w:rsidR="00C4381A">
        <w:rPr>
          <w:rFonts w:ascii="Book Antiqua" w:hAnsi="Book Antiqua" w:cs="Book Antiqua"/>
          <w:sz w:val="22"/>
          <w:szCs w:val="22"/>
        </w:rPr>
        <w:t>roch</w:t>
      </w:r>
      <w:r w:rsidRPr="007C5275">
        <w:rPr>
          <w:rFonts w:ascii="Book Antiqua" w:hAnsi="Book Antiqua" w:cs="Book Antiqua"/>
          <w:sz w:val="22"/>
          <w:szCs w:val="22"/>
        </w:rPr>
        <w:t>, ktorí vlastnia najmenej 3</w:t>
      </w:r>
      <w:r w:rsidR="00BA0632">
        <w:rPr>
          <w:rFonts w:ascii="Book Antiqua" w:hAnsi="Book Antiqua" w:cs="Book Antiqua"/>
          <w:sz w:val="22"/>
          <w:szCs w:val="22"/>
        </w:rPr>
        <w:t>0</w:t>
      </w:r>
      <w:r w:rsidRPr="007C5275">
        <w:rPr>
          <w:rFonts w:ascii="Book Antiqua" w:hAnsi="Book Antiqua" w:cs="Book Antiqua"/>
          <w:sz w:val="22"/>
          <w:szCs w:val="22"/>
        </w:rPr>
        <w:t xml:space="preserve"> % akcií tejto prá</w:t>
      </w:r>
      <w:r w:rsidR="007C5275">
        <w:rPr>
          <w:rFonts w:ascii="Book Antiqua" w:hAnsi="Book Antiqua" w:cs="Book Antiqua"/>
          <w:sz w:val="22"/>
          <w:szCs w:val="22"/>
        </w:rPr>
        <w:t>vnickej osoby</w:t>
      </w:r>
      <w:r w:rsidR="00C4381A">
        <w:rPr>
          <w:rFonts w:ascii="Book Antiqua" w:hAnsi="Book Antiqua" w:cs="Book Antiqua"/>
          <w:sz w:val="22"/>
          <w:szCs w:val="22"/>
        </w:rPr>
        <w:t>, a o osobách, ktoré sú štatutárnym zástupcom alebo členom štatutárneho alebo kontrolného orgánu</w:t>
      </w:r>
      <w:r w:rsidR="00174322">
        <w:rPr>
          <w:rFonts w:ascii="Book Antiqua" w:hAnsi="Book Antiqua" w:cs="Book Antiqua"/>
          <w:sz w:val="22"/>
          <w:szCs w:val="22"/>
        </w:rPr>
        <w:t xml:space="preserve"> tejto právnickej osoby</w:t>
      </w:r>
      <w:r w:rsidRPr="007C5275">
        <w:rPr>
          <w:rFonts w:ascii="Book Antiqua" w:hAnsi="Book Antiqua" w:cs="Book Antiqua"/>
          <w:sz w:val="22"/>
          <w:szCs w:val="22"/>
        </w:rPr>
        <w:t>”.</w:t>
      </w:r>
    </w:p>
    <w:p w:rsidR="00EC304A" w:rsidRPr="007C5275" w:rsidP="00BA0632">
      <w:pPr>
        <w:pStyle w:val="ListParagraph"/>
        <w:bidi w:val="0"/>
        <w:spacing w:before="120" w:line="276" w:lineRule="auto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BA0632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DB59D2">
        <w:rPr>
          <w:rFonts w:ascii="Book Antiqua" w:hAnsi="Book Antiqua" w:cs="Book Antiqua"/>
          <w:sz w:val="22"/>
          <w:szCs w:val="22"/>
        </w:rPr>
        <w:t xml:space="preserve">V § 46 ods. 2 písm. a) sa </w:t>
      </w:r>
      <w:r w:rsidRPr="00DB59D2" w:rsidR="00A632CA">
        <w:rPr>
          <w:rFonts w:ascii="Book Antiqua" w:hAnsi="Book Antiqua" w:cs="Book Antiqua"/>
          <w:sz w:val="22"/>
          <w:szCs w:val="22"/>
        </w:rPr>
        <w:t>za slovo „spoločnosť“ vkladajú slová „vrátane akciovej spoločnosti, ktorá je spoločníkom alebo akcionárom žiadateľa o licenciu a akciovej spoločnosti, ktorá ako spoločník alebo akcionár vlastní najmen</w:t>
      </w:r>
      <w:r w:rsidR="00BA0632">
        <w:rPr>
          <w:rFonts w:ascii="Book Antiqua" w:hAnsi="Book Antiqua" w:cs="Book Antiqua"/>
          <w:sz w:val="22"/>
          <w:szCs w:val="22"/>
        </w:rPr>
        <w:t>ej 30</w:t>
      </w:r>
      <w:r w:rsidRPr="00DB59D2" w:rsidR="00A632CA">
        <w:rPr>
          <w:rFonts w:ascii="Book Antiqua" w:hAnsi="Book Antiqua" w:cs="Book Antiqua"/>
          <w:sz w:val="22"/>
          <w:szCs w:val="22"/>
        </w:rPr>
        <w:t>% akcií právnickej osoby, ktorá je spoločníkom alebo akcionárom žiadateľa o licenciu“.</w:t>
      </w:r>
    </w:p>
    <w:p w:rsidR="00BA0632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="00A632CA">
        <w:rPr>
          <w:rFonts w:ascii="Book Antiqua" w:hAnsi="Book Antiqua" w:cs="Book Antiqua"/>
          <w:sz w:val="22"/>
          <w:szCs w:val="22"/>
        </w:rPr>
        <w:t>V § 46 ods</w:t>
      </w:r>
      <w:r w:rsidR="005F6564">
        <w:rPr>
          <w:rFonts w:ascii="Book Antiqua" w:hAnsi="Book Antiqua" w:cs="Book Antiqua"/>
          <w:sz w:val="22"/>
          <w:szCs w:val="22"/>
        </w:rPr>
        <w:t xml:space="preserve">. </w:t>
      </w:r>
      <w:r w:rsidR="00A632CA">
        <w:rPr>
          <w:rFonts w:ascii="Book Antiqua" w:hAnsi="Book Antiqua" w:cs="Book Antiqua"/>
          <w:sz w:val="22"/>
          <w:szCs w:val="22"/>
        </w:rPr>
        <w:t>2</w:t>
      </w:r>
      <w:r w:rsidR="005F6564">
        <w:rPr>
          <w:rFonts w:ascii="Book Antiqua" w:hAnsi="Book Antiqua" w:cs="Book Antiqua"/>
          <w:sz w:val="22"/>
          <w:szCs w:val="22"/>
        </w:rPr>
        <w:t xml:space="preserve"> písmeno b) znie:</w:t>
      </w:r>
    </w:p>
    <w:p w:rsidR="00EC304A" w:rsidRPr="007C5275" w:rsidP="00BA0632">
      <w:pPr>
        <w:pStyle w:val="ListParagraph"/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BA0632" w:rsidR="005F6564">
        <w:rPr>
          <w:rFonts w:ascii="Book Antiqua" w:hAnsi="Book Antiqua" w:cs="Book Antiqua"/>
          <w:sz w:val="22"/>
          <w:szCs w:val="22"/>
        </w:rPr>
        <w:t>„b) výpis z obchodného registra, ak je žiadateľom o licenciu právnická osoba vrátane výpisu z obchodného registra právnickej osoby, ktorá je spoločníkom alebo akcionárom žiadateľa o licenciu a akciovej spoločnosti, ktorá ako spoločník alebo akcionár vlastní najmenej 3</w:t>
      </w:r>
      <w:r w:rsidR="00BA0632">
        <w:rPr>
          <w:rFonts w:ascii="Book Antiqua" w:hAnsi="Book Antiqua" w:cs="Book Antiqua"/>
          <w:sz w:val="22"/>
          <w:szCs w:val="22"/>
        </w:rPr>
        <w:t>0</w:t>
      </w:r>
      <w:r w:rsidRPr="00BA0632" w:rsidR="005F6564">
        <w:rPr>
          <w:rFonts w:ascii="Book Antiqua" w:hAnsi="Book Antiqua" w:cs="Book Antiqua"/>
          <w:sz w:val="22"/>
          <w:szCs w:val="22"/>
        </w:rPr>
        <w:t>% akcií právnickej osoby, ktorá je spoločníkom alebo akcionárom žiadateľa o licenciu; ak je žiadateľom o licenciu alebo spoločníkom alebo akcionárom žiadateľa o licenciu alebo spoločníkom alebo akcionárom právnickej osoby, ktorá vlastní najmenej 3</w:t>
      </w:r>
      <w:r w:rsidR="00BA0632">
        <w:rPr>
          <w:rFonts w:ascii="Book Antiqua" w:hAnsi="Book Antiqua" w:cs="Book Antiqua"/>
          <w:sz w:val="22"/>
          <w:szCs w:val="22"/>
        </w:rPr>
        <w:t>0</w:t>
      </w:r>
      <w:r w:rsidRPr="00BA0632" w:rsidR="005F6564">
        <w:rPr>
          <w:rFonts w:ascii="Book Antiqua" w:hAnsi="Book Antiqua" w:cs="Book Antiqua"/>
          <w:sz w:val="22"/>
          <w:szCs w:val="22"/>
        </w:rPr>
        <w:t>% akcií právnickej osoby, ktorá je spoločníkom alebo akcionárom žiadateľa o licenciu zahraničná právnická osoba, priloží dokument obdobného charakteru a výpis z obchodného registra o organizačnej zložke svojho podniku umiestnenej na území Slovenskej republiky; výpis z obchodného registra nesmie byť starší ako 30 dní,“.</w:t>
      </w:r>
    </w:p>
    <w:p w:rsidR="00EC304A" w:rsidRPr="00BA0632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DB59D2">
        <w:rPr>
          <w:rFonts w:ascii="Book Antiqua" w:hAnsi="Book Antiqua" w:cs="Book Antiqua"/>
          <w:sz w:val="22"/>
          <w:szCs w:val="22"/>
        </w:rPr>
        <w:t>Za § 76d</w:t>
      </w:r>
      <w:r w:rsidR="00E60F9A">
        <w:rPr>
          <w:rFonts w:ascii="Book Antiqua" w:hAnsi="Book Antiqua" w:cs="Book Antiqua"/>
          <w:sz w:val="22"/>
          <w:szCs w:val="22"/>
        </w:rPr>
        <w:t>j</w:t>
      </w:r>
      <w:r w:rsidRPr="00DB59D2">
        <w:rPr>
          <w:rFonts w:ascii="Book Antiqua" w:hAnsi="Book Antiqua" w:cs="Book Antiqua"/>
          <w:sz w:val="22"/>
          <w:szCs w:val="22"/>
        </w:rPr>
        <w:t xml:space="preserve"> sa vkladá § 76d</w:t>
      </w:r>
      <w:r w:rsidR="00E60F9A">
        <w:rPr>
          <w:rFonts w:ascii="Book Antiqua" w:hAnsi="Book Antiqua" w:cs="Book Antiqua"/>
          <w:sz w:val="22"/>
          <w:szCs w:val="22"/>
        </w:rPr>
        <w:t>k</w:t>
      </w:r>
      <w:r w:rsidRPr="00DB59D2">
        <w:rPr>
          <w:rFonts w:ascii="Book Antiqua" w:hAnsi="Book Antiqua" w:cs="Book Antiqua"/>
          <w:sz w:val="22"/>
          <w:szCs w:val="22"/>
        </w:rPr>
        <w:t>, ktorý znie:</w:t>
      </w:r>
    </w:p>
    <w:p w:rsidR="00EC304A" w:rsidRPr="007C5275" w:rsidP="00BA0632">
      <w:pPr>
        <w:pStyle w:val="ListParagraph"/>
        <w:bidi w:val="0"/>
        <w:spacing w:before="120" w:line="276" w:lineRule="auto"/>
        <w:ind w:left="36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13389D">
        <w:rPr>
          <w:rFonts w:ascii="Book Antiqua" w:hAnsi="Book Antiqua" w:cs="Book Antiqua"/>
          <w:b/>
          <w:bCs/>
          <w:sz w:val="22"/>
          <w:szCs w:val="22"/>
        </w:rPr>
        <w:t>„</w:t>
      </w:r>
      <w:r w:rsidRPr="007C5275">
        <w:rPr>
          <w:rFonts w:ascii="Book Antiqua" w:hAnsi="Book Antiqua" w:cs="Book Antiqua"/>
          <w:b/>
          <w:bCs/>
          <w:sz w:val="22"/>
          <w:szCs w:val="22"/>
        </w:rPr>
        <w:t>§ 76d</w:t>
      </w:r>
      <w:r w:rsidR="00E60F9A">
        <w:rPr>
          <w:rFonts w:ascii="Book Antiqua" w:hAnsi="Book Antiqua" w:cs="Book Antiqua"/>
          <w:b/>
          <w:bCs/>
          <w:sz w:val="22"/>
          <w:szCs w:val="22"/>
        </w:rPr>
        <w:t>k</w:t>
      </w:r>
    </w:p>
    <w:p w:rsidR="00BA0632" w:rsidP="00BA0632">
      <w:pPr>
        <w:pStyle w:val="ListParagraph"/>
        <w:bidi w:val="0"/>
        <w:spacing w:before="120" w:line="276" w:lineRule="auto"/>
        <w:ind w:left="36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5F6564">
        <w:rPr>
          <w:rFonts w:ascii="Book Antiqua" w:hAnsi="Book Antiqua" w:cs="Book Antiqua"/>
          <w:b/>
          <w:bCs/>
          <w:sz w:val="22"/>
          <w:szCs w:val="22"/>
        </w:rPr>
        <w:t>Prechodné ustanovenia</w:t>
      </w:r>
      <w:r w:rsidRPr="007C5275" w:rsidR="00EC304A"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:rsidR="005F6564" w:rsidP="00BA0632">
      <w:pPr>
        <w:pStyle w:val="ListParagraph"/>
        <w:bidi w:val="0"/>
        <w:spacing w:before="120" w:line="276" w:lineRule="auto"/>
        <w:ind w:left="360"/>
        <w:jc w:val="center"/>
        <w:rPr>
          <w:rFonts w:ascii="Book Antiqua" w:hAnsi="Book Antiqua" w:cs="Book Antiqua"/>
          <w:sz w:val="22"/>
          <w:szCs w:val="22"/>
        </w:rPr>
      </w:pPr>
      <w:r w:rsidRPr="007C5275" w:rsidR="00EC304A">
        <w:rPr>
          <w:rFonts w:ascii="Book Antiqua" w:hAnsi="Book Antiqua" w:cs="Book Antiqua"/>
          <w:b/>
          <w:bCs/>
          <w:sz w:val="22"/>
          <w:szCs w:val="22"/>
        </w:rPr>
        <w:t xml:space="preserve">k úpravám účinným od 1. </w:t>
      </w:r>
      <w:r w:rsidR="00E60F9A">
        <w:rPr>
          <w:rFonts w:ascii="Book Antiqua" w:hAnsi="Book Antiqua" w:cs="Book Antiqua"/>
          <w:b/>
          <w:bCs/>
          <w:sz w:val="22"/>
          <w:szCs w:val="22"/>
        </w:rPr>
        <w:t>augusta</w:t>
      </w:r>
      <w:r w:rsidRPr="007C5275" w:rsidR="00EC304A">
        <w:rPr>
          <w:rFonts w:ascii="Book Antiqua" w:hAnsi="Book Antiqua" w:cs="Book Antiqua"/>
          <w:b/>
          <w:bCs/>
          <w:sz w:val="22"/>
          <w:szCs w:val="22"/>
        </w:rPr>
        <w:t xml:space="preserve"> 201</w:t>
      </w:r>
      <w:r w:rsidR="00737266">
        <w:rPr>
          <w:rFonts w:ascii="Book Antiqua" w:hAnsi="Book Antiqua" w:cs="Book Antiqua"/>
          <w:b/>
          <w:bCs/>
          <w:sz w:val="22"/>
          <w:szCs w:val="22"/>
        </w:rPr>
        <w:t>6</w:t>
      </w:r>
    </w:p>
    <w:p w:rsidR="00EC304A" w:rsidP="00BA0632">
      <w:pPr>
        <w:pStyle w:val="ListParagraph"/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5F6564" w:rsidR="005F6564">
        <w:rPr>
          <w:rFonts w:ascii="Book Antiqua" w:hAnsi="Book Antiqua" w:cs="Book Antiqua"/>
          <w:sz w:val="22"/>
          <w:szCs w:val="22"/>
        </w:rPr>
        <w:t xml:space="preserve">Konania začaté a </w:t>
      </w:r>
      <w:r w:rsidR="00E60F9A">
        <w:rPr>
          <w:rFonts w:ascii="Book Antiqua" w:hAnsi="Book Antiqua" w:cs="Book Antiqua"/>
          <w:sz w:val="22"/>
          <w:szCs w:val="22"/>
        </w:rPr>
        <w:t>právoplatne neukončené pred 1. augustom</w:t>
      </w:r>
      <w:r w:rsidRPr="005F6564" w:rsidR="005F6564">
        <w:rPr>
          <w:rFonts w:ascii="Book Antiqua" w:hAnsi="Book Antiqua" w:cs="Book Antiqua"/>
          <w:sz w:val="22"/>
          <w:szCs w:val="22"/>
        </w:rPr>
        <w:t xml:space="preserve"> 201</w:t>
      </w:r>
      <w:r w:rsidR="005F6564">
        <w:rPr>
          <w:rFonts w:ascii="Book Antiqua" w:hAnsi="Book Antiqua" w:cs="Book Antiqua"/>
          <w:sz w:val="22"/>
          <w:szCs w:val="22"/>
        </w:rPr>
        <w:t>6</w:t>
      </w:r>
      <w:r w:rsidRPr="005F6564" w:rsidR="005F6564">
        <w:rPr>
          <w:rFonts w:ascii="Book Antiqua" w:hAnsi="Book Antiqua" w:cs="Book Antiqua"/>
          <w:sz w:val="22"/>
          <w:szCs w:val="22"/>
        </w:rPr>
        <w:t xml:space="preserve"> sa dokončia podľa zákona účinného do </w:t>
      </w:r>
      <w:r w:rsidR="00E60F9A">
        <w:rPr>
          <w:rFonts w:ascii="Book Antiqua" w:hAnsi="Book Antiqua" w:cs="Book Antiqua"/>
          <w:sz w:val="22"/>
          <w:szCs w:val="22"/>
        </w:rPr>
        <w:t>31. júla</w:t>
      </w:r>
      <w:r w:rsidRPr="005F6564" w:rsidR="005F6564">
        <w:rPr>
          <w:rFonts w:ascii="Book Antiqua" w:hAnsi="Book Antiqua" w:cs="Book Antiqua"/>
          <w:sz w:val="22"/>
          <w:szCs w:val="22"/>
        </w:rPr>
        <w:t xml:space="preserve"> 201</w:t>
      </w:r>
      <w:r w:rsidR="005F6564">
        <w:rPr>
          <w:rFonts w:ascii="Book Antiqua" w:hAnsi="Book Antiqua" w:cs="Book Antiqua"/>
          <w:sz w:val="22"/>
          <w:szCs w:val="22"/>
        </w:rPr>
        <w:t>6</w:t>
      </w:r>
      <w:r w:rsidRPr="005F6564" w:rsidR="005F6564">
        <w:rPr>
          <w:rFonts w:ascii="Book Antiqua" w:hAnsi="Book Antiqua" w:cs="Book Antiqua"/>
          <w:sz w:val="22"/>
          <w:szCs w:val="22"/>
        </w:rPr>
        <w:t>.</w:t>
      </w:r>
      <w:r w:rsidR="006D306E">
        <w:rPr>
          <w:rFonts w:ascii="Book Antiqua" w:hAnsi="Book Antiqua" w:cs="Book Antiqua"/>
          <w:sz w:val="22"/>
          <w:szCs w:val="22"/>
        </w:rPr>
        <w:t>“.</w:t>
      </w:r>
    </w:p>
    <w:p w:rsidR="005F6564" w:rsidRPr="007C5275" w:rsidP="00BA0632">
      <w:pPr>
        <w:pStyle w:val="ListParagraph"/>
        <w:bidi w:val="0"/>
        <w:spacing w:before="120" w:line="276" w:lineRule="auto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ind w:left="36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5F6564">
        <w:rPr>
          <w:rFonts w:ascii="Book Antiqua" w:hAnsi="Book Antiqua" w:cs="Book Antiqua"/>
          <w:b/>
          <w:bCs/>
          <w:sz w:val="22"/>
          <w:szCs w:val="22"/>
        </w:rPr>
        <w:t>Č</w:t>
      </w:r>
      <w:r w:rsidR="00BA0632">
        <w:rPr>
          <w:rFonts w:ascii="Book Antiqua" w:hAnsi="Book Antiqua" w:cs="Book Antiqua"/>
          <w:b/>
          <w:bCs/>
          <w:sz w:val="22"/>
          <w:szCs w:val="22"/>
        </w:rPr>
        <w:t>l. II</w:t>
      </w:r>
    </w:p>
    <w:p w:rsidR="00EC304A" w:rsidRPr="007C5275" w:rsidP="00BA0632">
      <w:pPr>
        <w:bidi w:val="0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/>
          <w:sz w:val="22"/>
          <w:szCs w:val="22"/>
        </w:rPr>
        <w:t xml:space="preserve">Tento zákon nadobúda účinnosť 1. </w:t>
      </w:r>
      <w:r w:rsidR="00E60F9A">
        <w:rPr>
          <w:rFonts w:ascii="Book Antiqua" w:hAnsi="Book Antiqua" w:cs="Book Antiqua"/>
          <w:sz w:val="22"/>
          <w:szCs w:val="22"/>
        </w:rPr>
        <w:t>augusta</w:t>
      </w:r>
      <w:r w:rsidR="00737266">
        <w:rPr>
          <w:rFonts w:ascii="Book Antiqua" w:hAnsi="Book Antiqua" w:cs="Book Antiqua"/>
          <w:sz w:val="22"/>
          <w:szCs w:val="22"/>
        </w:rPr>
        <w:t xml:space="preserve"> 2016</w:t>
      </w:r>
      <w:r w:rsidRPr="007C5275">
        <w:rPr>
          <w:rFonts w:ascii="Book Antiqua" w:hAnsi="Book Antiqua" w:cs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C53"/>
    <w:multiLevelType w:val="multilevel"/>
    <w:tmpl w:val="F33CC8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8E6B22"/>
    <w:multiLevelType w:val="multilevel"/>
    <w:tmpl w:val="888E18B8"/>
    <w:lvl w:ilvl="0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/>
        <w:rtl w:val="0"/>
        <w:cs w:val="0"/>
      </w:rPr>
    </w:lvl>
  </w:abstractNum>
  <w:abstractNum w:abstractNumId="2">
    <w:nsid w:val="62116C37"/>
    <w:multiLevelType w:val="multilevel"/>
    <w:tmpl w:val="8368BB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8331A8E"/>
    <w:multiLevelType w:val="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75E6"/>
    <w:rsid w:val="0013389D"/>
    <w:rsid w:val="00152C6F"/>
    <w:rsid w:val="00174322"/>
    <w:rsid w:val="003C10D9"/>
    <w:rsid w:val="003D4E2E"/>
    <w:rsid w:val="005F6564"/>
    <w:rsid w:val="00625AE9"/>
    <w:rsid w:val="00680C97"/>
    <w:rsid w:val="006D306E"/>
    <w:rsid w:val="007075E6"/>
    <w:rsid w:val="00737266"/>
    <w:rsid w:val="007B228B"/>
    <w:rsid w:val="007C5275"/>
    <w:rsid w:val="009F5100"/>
    <w:rsid w:val="009F69EA"/>
    <w:rsid w:val="00A632CA"/>
    <w:rsid w:val="00AA4392"/>
    <w:rsid w:val="00BA0632"/>
    <w:rsid w:val="00C4381A"/>
    <w:rsid w:val="00DB59D2"/>
    <w:rsid w:val="00E15FAB"/>
    <w:rsid w:val="00E52C9C"/>
    <w:rsid w:val="00E60F9A"/>
    <w:rsid w:val="00E87B7A"/>
    <w:rsid w:val="00EC30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character" w:customStyle="1" w:styleId="apple-converted-space">
    <w:name w:val="apple-converted-space"/>
    <w:uiPriority w:val="99"/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489</Words>
  <Characters>2788</Characters>
  <Application>Microsoft Office Word</Application>
  <DocSecurity>0</DocSecurity>
  <Lines>0</Lines>
  <Paragraphs>0</Paragraphs>
  <ScaleCrop>false</ScaleCrop>
  <Company>Kancelaria NR SR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Gašparíková, Jarmila</cp:lastModifiedBy>
  <cp:revision>2</cp:revision>
  <cp:lastPrinted>2015-10-21T14:14:00Z</cp:lastPrinted>
  <dcterms:created xsi:type="dcterms:W3CDTF">2016-04-01T16:14:00Z</dcterms:created>
  <dcterms:modified xsi:type="dcterms:W3CDTF">2016-04-01T16:14:00Z</dcterms:modified>
</cp:coreProperties>
</file>