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D623B">
        <w:rPr>
          <w:sz w:val="22"/>
          <w:szCs w:val="22"/>
        </w:rPr>
        <w:t>2284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196C9D">
        <w:rPr>
          <w:sz w:val="22"/>
          <w:szCs w:val="22"/>
        </w:rPr>
        <w:t>5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5D623B">
        <w:t>1871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 xml:space="preserve">z </w:t>
      </w:r>
      <w:r w:rsidR="005D623B">
        <w:rPr>
          <w:rFonts w:ascii="Arial" w:hAnsi="Arial" w:cs="Arial"/>
          <w:sz w:val="22"/>
        </w:rPr>
        <w:t>27</w:t>
      </w:r>
      <w:r w:rsidR="0079071D">
        <w:rPr>
          <w:rFonts w:ascii="Arial" w:hAnsi="Arial" w:cs="Arial"/>
          <w:sz w:val="22"/>
        </w:rPr>
        <w:t>.</w:t>
      </w:r>
      <w:r w:rsidR="009D59B3">
        <w:rPr>
          <w:rFonts w:ascii="Arial" w:hAnsi="Arial" w:cs="Arial"/>
          <w:sz w:val="22"/>
        </w:rPr>
        <w:t xml:space="preserve">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96C9D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9D59B3">
        <w:rPr>
          <w:rFonts w:cs="Arial"/>
          <w:noProof/>
          <w:sz w:val="22"/>
          <w:lang w:val="sk-SK"/>
        </w:rPr>
        <w:t>ktorým sa mení a dopĺňa zákon č. 300/2005 Z. z. Trestný zákon v znení neskorších predpisov a ktorým sa menia a dopĺňajú niektoré zákony</w:t>
      </w:r>
      <w:r w:rsidR="006B4535">
        <w:rPr>
          <w:rFonts w:cs="Arial"/>
          <w:noProof/>
          <w:sz w:val="22"/>
          <w:lang w:val="sk-SK"/>
        </w:rPr>
        <w:t xml:space="preserve"> 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9D59B3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9D59B3">
        <w:rPr>
          <w:rFonts w:cs="Arial"/>
          <w:sz w:val="22"/>
          <w:lang w:val="sk-SK"/>
        </w:rPr>
        <w:t>1860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D623B">
        <w:rPr>
          <w:rFonts w:cs="Arial"/>
          <w:sz w:val="22"/>
          <w:lang w:val="sk-SK"/>
        </w:rPr>
        <w:t>27</w:t>
      </w:r>
      <w:r w:rsidR="0079071D">
        <w:rPr>
          <w:rFonts w:cs="Arial"/>
          <w:sz w:val="22"/>
          <w:lang w:val="sk-SK"/>
        </w:rPr>
        <w:t>.</w:t>
      </w:r>
      <w:r w:rsidR="009D59B3">
        <w:rPr>
          <w:rFonts w:cs="Arial"/>
          <w:sz w:val="22"/>
          <w:lang w:val="sk-SK"/>
        </w:rPr>
        <w:t xml:space="preserve"> 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196C9D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9D59B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>
        <w:rPr>
          <w:rFonts w:ascii="Arial" w:hAnsi="Arial" w:cs="Arial"/>
          <w:sz w:val="22"/>
          <w:szCs w:val="22"/>
        </w:rPr>
        <w:t>pre obranu a bezpečnosť a</w:t>
      </w:r>
    </w:p>
    <w:p w:rsidR="009D59B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D59B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</w:t>
      </w:r>
      <w:r w:rsidR="009D59B3">
        <w:rPr>
          <w:rFonts w:ascii="Arial" w:hAnsi="Arial" w:cs="Arial"/>
          <w:sz w:val="22"/>
        </w:rPr>
        <w:t>Ústavnoprávny v</w:t>
      </w:r>
      <w:r w:rsidR="00BE641C">
        <w:rPr>
          <w:rFonts w:ascii="Arial" w:hAnsi="Arial" w:cs="Arial"/>
          <w:sz w:val="22"/>
        </w:rPr>
        <w:t>ýbor Národnej rady Slovenskej republiky,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9D59B3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6C9D" w:rsidP="00196C9D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25A75"/>
    <w:rsid w:val="00364139"/>
    <w:rsid w:val="00394735"/>
    <w:rsid w:val="003B31A0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D623B"/>
    <w:rsid w:val="005E1310"/>
    <w:rsid w:val="006247EE"/>
    <w:rsid w:val="006562EE"/>
    <w:rsid w:val="00656763"/>
    <w:rsid w:val="00676097"/>
    <w:rsid w:val="006B015A"/>
    <w:rsid w:val="006B4535"/>
    <w:rsid w:val="007133D7"/>
    <w:rsid w:val="00713F18"/>
    <w:rsid w:val="00723AE1"/>
    <w:rsid w:val="00737114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9D59B3"/>
    <w:rsid w:val="00AD1D2C"/>
    <w:rsid w:val="00B21800"/>
    <w:rsid w:val="00B83C0F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2015-11-30T08:10:00Z</cp:lastPrinted>
  <dcterms:created xsi:type="dcterms:W3CDTF">2015-12-01T14:23:00Z</dcterms:created>
  <dcterms:modified xsi:type="dcterms:W3CDTF">2015-12-01T14:23:00Z</dcterms:modified>
</cp:coreProperties>
</file>