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5726" w:rsidRPr="009F0EF1" w:rsidRDefault="00E95726" w:rsidP="00E95726">
      <w:pPr>
        <w:pStyle w:val="Nzov"/>
        <w:pBdr>
          <w:bottom w:val="single" w:sz="12" w:space="1" w:color="auto"/>
        </w:pBdr>
        <w:rPr>
          <w:rFonts w:ascii="Arial" w:hAnsi="Arial"/>
        </w:rPr>
      </w:pPr>
      <w:r w:rsidRPr="009F0EF1">
        <w:rPr>
          <w:rFonts w:ascii="Arial" w:hAnsi="Arial"/>
        </w:rPr>
        <w:t>Národná rada Slovenskej republiky</w:t>
      </w:r>
    </w:p>
    <w:p w:rsidR="00E95726" w:rsidRPr="009F0EF1" w:rsidRDefault="00E95726" w:rsidP="00E95726">
      <w:pPr>
        <w:jc w:val="center"/>
      </w:pPr>
    </w:p>
    <w:p w:rsidR="00E95726" w:rsidRPr="009F0EF1" w:rsidRDefault="00E95726" w:rsidP="00E95726">
      <w:pPr>
        <w:pStyle w:val="Nadpis2"/>
        <w:keepNext/>
        <w:jc w:val="center"/>
        <w:rPr>
          <w:b/>
          <w:bCs/>
          <w:sz w:val="28"/>
          <w:szCs w:val="28"/>
        </w:rPr>
      </w:pPr>
      <w:r w:rsidRPr="009F0EF1">
        <w:rPr>
          <w:b/>
          <w:bCs/>
          <w:sz w:val="28"/>
          <w:szCs w:val="28"/>
        </w:rPr>
        <w:t>V</w:t>
      </w:r>
      <w:r>
        <w:rPr>
          <w:b/>
          <w:bCs/>
          <w:sz w:val="28"/>
          <w:szCs w:val="28"/>
        </w:rPr>
        <w:t>I</w:t>
      </w:r>
      <w:r w:rsidRPr="009F0EF1">
        <w:rPr>
          <w:b/>
          <w:bCs/>
          <w:sz w:val="28"/>
          <w:szCs w:val="28"/>
        </w:rPr>
        <w:t>. volebné  obdobie</w:t>
      </w:r>
    </w:p>
    <w:p w:rsidR="00E95726" w:rsidRDefault="00E95726" w:rsidP="00E95726">
      <w:r w:rsidRPr="009F0EF1">
        <w:t xml:space="preserve"> Číslo: CRD-</w:t>
      </w:r>
      <w:r w:rsidR="00BB0C2A">
        <w:t>2229</w:t>
      </w:r>
      <w:r w:rsidRPr="009F0EF1">
        <w:t>/201</w:t>
      </w:r>
      <w:r w:rsidR="00BB0C2A">
        <w:t>5</w:t>
      </w:r>
    </w:p>
    <w:p w:rsidR="00E95726" w:rsidRDefault="00E95726" w:rsidP="00E95726"/>
    <w:p w:rsidR="00E95726" w:rsidRPr="009F0EF1" w:rsidRDefault="00E95726" w:rsidP="00E95726"/>
    <w:p w:rsidR="000E3152" w:rsidRDefault="000E3152" w:rsidP="00E95726">
      <w:pPr>
        <w:jc w:val="center"/>
        <w:rPr>
          <w:b/>
          <w:bCs/>
          <w:sz w:val="32"/>
          <w:szCs w:val="32"/>
        </w:rPr>
      </w:pPr>
    </w:p>
    <w:p w:rsidR="00E95726" w:rsidRPr="009F0EF1" w:rsidRDefault="00BB0C2A" w:rsidP="00E95726">
      <w:pPr>
        <w:jc w:val="center"/>
        <w:rPr>
          <w:b/>
          <w:bCs/>
          <w:sz w:val="32"/>
          <w:szCs w:val="32"/>
        </w:rPr>
      </w:pPr>
      <w:r>
        <w:rPr>
          <w:b/>
          <w:bCs/>
          <w:sz w:val="32"/>
          <w:szCs w:val="32"/>
        </w:rPr>
        <w:t>1851</w:t>
      </w:r>
      <w:r w:rsidR="00E95726" w:rsidRPr="009F0EF1">
        <w:rPr>
          <w:b/>
          <w:bCs/>
          <w:sz w:val="32"/>
          <w:szCs w:val="32"/>
        </w:rPr>
        <w:t>a</w:t>
      </w:r>
    </w:p>
    <w:p w:rsidR="00E95726" w:rsidRPr="009F0EF1" w:rsidRDefault="00E95726" w:rsidP="00E95726">
      <w:pPr>
        <w:pStyle w:val="Nadpis1"/>
        <w:keepNext/>
        <w:jc w:val="center"/>
        <w:rPr>
          <w:b/>
          <w:bCs/>
          <w:sz w:val="28"/>
          <w:szCs w:val="28"/>
        </w:rPr>
      </w:pPr>
      <w:r w:rsidRPr="009F0EF1">
        <w:rPr>
          <w:b/>
          <w:bCs/>
          <w:sz w:val="28"/>
          <w:szCs w:val="28"/>
        </w:rPr>
        <w:t>S p o l o č n á   s p r á v a</w:t>
      </w:r>
    </w:p>
    <w:p w:rsidR="00E95726" w:rsidRPr="009F0EF1" w:rsidRDefault="00E95726" w:rsidP="00E95726">
      <w:pPr>
        <w:jc w:val="center"/>
        <w:rPr>
          <w:u w:val="single"/>
        </w:rPr>
      </w:pPr>
    </w:p>
    <w:p w:rsidR="00E95726" w:rsidRPr="009F0EF1" w:rsidRDefault="00E95726" w:rsidP="00E95726">
      <w:pPr>
        <w:widowControl/>
        <w:autoSpaceDE/>
        <w:autoSpaceDN/>
        <w:adjustRightInd/>
        <w:ind w:firstLine="720"/>
        <w:jc w:val="both"/>
      </w:pPr>
      <w:r w:rsidRPr="00BE18B9">
        <w:t>výborov Národnej rady Slovenskej republiky o výsledku prerokovania</w:t>
      </w:r>
      <w:r w:rsidRPr="00E40707">
        <w:t xml:space="preserve"> </w:t>
      </w:r>
      <w:r>
        <w:t xml:space="preserve">vládneho návrhu </w:t>
      </w:r>
      <w:r>
        <w:rPr>
          <w:rStyle w:val="spanr"/>
          <w:bCs/>
        </w:rPr>
        <w:t xml:space="preserve">zákona, </w:t>
      </w:r>
      <w:r w:rsidR="00BB0C2A" w:rsidRPr="00BB0C2A">
        <w:t>ktorým sa dopĺňa zákon č. 657/2004 Z. z. o tepelnej energetike v znení neskorších predpisov</w:t>
      </w:r>
      <w:r w:rsidR="00BB0C2A" w:rsidRPr="005554CD">
        <w:rPr>
          <w:b/>
        </w:rPr>
        <w:t xml:space="preserve"> (tlač </w:t>
      </w:r>
      <w:r w:rsidR="00BB0C2A">
        <w:rPr>
          <w:b/>
        </w:rPr>
        <w:t>1851a</w:t>
      </w:r>
      <w:r w:rsidR="00BB0C2A" w:rsidRPr="005554CD">
        <w:rPr>
          <w:b/>
        </w:rPr>
        <w:t>)</w:t>
      </w:r>
      <w:r>
        <w:rPr>
          <w:rStyle w:val="Siln"/>
        </w:rPr>
        <w:t xml:space="preserve"> </w:t>
      </w:r>
      <w:r w:rsidRPr="009F0EF1">
        <w:t>v druhom čítaní</w:t>
      </w:r>
    </w:p>
    <w:p w:rsidR="00E95726" w:rsidRPr="009F0EF1" w:rsidRDefault="00E95726" w:rsidP="00E95726">
      <w:pPr>
        <w:pBdr>
          <w:bottom w:val="single" w:sz="4" w:space="1" w:color="auto"/>
        </w:pBdr>
        <w:tabs>
          <w:tab w:val="left" w:pos="0"/>
        </w:tabs>
        <w:jc w:val="both"/>
        <w:rPr>
          <w:u w:val="single"/>
        </w:rPr>
      </w:pPr>
    </w:p>
    <w:p w:rsidR="00E95726" w:rsidRPr="009F0EF1" w:rsidRDefault="00E95726" w:rsidP="00E95726">
      <w:pPr>
        <w:tabs>
          <w:tab w:val="left" w:pos="-1985"/>
          <w:tab w:val="left" w:pos="709"/>
          <w:tab w:val="left" w:pos="1077"/>
        </w:tabs>
        <w:jc w:val="both"/>
        <w:rPr>
          <w:u w:val="single"/>
        </w:rPr>
      </w:pPr>
    </w:p>
    <w:p w:rsidR="00E95726" w:rsidRDefault="00E95726" w:rsidP="00E95726">
      <w:pPr>
        <w:tabs>
          <w:tab w:val="left" w:pos="-1985"/>
          <w:tab w:val="left" w:pos="709"/>
          <w:tab w:val="left" w:pos="1077"/>
        </w:tabs>
        <w:jc w:val="both"/>
      </w:pPr>
      <w:r w:rsidRPr="009F0EF1">
        <w:tab/>
      </w:r>
    </w:p>
    <w:p w:rsidR="00E95726" w:rsidRPr="009F0EF1" w:rsidRDefault="00E95726" w:rsidP="00E95726">
      <w:pPr>
        <w:tabs>
          <w:tab w:val="left" w:pos="-1985"/>
          <w:tab w:val="left" w:pos="709"/>
          <w:tab w:val="left" w:pos="1077"/>
        </w:tabs>
        <w:jc w:val="both"/>
      </w:pPr>
      <w:r>
        <w:tab/>
      </w:r>
      <w:r w:rsidRPr="009F0EF1">
        <w:t xml:space="preserve">Výbor Národnej rady Slovenskej republiky pre </w:t>
      </w:r>
      <w:r>
        <w:t>hospodárske záležitosti</w:t>
      </w:r>
      <w:r w:rsidRPr="009F0EF1">
        <w:t xml:space="preserve"> ako gestorský výbor k </w:t>
      </w:r>
      <w:r w:rsidR="0004163F">
        <w:t xml:space="preserve">vládnemu návrhu </w:t>
      </w:r>
      <w:r w:rsidR="0004163F">
        <w:rPr>
          <w:rStyle w:val="spanr"/>
          <w:bCs/>
        </w:rPr>
        <w:t xml:space="preserve">zákona, </w:t>
      </w:r>
      <w:r w:rsidR="00BB0C2A" w:rsidRPr="00BB0C2A">
        <w:t>ktorým sa dopĺňa zákon č. 657/2004 Z. z. o tepelnej energetike v znení neskorších predpisov (tlač 1851)</w:t>
      </w:r>
      <w:r w:rsidR="0004163F">
        <w:rPr>
          <w:rStyle w:val="Siln"/>
        </w:rPr>
        <w:t xml:space="preserve"> </w:t>
      </w:r>
      <w:r w:rsidRPr="009F0EF1">
        <w:t>(ďalej len „gestorský výbor“) podáva Národnej rade Slovenskej republiky podľa § 79 ods. 1 zákona Národnej rady Slovenskej republiky č. 350/1996 Z. z. o rokovacom poriadku Národnej rady Slovenskej republiky v znení neskorších predpisov (ďalej len „rokovací poriadok“) spoločnú správu výborov Národnej rady Slovenskej republiky.</w:t>
      </w:r>
    </w:p>
    <w:p w:rsidR="00E95726" w:rsidRPr="009F0EF1" w:rsidRDefault="00E95726" w:rsidP="00E95726">
      <w:pPr>
        <w:tabs>
          <w:tab w:val="left" w:pos="-1985"/>
          <w:tab w:val="left" w:pos="709"/>
          <w:tab w:val="left" w:pos="1077"/>
        </w:tabs>
        <w:jc w:val="both"/>
      </w:pPr>
    </w:p>
    <w:p w:rsidR="000E3152" w:rsidRDefault="000E3152" w:rsidP="00E95726">
      <w:pPr>
        <w:jc w:val="center"/>
        <w:rPr>
          <w:b/>
          <w:bCs/>
        </w:rPr>
      </w:pPr>
    </w:p>
    <w:p w:rsidR="00E95726" w:rsidRPr="009F0EF1" w:rsidRDefault="00E95726" w:rsidP="00E95726">
      <w:pPr>
        <w:jc w:val="center"/>
        <w:rPr>
          <w:b/>
          <w:bCs/>
        </w:rPr>
      </w:pPr>
      <w:r w:rsidRPr="009F0EF1">
        <w:rPr>
          <w:b/>
          <w:bCs/>
        </w:rPr>
        <w:t>I.</w:t>
      </w:r>
    </w:p>
    <w:p w:rsidR="00E95726" w:rsidRPr="009F0EF1" w:rsidRDefault="00E95726" w:rsidP="00E95726">
      <w:pPr>
        <w:jc w:val="center"/>
        <w:rPr>
          <w:b/>
          <w:bCs/>
        </w:rPr>
      </w:pPr>
    </w:p>
    <w:p w:rsidR="00E95726" w:rsidRPr="009F0EF1" w:rsidRDefault="00E95726" w:rsidP="00E95726">
      <w:pPr>
        <w:tabs>
          <w:tab w:val="left" w:pos="0"/>
        </w:tabs>
        <w:ind w:firstLine="540"/>
        <w:jc w:val="both"/>
      </w:pPr>
      <w:r w:rsidRPr="009F0EF1">
        <w:t xml:space="preserve">Národná rada Slovenskej republiky uznesením </w:t>
      </w:r>
      <w:r>
        <w:t xml:space="preserve">č. </w:t>
      </w:r>
      <w:r w:rsidR="000E3152" w:rsidRPr="000E3152">
        <w:t>2147</w:t>
      </w:r>
      <w:r w:rsidRPr="000E3152">
        <w:t xml:space="preserve"> z </w:t>
      </w:r>
      <w:r w:rsidR="000E3152" w:rsidRPr="000E3152">
        <w:t>2</w:t>
      </w:r>
      <w:r w:rsidR="00E231D4" w:rsidRPr="000E3152">
        <w:t>4</w:t>
      </w:r>
      <w:r w:rsidRPr="000E3152">
        <w:t xml:space="preserve">. </w:t>
      </w:r>
      <w:r w:rsidR="000E3152" w:rsidRPr="000E3152">
        <w:t>novembra</w:t>
      </w:r>
      <w:r w:rsidRPr="000E3152">
        <w:t xml:space="preserve"> 2014</w:t>
      </w:r>
      <w:r w:rsidRPr="009F0EF1">
        <w:t xml:space="preserve"> pridelila predmetný návrh zákona na prerokovanie týmto výborom:</w:t>
      </w:r>
    </w:p>
    <w:p w:rsidR="00E95726" w:rsidRPr="009F0EF1" w:rsidRDefault="00E95726" w:rsidP="00E95726">
      <w:pPr>
        <w:jc w:val="both"/>
        <w:rPr>
          <w:sz w:val="22"/>
        </w:rPr>
      </w:pPr>
    </w:p>
    <w:p w:rsidR="00E95726" w:rsidRPr="009F0EF1" w:rsidRDefault="00E95726" w:rsidP="00E95726">
      <w:pPr>
        <w:tabs>
          <w:tab w:val="left" w:pos="1080"/>
        </w:tabs>
        <w:jc w:val="both"/>
      </w:pPr>
      <w:r w:rsidRPr="009F0EF1">
        <w:rPr>
          <w:sz w:val="22"/>
        </w:rPr>
        <w:tab/>
      </w:r>
      <w:r w:rsidRPr="009F0EF1">
        <w:t>Ústavnoprávnemu výboru Národnej rady Slovenskej republiky</w:t>
      </w:r>
      <w:r w:rsidR="009B1163">
        <w:t xml:space="preserve"> a</w:t>
      </w:r>
    </w:p>
    <w:p w:rsidR="00E95726" w:rsidRPr="009F0EF1" w:rsidRDefault="00E95726" w:rsidP="009B1163">
      <w:pPr>
        <w:tabs>
          <w:tab w:val="left" w:pos="1080"/>
        </w:tabs>
        <w:ind w:left="1080"/>
        <w:jc w:val="both"/>
      </w:pPr>
      <w:r w:rsidRPr="009F0EF1">
        <w:t xml:space="preserve">Výboru Národnej rady Slovenskej republiky pre </w:t>
      </w:r>
      <w:r>
        <w:t>hospodárske záležitosti.</w:t>
      </w:r>
      <w:r w:rsidRPr="009F0EF1">
        <w:tab/>
      </w:r>
    </w:p>
    <w:p w:rsidR="000E3152" w:rsidRDefault="000E3152" w:rsidP="00E95726">
      <w:pPr>
        <w:jc w:val="center"/>
        <w:rPr>
          <w:b/>
          <w:bCs/>
        </w:rPr>
      </w:pPr>
    </w:p>
    <w:p w:rsidR="00E95726" w:rsidRPr="009F0EF1" w:rsidRDefault="00E95726" w:rsidP="00E95726">
      <w:pPr>
        <w:jc w:val="center"/>
        <w:rPr>
          <w:b/>
          <w:bCs/>
        </w:rPr>
      </w:pPr>
      <w:r w:rsidRPr="009F0EF1">
        <w:rPr>
          <w:b/>
          <w:bCs/>
        </w:rPr>
        <w:t>II.</w:t>
      </w:r>
    </w:p>
    <w:p w:rsidR="00E95726" w:rsidRPr="009F0EF1" w:rsidRDefault="00E95726" w:rsidP="00E95726">
      <w:pPr>
        <w:jc w:val="center"/>
        <w:rPr>
          <w:b/>
          <w:bCs/>
        </w:rPr>
      </w:pPr>
    </w:p>
    <w:p w:rsidR="00E95726" w:rsidRDefault="00E95726" w:rsidP="00E95726">
      <w:pPr>
        <w:ind w:firstLine="567"/>
        <w:jc w:val="both"/>
      </w:pPr>
      <w:r w:rsidRPr="009F0EF1">
        <w:t>Poslanci Národnej rady Slovenskej republiky, ktorí nie sú členmi výborov, ktorým bol návrh zákona pridelený, neoznámili v určenej lehote gestorskému výboru žiadne stanovisko k predmetnému návrhu zákona (§ 75 ods. 2 rokovacieho poriadku).</w:t>
      </w:r>
    </w:p>
    <w:p w:rsidR="000E3152" w:rsidRDefault="000E3152" w:rsidP="00E95726">
      <w:pPr>
        <w:jc w:val="center"/>
        <w:rPr>
          <w:b/>
          <w:bCs/>
        </w:rPr>
      </w:pPr>
    </w:p>
    <w:p w:rsidR="00E95726" w:rsidRPr="009F0EF1" w:rsidRDefault="00E95726" w:rsidP="00E95726">
      <w:pPr>
        <w:jc w:val="center"/>
        <w:rPr>
          <w:b/>
          <w:bCs/>
        </w:rPr>
      </w:pPr>
      <w:r w:rsidRPr="009F0EF1">
        <w:rPr>
          <w:b/>
          <w:bCs/>
        </w:rPr>
        <w:t>III.</w:t>
      </w:r>
    </w:p>
    <w:p w:rsidR="00E95726" w:rsidRPr="009F0EF1" w:rsidRDefault="00E95726" w:rsidP="00E95726">
      <w:pPr>
        <w:jc w:val="center"/>
        <w:rPr>
          <w:b/>
          <w:bCs/>
        </w:rPr>
      </w:pPr>
    </w:p>
    <w:p w:rsidR="00E95726" w:rsidRPr="00D2098A" w:rsidRDefault="00E95726" w:rsidP="00E95726">
      <w:pPr>
        <w:ind w:firstLine="360"/>
        <w:jc w:val="both"/>
        <w:rPr>
          <w:bCs/>
        </w:rPr>
      </w:pPr>
      <w:r w:rsidRPr="00D2098A">
        <w:t>Návrh zákona</w:t>
      </w:r>
      <w:r w:rsidRPr="00D2098A">
        <w:rPr>
          <w:b/>
          <w:bCs/>
        </w:rPr>
        <w:t xml:space="preserve"> </w:t>
      </w:r>
      <w:r w:rsidRPr="00D2098A">
        <w:rPr>
          <w:bCs/>
        </w:rPr>
        <w:t>odporúčali</w:t>
      </w:r>
      <w:r w:rsidRPr="00D2098A">
        <w:t xml:space="preserve"> Národnej rade Slovenskej republiky </w:t>
      </w:r>
      <w:r w:rsidRPr="00D2098A">
        <w:rPr>
          <w:bCs/>
        </w:rPr>
        <w:t>schváliť:</w:t>
      </w:r>
    </w:p>
    <w:p w:rsidR="00E95726" w:rsidRPr="009F0EF1" w:rsidRDefault="00E95726" w:rsidP="00E95726">
      <w:pPr>
        <w:ind w:firstLine="360"/>
        <w:jc w:val="both"/>
        <w:rPr>
          <w:bCs/>
        </w:rPr>
      </w:pPr>
    </w:p>
    <w:p w:rsidR="00E95726" w:rsidRPr="00E231D4" w:rsidRDefault="00E95726" w:rsidP="00E95726">
      <w:pPr>
        <w:numPr>
          <w:ilvl w:val="0"/>
          <w:numId w:val="1"/>
        </w:numPr>
        <w:jc w:val="both"/>
        <w:rPr>
          <w:b/>
          <w:bCs/>
        </w:rPr>
      </w:pPr>
      <w:r>
        <w:t>Ústavnoprávny v</w:t>
      </w:r>
      <w:r w:rsidRPr="009F0EF1">
        <w:t xml:space="preserve">ýbor Národnej rady Slovenskej republiky </w:t>
      </w:r>
      <w:r w:rsidRPr="009F0EF1">
        <w:rPr>
          <w:bCs/>
        </w:rPr>
        <w:t xml:space="preserve">uznesením </w:t>
      </w:r>
      <w:r w:rsidRPr="007D348B">
        <w:rPr>
          <w:bCs/>
        </w:rPr>
        <w:t xml:space="preserve">č. </w:t>
      </w:r>
      <w:r w:rsidR="00673447">
        <w:rPr>
          <w:bCs/>
        </w:rPr>
        <w:t>760</w:t>
      </w:r>
      <w:r w:rsidRPr="00E231D4">
        <w:rPr>
          <w:bCs/>
        </w:rPr>
        <w:t xml:space="preserve"> z </w:t>
      </w:r>
      <w:r w:rsidR="000E3152">
        <w:rPr>
          <w:bCs/>
        </w:rPr>
        <w:t>25</w:t>
      </w:r>
      <w:r w:rsidRPr="00E231D4">
        <w:rPr>
          <w:bCs/>
        </w:rPr>
        <w:t xml:space="preserve">. </w:t>
      </w:r>
      <w:r w:rsidR="00BB0C2A">
        <w:rPr>
          <w:bCs/>
        </w:rPr>
        <w:t>novembra 2015</w:t>
      </w:r>
      <w:r w:rsidRPr="00E231D4">
        <w:rPr>
          <w:bCs/>
        </w:rPr>
        <w:t>.</w:t>
      </w:r>
    </w:p>
    <w:p w:rsidR="00E95726" w:rsidRPr="00BB0C2A" w:rsidRDefault="00E95726" w:rsidP="00E95726">
      <w:pPr>
        <w:numPr>
          <w:ilvl w:val="0"/>
          <w:numId w:val="1"/>
        </w:numPr>
        <w:jc w:val="both"/>
        <w:rPr>
          <w:b/>
          <w:bCs/>
        </w:rPr>
      </w:pPr>
      <w:r w:rsidRPr="009F0EF1">
        <w:t xml:space="preserve">Výbor Národnej rady Slovenskej republiky pre </w:t>
      </w:r>
      <w:r>
        <w:t>hospodárske záležitosti</w:t>
      </w:r>
      <w:r w:rsidRPr="009F0EF1">
        <w:t xml:space="preserve"> </w:t>
      </w:r>
      <w:r w:rsidRPr="009F0EF1">
        <w:rPr>
          <w:bCs/>
        </w:rPr>
        <w:t xml:space="preserve">uznesením č. </w:t>
      </w:r>
      <w:r w:rsidR="00D02B09">
        <w:rPr>
          <w:bCs/>
        </w:rPr>
        <w:t>528</w:t>
      </w:r>
      <w:r>
        <w:rPr>
          <w:bCs/>
        </w:rPr>
        <w:t xml:space="preserve"> </w:t>
      </w:r>
      <w:r w:rsidRPr="009F0EF1">
        <w:rPr>
          <w:bCs/>
        </w:rPr>
        <w:t>z </w:t>
      </w:r>
      <w:r w:rsidR="000E3152">
        <w:rPr>
          <w:bCs/>
        </w:rPr>
        <w:t>25</w:t>
      </w:r>
      <w:r w:rsidRPr="00E45B30">
        <w:rPr>
          <w:bCs/>
        </w:rPr>
        <w:t xml:space="preserve">. </w:t>
      </w:r>
      <w:r w:rsidR="00BB0C2A">
        <w:rPr>
          <w:bCs/>
        </w:rPr>
        <w:t>novembra 2015</w:t>
      </w:r>
      <w:r w:rsidRPr="00E45B30">
        <w:rPr>
          <w:bCs/>
        </w:rPr>
        <w:t>.</w:t>
      </w:r>
    </w:p>
    <w:p w:rsidR="00E95726" w:rsidRPr="009F0EF1" w:rsidRDefault="00E95726" w:rsidP="00E95726">
      <w:pPr>
        <w:jc w:val="center"/>
        <w:rPr>
          <w:b/>
          <w:bCs/>
        </w:rPr>
      </w:pPr>
      <w:r w:rsidRPr="009F0EF1">
        <w:rPr>
          <w:b/>
          <w:bCs/>
        </w:rPr>
        <w:lastRenderedPageBreak/>
        <w:t>IV.</w:t>
      </w:r>
    </w:p>
    <w:p w:rsidR="00E95726" w:rsidRPr="009F0EF1" w:rsidRDefault="00E95726" w:rsidP="00E95726">
      <w:pPr>
        <w:jc w:val="center"/>
        <w:rPr>
          <w:b/>
          <w:bCs/>
        </w:rPr>
      </w:pPr>
    </w:p>
    <w:p w:rsidR="00E95726" w:rsidRDefault="00E95726" w:rsidP="00E95726">
      <w:pPr>
        <w:ind w:firstLine="567"/>
        <w:jc w:val="both"/>
      </w:pPr>
      <w:r w:rsidRPr="009F0EF1">
        <w:t xml:space="preserve">Z uznesení výborov Národnej rady Slovenskej republiky </w:t>
      </w:r>
      <w:r w:rsidR="00F004B9">
        <w:t xml:space="preserve">uvedených </w:t>
      </w:r>
      <w:r w:rsidRPr="009F0EF1">
        <w:t xml:space="preserve">pod bodom III tejto správy vyplýva </w:t>
      </w:r>
      <w:r w:rsidR="00F004B9">
        <w:t xml:space="preserve">nasledujúci </w:t>
      </w:r>
      <w:r w:rsidRPr="009F0EF1">
        <w:t>pozmeňujúc</w:t>
      </w:r>
      <w:r w:rsidR="00F004B9">
        <w:t>i</w:t>
      </w:r>
      <w:r w:rsidRPr="009F0EF1">
        <w:t xml:space="preserve"> a doplňujúc</w:t>
      </w:r>
      <w:r w:rsidR="00F004B9">
        <w:t>i</w:t>
      </w:r>
      <w:r w:rsidRPr="009F0EF1">
        <w:t xml:space="preserve"> návrh</w:t>
      </w:r>
      <w:r w:rsidR="00F004B9">
        <w:t>:</w:t>
      </w:r>
    </w:p>
    <w:p w:rsidR="00F004B9" w:rsidRDefault="00F004B9" w:rsidP="00E95726">
      <w:pPr>
        <w:ind w:firstLine="567"/>
        <w:jc w:val="both"/>
      </w:pPr>
    </w:p>
    <w:p w:rsidR="00F004B9" w:rsidRPr="00F004B9" w:rsidRDefault="00F004B9" w:rsidP="00F004B9">
      <w:r w:rsidRPr="00F004B9">
        <w:t>1. Za § 28 sa vkladá § 28a, ktorý vrátane nadpisu znie:</w:t>
      </w:r>
    </w:p>
    <w:p w:rsidR="00F004B9" w:rsidRPr="00F004B9" w:rsidRDefault="00F004B9" w:rsidP="00F004B9"/>
    <w:p w:rsidR="00F004B9" w:rsidRPr="00584963" w:rsidRDefault="00F004B9" w:rsidP="00F004B9">
      <w:pPr>
        <w:jc w:val="center"/>
        <w:rPr>
          <w:sz w:val="23"/>
          <w:szCs w:val="23"/>
        </w:rPr>
      </w:pPr>
      <w:r w:rsidRPr="00584963">
        <w:rPr>
          <w:sz w:val="23"/>
          <w:szCs w:val="23"/>
        </w:rPr>
        <w:t>„§ 28a</w:t>
      </w:r>
    </w:p>
    <w:p w:rsidR="00F004B9" w:rsidRPr="00584963" w:rsidRDefault="00F004B9" w:rsidP="00F004B9">
      <w:pPr>
        <w:jc w:val="center"/>
        <w:rPr>
          <w:bCs/>
          <w:sz w:val="23"/>
          <w:szCs w:val="23"/>
        </w:rPr>
      </w:pPr>
      <w:r w:rsidRPr="00584963">
        <w:rPr>
          <w:bCs/>
          <w:sz w:val="23"/>
          <w:szCs w:val="23"/>
        </w:rPr>
        <w:t>Majetok nepodliehajúci exekúcii</w:t>
      </w:r>
    </w:p>
    <w:p w:rsidR="00F004B9" w:rsidRPr="00584963" w:rsidRDefault="00F004B9" w:rsidP="00F004B9">
      <w:pPr>
        <w:jc w:val="center"/>
        <w:rPr>
          <w:b/>
          <w:bCs/>
          <w:sz w:val="23"/>
          <w:szCs w:val="23"/>
        </w:rPr>
      </w:pPr>
    </w:p>
    <w:p w:rsidR="00F004B9" w:rsidRPr="00584963" w:rsidRDefault="00F004B9" w:rsidP="00F004B9">
      <w:pPr>
        <w:jc w:val="both"/>
        <w:rPr>
          <w:sz w:val="23"/>
          <w:szCs w:val="23"/>
        </w:rPr>
      </w:pPr>
      <w:r w:rsidRPr="00584963">
        <w:rPr>
          <w:sz w:val="23"/>
          <w:szCs w:val="23"/>
        </w:rPr>
        <w:t>Exekúcii podľa osobitného predpisu19a) nepodlieha</w:t>
      </w:r>
    </w:p>
    <w:p w:rsidR="00F004B9" w:rsidRPr="00584963" w:rsidRDefault="00F004B9" w:rsidP="00F004B9">
      <w:pPr>
        <w:pStyle w:val="Odsekzoznamu"/>
        <w:widowControl/>
        <w:numPr>
          <w:ilvl w:val="0"/>
          <w:numId w:val="3"/>
        </w:numPr>
        <w:jc w:val="both"/>
        <w:rPr>
          <w:sz w:val="23"/>
          <w:szCs w:val="23"/>
        </w:rPr>
      </w:pPr>
      <w:r w:rsidRPr="00584963">
        <w:rPr>
          <w:sz w:val="23"/>
          <w:szCs w:val="23"/>
        </w:rPr>
        <w:t>nehnuteľný majetok držiteľa povolenia na výrobu a rozvod tepla, ktorý je právnickou osobou so stopercentnou majetkovou účasťou štátu alebo Fondu národného majetku</w:t>
      </w:r>
      <w:r w:rsidR="00584963" w:rsidRPr="00584963">
        <w:rPr>
          <w:sz w:val="23"/>
          <w:szCs w:val="23"/>
        </w:rPr>
        <w:t xml:space="preserve"> Slovenskej republiky</w:t>
      </w:r>
      <w:r w:rsidRPr="00584963">
        <w:rPr>
          <w:sz w:val="23"/>
          <w:szCs w:val="23"/>
        </w:rPr>
        <w:t>, alebo v ktorej má právnická osoba určená podľa osobitného predpisu stopercentnú majetkovú účasť,</w:t>
      </w:r>
    </w:p>
    <w:p w:rsidR="00F004B9" w:rsidRPr="00584963" w:rsidRDefault="00F004B9" w:rsidP="00F004B9">
      <w:pPr>
        <w:ind w:left="360"/>
        <w:jc w:val="both"/>
        <w:rPr>
          <w:sz w:val="23"/>
          <w:szCs w:val="23"/>
        </w:rPr>
      </w:pPr>
    </w:p>
    <w:p w:rsidR="00F004B9" w:rsidRPr="00584963" w:rsidRDefault="00F004B9" w:rsidP="00F004B9">
      <w:pPr>
        <w:ind w:left="426" w:hanging="426"/>
        <w:jc w:val="both"/>
        <w:rPr>
          <w:sz w:val="23"/>
          <w:szCs w:val="23"/>
        </w:rPr>
      </w:pPr>
      <w:r w:rsidRPr="00584963">
        <w:rPr>
          <w:sz w:val="23"/>
          <w:szCs w:val="23"/>
        </w:rPr>
        <w:t>b)  peňažné prostriedky a pohľadávky držiteľa povolenia na výrobu a rozvod tepla, ktorý je právnickou osobou so stopercentnou majetkovou účasťou štátu alebo Fondu národného majetku</w:t>
      </w:r>
      <w:r w:rsidR="00584963" w:rsidRPr="00584963">
        <w:rPr>
          <w:sz w:val="23"/>
          <w:szCs w:val="23"/>
        </w:rPr>
        <w:t xml:space="preserve"> </w:t>
      </w:r>
      <w:r w:rsidR="00584963" w:rsidRPr="00584963">
        <w:rPr>
          <w:sz w:val="23"/>
          <w:szCs w:val="23"/>
        </w:rPr>
        <w:t>Slovenskej republiky</w:t>
      </w:r>
      <w:r w:rsidRPr="00584963">
        <w:rPr>
          <w:sz w:val="23"/>
          <w:szCs w:val="23"/>
        </w:rPr>
        <w:t>, alebo v ktorej má právnická osoba určená podľa osobitného predpisu stopercentnú majetkovú účasť,</w:t>
      </w:r>
    </w:p>
    <w:p w:rsidR="00F004B9" w:rsidRPr="00584963" w:rsidRDefault="00F004B9" w:rsidP="00F004B9">
      <w:pPr>
        <w:jc w:val="both"/>
        <w:rPr>
          <w:sz w:val="23"/>
          <w:szCs w:val="23"/>
        </w:rPr>
      </w:pPr>
    </w:p>
    <w:p w:rsidR="00F004B9" w:rsidRPr="00584963" w:rsidRDefault="00F004B9" w:rsidP="00F004B9">
      <w:pPr>
        <w:ind w:left="284" w:hanging="284"/>
        <w:jc w:val="both"/>
        <w:rPr>
          <w:sz w:val="23"/>
          <w:szCs w:val="23"/>
        </w:rPr>
      </w:pPr>
      <w:r w:rsidRPr="00584963">
        <w:rPr>
          <w:sz w:val="23"/>
          <w:szCs w:val="23"/>
        </w:rPr>
        <w:t>c) finančné nástroje vo vlastníctve držiteľa povolenia na výrobu a rozvod tepla, ktorý je právnickou osobou so stopercentnou majetkovou účasťou štátu alebo Fondu národného majetku</w:t>
      </w:r>
      <w:r w:rsidR="00584963" w:rsidRPr="00584963">
        <w:rPr>
          <w:sz w:val="23"/>
          <w:szCs w:val="23"/>
        </w:rPr>
        <w:t xml:space="preserve"> </w:t>
      </w:r>
      <w:r w:rsidR="00584963" w:rsidRPr="00584963">
        <w:rPr>
          <w:sz w:val="23"/>
          <w:szCs w:val="23"/>
        </w:rPr>
        <w:t>Slovenskej republiky</w:t>
      </w:r>
      <w:r w:rsidRPr="00584963">
        <w:rPr>
          <w:sz w:val="23"/>
          <w:szCs w:val="23"/>
        </w:rPr>
        <w:t>, alebo v ktorej má právnická osoba určená podľa osobitného predpisu stopercentnú majetkovú účasť,</w:t>
      </w:r>
    </w:p>
    <w:p w:rsidR="00F004B9" w:rsidRPr="00584963" w:rsidRDefault="00F004B9" w:rsidP="00F004B9">
      <w:pPr>
        <w:jc w:val="both"/>
        <w:rPr>
          <w:sz w:val="23"/>
          <w:szCs w:val="23"/>
        </w:rPr>
      </w:pPr>
    </w:p>
    <w:p w:rsidR="00F004B9" w:rsidRPr="00584963" w:rsidRDefault="00F004B9" w:rsidP="00F004B9">
      <w:pPr>
        <w:ind w:left="284" w:hanging="284"/>
        <w:jc w:val="both"/>
        <w:rPr>
          <w:sz w:val="23"/>
          <w:szCs w:val="23"/>
        </w:rPr>
      </w:pPr>
      <w:r w:rsidRPr="00584963">
        <w:rPr>
          <w:sz w:val="23"/>
          <w:szCs w:val="23"/>
        </w:rPr>
        <w:t>d) iný majetok slúžiaci na výrobu a rozvod tepla vo vlastníctve držiteľa povolenia na výrobu a rozvod tepla, ktorý je právnickou osobou so stopercentnou majetkovou účasťou štátu alebo Fondu národného majetku</w:t>
      </w:r>
      <w:r w:rsidR="00584963" w:rsidRPr="00584963">
        <w:rPr>
          <w:sz w:val="23"/>
          <w:szCs w:val="23"/>
        </w:rPr>
        <w:t xml:space="preserve"> </w:t>
      </w:r>
      <w:r w:rsidR="00584963" w:rsidRPr="00584963">
        <w:rPr>
          <w:sz w:val="23"/>
          <w:szCs w:val="23"/>
        </w:rPr>
        <w:t>Slovenskej republiky</w:t>
      </w:r>
      <w:r w:rsidRPr="00584963">
        <w:rPr>
          <w:sz w:val="23"/>
          <w:szCs w:val="23"/>
        </w:rPr>
        <w:t>, alebo v ktorej má právnická osoba určená podľa osobitného predpisu stopercentnú majetkovú účasť.“.</w:t>
      </w:r>
    </w:p>
    <w:p w:rsidR="00F004B9" w:rsidRPr="00584963" w:rsidRDefault="00F004B9" w:rsidP="00F004B9">
      <w:pPr>
        <w:jc w:val="both"/>
        <w:rPr>
          <w:sz w:val="23"/>
          <w:szCs w:val="23"/>
        </w:rPr>
      </w:pPr>
    </w:p>
    <w:p w:rsidR="00F004B9" w:rsidRPr="00584963" w:rsidRDefault="00F004B9" w:rsidP="00F004B9">
      <w:pPr>
        <w:jc w:val="both"/>
        <w:rPr>
          <w:sz w:val="23"/>
          <w:szCs w:val="23"/>
        </w:rPr>
      </w:pPr>
      <w:r w:rsidRPr="00584963">
        <w:rPr>
          <w:sz w:val="23"/>
          <w:szCs w:val="23"/>
        </w:rPr>
        <w:t>Poznámka pod čiarou k odkazu 19a znie:</w:t>
      </w:r>
    </w:p>
    <w:p w:rsidR="00F004B9" w:rsidRPr="00584963" w:rsidRDefault="00F004B9" w:rsidP="00F004B9">
      <w:pPr>
        <w:jc w:val="both"/>
        <w:rPr>
          <w:sz w:val="23"/>
          <w:szCs w:val="23"/>
        </w:rPr>
      </w:pPr>
      <w:r w:rsidRPr="00584963">
        <w:rPr>
          <w:sz w:val="23"/>
          <w:szCs w:val="23"/>
        </w:rPr>
        <w:t>„19a) Zákon Národnej rady Slovenskej republiky č. 233/1995 Z. z. o súdnych exekútoroch a exekučnej činnosti (Exekučný poriadok) a o zmene a doplnení ďalších zákonov v znení neskorších predpisov.“.“</w:t>
      </w:r>
    </w:p>
    <w:p w:rsidR="00F004B9" w:rsidRPr="00584963" w:rsidRDefault="00F004B9" w:rsidP="00F004B9">
      <w:pPr>
        <w:rPr>
          <w:sz w:val="23"/>
          <w:szCs w:val="23"/>
        </w:rPr>
      </w:pPr>
    </w:p>
    <w:p w:rsidR="00F004B9" w:rsidRPr="00584963" w:rsidRDefault="00F004B9" w:rsidP="00F004B9">
      <w:pPr>
        <w:jc w:val="center"/>
        <w:rPr>
          <w:sz w:val="23"/>
          <w:szCs w:val="23"/>
        </w:rPr>
      </w:pPr>
    </w:p>
    <w:p w:rsidR="00F004B9" w:rsidRPr="00584963" w:rsidRDefault="00F004B9" w:rsidP="00F004B9">
      <w:pPr>
        <w:ind w:left="3540"/>
        <w:jc w:val="both"/>
        <w:rPr>
          <w:sz w:val="23"/>
          <w:szCs w:val="23"/>
        </w:rPr>
      </w:pPr>
      <w:r w:rsidRPr="00584963">
        <w:rPr>
          <w:sz w:val="23"/>
          <w:szCs w:val="23"/>
        </w:rPr>
        <w:t>Zabezpečuje sa zladenie navrhovaného ustanovenia s textom  schváleného zákona o zrušení Fondu národného majetku Slovenskej republiky a o zmene a doplnení niektorých zákonov. Uvedeným zákonom sa zrušuje Fond národného majetku Slovenskej republiky, ktorého právnym nástupcom má byť Ministerstvom hospodárstva Slovenskej republiky určená právnická osoba, ktorej jediným akcionárom je štát alebo právnická osoba, ktorej jediným zakladateľom je štát.</w:t>
      </w:r>
    </w:p>
    <w:p w:rsidR="00F004B9" w:rsidRPr="009F0EF1" w:rsidRDefault="00F004B9" w:rsidP="00E95726">
      <w:pPr>
        <w:ind w:firstLine="567"/>
        <w:jc w:val="both"/>
      </w:pPr>
    </w:p>
    <w:p w:rsidR="00E95726" w:rsidRPr="00F004B9" w:rsidRDefault="00F004B9" w:rsidP="00F004B9">
      <w:pPr>
        <w:spacing w:after="120"/>
        <w:ind w:left="2832" w:firstLine="708"/>
        <w:rPr>
          <w:b/>
        </w:rPr>
      </w:pPr>
      <w:r w:rsidRPr="00F004B9">
        <w:rPr>
          <w:b/>
        </w:rPr>
        <w:t>Výbor NR SR pre hospodárske záležitosti</w:t>
      </w:r>
    </w:p>
    <w:p w:rsidR="00F004B9" w:rsidRPr="00F004B9" w:rsidRDefault="00F004B9" w:rsidP="00F004B9">
      <w:pPr>
        <w:spacing w:after="120"/>
        <w:ind w:left="2829" w:firstLine="709"/>
        <w:rPr>
          <w:b/>
          <w:i/>
        </w:rPr>
      </w:pPr>
      <w:r w:rsidRPr="00F004B9">
        <w:rPr>
          <w:b/>
          <w:i/>
        </w:rPr>
        <w:t>Gestorský výbor odporúča schváliť</w:t>
      </w:r>
    </w:p>
    <w:p w:rsidR="00F004B9" w:rsidRDefault="00F004B9" w:rsidP="00F004B9">
      <w:pPr>
        <w:ind w:firstLine="540"/>
        <w:jc w:val="center"/>
        <w:rPr>
          <w:b/>
          <w:bCs/>
        </w:rPr>
      </w:pPr>
      <w:r>
        <w:rPr>
          <w:b/>
          <w:bCs/>
        </w:rPr>
        <w:lastRenderedPageBreak/>
        <w:t>V.</w:t>
      </w:r>
      <w:bookmarkStart w:id="0" w:name="_GoBack"/>
      <w:bookmarkEnd w:id="0"/>
    </w:p>
    <w:p w:rsidR="00F004B9" w:rsidRDefault="00F004B9" w:rsidP="00F004B9">
      <w:pPr>
        <w:ind w:firstLine="540"/>
        <w:jc w:val="center"/>
      </w:pPr>
    </w:p>
    <w:p w:rsidR="00E95726" w:rsidRPr="009F0EF1" w:rsidRDefault="00E95726" w:rsidP="00E95726">
      <w:pPr>
        <w:ind w:firstLine="540"/>
        <w:jc w:val="both"/>
      </w:pPr>
      <w:r w:rsidRPr="009F0EF1">
        <w:t xml:space="preserve">Gestorský výbor na základe stanovísk výborov k predmetnému návrhu zákona vyjadrených v ich uzneseniach uvedených pod bodom III tejto správy a v stanoviskách poslancov gestorského výboru vyjadrených v rozprave k tomuto návrhu zákona </w:t>
      </w:r>
    </w:p>
    <w:p w:rsidR="00E95726" w:rsidRPr="009F0EF1" w:rsidRDefault="00E95726" w:rsidP="00E95726">
      <w:pPr>
        <w:ind w:firstLine="540"/>
        <w:jc w:val="both"/>
      </w:pPr>
    </w:p>
    <w:p w:rsidR="00E95726" w:rsidRPr="009F0EF1" w:rsidRDefault="00E95726" w:rsidP="00E95726">
      <w:pPr>
        <w:ind w:firstLine="540"/>
        <w:jc w:val="both"/>
        <w:rPr>
          <w:b/>
          <w:bCs/>
        </w:rPr>
      </w:pPr>
      <w:r w:rsidRPr="009F0EF1">
        <w:rPr>
          <w:b/>
          <w:bCs/>
        </w:rPr>
        <w:t>odporúča Národnej rade Slovenskej republiky</w:t>
      </w:r>
    </w:p>
    <w:p w:rsidR="00E95726" w:rsidRPr="009F0EF1" w:rsidRDefault="00E95726" w:rsidP="00E95726">
      <w:pPr>
        <w:ind w:firstLine="540"/>
        <w:jc w:val="both"/>
        <w:rPr>
          <w:b/>
          <w:bCs/>
          <w:u w:val="single"/>
        </w:rPr>
      </w:pPr>
    </w:p>
    <w:p w:rsidR="00F004B9" w:rsidRDefault="009B1163" w:rsidP="00E95726">
      <w:pPr>
        <w:ind w:firstLine="540"/>
        <w:jc w:val="both"/>
        <w:rPr>
          <w:rStyle w:val="Siln"/>
        </w:rPr>
      </w:pPr>
      <w:r>
        <w:t xml:space="preserve">vládny návrh </w:t>
      </w:r>
      <w:r>
        <w:rPr>
          <w:rStyle w:val="spanr"/>
          <w:bCs/>
        </w:rPr>
        <w:t xml:space="preserve">zákona, </w:t>
      </w:r>
      <w:r w:rsidR="000E3152" w:rsidRPr="00BB0C2A">
        <w:t>ktorým sa dopĺňa zákon č. 657/2004 Z. z. o tepelnej energetike v znení neskorších predpisov</w:t>
      </w:r>
      <w:r w:rsidR="000E3152">
        <w:t xml:space="preserve"> </w:t>
      </w:r>
      <w:r>
        <w:t xml:space="preserve">(tlač </w:t>
      </w:r>
      <w:r w:rsidRPr="002F0355">
        <w:rPr>
          <w:b/>
        </w:rPr>
        <w:t>18</w:t>
      </w:r>
      <w:r w:rsidR="000E3152">
        <w:rPr>
          <w:b/>
        </w:rPr>
        <w:t>51</w:t>
      </w:r>
      <w:r>
        <w:t>)</w:t>
      </w:r>
      <w:r>
        <w:rPr>
          <w:rStyle w:val="Siln"/>
        </w:rPr>
        <w:t xml:space="preserve"> </w:t>
      </w:r>
    </w:p>
    <w:p w:rsidR="00F004B9" w:rsidRDefault="00F004B9" w:rsidP="00E95726">
      <w:pPr>
        <w:ind w:firstLine="540"/>
        <w:jc w:val="both"/>
        <w:rPr>
          <w:rStyle w:val="Siln"/>
        </w:rPr>
      </w:pPr>
    </w:p>
    <w:p w:rsidR="000E3152" w:rsidRDefault="00E95726" w:rsidP="00E95726">
      <w:pPr>
        <w:ind w:firstLine="540"/>
        <w:jc w:val="both"/>
        <w:rPr>
          <w:b/>
          <w:bCs/>
        </w:rPr>
      </w:pPr>
      <w:r w:rsidRPr="009F0EF1">
        <w:rPr>
          <w:b/>
          <w:bCs/>
        </w:rPr>
        <w:t>s c h v á l i</w:t>
      </w:r>
      <w:r w:rsidR="000E3152">
        <w:rPr>
          <w:b/>
          <w:bCs/>
        </w:rPr>
        <w:t> </w:t>
      </w:r>
      <w:r w:rsidRPr="009F0EF1">
        <w:rPr>
          <w:b/>
          <w:bCs/>
        </w:rPr>
        <w:t>ť</w:t>
      </w:r>
      <w:r w:rsidR="000E3152">
        <w:rPr>
          <w:b/>
          <w:bCs/>
        </w:rPr>
        <w:t>.</w:t>
      </w:r>
    </w:p>
    <w:p w:rsidR="000E3152" w:rsidRDefault="000E3152" w:rsidP="00E95726">
      <w:pPr>
        <w:ind w:firstLine="540"/>
        <w:jc w:val="both"/>
        <w:rPr>
          <w:b/>
          <w:bCs/>
        </w:rPr>
      </w:pPr>
    </w:p>
    <w:p w:rsidR="00E95726" w:rsidRDefault="00E95726" w:rsidP="00E95726">
      <w:pPr>
        <w:ind w:firstLine="540"/>
        <w:jc w:val="both"/>
        <w:rPr>
          <w:b/>
          <w:bCs/>
        </w:rPr>
      </w:pPr>
      <w:r w:rsidRPr="009F0EF1">
        <w:rPr>
          <w:b/>
          <w:bCs/>
        </w:rPr>
        <w:t xml:space="preserve">  </w:t>
      </w:r>
    </w:p>
    <w:p w:rsidR="00E95726" w:rsidRDefault="00E95726" w:rsidP="00E95726">
      <w:pPr>
        <w:jc w:val="both"/>
      </w:pPr>
      <w:r w:rsidRPr="009F0EF1">
        <w:t xml:space="preserve">        Spoločná správa výborov Národnej rady Slovenskej republiky o výsledku prerokovania návrhu zákona v druhom </w:t>
      </w:r>
      <w:r>
        <w:t>čítaní bola schválená uznesením</w:t>
      </w:r>
      <w:r w:rsidRPr="009F0EF1">
        <w:t xml:space="preserve"> </w:t>
      </w:r>
      <w:r>
        <w:t xml:space="preserve">Výboru Národnej rady Slovenskej republiky pre hospodárske záležitosti </w:t>
      </w:r>
      <w:r w:rsidRPr="00E45B30">
        <w:t xml:space="preserve">č. </w:t>
      </w:r>
      <w:r w:rsidR="00D02B09">
        <w:t>529</w:t>
      </w:r>
      <w:r w:rsidRPr="00E45B30">
        <w:t xml:space="preserve"> </w:t>
      </w:r>
      <w:r w:rsidR="00F004B9">
        <w:t xml:space="preserve">                 </w:t>
      </w:r>
      <w:r w:rsidRPr="00E45B30">
        <w:t>z </w:t>
      </w:r>
      <w:r w:rsidR="000E3152">
        <w:t>25</w:t>
      </w:r>
      <w:r w:rsidRPr="00E45B30">
        <w:t xml:space="preserve">. </w:t>
      </w:r>
      <w:r w:rsidR="00BB0C2A">
        <w:t>novembra 2015</w:t>
      </w:r>
      <w:r w:rsidRPr="00E45B30">
        <w:t>.</w:t>
      </w:r>
    </w:p>
    <w:p w:rsidR="00E95726" w:rsidRPr="009F0EF1" w:rsidRDefault="00E95726" w:rsidP="00E95726">
      <w:pPr>
        <w:jc w:val="both"/>
      </w:pPr>
      <w:r w:rsidRPr="009F0EF1">
        <w:t xml:space="preserve"> </w:t>
      </w:r>
    </w:p>
    <w:p w:rsidR="003838C2" w:rsidRDefault="003838C2" w:rsidP="003838C2">
      <w:pPr>
        <w:ind w:firstLine="567"/>
        <w:jc w:val="both"/>
        <w:rPr>
          <w:bCs/>
        </w:rPr>
      </w:pPr>
      <w:r>
        <w:rPr>
          <w:bCs/>
        </w:rPr>
        <w:t>Týmto uznesením výb</w:t>
      </w:r>
      <w:r w:rsidR="00BB0C2A">
        <w:rPr>
          <w:bCs/>
        </w:rPr>
        <w:t>or zároveň poveril spravodajcu</w:t>
      </w:r>
      <w:r>
        <w:rPr>
          <w:bCs/>
        </w:rPr>
        <w:t xml:space="preserve"> </w:t>
      </w:r>
      <w:r w:rsidR="00BB0C2A">
        <w:rPr>
          <w:bCs/>
        </w:rPr>
        <w:t>Maroša</w:t>
      </w:r>
      <w:r>
        <w:rPr>
          <w:bCs/>
        </w:rPr>
        <w:t xml:space="preserve"> </w:t>
      </w:r>
      <w:proofErr w:type="spellStart"/>
      <w:r w:rsidR="00BB0C2A">
        <w:rPr>
          <w:bCs/>
        </w:rPr>
        <w:t>Kondróta</w:t>
      </w:r>
      <w:proofErr w:type="spellEnd"/>
      <w:r>
        <w:rPr>
          <w:bCs/>
        </w:rPr>
        <w:t>, aby na schôdzi Národnej rady Slovenskej republiky predniesla spoločnú správu o výsledku prerokovania návrhu vo výboroch Národnej rady Slovenskej republiky.</w:t>
      </w:r>
    </w:p>
    <w:p w:rsidR="00E95726" w:rsidRDefault="00E95726" w:rsidP="00E95726">
      <w:pPr>
        <w:ind w:firstLine="567"/>
        <w:jc w:val="both"/>
        <w:rPr>
          <w:bCs/>
        </w:rPr>
      </w:pPr>
    </w:p>
    <w:p w:rsidR="00E95726" w:rsidRDefault="00E95726" w:rsidP="00E95726">
      <w:pPr>
        <w:ind w:firstLine="567"/>
        <w:jc w:val="both"/>
        <w:rPr>
          <w:bCs/>
        </w:rPr>
      </w:pPr>
    </w:p>
    <w:p w:rsidR="00E95726" w:rsidRPr="009F0EF1" w:rsidRDefault="00E95726" w:rsidP="00E95726">
      <w:pPr>
        <w:ind w:firstLine="567"/>
        <w:jc w:val="both"/>
        <w:rPr>
          <w:bCs/>
        </w:rPr>
      </w:pPr>
    </w:p>
    <w:p w:rsidR="00E95726" w:rsidRPr="009F0EF1" w:rsidRDefault="00E95726" w:rsidP="00E95726">
      <w:pPr>
        <w:jc w:val="both"/>
      </w:pPr>
      <w:r w:rsidRPr="009F0EF1">
        <w:t xml:space="preserve">Bratislava </w:t>
      </w:r>
      <w:r w:rsidR="00D02B09">
        <w:t>25</w:t>
      </w:r>
      <w:r w:rsidR="00BB0C2A">
        <w:t>. novembra 2015</w:t>
      </w:r>
    </w:p>
    <w:p w:rsidR="00E95726" w:rsidRDefault="00E95726" w:rsidP="00E95726">
      <w:pPr>
        <w:jc w:val="both"/>
      </w:pPr>
    </w:p>
    <w:p w:rsidR="00E95726" w:rsidRDefault="00E95726" w:rsidP="00E95726">
      <w:pPr>
        <w:jc w:val="both"/>
      </w:pPr>
    </w:p>
    <w:p w:rsidR="00E95726" w:rsidRDefault="00E95726" w:rsidP="00E95726">
      <w:pPr>
        <w:jc w:val="both"/>
      </w:pPr>
    </w:p>
    <w:p w:rsidR="000E3152" w:rsidRDefault="000E3152" w:rsidP="00E95726">
      <w:pPr>
        <w:jc w:val="both"/>
      </w:pPr>
    </w:p>
    <w:p w:rsidR="00E95726" w:rsidRPr="009F0EF1" w:rsidRDefault="00E95726" w:rsidP="00E95726">
      <w:pPr>
        <w:jc w:val="both"/>
      </w:pPr>
    </w:p>
    <w:p w:rsidR="00E95726" w:rsidRPr="009F0EF1" w:rsidRDefault="00FF5583" w:rsidP="00E95726">
      <w:pPr>
        <w:jc w:val="center"/>
        <w:rPr>
          <w:bCs/>
          <w:snapToGrid w:val="0"/>
          <w:lang w:eastAsia="cs-CZ"/>
        </w:rPr>
      </w:pPr>
      <w:r>
        <w:rPr>
          <w:snapToGrid w:val="0"/>
          <w:lang w:eastAsia="cs-CZ"/>
        </w:rPr>
        <w:t>Ján</w:t>
      </w:r>
      <w:r w:rsidR="00E95726" w:rsidRPr="009F0EF1">
        <w:rPr>
          <w:snapToGrid w:val="0"/>
          <w:lang w:eastAsia="cs-CZ"/>
        </w:rPr>
        <w:t xml:space="preserve">  </w:t>
      </w:r>
      <w:r>
        <w:rPr>
          <w:b/>
          <w:bCs/>
          <w:snapToGrid w:val="0"/>
          <w:lang w:eastAsia="cs-CZ"/>
        </w:rPr>
        <w:t xml:space="preserve">H u d a c k ý, </w:t>
      </w:r>
      <w:proofErr w:type="spellStart"/>
      <w:r>
        <w:rPr>
          <w:b/>
          <w:bCs/>
          <w:snapToGrid w:val="0"/>
          <w:lang w:eastAsia="cs-CZ"/>
        </w:rPr>
        <w:t>v.r</w:t>
      </w:r>
      <w:proofErr w:type="spellEnd"/>
      <w:r>
        <w:rPr>
          <w:b/>
          <w:bCs/>
          <w:snapToGrid w:val="0"/>
          <w:lang w:eastAsia="cs-CZ"/>
        </w:rPr>
        <w:t>.</w:t>
      </w:r>
    </w:p>
    <w:p w:rsidR="00D82D35" w:rsidRDefault="00E95726" w:rsidP="00E95726">
      <w:pPr>
        <w:jc w:val="center"/>
        <w:rPr>
          <w:snapToGrid w:val="0"/>
          <w:lang w:eastAsia="cs-CZ"/>
        </w:rPr>
      </w:pPr>
      <w:r w:rsidRPr="009F0EF1">
        <w:rPr>
          <w:snapToGrid w:val="0"/>
          <w:lang w:eastAsia="cs-CZ"/>
        </w:rPr>
        <w:t xml:space="preserve">predseda Výboru NR SR </w:t>
      </w:r>
    </w:p>
    <w:p w:rsidR="00E95726" w:rsidRPr="00D82D35" w:rsidRDefault="00E95726" w:rsidP="00D82D35">
      <w:pPr>
        <w:jc w:val="center"/>
        <w:rPr>
          <w:snapToGrid w:val="0"/>
          <w:lang w:eastAsia="cs-CZ"/>
        </w:rPr>
      </w:pPr>
      <w:r w:rsidRPr="009F0EF1">
        <w:rPr>
          <w:snapToGrid w:val="0"/>
          <w:lang w:eastAsia="cs-CZ"/>
        </w:rPr>
        <w:t>pre</w:t>
      </w:r>
      <w:r w:rsidR="00D82D35">
        <w:rPr>
          <w:snapToGrid w:val="0"/>
          <w:lang w:eastAsia="cs-CZ"/>
        </w:rPr>
        <w:t xml:space="preserve"> </w:t>
      </w:r>
      <w:r>
        <w:rPr>
          <w:snapToGrid w:val="0"/>
          <w:lang w:eastAsia="cs-CZ"/>
        </w:rPr>
        <w:t>hospodárske záležitosti</w:t>
      </w:r>
      <w:r w:rsidRPr="009F0EF1">
        <w:rPr>
          <w:snapToGrid w:val="0"/>
          <w:lang w:eastAsia="cs-CZ"/>
        </w:rPr>
        <w:t xml:space="preserve"> </w:t>
      </w:r>
    </w:p>
    <w:sectPr w:rsidR="00E95726" w:rsidRPr="00D82D3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EE"/>
    <w:family w:val="roman"/>
    <w:pitch w:val="variable"/>
    <w:sig w:usb0="20002A87" w:usb1="00000000" w:usb2="00000000" w:usb3="00000000" w:csb0="000001FF" w:csb1="00000000"/>
  </w:font>
  <w:font w:name="Symbol">
    <w:altName w:val="Times New Roman"/>
    <w:panose1 w:val="05050102010706020507"/>
    <w:charset w:val="02"/>
    <w:family w:val="roman"/>
    <w:pitch w:val="variable"/>
    <w:sig w:usb0="00000000" w:usb1="10000000" w:usb2="00000000" w:usb3="00000000" w:csb0="80000000" w:csb1="00000000"/>
  </w:font>
  <w:font w:name="Courier New">
    <w:altName w:val="Courier New"/>
    <w:panose1 w:val="02070309020205020404"/>
    <w:charset w:val="EE"/>
    <w:family w:val="modern"/>
    <w:pitch w:val="fixed"/>
    <w:sig w:usb0="E0002AFF" w:usb1="C0007843"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Calibri">
    <w:altName w:val="Arial"/>
    <w:panose1 w:val="020F0502020204030204"/>
    <w:charset w:val="EE"/>
    <w:family w:val="swiss"/>
    <w:pitch w:val="variable"/>
    <w:sig w:usb0="E00002FF" w:usb1="4000ACFF" w:usb2="00000001" w:usb3="00000000" w:csb0="0000019F" w:csb1="00000000"/>
  </w:font>
  <w:font w:name="Arial">
    <w:altName w:val="Times New Roman"/>
    <w:panose1 w:val="020B0604020202020204"/>
    <w:charset w:val="EE"/>
    <w:family w:val="swiss"/>
    <w:pitch w:val="variable"/>
    <w:sig w:usb0="20002A87" w:usb1="00000000" w:usb2="00000000" w:usb3="00000000" w:csb0="000001FF" w:csb1="00000000"/>
  </w:font>
  <w:font w:name="AT*Toronto">
    <w:altName w:val="Times New Roman"/>
    <w:panose1 w:val="00000000000000000000"/>
    <w:charset w:val="00"/>
    <w:family w:val="auto"/>
    <w:notTrueType/>
    <w:pitch w:val="variable"/>
    <w:sig w:usb0="00000003" w:usb1="00000000" w:usb2="00000000" w:usb3="00000000" w:csb0="00000001" w:csb1="00000000"/>
  </w:font>
  <w:font w:name="Tahoma">
    <w:altName w:val="Tahoma"/>
    <w:panose1 w:val="020B0604030504040204"/>
    <w:charset w:val="EE"/>
    <w:family w:val="swiss"/>
    <w:pitch w:val="variable"/>
    <w:sig w:usb0="E1002EFF" w:usb1="C000605B" w:usb2="00000029" w:usb3="00000000" w:csb0="000101FF" w:csb1="00000000"/>
  </w:font>
  <w:font w:name="Cambria">
    <w:altName w:val="Palatino Linotype"/>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036626"/>
    <w:multiLevelType w:val="hybridMultilevel"/>
    <w:tmpl w:val="4DEA7A22"/>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
    <w:nsid w:val="27A9416E"/>
    <w:multiLevelType w:val="hybridMultilevel"/>
    <w:tmpl w:val="8A92A880"/>
    <w:lvl w:ilvl="0" w:tplc="7708D42E">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
    <w:nsid w:val="4B8B68D1"/>
    <w:multiLevelType w:val="hybridMultilevel"/>
    <w:tmpl w:val="32CE771A"/>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726"/>
    <w:rsid w:val="00010A25"/>
    <w:rsid w:val="0004163F"/>
    <w:rsid w:val="000E3152"/>
    <w:rsid w:val="001033E5"/>
    <w:rsid w:val="003838C2"/>
    <w:rsid w:val="003B0AF3"/>
    <w:rsid w:val="00584963"/>
    <w:rsid w:val="00673447"/>
    <w:rsid w:val="006A70BF"/>
    <w:rsid w:val="006D38CC"/>
    <w:rsid w:val="009B1163"/>
    <w:rsid w:val="009E16BB"/>
    <w:rsid w:val="00A025D4"/>
    <w:rsid w:val="00A947FB"/>
    <w:rsid w:val="00AB76DE"/>
    <w:rsid w:val="00BB0C2A"/>
    <w:rsid w:val="00D02B09"/>
    <w:rsid w:val="00D82D35"/>
    <w:rsid w:val="00E231D4"/>
    <w:rsid w:val="00E45B30"/>
    <w:rsid w:val="00E71F5A"/>
    <w:rsid w:val="00E95726"/>
    <w:rsid w:val="00F004B9"/>
    <w:rsid w:val="00FF558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E95726"/>
    <w:pPr>
      <w:widowControl w:val="0"/>
      <w:autoSpaceDE w:val="0"/>
      <w:autoSpaceDN w:val="0"/>
      <w:adjustRightInd w:val="0"/>
      <w:spacing w:after="0" w:line="240" w:lineRule="auto"/>
    </w:pPr>
    <w:rPr>
      <w:rFonts w:ascii="Arial" w:eastAsia="Times New Roman" w:hAnsi="Arial" w:cs="Arial"/>
      <w:sz w:val="24"/>
      <w:szCs w:val="24"/>
      <w:lang w:eastAsia="sk-SK"/>
    </w:rPr>
  </w:style>
  <w:style w:type="paragraph" w:styleId="Nadpis1">
    <w:name w:val="heading 1"/>
    <w:basedOn w:val="Normlny"/>
    <w:next w:val="Normlny"/>
    <w:link w:val="Nadpis1Char"/>
    <w:uiPriority w:val="9"/>
    <w:qFormat/>
    <w:rsid w:val="00E95726"/>
    <w:pPr>
      <w:outlineLvl w:val="0"/>
    </w:pPr>
  </w:style>
  <w:style w:type="paragraph" w:styleId="Nadpis2">
    <w:name w:val="heading 2"/>
    <w:basedOn w:val="Normlny"/>
    <w:next w:val="Normlny"/>
    <w:link w:val="Nadpis2Char"/>
    <w:uiPriority w:val="9"/>
    <w:qFormat/>
    <w:rsid w:val="00E95726"/>
    <w:pPr>
      <w:outlineLvl w:val="1"/>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E95726"/>
    <w:rPr>
      <w:rFonts w:ascii="Arial" w:eastAsia="Times New Roman" w:hAnsi="Arial" w:cs="Arial"/>
      <w:sz w:val="24"/>
      <w:szCs w:val="24"/>
      <w:lang w:eastAsia="sk-SK"/>
    </w:rPr>
  </w:style>
  <w:style w:type="character" w:customStyle="1" w:styleId="Nadpis2Char">
    <w:name w:val="Nadpis 2 Char"/>
    <w:basedOn w:val="Predvolenpsmoodseku"/>
    <w:link w:val="Nadpis2"/>
    <w:uiPriority w:val="9"/>
    <w:rsid w:val="00E95726"/>
    <w:rPr>
      <w:rFonts w:ascii="Arial" w:eastAsia="Times New Roman" w:hAnsi="Arial" w:cs="Arial"/>
      <w:sz w:val="24"/>
      <w:szCs w:val="24"/>
      <w:lang w:eastAsia="sk-SK"/>
    </w:rPr>
  </w:style>
  <w:style w:type="character" w:styleId="Siln">
    <w:name w:val="Strong"/>
    <w:basedOn w:val="Predvolenpsmoodseku"/>
    <w:uiPriority w:val="22"/>
    <w:qFormat/>
    <w:rsid w:val="00E95726"/>
    <w:rPr>
      <w:rFonts w:cs="Times New Roman"/>
      <w:b/>
    </w:rPr>
  </w:style>
  <w:style w:type="paragraph" w:styleId="Nzov">
    <w:name w:val="Title"/>
    <w:basedOn w:val="Normlny"/>
    <w:link w:val="NzovChar"/>
    <w:uiPriority w:val="10"/>
    <w:qFormat/>
    <w:rsid w:val="00E95726"/>
    <w:pPr>
      <w:tabs>
        <w:tab w:val="left" w:pos="1800"/>
        <w:tab w:val="center" w:pos="4536"/>
      </w:tabs>
      <w:jc w:val="center"/>
    </w:pPr>
    <w:rPr>
      <w:rFonts w:ascii="AT*Toronto" w:hAnsi="AT*Toronto"/>
      <w:b/>
      <w:bCs/>
      <w:sz w:val="32"/>
      <w:szCs w:val="32"/>
    </w:rPr>
  </w:style>
  <w:style w:type="character" w:customStyle="1" w:styleId="NzovChar">
    <w:name w:val="Názov Char"/>
    <w:basedOn w:val="Predvolenpsmoodseku"/>
    <w:link w:val="Nzov"/>
    <w:uiPriority w:val="10"/>
    <w:rsid w:val="00E95726"/>
    <w:rPr>
      <w:rFonts w:ascii="AT*Toronto" w:eastAsia="Times New Roman" w:hAnsi="AT*Toronto" w:cs="Arial"/>
      <w:b/>
      <w:bCs/>
      <w:sz w:val="32"/>
      <w:szCs w:val="32"/>
      <w:lang w:eastAsia="sk-SK"/>
    </w:rPr>
  </w:style>
  <w:style w:type="character" w:customStyle="1" w:styleId="spanr">
    <w:name w:val="span_r"/>
    <w:rsid w:val="00E95726"/>
  </w:style>
  <w:style w:type="paragraph" w:styleId="Odsekzoznamu">
    <w:name w:val="List Paragraph"/>
    <w:basedOn w:val="Normlny"/>
    <w:uiPriority w:val="34"/>
    <w:qFormat/>
    <w:rsid w:val="009B1163"/>
    <w:pPr>
      <w:ind w:left="720"/>
      <w:contextualSpacing/>
    </w:pPr>
  </w:style>
  <w:style w:type="paragraph" w:styleId="Textpoznmkypodiarou">
    <w:name w:val="footnote text"/>
    <w:basedOn w:val="Normlny"/>
    <w:link w:val="TextpoznmkypodiarouChar"/>
    <w:uiPriority w:val="99"/>
    <w:semiHidden/>
    <w:rsid w:val="00010A25"/>
    <w:pPr>
      <w:widowControl/>
      <w:autoSpaceDE/>
      <w:autoSpaceDN/>
      <w:adjustRightInd/>
      <w:spacing w:before="40"/>
      <w:jc w:val="both"/>
    </w:pPr>
    <w:rPr>
      <w:rFonts w:ascii="Times New Roman" w:hAnsi="Times New Roman" w:cs="Times New Roman"/>
      <w:sz w:val="20"/>
      <w:szCs w:val="20"/>
    </w:rPr>
  </w:style>
  <w:style w:type="character" w:customStyle="1" w:styleId="TextpoznmkypodiarouChar">
    <w:name w:val="Text poznámky pod čiarou Char"/>
    <w:basedOn w:val="Predvolenpsmoodseku"/>
    <w:link w:val="Textpoznmkypodiarou"/>
    <w:uiPriority w:val="99"/>
    <w:semiHidden/>
    <w:rsid w:val="00010A25"/>
    <w:rPr>
      <w:rFonts w:ascii="Times New Roman" w:eastAsia="Times New Roman" w:hAnsi="Times New Roman" w:cs="Times New Roman"/>
      <w:sz w:val="20"/>
      <w:szCs w:val="20"/>
      <w:lang w:eastAsia="sk-SK"/>
    </w:rPr>
  </w:style>
  <w:style w:type="paragraph" w:styleId="Textbubliny">
    <w:name w:val="Balloon Text"/>
    <w:basedOn w:val="Normlny"/>
    <w:link w:val="TextbublinyChar"/>
    <w:uiPriority w:val="99"/>
    <w:semiHidden/>
    <w:unhideWhenUsed/>
    <w:rsid w:val="00D82D35"/>
    <w:rPr>
      <w:rFonts w:ascii="Tahoma" w:hAnsi="Tahoma" w:cs="Tahoma"/>
      <w:sz w:val="16"/>
      <w:szCs w:val="16"/>
    </w:rPr>
  </w:style>
  <w:style w:type="character" w:customStyle="1" w:styleId="TextbublinyChar">
    <w:name w:val="Text bubliny Char"/>
    <w:basedOn w:val="Predvolenpsmoodseku"/>
    <w:link w:val="Textbubliny"/>
    <w:uiPriority w:val="99"/>
    <w:semiHidden/>
    <w:rsid w:val="00D82D35"/>
    <w:rPr>
      <w:rFonts w:ascii="Tahoma" w:eastAsia="Times New Roman" w:hAnsi="Tahoma" w:cs="Tahoma"/>
      <w:sz w:val="16"/>
      <w:szCs w:val="16"/>
      <w:lang w:eastAsia="sk-S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E95726"/>
    <w:pPr>
      <w:widowControl w:val="0"/>
      <w:autoSpaceDE w:val="0"/>
      <w:autoSpaceDN w:val="0"/>
      <w:adjustRightInd w:val="0"/>
      <w:spacing w:after="0" w:line="240" w:lineRule="auto"/>
    </w:pPr>
    <w:rPr>
      <w:rFonts w:ascii="Arial" w:eastAsia="Times New Roman" w:hAnsi="Arial" w:cs="Arial"/>
      <w:sz w:val="24"/>
      <w:szCs w:val="24"/>
      <w:lang w:eastAsia="sk-SK"/>
    </w:rPr>
  </w:style>
  <w:style w:type="paragraph" w:styleId="Nadpis1">
    <w:name w:val="heading 1"/>
    <w:basedOn w:val="Normlny"/>
    <w:next w:val="Normlny"/>
    <w:link w:val="Nadpis1Char"/>
    <w:uiPriority w:val="9"/>
    <w:qFormat/>
    <w:rsid w:val="00E95726"/>
    <w:pPr>
      <w:outlineLvl w:val="0"/>
    </w:pPr>
  </w:style>
  <w:style w:type="paragraph" w:styleId="Nadpis2">
    <w:name w:val="heading 2"/>
    <w:basedOn w:val="Normlny"/>
    <w:next w:val="Normlny"/>
    <w:link w:val="Nadpis2Char"/>
    <w:uiPriority w:val="9"/>
    <w:qFormat/>
    <w:rsid w:val="00E95726"/>
    <w:pPr>
      <w:outlineLvl w:val="1"/>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E95726"/>
    <w:rPr>
      <w:rFonts w:ascii="Arial" w:eastAsia="Times New Roman" w:hAnsi="Arial" w:cs="Arial"/>
      <w:sz w:val="24"/>
      <w:szCs w:val="24"/>
      <w:lang w:eastAsia="sk-SK"/>
    </w:rPr>
  </w:style>
  <w:style w:type="character" w:customStyle="1" w:styleId="Nadpis2Char">
    <w:name w:val="Nadpis 2 Char"/>
    <w:basedOn w:val="Predvolenpsmoodseku"/>
    <w:link w:val="Nadpis2"/>
    <w:uiPriority w:val="9"/>
    <w:rsid w:val="00E95726"/>
    <w:rPr>
      <w:rFonts w:ascii="Arial" w:eastAsia="Times New Roman" w:hAnsi="Arial" w:cs="Arial"/>
      <w:sz w:val="24"/>
      <w:szCs w:val="24"/>
      <w:lang w:eastAsia="sk-SK"/>
    </w:rPr>
  </w:style>
  <w:style w:type="character" w:styleId="Siln">
    <w:name w:val="Strong"/>
    <w:basedOn w:val="Predvolenpsmoodseku"/>
    <w:uiPriority w:val="22"/>
    <w:qFormat/>
    <w:rsid w:val="00E95726"/>
    <w:rPr>
      <w:rFonts w:cs="Times New Roman"/>
      <w:b/>
    </w:rPr>
  </w:style>
  <w:style w:type="paragraph" w:styleId="Nzov">
    <w:name w:val="Title"/>
    <w:basedOn w:val="Normlny"/>
    <w:link w:val="NzovChar"/>
    <w:uiPriority w:val="10"/>
    <w:qFormat/>
    <w:rsid w:val="00E95726"/>
    <w:pPr>
      <w:tabs>
        <w:tab w:val="left" w:pos="1800"/>
        <w:tab w:val="center" w:pos="4536"/>
      </w:tabs>
      <w:jc w:val="center"/>
    </w:pPr>
    <w:rPr>
      <w:rFonts w:ascii="AT*Toronto" w:hAnsi="AT*Toronto"/>
      <w:b/>
      <w:bCs/>
      <w:sz w:val="32"/>
      <w:szCs w:val="32"/>
    </w:rPr>
  </w:style>
  <w:style w:type="character" w:customStyle="1" w:styleId="NzovChar">
    <w:name w:val="Názov Char"/>
    <w:basedOn w:val="Predvolenpsmoodseku"/>
    <w:link w:val="Nzov"/>
    <w:uiPriority w:val="10"/>
    <w:rsid w:val="00E95726"/>
    <w:rPr>
      <w:rFonts w:ascii="AT*Toronto" w:eastAsia="Times New Roman" w:hAnsi="AT*Toronto" w:cs="Arial"/>
      <w:b/>
      <w:bCs/>
      <w:sz w:val="32"/>
      <w:szCs w:val="32"/>
      <w:lang w:eastAsia="sk-SK"/>
    </w:rPr>
  </w:style>
  <w:style w:type="character" w:customStyle="1" w:styleId="spanr">
    <w:name w:val="span_r"/>
    <w:rsid w:val="00E95726"/>
  </w:style>
  <w:style w:type="paragraph" w:styleId="Odsekzoznamu">
    <w:name w:val="List Paragraph"/>
    <w:basedOn w:val="Normlny"/>
    <w:uiPriority w:val="34"/>
    <w:qFormat/>
    <w:rsid w:val="009B1163"/>
    <w:pPr>
      <w:ind w:left="720"/>
      <w:contextualSpacing/>
    </w:pPr>
  </w:style>
  <w:style w:type="paragraph" w:styleId="Textpoznmkypodiarou">
    <w:name w:val="footnote text"/>
    <w:basedOn w:val="Normlny"/>
    <w:link w:val="TextpoznmkypodiarouChar"/>
    <w:uiPriority w:val="99"/>
    <w:semiHidden/>
    <w:rsid w:val="00010A25"/>
    <w:pPr>
      <w:widowControl/>
      <w:autoSpaceDE/>
      <w:autoSpaceDN/>
      <w:adjustRightInd/>
      <w:spacing w:before="40"/>
      <w:jc w:val="both"/>
    </w:pPr>
    <w:rPr>
      <w:rFonts w:ascii="Times New Roman" w:hAnsi="Times New Roman" w:cs="Times New Roman"/>
      <w:sz w:val="20"/>
      <w:szCs w:val="20"/>
    </w:rPr>
  </w:style>
  <w:style w:type="character" w:customStyle="1" w:styleId="TextpoznmkypodiarouChar">
    <w:name w:val="Text poznámky pod čiarou Char"/>
    <w:basedOn w:val="Predvolenpsmoodseku"/>
    <w:link w:val="Textpoznmkypodiarou"/>
    <w:uiPriority w:val="99"/>
    <w:semiHidden/>
    <w:rsid w:val="00010A25"/>
    <w:rPr>
      <w:rFonts w:ascii="Times New Roman" w:eastAsia="Times New Roman" w:hAnsi="Times New Roman" w:cs="Times New Roman"/>
      <w:sz w:val="20"/>
      <w:szCs w:val="20"/>
      <w:lang w:eastAsia="sk-SK"/>
    </w:rPr>
  </w:style>
  <w:style w:type="paragraph" w:styleId="Textbubliny">
    <w:name w:val="Balloon Text"/>
    <w:basedOn w:val="Normlny"/>
    <w:link w:val="TextbublinyChar"/>
    <w:uiPriority w:val="99"/>
    <w:semiHidden/>
    <w:unhideWhenUsed/>
    <w:rsid w:val="00D82D35"/>
    <w:rPr>
      <w:rFonts w:ascii="Tahoma" w:hAnsi="Tahoma" w:cs="Tahoma"/>
      <w:sz w:val="16"/>
      <w:szCs w:val="16"/>
    </w:rPr>
  </w:style>
  <w:style w:type="character" w:customStyle="1" w:styleId="TextbublinyChar">
    <w:name w:val="Text bubliny Char"/>
    <w:basedOn w:val="Predvolenpsmoodseku"/>
    <w:link w:val="Textbubliny"/>
    <w:uiPriority w:val="99"/>
    <w:semiHidden/>
    <w:rsid w:val="00D82D35"/>
    <w:rPr>
      <w:rFonts w:ascii="Tahoma" w:eastAsia="Times New Roman" w:hAnsi="Tahoma" w:cs="Tahoma"/>
      <w:sz w:val="16"/>
      <w:szCs w:val="16"/>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1411458">
      <w:bodyDiv w:val="1"/>
      <w:marLeft w:val="0"/>
      <w:marRight w:val="0"/>
      <w:marTop w:val="0"/>
      <w:marBottom w:val="0"/>
      <w:divBdr>
        <w:top w:val="none" w:sz="0" w:space="0" w:color="auto"/>
        <w:left w:val="none" w:sz="0" w:space="0" w:color="auto"/>
        <w:bottom w:val="none" w:sz="0" w:space="0" w:color="auto"/>
        <w:right w:val="none" w:sz="0" w:space="0" w:color="auto"/>
      </w:divBdr>
    </w:div>
    <w:div w:id="1718628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TotalTime>
  <Pages>3</Pages>
  <Words>743</Words>
  <Characters>4236</Characters>
  <Application>Microsoft Office Word</Application>
  <DocSecurity>0</DocSecurity>
  <Lines>35</Lines>
  <Paragraphs>9</Paragraphs>
  <ScaleCrop>false</ScaleCrop>
  <HeadingPairs>
    <vt:vector size="2" baseType="variant">
      <vt:variant>
        <vt:lpstr>Názov</vt:lpstr>
      </vt:variant>
      <vt:variant>
        <vt:i4>1</vt:i4>
      </vt:variant>
    </vt:vector>
  </HeadingPairs>
  <TitlesOfParts>
    <vt:vector size="1" baseType="lpstr">
      <vt:lpstr/>
    </vt:vector>
  </TitlesOfParts>
  <Company>Kancelaria NR SR</Company>
  <LinksUpToDate>false</LinksUpToDate>
  <CharactersWithSpaces>4970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Kičinová, Eva, JUDr.</dc:creator>
  <cp:lastModifiedBy>Kičinová, Eva, JUDr.</cp:lastModifiedBy>
  <cp:revision>20</cp:revision>
  <cp:lastPrinted>2015-11-25T09:45:00Z</cp:lastPrinted>
  <dcterms:created xsi:type="dcterms:W3CDTF">2014-07-03T09:11:00Z</dcterms:created>
  <dcterms:modified xsi:type="dcterms:W3CDTF">2015-11-25T14:26:00Z</dcterms:modified>
</cp:coreProperties>
</file>