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3C04" w:rsidRPr="0048210C" w:rsidP="00C23C04">
      <w:pPr>
        <w:pStyle w:val="Zkladntext"/>
        <w:bidi w:val="0"/>
        <w:jc w:val="center"/>
        <w:rPr>
          <w:rFonts w:ascii="Times New Roman" w:hAnsi="Times New Roman"/>
          <w:b/>
          <w:color w:val="auto"/>
          <w:szCs w:val="24"/>
          <w:lang w:val="sk-SK" w:eastAsia="en-US"/>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xml:space="preserve">z  </w:t>
      </w:r>
      <w:r>
        <w:rPr>
          <w:rFonts w:ascii="Times New Roman" w:hAnsi="Times New Roman"/>
          <w:b/>
          <w:sz w:val="24"/>
          <w:szCs w:val="24"/>
        </w:rPr>
        <w:t>10</w:t>
      </w:r>
      <w:r w:rsidRPr="0048210C">
        <w:rPr>
          <w:rFonts w:ascii="Times New Roman" w:hAnsi="Times New Roman"/>
          <w:b/>
          <w:sz w:val="24"/>
          <w:szCs w:val="24"/>
        </w:rPr>
        <w:t>. novembra 2015</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xml:space="preserve">o finančných nástrojoch financovaných z európskych štrukturálnych </w:t>
      </w: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a investičných fondov a o zmene a doplnení niektorých zákonov</w:t>
      </w:r>
    </w:p>
    <w:p w:rsidR="00C23C04" w:rsidRPr="0048210C" w:rsidP="00C23C04">
      <w:pPr>
        <w:bidi w:val="0"/>
        <w:spacing w:after="0" w:line="240" w:lineRule="auto"/>
        <w:jc w:val="center"/>
        <w:rPr>
          <w:rFonts w:ascii="Times New Roman" w:hAnsi="Times New Roman"/>
          <w:b/>
          <w:sz w:val="24"/>
          <w:szCs w:val="24"/>
        </w:rPr>
      </w:pPr>
    </w:p>
    <w:p w:rsidR="00C23C04" w:rsidP="00C23C04">
      <w:pPr>
        <w:widowControl w:val="0"/>
        <w:bidi w:val="0"/>
        <w:spacing w:after="0" w:line="240" w:lineRule="auto"/>
        <w:ind w:firstLine="426"/>
        <w:rPr>
          <w:rFonts w:ascii="Times New Roman" w:hAnsi="Times New Roman"/>
          <w:bCs/>
          <w:sz w:val="24"/>
          <w:szCs w:val="24"/>
        </w:rPr>
      </w:pPr>
      <w:r w:rsidRPr="0048210C">
        <w:rPr>
          <w:rFonts w:ascii="Times New Roman" w:hAnsi="Times New Roman"/>
          <w:bCs/>
          <w:sz w:val="24"/>
          <w:szCs w:val="24"/>
        </w:rPr>
        <w:t>Národná rada Slovenskej republiky sa uzniesla na tomto zákone:</w:t>
      </w:r>
    </w:p>
    <w:p w:rsidR="00C23C04" w:rsidRPr="0048210C" w:rsidP="00C23C04">
      <w:pPr>
        <w:widowControl w:val="0"/>
        <w:bidi w:val="0"/>
        <w:spacing w:after="0" w:line="240" w:lineRule="auto"/>
        <w:ind w:firstLine="426"/>
        <w:rPr>
          <w:rFonts w:ascii="Times New Roman" w:hAnsi="Times New Roman"/>
          <w:bCs/>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Čl. I</w:t>
      </w:r>
    </w:p>
    <w:p w:rsidR="00C23C04" w:rsidRPr="0048210C" w:rsidP="00C23C04">
      <w:pPr>
        <w:bidi w:val="0"/>
        <w:spacing w:after="0" w:line="240" w:lineRule="auto"/>
        <w:jc w:val="center"/>
        <w:rPr>
          <w:rFonts w:ascii="Times New Roman" w:hAnsi="Times New Roman"/>
          <w:b/>
          <w:sz w:val="24"/>
          <w:szCs w:val="24"/>
        </w:rPr>
      </w:pPr>
    </w:p>
    <w:p w:rsidR="00C23C04" w:rsidRPr="00A773C1" w:rsidP="00C23C04">
      <w:pPr>
        <w:bidi w:val="0"/>
        <w:spacing w:after="0" w:line="240" w:lineRule="auto"/>
        <w:jc w:val="center"/>
        <w:rPr>
          <w:rFonts w:ascii="Times New Roman" w:hAnsi="Times New Roman"/>
          <w:b/>
          <w:sz w:val="24"/>
          <w:szCs w:val="24"/>
        </w:rPr>
      </w:pPr>
      <w:r w:rsidRPr="00A773C1">
        <w:rPr>
          <w:rFonts w:ascii="Times New Roman" w:hAnsi="Times New Roman"/>
          <w:b/>
          <w:sz w:val="24"/>
          <w:szCs w:val="24"/>
        </w:rPr>
        <w:t>Všeobecné ustanovenia</w:t>
      </w:r>
    </w:p>
    <w:p w:rsidR="00C23C04" w:rsidRPr="0048210C" w:rsidP="00C23C04">
      <w:pPr>
        <w:bidi w:val="0"/>
        <w:spacing w:after="0" w:line="240" w:lineRule="auto"/>
        <w:jc w:val="center"/>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Predmet zákona</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25"/>
        </w:numPr>
        <w:bidi w:val="0"/>
        <w:spacing w:after="0" w:line="240" w:lineRule="auto"/>
        <w:jc w:val="both"/>
        <w:rPr>
          <w:rFonts w:ascii="Times New Roman" w:hAnsi="Times New Roman"/>
          <w:sz w:val="24"/>
          <w:szCs w:val="24"/>
        </w:rPr>
      </w:pPr>
      <w:r w:rsidRPr="0048210C">
        <w:rPr>
          <w:rFonts w:ascii="Times New Roman" w:hAnsi="Times New Roman"/>
          <w:sz w:val="24"/>
          <w:szCs w:val="24"/>
        </w:rPr>
        <w:t>Tento zákon upravuje postupy a právne vzťahy pri poskytovaní príspevku na finančný nástroj, vrátení príspevku na finančný nástroj a pri vykonávaní finančných nástrojov v programovom období 2014 – 2020 a pôsobnosť orgánov verejnej správy pri poskytovaní  príspevku na finančný nástroj, vrátení príspevku na finančný nástroj a pri vykonávaní finančných nástrojov.</w:t>
      </w:r>
    </w:p>
    <w:p w:rsidR="00C23C04" w:rsidRPr="00AB6E1A" w:rsidP="00C23C04">
      <w:pPr>
        <w:pStyle w:val="ListParagraph"/>
        <w:numPr>
          <w:numId w:val="25"/>
        </w:numPr>
        <w:bidi w:val="0"/>
        <w:spacing w:after="0" w:line="240" w:lineRule="auto"/>
        <w:jc w:val="both"/>
        <w:rPr>
          <w:rFonts w:ascii="Times New Roman" w:hAnsi="Times New Roman"/>
          <w:sz w:val="24"/>
          <w:szCs w:val="24"/>
        </w:rPr>
      </w:pPr>
      <w:r w:rsidRPr="00AB6E1A">
        <w:rPr>
          <w:rFonts w:ascii="Times New Roman" w:hAnsi="Times New Roman"/>
          <w:bCs/>
          <w:sz w:val="24"/>
          <w:szCs w:val="24"/>
        </w:rPr>
        <w:t>Ak tento zákon neustanovuje inak, na poskytnutie príspevku na finančný nástroj, vrátenie príspevku na finančný nástroj a na vykonávanie finančných nástrojov sa vzťahujú ustanovenia osobitného predpisu.</w:t>
      </w:r>
      <w:r w:rsidRPr="00AB6E1A">
        <w:rPr>
          <w:rFonts w:ascii="Times New Roman" w:hAnsi="Times New Roman"/>
          <w:bCs/>
          <w:sz w:val="24"/>
          <w:szCs w:val="24"/>
          <w:vertAlign w:val="superscript"/>
        </w:rPr>
        <w:t>1</w:t>
      </w:r>
      <w:r w:rsidRPr="00AB6E1A">
        <w:rPr>
          <w:rFonts w:ascii="Times New Roman" w:hAnsi="Times New Roman"/>
          <w:bCs/>
          <w:sz w:val="24"/>
          <w:szCs w:val="24"/>
        </w:rPr>
        <w:t>) Na poskytnutie príspevku na finančný nástroj, vrátenie príspevku na finančný nástroj a na vykonávanie finančných nástrojov sa nevzťahujú § 3 ods. 1 písm. b) až d), ods. 2 písm. c), d) a g), § 12 až 15, § 16 ods. 2 a 3, § 17 až 32, § 36, 41, 43, 48 a 51 osobitného predpisu.</w:t>
      </w:r>
      <w:r>
        <w:rPr>
          <w:rStyle w:val="FootnoteReference"/>
          <w:rFonts w:ascii="Times New Roman" w:hAnsi="Times New Roman"/>
          <w:sz w:val="24"/>
          <w:szCs w:val="24"/>
          <w:rtl w:val="0"/>
        </w:rPr>
        <w:footnoteReference w:id="2"/>
      </w:r>
      <w:r w:rsidRPr="00AB6E1A">
        <w:rPr>
          <w:rFonts w:ascii="Times New Roman" w:hAnsi="Times New Roman"/>
          <w:sz w:val="24"/>
          <w:szCs w:val="24"/>
        </w:rPr>
        <w:t xml:space="preserve">) </w:t>
      </w:r>
    </w:p>
    <w:p w:rsidR="00C23C04" w:rsidRPr="0048210C" w:rsidP="00C23C04">
      <w:pPr>
        <w:bidi w:val="0"/>
        <w:spacing w:after="0" w:line="240" w:lineRule="auto"/>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2</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Európske štrukturálne a investičné fondy</w:t>
      </w: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Európskymi štrukturálnymi a investičnými fondmi, z ktorých je poskytovaný príspevok na finančný nástroj, sú Európsky fond regionálneho rozvoja,</w:t>
      </w:r>
      <w:r>
        <w:rPr>
          <w:rStyle w:val="FootnoteReference"/>
          <w:rFonts w:ascii="Times New Roman" w:hAnsi="Times New Roman"/>
          <w:sz w:val="24"/>
          <w:szCs w:val="24"/>
          <w:rtl w:val="0"/>
        </w:rPr>
        <w:footnoteReference w:id="3"/>
      </w:r>
      <w:r>
        <w:rPr>
          <w:rFonts w:ascii="Times New Roman" w:hAnsi="Times New Roman"/>
          <w:sz w:val="24"/>
          <w:szCs w:val="24"/>
        </w:rPr>
        <w:t>)</w:t>
      </w:r>
      <w:r w:rsidRPr="0048210C">
        <w:rPr>
          <w:rFonts w:ascii="Times New Roman" w:hAnsi="Times New Roman"/>
          <w:sz w:val="24"/>
          <w:szCs w:val="24"/>
        </w:rPr>
        <w:t xml:space="preserve"> Európsky sociálny fond</w:t>
      </w:r>
      <w:r>
        <w:rPr>
          <w:rStyle w:val="FootnoteReference"/>
          <w:rFonts w:ascii="Times New Roman" w:hAnsi="Times New Roman"/>
          <w:sz w:val="24"/>
          <w:szCs w:val="24"/>
          <w:rtl w:val="0"/>
        </w:rPr>
        <w:footnoteReference w:id="4"/>
      </w:r>
      <w:r>
        <w:rPr>
          <w:rFonts w:ascii="Times New Roman" w:hAnsi="Times New Roman"/>
          <w:sz w:val="24"/>
          <w:szCs w:val="24"/>
        </w:rPr>
        <w:t>)</w:t>
      </w:r>
      <w:r w:rsidRPr="0048210C">
        <w:rPr>
          <w:rFonts w:ascii="Times New Roman" w:hAnsi="Times New Roman"/>
          <w:sz w:val="24"/>
          <w:szCs w:val="24"/>
        </w:rPr>
        <w:t xml:space="preserve"> a Kohézny fond.</w:t>
      </w:r>
      <w:r>
        <w:rPr>
          <w:rStyle w:val="FootnoteReference"/>
          <w:rFonts w:ascii="Times New Roman" w:hAnsi="Times New Roman"/>
          <w:sz w:val="24"/>
          <w:szCs w:val="24"/>
          <w:rtl w:val="0"/>
        </w:rPr>
        <w:footnoteReference w:id="5"/>
      </w:r>
      <w:r>
        <w:rPr>
          <w:rFonts w:ascii="Times New Roman" w:hAnsi="Times New Roman"/>
          <w:sz w:val="24"/>
          <w:szCs w:val="24"/>
        </w:rPr>
        <w:t>)</w:t>
      </w:r>
      <w:r w:rsidRPr="0048210C">
        <w:rPr>
          <w:rFonts w:ascii="Times New Roman" w:hAnsi="Times New Roman"/>
          <w:sz w:val="24"/>
          <w:szCs w:val="24"/>
        </w:rPr>
        <w:tab/>
      </w: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3</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Základné ustanovenia</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Na účely tohto zákona sa rozumie</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príspevkom na finančný nástroj finančné prostriedky poskytované z európskych štrukturálnych a investičných fondov a finančné prostriedky poskytované zo štátneho rozpočtu určené na financovanie spoločných programov Slovenskej republiky a Európskej únie,</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finančným nástrojom opatrenie podľa osobitného predpisu</w:t>
      </w:r>
      <w:r>
        <w:rPr>
          <w:rFonts w:ascii="Times New Roman" w:hAnsi="Times New Roman"/>
          <w:sz w:val="24"/>
          <w:szCs w:val="24"/>
        </w:rPr>
        <w:t>;</w:t>
      </w:r>
      <w:r>
        <w:rPr>
          <w:rStyle w:val="FootnoteReference"/>
          <w:rFonts w:ascii="Times New Roman" w:hAnsi="Times New Roman"/>
          <w:sz w:val="24"/>
          <w:szCs w:val="24"/>
          <w:rtl w:val="0"/>
        </w:rPr>
        <w:footnoteReference w:id="6"/>
      </w:r>
      <w:r w:rsidRPr="0048210C">
        <w:rPr>
          <w:rFonts w:ascii="Times New Roman" w:hAnsi="Times New Roman"/>
          <w:sz w:val="24"/>
          <w:szCs w:val="24"/>
        </w:rPr>
        <w:t>) finančné prostriedky poskytované z finančného nástroja sú návratnou formou pomoci,</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systémom riadenia finančných nástrojov súhrn pravidiel, postupov a činností, ktoré sa uplatňujú pri poskytovaní príspevku na finančné nástroje, najmä pri spôsobe a postupe poskytovania príspevku na finančný nástroj, kontrole finančných nástrojov, monitorovaní finančných nástrojov, posudzovaní konfliktu záujmov, zverejňovaní informácií a spracúvaní osobných údajov,</w:t>
      </w:r>
    </w:p>
    <w:p w:rsidR="00C23C04"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vykonávaním finančných nástrojov súhrn činností na základe zmluvy o financovaní smerujúci k poskytnutiu návratnej pomoci konečnému prijímateľovi a k zabezpečeniu cieľov spoločných programov Slovenskej republiky a Európskej únie,</w:t>
      </w:r>
    </w:p>
    <w:p w:rsidR="00C23C04" w:rsidRPr="007C7201" w:rsidP="00C23C04">
      <w:pPr>
        <w:pStyle w:val="ListParagraph"/>
        <w:numPr>
          <w:numId w:val="1"/>
        </w:numPr>
        <w:bidi w:val="0"/>
        <w:spacing w:after="0" w:line="240" w:lineRule="auto"/>
        <w:ind w:left="709" w:hanging="425"/>
        <w:jc w:val="both"/>
        <w:rPr>
          <w:rFonts w:ascii="Times New Roman" w:hAnsi="Times New Roman"/>
          <w:bCs/>
          <w:sz w:val="24"/>
          <w:szCs w:val="24"/>
        </w:rPr>
      </w:pPr>
      <w:r w:rsidRPr="007C7201">
        <w:rPr>
          <w:rFonts w:ascii="Times New Roman" w:hAnsi="Times New Roman"/>
          <w:bCs/>
          <w:sz w:val="24"/>
          <w:szCs w:val="24"/>
        </w:rPr>
        <w:t xml:space="preserve">poskytovateľom riadiaci orgán, ktorý poskytne príspevok na finančný nástroj alebo sprostredkovateľský orgán, ak ho tým poveril riadiaci orgán, </w:t>
      </w:r>
    </w:p>
    <w:p w:rsidR="00C23C04" w:rsidRPr="007C7201" w:rsidP="00C23C04">
      <w:pPr>
        <w:pStyle w:val="ListParagraph"/>
        <w:numPr>
          <w:numId w:val="1"/>
        </w:numPr>
        <w:bidi w:val="0"/>
        <w:spacing w:after="0" w:line="240" w:lineRule="auto"/>
        <w:ind w:left="709" w:hanging="425"/>
        <w:jc w:val="both"/>
        <w:rPr>
          <w:rFonts w:ascii="Times New Roman" w:hAnsi="Times New Roman"/>
          <w:sz w:val="24"/>
          <w:szCs w:val="24"/>
        </w:rPr>
      </w:pPr>
      <w:r w:rsidRPr="007C7201">
        <w:rPr>
          <w:rFonts w:ascii="Times New Roman" w:hAnsi="Times New Roman"/>
          <w:bCs/>
          <w:sz w:val="24"/>
          <w:szCs w:val="24"/>
        </w:rPr>
        <w:t>orgánom vykonávajúcim finančné nástroje prijímateľ alebo finančný sprostredkovateľ,</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 xml:space="preserve">prijímateľom právnická osoba, </w:t>
      </w:r>
      <w:r w:rsidRPr="002260DB">
        <w:rPr>
          <w:rFonts w:ascii="Times New Roman" w:hAnsi="Times New Roman"/>
          <w:bCs/>
          <w:sz w:val="24"/>
          <w:szCs w:val="24"/>
        </w:rPr>
        <w:t>ktorej bol poskytnutý poskytovateľom</w:t>
      </w:r>
      <w:r w:rsidRPr="0048210C">
        <w:rPr>
          <w:rFonts w:ascii="Times New Roman" w:hAnsi="Times New Roman"/>
          <w:sz w:val="24"/>
          <w:szCs w:val="24"/>
        </w:rPr>
        <w:t xml:space="preserve"> </w:t>
      </w:r>
      <w:r w:rsidRPr="0048210C">
        <w:rPr>
          <w:rFonts w:ascii="Times New Roman" w:hAnsi="Times New Roman"/>
          <w:sz w:val="24"/>
          <w:szCs w:val="24"/>
        </w:rPr>
        <w:t>príspevok na finančný nástroj na základe zmluvy o financovaní; prijímateľom môže byť fond fondov a právnická osoba vykonávajúca finančné nástroje podľa § 13 ods. 2 písm. a),</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finančným sprostredkovateľom právnická osoba, ktorú prijímateľ poveril vykonávaním finančných nástrojov na základe zmluvy s finančným sprostredkovateľom,</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fondom fondov alternatívny investičný fond podľa osobitného predpisu;</w:t>
      </w:r>
      <w:r>
        <w:rPr>
          <w:rStyle w:val="FootnoteReference"/>
          <w:rFonts w:ascii="Times New Roman" w:hAnsi="Times New Roman"/>
          <w:sz w:val="24"/>
          <w:szCs w:val="24"/>
          <w:rtl w:val="0"/>
        </w:rPr>
        <w:footnoteReference w:id="7"/>
      </w:r>
      <w:r w:rsidRPr="0048210C">
        <w:rPr>
          <w:rFonts w:ascii="Times New Roman" w:hAnsi="Times New Roman"/>
          <w:sz w:val="24"/>
          <w:szCs w:val="24"/>
        </w:rPr>
        <w:t>) ak je fond fondov prijímateľom spravovaným správcom fondu fondov,</w:t>
      </w:r>
      <w:r>
        <w:rPr>
          <w:rStyle w:val="FootnoteReference"/>
          <w:rFonts w:ascii="Times New Roman" w:hAnsi="Times New Roman"/>
          <w:sz w:val="24"/>
          <w:szCs w:val="24"/>
          <w:rtl w:val="0"/>
        </w:rPr>
        <w:footnoteReference w:id="8"/>
      </w:r>
      <w:r w:rsidRPr="0048210C">
        <w:rPr>
          <w:rFonts w:ascii="Times New Roman" w:hAnsi="Times New Roman"/>
          <w:sz w:val="24"/>
          <w:szCs w:val="24"/>
        </w:rPr>
        <w:t xml:space="preserve">) môže na základe zmluvy poveriť výkonom úloh prijímateľa správcu fondu fondov, </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správcom fondu fondov správcovská spoločnosť podľa osobitného predpisu,</w:t>
      </w:r>
      <w:r>
        <w:rPr>
          <w:rStyle w:val="FootnoteReference"/>
          <w:rFonts w:ascii="Times New Roman" w:hAnsi="Times New Roman"/>
          <w:sz w:val="24"/>
          <w:szCs w:val="24"/>
          <w:rtl w:val="0"/>
        </w:rPr>
        <w:footnoteReference w:id="9"/>
      </w:r>
      <w:r w:rsidRPr="0048210C">
        <w:rPr>
          <w:rFonts w:ascii="Times New Roman" w:hAnsi="Times New Roman"/>
          <w:sz w:val="24"/>
          <w:szCs w:val="24"/>
        </w:rPr>
        <w:t xml:space="preserve">) </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konečným prijímateľom osoba podľa osobitného predpisu,</w:t>
      </w:r>
      <w:r>
        <w:rPr>
          <w:rStyle w:val="FootnoteReference"/>
          <w:rFonts w:ascii="Times New Roman" w:hAnsi="Times New Roman"/>
          <w:sz w:val="24"/>
          <w:szCs w:val="24"/>
          <w:rtl w:val="0"/>
        </w:rPr>
        <w:footnoteReference w:id="10"/>
      </w:r>
      <w:r w:rsidRPr="0048210C">
        <w:rPr>
          <w:rFonts w:ascii="Times New Roman" w:hAnsi="Times New Roman"/>
          <w:sz w:val="24"/>
          <w:szCs w:val="24"/>
        </w:rPr>
        <w:t>)</w:t>
      </w:r>
    </w:p>
    <w:p w:rsidR="00C23C04" w:rsidRPr="0048210C" w:rsidP="00C23C04">
      <w:pPr>
        <w:pStyle w:val="ListParagraph"/>
        <w:numPr>
          <w:numId w:val="1"/>
        </w:numPr>
        <w:bidi w:val="0"/>
        <w:spacing w:after="0" w:line="240" w:lineRule="auto"/>
        <w:ind w:left="709" w:hanging="425"/>
        <w:jc w:val="both"/>
        <w:rPr>
          <w:rFonts w:ascii="Times New Roman" w:hAnsi="Times New Roman"/>
          <w:sz w:val="24"/>
          <w:szCs w:val="24"/>
        </w:rPr>
      </w:pPr>
      <w:r w:rsidRPr="0048210C">
        <w:rPr>
          <w:rFonts w:ascii="Times New Roman" w:hAnsi="Times New Roman"/>
          <w:sz w:val="24"/>
          <w:szCs w:val="24"/>
        </w:rPr>
        <w:t>operáciou súhrn činností podľa osobitného predpisu.</w:t>
      </w:r>
      <w:r>
        <w:rPr>
          <w:rStyle w:val="FootnoteReference"/>
          <w:rFonts w:ascii="Times New Roman" w:hAnsi="Times New Roman"/>
          <w:sz w:val="24"/>
          <w:szCs w:val="24"/>
          <w:rtl w:val="0"/>
        </w:rPr>
        <w:footnoteReference w:id="11"/>
      </w:r>
      <w:r w:rsidRPr="0048210C">
        <w:rPr>
          <w:rFonts w:ascii="Times New Roman" w:hAnsi="Times New Roman"/>
          <w:sz w:val="24"/>
          <w:szCs w:val="24"/>
        </w:rPr>
        <w:t>)</w:t>
      </w:r>
    </w:p>
    <w:p w:rsidR="00C23C04" w:rsidRPr="00792A42" w:rsidP="00C23C04">
      <w:pPr>
        <w:bidi w:val="0"/>
        <w:spacing w:after="0" w:line="240" w:lineRule="auto"/>
        <w:jc w:val="center"/>
        <w:rPr>
          <w:rFonts w:ascii="Times New Roman" w:hAnsi="Times New Roman"/>
          <w:b/>
          <w:sz w:val="24"/>
          <w:szCs w:val="24"/>
        </w:rPr>
      </w:pPr>
      <w:r w:rsidRPr="00792A42">
        <w:rPr>
          <w:rFonts w:ascii="Times New Roman" w:hAnsi="Times New Roman"/>
          <w:b/>
          <w:sz w:val="24"/>
          <w:szCs w:val="24"/>
        </w:rPr>
        <w:t>Pôsobnosť orgánov</w:t>
      </w:r>
    </w:p>
    <w:p w:rsidR="00C23C04" w:rsidRPr="0048210C" w:rsidP="00C23C04">
      <w:pPr>
        <w:bidi w:val="0"/>
        <w:spacing w:after="0" w:line="240" w:lineRule="auto"/>
        <w:jc w:val="center"/>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4</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Vláda Slovenskej republiky</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2"/>
        </w:numPr>
        <w:bidi w:val="0"/>
        <w:spacing w:after="0" w:line="240" w:lineRule="auto"/>
        <w:jc w:val="both"/>
        <w:rPr>
          <w:rFonts w:ascii="Times New Roman" w:hAnsi="Times New Roman"/>
          <w:sz w:val="24"/>
          <w:szCs w:val="24"/>
        </w:rPr>
      </w:pPr>
      <w:r w:rsidRPr="0048210C">
        <w:rPr>
          <w:rFonts w:ascii="Times New Roman" w:hAnsi="Times New Roman"/>
          <w:sz w:val="24"/>
          <w:szCs w:val="24"/>
        </w:rPr>
        <w:t>Vláda Slovenskej republiky plní úlohy podľa osobitného predpisu</w:t>
      </w:r>
      <w:r>
        <w:rPr>
          <w:rStyle w:val="FootnoteReference"/>
          <w:rFonts w:ascii="Times New Roman" w:hAnsi="Times New Roman"/>
          <w:sz w:val="24"/>
          <w:szCs w:val="24"/>
          <w:rtl w:val="0"/>
        </w:rPr>
        <w:footnoteReference w:id="12"/>
      </w:r>
      <w:r w:rsidRPr="0048210C">
        <w:rPr>
          <w:rFonts w:ascii="Times New Roman" w:hAnsi="Times New Roman"/>
          <w:sz w:val="24"/>
          <w:szCs w:val="24"/>
        </w:rPr>
        <w:t>) aj vo vzťahu k finančným nástrojom podľa tohto zákona.</w:t>
      </w:r>
    </w:p>
    <w:p w:rsidR="00C23C04" w:rsidRPr="0048210C" w:rsidP="00C23C04">
      <w:pPr>
        <w:pStyle w:val="ListParagraph"/>
        <w:numPr>
          <w:numId w:val="2"/>
        </w:numPr>
        <w:bidi w:val="0"/>
        <w:spacing w:after="0" w:line="240" w:lineRule="auto"/>
        <w:jc w:val="both"/>
        <w:rPr>
          <w:rFonts w:ascii="Times New Roman" w:hAnsi="Times New Roman"/>
          <w:sz w:val="24"/>
          <w:szCs w:val="24"/>
        </w:rPr>
      </w:pPr>
      <w:r w:rsidRPr="0048210C">
        <w:rPr>
          <w:rFonts w:ascii="Times New Roman" w:hAnsi="Times New Roman"/>
          <w:sz w:val="24"/>
          <w:szCs w:val="24"/>
        </w:rPr>
        <w:t>Vláda Slovenskej republiky schvaľuje systém riadenia finančných nástrojov.</w:t>
      </w:r>
    </w:p>
    <w:p w:rsidR="00C23C04" w:rsidRPr="0048210C" w:rsidP="00C23C04">
      <w:pPr>
        <w:bidi w:val="0"/>
        <w:spacing w:after="0" w:line="240" w:lineRule="auto"/>
        <w:jc w:val="both"/>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5</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Orgán zabezpečujúci ochranu finančných záujmov Európskej únie</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3"/>
        </w:numPr>
        <w:bidi w:val="0"/>
        <w:spacing w:after="0" w:line="240" w:lineRule="auto"/>
        <w:jc w:val="both"/>
        <w:rPr>
          <w:rFonts w:ascii="Times New Roman" w:hAnsi="Times New Roman"/>
          <w:sz w:val="24"/>
          <w:szCs w:val="24"/>
        </w:rPr>
      </w:pPr>
      <w:r w:rsidRPr="0048210C">
        <w:rPr>
          <w:rFonts w:ascii="Times New Roman" w:hAnsi="Times New Roman"/>
          <w:sz w:val="24"/>
          <w:szCs w:val="24"/>
        </w:rPr>
        <w:t>Orgán zabezpečujúci ochranu finančných záujmov Európskej únie plní úlohy podľa osobitného predpisu</w:t>
      </w:r>
      <w:r>
        <w:rPr>
          <w:rStyle w:val="FootnoteReference"/>
          <w:rFonts w:ascii="Times New Roman" w:hAnsi="Times New Roman"/>
          <w:sz w:val="24"/>
          <w:szCs w:val="24"/>
          <w:rtl w:val="0"/>
        </w:rPr>
        <w:footnoteReference w:id="13"/>
      </w:r>
      <w:r w:rsidRPr="0048210C">
        <w:rPr>
          <w:rFonts w:ascii="Times New Roman" w:hAnsi="Times New Roman"/>
          <w:sz w:val="24"/>
          <w:szCs w:val="24"/>
        </w:rPr>
        <w:t>) aj vo vzťahu k finančným nástrojom podľa tohto zákona.</w:t>
      </w:r>
    </w:p>
    <w:p w:rsidR="00C23C04" w:rsidRPr="0048210C" w:rsidP="00C23C04">
      <w:pPr>
        <w:pStyle w:val="ListParagraph"/>
        <w:numPr>
          <w:numId w:val="3"/>
        </w:numPr>
        <w:bidi w:val="0"/>
        <w:spacing w:after="0" w:line="240" w:lineRule="auto"/>
        <w:jc w:val="both"/>
        <w:rPr>
          <w:rFonts w:ascii="Times New Roman" w:hAnsi="Times New Roman"/>
          <w:sz w:val="24"/>
          <w:szCs w:val="24"/>
        </w:rPr>
      </w:pPr>
      <w:r w:rsidRPr="0048210C">
        <w:rPr>
          <w:rFonts w:ascii="Times New Roman" w:hAnsi="Times New Roman"/>
          <w:sz w:val="24"/>
          <w:szCs w:val="24"/>
        </w:rPr>
        <w:t>Orgán zabezpečujúci ochranu finančných záujmov Európskej únie je pri plnení svojich úloh oprávnený požadovať súčinnosť od poskytovateľa, platobnej jednotky, certifikačného orgánu, orgánu auditu, centrálneho koordinačného orgánu, koordinačného orgánu pre finančné nástroje, prijímateľa, správcu fondu fondov, ak sa finančné nástroje vykonávajú prostredníctvom fondu fondov, finančného sprostredkovateľa, konečného prijímateľa alebo iných osôb zapojených do vykonávania finančných nástrojov a tieto subjekty sú povinné mu požadovanú súčinnosť poskytnúť.</w:t>
      </w:r>
    </w:p>
    <w:p w:rsidR="00C23C04" w:rsidRPr="0048210C" w:rsidP="00C23C04">
      <w:pPr>
        <w:bidi w:val="0"/>
        <w:spacing w:after="0" w:line="240" w:lineRule="auto"/>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6</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Koordinačný orgán pre finančné nástroje</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4"/>
        </w:numPr>
        <w:bidi w:val="0"/>
        <w:spacing w:after="0" w:line="240" w:lineRule="auto"/>
        <w:jc w:val="both"/>
        <w:rPr>
          <w:rFonts w:ascii="Times New Roman" w:hAnsi="Times New Roman"/>
          <w:sz w:val="24"/>
          <w:szCs w:val="24"/>
        </w:rPr>
      </w:pPr>
      <w:r w:rsidRPr="0048210C">
        <w:rPr>
          <w:rFonts w:ascii="Times New Roman" w:hAnsi="Times New Roman"/>
          <w:sz w:val="24"/>
          <w:szCs w:val="24"/>
        </w:rPr>
        <w:t>Koordinačným orgánom pre finančné nástroje je Ministerstvo financií Slovenskej republiky.</w:t>
      </w:r>
    </w:p>
    <w:p w:rsidR="00C23C04" w:rsidRPr="0048210C" w:rsidP="00C23C04">
      <w:pPr>
        <w:pStyle w:val="ListParagraph"/>
        <w:numPr>
          <w:numId w:val="4"/>
        </w:numPr>
        <w:bidi w:val="0"/>
        <w:spacing w:after="0" w:line="240" w:lineRule="auto"/>
        <w:jc w:val="both"/>
        <w:rPr>
          <w:rFonts w:ascii="Times New Roman" w:hAnsi="Times New Roman"/>
          <w:sz w:val="24"/>
          <w:szCs w:val="24"/>
        </w:rPr>
      </w:pPr>
      <w:r w:rsidRPr="0048210C">
        <w:rPr>
          <w:rFonts w:ascii="Times New Roman" w:hAnsi="Times New Roman"/>
          <w:sz w:val="24"/>
          <w:szCs w:val="24"/>
        </w:rPr>
        <w:t>Koordinačný orgán pre finančné nástroje</w:t>
      </w:r>
    </w:p>
    <w:p w:rsidR="00C23C04" w:rsidRPr="0048210C" w:rsidP="00C23C04">
      <w:pPr>
        <w:pStyle w:val="ListParagraph"/>
        <w:numPr>
          <w:numId w:val="5"/>
        </w:numPr>
        <w:bidi w:val="0"/>
        <w:spacing w:after="0" w:line="240" w:lineRule="auto"/>
        <w:jc w:val="both"/>
        <w:rPr>
          <w:rFonts w:ascii="Times New Roman" w:hAnsi="Times New Roman"/>
          <w:sz w:val="24"/>
          <w:szCs w:val="24"/>
        </w:rPr>
      </w:pPr>
      <w:r w:rsidRPr="0048210C">
        <w:rPr>
          <w:rFonts w:ascii="Times New Roman" w:hAnsi="Times New Roman"/>
          <w:sz w:val="24"/>
          <w:szCs w:val="24"/>
        </w:rPr>
        <w:t xml:space="preserve">koordinuje a usmerňuje subjekty v oblasti systému riadenia finančných nástrojov, </w:t>
      </w:r>
    </w:p>
    <w:p w:rsidR="00C23C04" w:rsidRPr="0048210C" w:rsidP="00C23C04">
      <w:pPr>
        <w:pStyle w:val="ListParagraph"/>
        <w:numPr>
          <w:numId w:val="5"/>
        </w:numPr>
        <w:bidi w:val="0"/>
        <w:spacing w:after="0" w:line="240" w:lineRule="auto"/>
        <w:jc w:val="both"/>
        <w:rPr>
          <w:rFonts w:ascii="Times New Roman" w:hAnsi="Times New Roman"/>
          <w:sz w:val="24"/>
          <w:szCs w:val="24"/>
        </w:rPr>
      </w:pPr>
      <w:r w:rsidRPr="0048210C">
        <w:rPr>
          <w:rFonts w:ascii="Times New Roman" w:hAnsi="Times New Roman"/>
          <w:sz w:val="24"/>
          <w:szCs w:val="24"/>
        </w:rPr>
        <w:t>vypracúva systém riadenia finančných nástrojov a jeho zmeny; súčasťou systému riadenia finančných nástrojov je aj vzor zmluvy o financovaní,</w:t>
      </w:r>
    </w:p>
    <w:p w:rsidR="00C23C04" w:rsidRPr="0048210C" w:rsidP="00C23C04">
      <w:pPr>
        <w:pStyle w:val="ListParagraph"/>
        <w:numPr>
          <w:numId w:val="5"/>
        </w:numPr>
        <w:bidi w:val="0"/>
        <w:spacing w:after="0" w:line="240" w:lineRule="auto"/>
        <w:jc w:val="both"/>
        <w:rPr>
          <w:rFonts w:ascii="Times New Roman" w:hAnsi="Times New Roman"/>
          <w:sz w:val="24"/>
          <w:szCs w:val="24"/>
        </w:rPr>
      </w:pPr>
      <w:r w:rsidRPr="0048210C">
        <w:rPr>
          <w:rFonts w:ascii="Times New Roman" w:hAnsi="Times New Roman"/>
          <w:sz w:val="24"/>
          <w:szCs w:val="24"/>
        </w:rPr>
        <w:t>monitoruje a hodnotí výsledky vykonávania finančných nástrojov,</w:t>
      </w:r>
    </w:p>
    <w:p w:rsidR="00C23C04" w:rsidRPr="0048210C" w:rsidP="00C23C04">
      <w:pPr>
        <w:pStyle w:val="ListParagraph"/>
        <w:numPr>
          <w:numId w:val="5"/>
        </w:numPr>
        <w:bidi w:val="0"/>
        <w:spacing w:after="0" w:line="240" w:lineRule="auto"/>
        <w:jc w:val="both"/>
        <w:rPr>
          <w:rFonts w:ascii="Times New Roman" w:hAnsi="Times New Roman"/>
          <w:sz w:val="24"/>
          <w:szCs w:val="24"/>
        </w:rPr>
      </w:pPr>
      <w:r w:rsidRPr="0048210C">
        <w:rPr>
          <w:rFonts w:ascii="Times New Roman" w:hAnsi="Times New Roman"/>
          <w:sz w:val="24"/>
          <w:szCs w:val="24"/>
        </w:rPr>
        <w:t>plní ďalšie úlohy v oblasti systému riadenia finančných nástrojov.</w:t>
      </w:r>
    </w:p>
    <w:p w:rsidR="00C23C04" w:rsidRPr="0048210C" w:rsidP="00C23C04">
      <w:pPr>
        <w:pStyle w:val="ListParagraph"/>
        <w:numPr>
          <w:numId w:val="4"/>
        </w:numPr>
        <w:bidi w:val="0"/>
        <w:spacing w:after="0" w:line="240" w:lineRule="auto"/>
        <w:jc w:val="both"/>
        <w:rPr>
          <w:rFonts w:ascii="Times New Roman" w:hAnsi="Times New Roman"/>
          <w:sz w:val="24"/>
          <w:szCs w:val="24"/>
        </w:rPr>
      </w:pPr>
      <w:r w:rsidRPr="0048210C">
        <w:rPr>
          <w:rFonts w:ascii="Times New Roman" w:hAnsi="Times New Roman"/>
          <w:sz w:val="24"/>
          <w:szCs w:val="24"/>
        </w:rPr>
        <w:t>Koordinačný orgán pre finančné nástroje spolupracuje s Centrálnym koordinačným orgánom</w:t>
      </w:r>
      <w:r>
        <w:rPr>
          <w:rStyle w:val="FootnoteReference"/>
          <w:rFonts w:ascii="Times New Roman" w:hAnsi="Times New Roman"/>
          <w:sz w:val="24"/>
          <w:szCs w:val="24"/>
          <w:rtl w:val="0"/>
        </w:rPr>
        <w:footnoteReference w:id="14"/>
      </w:r>
      <w:r w:rsidRPr="0048210C">
        <w:rPr>
          <w:rFonts w:ascii="Times New Roman" w:hAnsi="Times New Roman"/>
          <w:sz w:val="24"/>
          <w:szCs w:val="24"/>
        </w:rPr>
        <w:t>) pri plnení svojich úloh, najmä pri tvorbe informačného monitorovacieho systému pre oblasť finančných nástrojov a pri monitorovaní a hodnotení výsledkov vykonávania finančných nástrojov.</w:t>
      </w:r>
    </w:p>
    <w:p w:rsidR="00C23C04" w:rsidRPr="0048210C" w:rsidP="00C23C04">
      <w:pPr>
        <w:pStyle w:val="ListParagraph"/>
        <w:numPr>
          <w:numId w:val="4"/>
        </w:numPr>
        <w:bidi w:val="0"/>
        <w:spacing w:after="0" w:line="240" w:lineRule="auto"/>
        <w:jc w:val="both"/>
        <w:rPr>
          <w:rFonts w:ascii="Times New Roman" w:hAnsi="Times New Roman"/>
          <w:sz w:val="24"/>
          <w:szCs w:val="24"/>
        </w:rPr>
      </w:pPr>
      <w:r w:rsidRPr="0048210C">
        <w:rPr>
          <w:rFonts w:ascii="Times New Roman" w:hAnsi="Times New Roman"/>
          <w:sz w:val="24"/>
          <w:szCs w:val="24"/>
        </w:rPr>
        <w:t xml:space="preserve">Koordinačný orgán pre finančné nástroje je pri plnení svojich úloh oprávnený požadovať súčinnosť od poskytovateľa, centrálneho koordinačného orgánu, platobnej jednotky, certifikačného orgánu, orgánu auditu, orgánu zabezpečujúceho ochranu finančných záujmov Európskej únie, prijímateľa, správcu fondu fondov, ak sa finančné nástroje vykonávajú prostredníctvom fondu fondov, finančného sprostredkovateľa, konečného prijímateľa a iných </w:t>
      </w:r>
      <w:r>
        <w:rPr>
          <w:rFonts w:ascii="Times New Roman" w:hAnsi="Times New Roman"/>
          <w:sz w:val="24"/>
          <w:szCs w:val="24"/>
        </w:rPr>
        <w:t>osôb</w:t>
      </w:r>
      <w:r w:rsidRPr="0048210C">
        <w:rPr>
          <w:rFonts w:ascii="Times New Roman" w:hAnsi="Times New Roman"/>
          <w:sz w:val="24"/>
          <w:szCs w:val="24"/>
        </w:rPr>
        <w:t xml:space="preserve"> zapojených do vykonávania finančných nástrojov a tieto subjekty sú povinné mu požadovanú súčinnosť poskytnúť. Poskytnutie súčinnosti môže subjekt odmietnuť, ak by tým bol ohrozený nezávislý výkon jeho úloh.</w:t>
      </w:r>
    </w:p>
    <w:p w:rsidR="00C23C04" w:rsidRPr="0048210C" w:rsidP="00C23C04">
      <w:pPr>
        <w:pStyle w:val="ListParagraph"/>
        <w:bidi w:val="0"/>
        <w:spacing w:after="0" w:line="240" w:lineRule="auto"/>
        <w:ind w:left="360"/>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7</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Riadiaci orgán</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6"/>
        </w:numPr>
        <w:bidi w:val="0"/>
        <w:spacing w:after="0" w:line="240" w:lineRule="auto"/>
        <w:jc w:val="both"/>
        <w:rPr>
          <w:rFonts w:ascii="Times New Roman" w:hAnsi="Times New Roman"/>
          <w:sz w:val="24"/>
          <w:szCs w:val="24"/>
        </w:rPr>
      </w:pPr>
      <w:r w:rsidRPr="0048210C">
        <w:rPr>
          <w:rFonts w:ascii="Times New Roman" w:hAnsi="Times New Roman"/>
          <w:sz w:val="24"/>
          <w:szCs w:val="24"/>
        </w:rPr>
        <w:t>Riadiaci orgán plní úlohy podľa osobitného predpisu</w:t>
      </w:r>
      <w:r>
        <w:rPr>
          <w:rStyle w:val="FootnoteReference"/>
          <w:rFonts w:ascii="Times New Roman" w:hAnsi="Times New Roman"/>
          <w:sz w:val="24"/>
          <w:szCs w:val="24"/>
          <w:rtl w:val="0"/>
        </w:rPr>
        <w:footnoteReference w:id="15"/>
      </w:r>
      <w:r w:rsidRPr="0048210C">
        <w:rPr>
          <w:rFonts w:ascii="Times New Roman" w:hAnsi="Times New Roman"/>
          <w:sz w:val="24"/>
          <w:szCs w:val="24"/>
        </w:rPr>
        <w:t>) aj vo vzťahu k finančným nástrojom podľa tohto zákona. Ak riadiaci orgán poverí pri poskytnutí príspevku na finančné nástroje vykonávaním finančných nástrojov orgán vykonávajúci finančné nástroje, jeho zodpovednosť za realizáciu operačného programu tým nie je dotknutá.</w:t>
      </w:r>
    </w:p>
    <w:p w:rsidR="00C23C04" w:rsidRPr="0048210C" w:rsidP="00C23C04">
      <w:pPr>
        <w:pStyle w:val="ListParagraph"/>
        <w:numPr>
          <w:numId w:val="6"/>
        </w:numPr>
        <w:bidi w:val="0"/>
        <w:spacing w:after="0" w:line="240" w:lineRule="auto"/>
        <w:jc w:val="both"/>
        <w:rPr>
          <w:rFonts w:ascii="Times New Roman" w:hAnsi="Times New Roman"/>
          <w:sz w:val="24"/>
          <w:szCs w:val="24"/>
        </w:rPr>
      </w:pPr>
      <w:r w:rsidRPr="0048210C">
        <w:rPr>
          <w:rFonts w:ascii="Times New Roman" w:hAnsi="Times New Roman"/>
          <w:sz w:val="24"/>
          <w:szCs w:val="24"/>
        </w:rPr>
        <w:t>Riadiaci orgán je oprávnený vykonávať kontrolu operácie u prijímateľa, správcu fondu fondov, ak sa finančné nástroje vykonávajú prostredníctvom fondu fondov, finančného sprostredkovateľa a konečného prijímateľa. Pri výkone kontroly riadiaci orgán postupuje podľa osobitného predpisu.</w:t>
      </w:r>
      <w:r>
        <w:rPr>
          <w:rStyle w:val="FootnoteReference"/>
          <w:rFonts w:ascii="Times New Roman" w:hAnsi="Times New Roman"/>
          <w:sz w:val="24"/>
          <w:szCs w:val="24"/>
          <w:rtl w:val="0"/>
        </w:rPr>
        <w:footnoteReference w:id="16"/>
      </w:r>
      <w:r w:rsidRPr="0048210C">
        <w:rPr>
          <w:rFonts w:ascii="Times New Roman" w:hAnsi="Times New Roman"/>
          <w:sz w:val="24"/>
          <w:szCs w:val="24"/>
        </w:rPr>
        <w:t>)</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8</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Sprostredkovateľský orgán</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Sprostredkovateľský orgán plní úlohy podľa osobitného predpisu</w:t>
      </w:r>
      <w:r>
        <w:rPr>
          <w:rStyle w:val="FootnoteReference"/>
          <w:rFonts w:ascii="Times New Roman" w:hAnsi="Times New Roman"/>
          <w:sz w:val="24"/>
          <w:szCs w:val="24"/>
          <w:rtl w:val="0"/>
        </w:rPr>
        <w:footnoteReference w:id="17"/>
      </w:r>
      <w:r w:rsidRPr="0048210C">
        <w:rPr>
          <w:rFonts w:ascii="Times New Roman" w:hAnsi="Times New Roman"/>
          <w:sz w:val="24"/>
          <w:szCs w:val="24"/>
        </w:rPr>
        <w:t>) aj vo vzťahu k finančným nástrojom podľa tohto zákona.</w:t>
      </w:r>
    </w:p>
    <w:p w:rsidR="00C23C04" w:rsidRPr="0048210C" w:rsidP="00C23C04">
      <w:pPr>
        <w:bidi w:val="0"/>
        <w:spacing w:after="0" w:line="240" w:lineRule="auto"/>
        <w:jc w:val="both"/>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9</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Certifikačný orgán</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7"/>
        </w:numPr>
        <w:bidi w:val="0"/>
        <w:spacing w:after="0" w:line="240" w:lineRule="auto"/>
        <w:jc w:val="both"/>
        <w:rPr>
          <w:rFonts w:ascii="Times New Roman" w:hAnsi="Times New Roman"/>
          <w:sz w:val="24"/>
          <w:szCs w:val="24"/>
        </w:rPr>
      </w:pPr>
      <w:r w:rsidRPr="0048210C">
        <w:rPr>
          <w:rFonts w:ascii="Times New Roman" w:hAnsi="Times New Roman"/>
          <w:sz w:val="24"/>
          <w:szCs w:val="24"/>
        </w:rPr>
        <w:t>Certifikačný orgán plní úlohy podľa osobitného predpisu</w:t>
      </w:r>
      <w:r>
        <w:rPr>
          <w:rStyle w:val="FootnoteReference"/>
          <w:rFonts w:ascii="Times New Roman" w:hAnsi="Times New Roman"/>
          <w:sz w:val="24"/>
          <w:szCs w:val="24"/>
          <w:rtl w:val="0"/>
        </w:rPr>
        <w:footnoteReference w:id="18"/>
      </w:r>
      <w:r w:rsidRPr="0048210C">
        <w:rPr>
          <w:rFonts w:ascii="Times New Roman" w:hAnsi="Times New Roman"/>
          <w:sz w:val="24"/>
          <w:szCs w:val="24"/>
        </w:rPr>
        <w:t>) aj vo vzťahu k finančným nástrojom podľa tohto zákona. Certifikačný orgán je oprávnený pozastaviť platby pre operačný program, operáciu alebo ich časti, ak má podozrenie na nedostatky v postupe poskytovateľa alebo platobnej jednotky pri realizácii operácií. Certifikačný orgán je oprávnený zamietnuť platbu alebo upraviť výšku platby pre operačný program, operáciu, finančný nástroj alebo ich časti, ak zistí nedostatky v postupe poskytovateľa alebo platobnej jednotky pri realizácii operácie.</w:t>
      </w:r>
    </w:p>
    <w:p w:rsidR="00C23C04" w:rsidP="00C23C04">
      <w:pPr>
        <w:bidi w:val="0"/>
        <w:spacing w:after="0" w:line="240" w:lineRule="auto"/>
        <w:jc w:val="both"/>
        <w:rPr>
          <w:rFonts w:ascii="Times New Roman" w:hAnsi="Times New Roman"/>
          <w:b/>
          <w:sz w:val="24"/>
          <w:szCs w:val="24"/>
        </w:rPr>
      </w:pPr>
    </w:p>
    <w:p w:rsidR="00C23C04" w:rsidRPr="0048210C" w:rsidP="00C23C04">
      <w:pPr>
        <w:bidi w:val="0"/>
        <w:spacing w:after="0" w:line="240" w:lineRule="auto"/>
        <w:jc w:val="both"/>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10</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Orgán auditu</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8"/>
        </w:numPr>
        <w:bidi w:val="0"/>
        <w:spacing w:after="0" w:line="240" w:lineRule="auto"/>
        <w:jc w:val="both"/>
        <w:rPr>
          <w:rFonts w:ascii="Times New Roman" w:hAnsi="Times New Roman"/>
          <w:sz w:val="24"/>
          <w:szCs w:val="24"/>
        </w:rPr>
      </w:pPr>
      <w:r w:rsidRPr="0048210C">
        <w:rPr>
          <w:rFonts w:ascii="Times New Roman" w:hAnsi="Times New Roman"/>
          <w:sz w:val="24"/>
          <w:szCs w:val="24"/>
        </w:rPr>
        <w:t>Orgán auditu plní úlohy podľa osobitného predpisu</w:t>
      </w:r>
      <w:r>
        <w:rPr>
          <w:rStyle w:val="FootnoteReference"/>
          <w:rFonts w:ascii="Times New Roman" w:hAnsi="Times New Roman"/>
          <w:sz w:val="24"/>
          <w:szCs w:val="24"/>
          <w:rtl w:val="0"/>
        </w:rPr>
        <w:footnoteReference w:id="19"/>
      </w:r>
      <w:r w:rsidRPr="0048210C">
        <w:rPr>
          <w:rFonts w:ascii="Times New Roman" w:hAnsi="Times New Roman"/>
          <w:sz w:val="24"/>
          <w:szCs w:val="24"/>
        </w:rPr>
        <w:t>) aj vo vzťahu k finančným nástrojom podľa tohto zákona. Orgán auditu je pri plnení svojich úloh oprávnený požadovať súčinnosť od poskytovateľa, platobnej jednotky, certifikačného orgánu, centrálneho koordinačného orgánu, orgánu zabezpečujúceho ochranu finančných záujmov Európskej únie, prijímateľa, správcu fondu fondov, ak sa finančné nástroje vykonávajú prostredníctvom fondu fondov,  finančného sprostredkovateľa, konečného prijímateľa alebo iných osôb zapojených do vykonávania finančných nástrojov.</w:t>
      </w:r>
    </w:p>
    <w:p w:rsidR="00C23C04" w:rsidRPr="0048210C" w:rsidP="00C23C04">
      <w:pPr>
        <w:pStyle w:val="ListParagraph"/>
        <w:numPr>
          <w:numId w:val="8"/>
        </w:numPr>
        <w:bidi w:val="0"/>
        <w:spacing w:after="0" w:line="240" w:lineRule="auto"/>
        <w:jc w:val="both"/>
        <w:rPr>
          <w:rFonts w:ascii="Times New Roman" w:hAnsi="Times New Roman"/>
          <w:sz w:val="24"/>
          <w:szCs w:val="24"/>
        </w:rPr>
      </w:pPr>
      <w:r w:rsidRPr="0048210C">
        <w:rPr>
          <w:rFonts w:ascii="Times New Roman" w:hAnsi="Times New Roman"/>
          <w:sz w:val="24"/>
          <w:szCs w:val="24"/>
        </w:rPr>
        <w:t>Orgán auditu je oprávnený vykonávať vládny audit</w:t>
      </w:r>
      <w:r>
        <w:rPr>
          <w:rStyle w:val="FootnoteReference"/>
          <w:rFonts w:ascii="Times New Roman" w:hAnsi="Times New Roman"/>
          <w:sz w:val="24"/>
          <w:szCs w:val="24"/>
          <w:rtl w:val="0"/>
        </w:rPr>
        <w:footnoteReference w:id="20"/>
      </w:r>
      <w:r w:rsidRPr="0048210C">
        <w:rPr>
          <w:rFonts w:ascii="Times New Roman" w:hAnsi="Times New Roman"/>
          <w:sz w:val="24"/>
          <w:szCs w:val="24"/>
        </w:rPr>
        <w:t>) v koordinačnom orgáne pre finančné nástroje, poskytovateľovi, prijímateľovi, správcovi fondu fondov, ak sa finančné nástroje vykonávajú prostredníctvom fondu fondov, finančnom sprostredkovateľovi a konečnom prijímateľovi.</w:t>
      </w:r>
    </w:p>
    <w:p w:rsidR="00C23C04" w:rsidRPr="0048210C" w:rsidP="00C23C04">
      <w:pPr>
        <w:pStyle w:val="ListParagraph"/>
        <w:bidi w:val="0"/>
        <w:spacing w:after="0" w:line="240" w:lineRule="auto"/>
        <w:ind w:left="360"/>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11</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Platobná jednotka</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Platobná jednotka plní úlohy podľa osobitného predpisu</w:t>
      </w:r>
      <w:r>
        <w:rPr>
          <w:rStyle w:val="FootnoteReference"/>
          <w:rFonts w:ascii="Times New Roman" w:hAnsi="Times New Roman"/>
          <w:sz w:val="24"/>
          <w:szCs w:val="24"/>
          <w:rtl w:val="0"/>
        </w:rPr>
        <w:footnoteReference w:id="21"/>
      </w:r>
      <w:r w:rsidRPr="0048210C">
        <w:rPr>
          <w:rFonts w:ascii="Times New Roman" w:hAnsi="Times New Roman"/>
          <w:sz w:val="24"/>
          <w:szCs w:val="24"/>
        </w:rPr>
        <w:t>) aj vo vzťahu k finančným nástrojom podľa tohto zákona.</w:t>
      </w:r>
    </w:p>
    <w:p w:rsidR="00C23C04" w:rsidRPr="0048210C" w:rsidP="00C23C04">
      <w:pPr>
        <w:bidi w:val="0"/>
        <w:spacing w:after="0" w:line="240" w:lineRule="auto"/>
        <w:rPr>
          <w:rFonts w:ascii="Times New Roman" w:hAnsi="Times New Roman"/>
          <w:b/>
          <w:sz w:val="24"/>
          <w:szCs w:val="24"/>
        </w:rPr>
      </w:pPr>
    </w:p>
    <w:p w:rsidR="00C23C04" w:rsidRPr="0048210C"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Postup pri poskytovaní príspevku na finančné nástroje</w:t>
      </w:r>
    </w:p>
    <w:p w:rsidR="00C23C04" w:rsidRPr="0048210C" w:rsidP="00C23C04">
      <w:pPr>
        <w:bidi w:val="0"/>
        <w:spacing w:after="0" w:line="240" w:lineRule="auto"/>
        <w:jc w:val="center"/>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12</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Všeobecné ustanovenia o poskytovaní príspevku na finančné nástroje</w:t>
      </w:r>
    </w:p>
    <w:p w:rsidR="00C23C04" w:rsidRPr="0048210C" w:rsidP="00C23C04">
      <w:pPr>
        <w:bidi w:val="0"/>
        <w:spacing w:after="0" w:line="240" w:lineRule="auto"/>
        <w:jc w:val="center"/>
        <w:rPr>
          <w:rFonts w:ascii="Times New Roman" w:hAnsi="Times New Roman"/>
          <w:sz w:val="24"/>
          <w:szCs w:val="24"/>
        </w:rPr>
      </w:pPr>
    </w:p>
    <w:p w:rsidR="00C23C04" w:rsidRPr="0048210C" w:rsidP="00C23C04">
      <w:pPr>
        <w:pStyle w:val="ListParagraph"/>
        <w:numPr>
          <w:numId w:val="12"/>
        </w:numPr>
        <w:bidi w:val="0"/>
        <w:spacing w:after="0" w:line="240" w:lineRule="auto"/>
        <w:jc w:val="both"/>
        <w:rPr>
          <w:rFonts w:ascii="Times New Roman" w:hAnsi="Times New Roman"/>
          <w:sz w:val="24"/>
          <w:szCs w:val="24"/>
        </w:rPr>
      </w:pPr>
      <w:r w:rsidRPr="0048210C">
        <w:rPr>
          <w:rFonts w:ascii="Times New Roman" w:hAnsi="Times New Roman"/>
          <w:sz w:val="24"/>
          <w:szCs w:val="24"/>
        </w:rPr>
        <w:t>Na poskytovanie príspevku na finančný nástroj sa nevzťahuje všeobecný predpis o správnom konaní,</w:t>
      </w:r>
      <w:r>
        <w:rPr>
          <w:rStyle w:val="FootnoteReference"/>
          <w:rFonts w:ascii="Times New Roman" w:hAnsi="Times New Roman"/>
          <w:sz w:val="24"/>
          <w:szCs w:val="24"/>
          <w:rtl w:val="0"/>
        </w:rPr>
        <w:footnoteReference w:id="22"/>
      </w:r>
      <w:r>
        <w:rPr>
          <w:rFonts w:ascii="Times New Roman" w:hAnsi="Times New Roman"/>
          <w:sz w:val="24"/>
          <w:szCs w:val="24"/>
        </w:rPr>
        <w:t>)</w:t>
      </w:r>
      <w:r w:rsidRPr="0048210C">
        <w:rPr>
          <w:rFonts w:ascii="Times New Roman" w:hAnsi="Times New Roman"/>
          <w:sz w:val="24"/>
          <w:szCs w:val="24"/>
        </w:rPr>
        <w:t xml:space="preserve"> ak § 21 ods. 6 neustanovuje inak.</w:t>
      </w:r>
    </w:p>
    <w:p w:rsidR="00C23C04" w:rsidRPr="0048210C" w:rsidP="00C23C04">
      <w:pPr>
        <w:pStyle w:val="ListParagraph"/>
        <w:numPr>
          <w:numId w:val="12"/>
        </w:numPr>
        <w:bidi w:val="0"/>
        <w:spacing w:after="0" w:line="240" w:lineRule="auto"/>
        <w:jc w:val="both"/>
        <w:rPr>
          <w:rFonts w:ascii="Times New Roman" w:hAnsi="Times New Roman"/>
          <w:sz w:val="24"/>
          <w:szCs w:val="24"/>
        </w:rPr>
      </w:pPr>
      <w:r w:rsidRPr="0048210C">
        <w:rPr>
          <w:rFonts w:ascii="Times New Roman" w:hAnsi="Times New Roman"/>
          <w:sz w:val="24"/>
          <w:szCs w:val="24"/>
        </w:rPr>
        <w:t>Príspevok na finančný nástroj, ktorým môže byť poskytnutá štátna pomoc, môže byť poskytnutý, len ak sú splnené pravidlá v oblasti štátnej pomoci.</w:t>
      </w:r>
      <w:r>
        <w:rPr>
          <w:rStyle w:val="FootnoteReference"/>
          <w:rFonts w:ascii="Times New Roman" w:hAnsi="Times New Roman"/>
          <w:sz w:val="24"/>
          <w:szCs w:val="24"/>
          <w:rtl w:val="0"/>
        </w:rPr>
        <w:footnoteReference w:id="23"/>
      </w:r>
      <w:r w:rsidRPr="0048210C">
        <w:rPr>
          <w:rFonts w:ascii="Times New Roman" w:hAnsi="Times New Roman"/>
          <w:sz w:val="24"/>
          <w:szCs w:val="24"/>
        </w:rPr>
        <w:t>)</w:t>
      </w:r>
    </w:p>
    <w:p w:rsidR="00C23C04" w:rsidRPr="0048210C" w:rsidP="00C23C04">
      <w:pPr>
        <w:pStyle w:val="ListParagraph"/>
        <w:numPr>
          <w:numId w:val="12"/>
        </w:numPr>
        <w:bidi w:val="0"/>
        <w:spacing w:after="0" w:line="240" w:lineRule="auto"/>
        <w:jc w:val="both"/>
        <w:rPr>
          <w:rFonts w:ascii="Times New Roman" w:hAnsi="Times New Roman"/>
          <w:sz w:val="24"/>
          <w:szCs w:val="24"/>
        </w:rPr>
      </w:pPr>
      <w:r w:rsidRPr="0048210C">
        <w:rPr>
          <w:rFonts w:ascii="Times New Roman" w:hAnsi="Times New Roman"/>
          <w:sz w:val="24"/>
          <w:szCs w:val="24"/>
        </w:rPr>
        <w:t>Prijímateľ, správca fondu fondov, ak sa finančné nástroje vykonávajú prostredníctvom fondu fondov, finančný sprostredkovateľ, konečný prijímateľ a iná osoba zapojená do vykonávania finančných nástrojov, sú povinní poskytnúť súčinnosť pri výkone kontroly a vládneho auditu orgánom oprávneným na výkon kontroly a vládneho auditu a strpieť výkon tejto kontroly a vládneho auditu. Pri výkone kontroly a vládneho auditu sa postupuje podľa osobitného predpisu.</w:t>
      </w:r>
      <w:r>
        <w:rPr>
          <w:rStyle w:val="FootnoteReference"/>
          <w:rFonts w:ascii="Times New Roman" w:hAnsi="Times New Roman"/>
          <w:sz w:val="24"/>
          <w:szCs w:val="24"/>
          <w:rtl w:val="0"/>
        </w:rPr>
        <w:footnoteReference w:id="24"/>
      </w:r>
      <w:r w:rsidRPr="0048210C">
        <w:rPr>
          <w:rFonts w:ascii="Times New Roman" w:hAnsi="Times New Roman"/>
          <w:sz w:val="24"/>
          <w:szCs w:val="24"/>
        </w:rPr>
        <w:t>)</w:t>
      </w:r>
    </w:p>
    <w:p w:rsidR="00C23C04" w:rsidRPr="0048210C" w:rsidP="00C23C04">
      <w:pPr>
        <w:pStyle w:val="ListParagraph"/>
        <w:numPr>
          <w:numId w:val="12"/>
        </w:numPr>
        <w:bidi w:val="0"/>
        <w:spacing w:after="0" w:line="240" w:lineRule="auto"/>
        <w:jc w:val="both"/>
        <w:rPr>
          <w:rFonts w:ascii="Times New Roman" w:hAnsi="Times New Roman"/>
          <w:sz w:val="24"/>
          <w:szCs w:val="24"/>
        </w:rPr>
      </w:pPr>
      <w:r w:rsidRPr="0048210C">
        <w:rPr>
          <w:rFonts w:ascii="Times New Roman" w:hAnsi="Times New Roman"/>
          <w:sz w:val="24"/>
          <w:szCs w:val="24"/>
        </w:rPr>
        <w:t>Poskytovanie príspevku na finančný nástroj musí byť v súlade s princípom riadneho finančného hospodárenia.</w:t>
      </w:r>
      <w:r>
        <w:rPr>
          <w:rStyle w:val="FootnoteReference"/>
          <w:rFonts w:ascii="Times New Roman" w:hAnsi="Times New Roman"/>
          <w:sz w:val="24"/>
          <w:szCs w:val="24"/>
          <w:rtl w:val="0"/>
        </w:rPr>
        <w:footnoteReference w:id="25"/>
      </w:r>
      <w:r w:rsidRPr="0048210C">
        <w:rPr>
          <w:rFonts w:ascii="Times New Roman" w:hAnsi="Times New Roman"/>
          <w:sz w:val="24"/>
          <w:szCs w:val="24"/>
        </w:rPr>
        <w:t xml:space="preserve">) </w:t>
      </w:r>
    </w:p>
    <w:p w:rsidR="00C23C04" w:rsidRPr="0048210C" w:rsidP="00C23C04">
      <w:pPr>
        <w:pStyle w:val="ListParagraph"/>
        <w:bidi w:val="0"/>
        <w:spacing w:after="0" w:line="240" w:lineRule="auto"/>
        <w:ind w:left="420"/>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13</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Možnosti poskytnutia príspevku na finančné nástroje</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9"/>
        </w:numPr>
        <w:bidi w:val="0"/>
        <w:spacing w:after="0" w:line="240" w:lineRule="auto"/>
        <w:jc w:val="both"/>
        <w:rPr>
          <w:rFonts w:ascii="Times New Roman" w:hAnsi="Times New Roman"/>
          <w:sz w:val="24"/>
          <w:szCs w:val="24"/>
        </w:rPr>
      </w:pPr>
      <w:r w:rsidRPr="0048210C">
        <w:rPr>
          <w:rFonts w:ascii="Times New Roman" w:hAnsi="Times New Roman"/>
          <w:sz w:val="24"/>
          <w:szCs w:val="24"/>
        </w:rPr>
        <w:t xml:space="preserve">Poskytovateľ môže poskytnúť príspevok na finančný nástroj na finančné nástroje, ktoré </w:t>
      </w:r>
    </w:p>
    <w:p w:rsidR="00C23C04" w:rsidRPr="0048210C" w:rsidP="00C23C04">
      <w:pPr>
        <w:pStyle w:val="ListParagraph"/>
        <w:numPr>
          <w:numId w:val="10"/>
        </w:numPr>
        <w:bidi w:val="0"/>
        <w:spacing w:after="0" w:line="240" w:lineRule="auto"/>
        <w:jc w:val="both"/>
        <w:rPr>
          <w:rFonts w:ascii="Times New Roman" w:hAnsi="Times New Roman"/>
          <w:sz w:val="24"/>
          <w:szCs w:val="24"/>
        </w:rPr>
      </w:pPr>
      <w:r w:rsidRPr="0048210C">
        <w:rPr>
          <w:rFonts w:ascii="Times New Roman" w:hAnsi="Times New Roman"/>
          <w:sz w:val="24"/>
          <w:szCs w:val="24"/>
        </w:rPr>
        <w:t>sú zriadené na úrovni Európskej únie, a ktoré priamo alebo nepriamo spravuje Európska komisia,</w:t>
      </w:r>
    </w:p>
    <w:p w:rsidR="00C23C04" w:rsidRPr="0048210C" w:rsidP="00C23C04">
      <w:pPr>
        <w:pStyle w:val="ListParagraph"/>
        <w:numPr>
          <w:numId w:val="10"/>
        </w:numPr>
        <w:bidi w:val="0"/>
        <w:spacing w:after="0" w:line="240" w:lineRule="auto"/>
        <w:jc w:val="both"/>
        <w:rPr>
          <w:rFonts w:ascii="Times New Roman" w:hAnsi="Times New Roman"/>
          <w:sz w:val="24"/>
          <w:szCs w:val="24"/>
        </w:rPr>
      </w:pPr>
      <w:r w:rsidRPr="0048210C">
        <w:rPr>
          <w:rFonts w:ascii="Times New Roman" w:hAnsi="Times New Roman"/>
          <w:sz w:val="24"/>
          <w:szCs w:val="24"/>
        </w:rPr>
        <w:t>spravuje alebo za ktoré zodpovedá riadiaci orgán.</w:t>
      </w:r>
    </w:p>
    <w:p w:rsidR="00C23C04" w:rsidRPr="0048210C" w:rsidP="00C23C04">
      <w:pPr>
        <w:pStyle w:val="ListParagraph"/>
        <w:numPr>
          <w:numId w:val="9"/>
        </w:numPr>
        <w:bidi w:val="0"/>
        <w:spacing w:after="0" w:line="240" w:lineRule="auto"/>
        <w:jc w:val="both"/>
        <w:rPr>
          <w:rFonts w:ascii="Times New Roman" w:hAnsi="Times New Roman"/>
          <w:sz w:val="24"/>
          <w:szCs w:val="24"/>
        </w:rPr>
      </w:pPr>
      <w:r w:rsidRPr="0048210C">
        <w:rPr>
          <w:rFonts w:ascii="Times New Roman" w:hAnsi="Times New Roman"/>
          <w:sz w:val="24"/>
          <w:szCs w:val="24"/>
        </w:rPr>
        <w:t>Poskytovateľ pri poskytnutí príspevku na finančné nástroje podľa odseku 1 písm. b) môže</w:t>
      </w:r>
    </w:p>
    <w:p w:rsidR="00C23C04" w:rsidRPr="0048210C" w:rsidP="00C23C04">
      <w:pPr>
        <w:pStyle w:val="ListParagraph"/>
        <w:numPr>
          <w:numId w:val="11"/>
        </w:numPr>
        <w:bidi w:val="0"/>
        <w:spacing w:after="0" w:line="240" w:lineRule="auto"/>
        <w:jc w:val="both"/>
        <w:rPr>
          <w:rFonts w:ascii="Times New Roman" w:hAnsi="Times New Roman"/>
          <w:sz w:val="24"/>
          <w:szCs w:val="24"/>
        </w:rPr>
      </w:pPr>
      <w:r w:rsidRPr="0048210C">
        <w:rPr>
          <w:rFonts w:ascii="Times New Roman" w:hAnsi="Times New Roman"/>
          <w:sz w:val="24"/>
          <w:szCs w:val="24"/>
        </w:rPr>
        <w:t>investovať do základného imania právnickej osoby vykonávajúcej finančné nástroje podľa osobitného predpisu,</w:t>
      </w:r>
      <w:r>
        <w:rPr>
          <w:rStyle w:val="FootnoteReference"/>
          <w:rFonts w:ascii="Times New Roman" w:hAnsi="Times New Roman"/>
          <w:sz w:val="24"/>
          <w:szCs w:val="24"/>
          <w:rtl w:val="0"/>
        </w:rPr>
        <w:footnoteReference w:id="26"/>
      </w:r>
      <w:r w:rsidRPr="0048210C">
        <w:rPr>
          <w:rFonts w:ascii="Times New Roman" w:hAnsi="Times New Roman"/>
          <w:sz w:val="24"/>
          <w:szCs w:val="24"/>
        </w:rPr>
        <w:t>) pričom táto právnická osoba sa považuje za prijímateľa,</w:t>
      </w:r>
    </w:p>
    <w:p w:rsidR="00C23C04" w:rsidRPr="0048210C" w:rsidP="00C23C04">
      <w:pPr>
        <w:pStyle w:val="ListParagraph"/>
        <w:numPr>
          <w:numId w:val="11"/>
        </w:numPr>
        <w:bidi w:val="0"/>
        <w:spacing w:after="0" w:line="240" w:lineRule="auto"/>
        <w:jc w:val="both"/>
        <w:rPr>
          <w:rFonts w:ascii="Times New Roman" w:hAnsi="Times New Roman"/>
          <w:sz w:val="24"/>
          <w:szCs w:val="24"/>
        </w:rPr>
      </w:pPr>
      <w:r w:rsidRPr="0048210C">
        <w:rPr>
          <w:rFonts w:ascii="Times New Roman" w:hAnsi="Times New Roman"/>
          <w:sz w:val="24"/>
          <w:szCs w:val="24"/>
        </w:rPr>
        <w:t>poveriť vykonávaním finančných nástrojov orgán vykonávajúci finančné nástroje, pričom orgán vykonávajúci finančné nástroje sa považuje za prijímateľa,</w:t>
      </w:r>
    </w:p>
    <w:p w:rsidR="00C23C04" w:rsidRPr="0048210C" w:rsidP="00C23C04">
      <w:pPr>
        <w:pStyle w:val="ListParagraph"/>
        <w:numPr>
          <w:numId w:val="9"/>
        </w:numPr>
        <w:bidi w:val="0"/>
        <w:spacing w:after="0" w:line="240" w:lineRule="auto"/>
        <w:jc w:val="both"/>
        <w:rPr>
          <w:rFonts w:ascii="Times New Roman" w:hAnsi="Times New Roman"/>
          <w:sz w:val="24"/>
          <w:szCs w:val="24"/>
        </w:rPr>
      </w:pPr>
      <w:r w:rsidRPr="0048210C">
        <w:rPr>
          <w:rFonts w:ascii="Times New Roman" w:hAnsi="Times New Roman"/>
          <w:sz w:val="24"/>
          <w:szCs w:val="24"/>
        </w:rPr>
        <w:t>Prijímateľom podľa odseku 2 písm. b) môže byť</w:t>
      </w:r>
    </w:p>
    <w:p w:rsidR="00C23C04" w:rsidRPr="0048210C" w:rsidP="00C23C04">
      <w:pPr>
        <w:pStyle w:val="ListParagraph"/>
        <w:numPr>
          <w:numId w:val="21"/>
        </w:numPr>
        <w:bidi w:val="0"/>
        <w:spacing w:after="0" w:line="240" w:lineRule="auto"/>
        <w:jc w:val="both"/>
        <w:rPr>
          <w:rFonts w:ascii="Times New Roman" w:hAnsi="Times New Roman"/>
          <w:sz w:val="24"/>
          <w:szCs w:val="24"/>
        </w:rPr>
      </w:pPr>
      <w:r w:rsidRPr="0048210C">
        <w:rPr>
          <w:rFonts w:ascii="Times New Roman" w:hAnsi="Times New Roman"/>
          <w:sz w:val="24"/>
          <w:szCs w:val="24"/>
        </w:rPr>
        <w:t>medzinárodná finančná inštitúcia, v ktorej má Slovenská republika majetkovú účasť,</w:t>
      </w:r>
    </w:p>
    <w:p w:rsidR="00C23C04" w:rsidRPr="0048210C" w:rsidP="00C23C04">
      <w:pPr>
        <w:pStyle w:val="ListParagraph"/>
        <w:numPr>
          <w:numId w:val="21"/>
        </w:numPr>
        <w:bidi w:val="0"/>
        <w:spacing w:after="0" w:line="240" w:lineRule="auto"/>
        <w:jc w:val="both"/>
        <w:rPr>
          <w:rFonts w:ascii="Times New Roman" w:hAnsi="Times New Roman"/>
          <w:sz w:val="24"/>
          <w:szCs w:val="24"/>
        </w:rPr>
      </w:pPr>
      <w:r w:rsidRPr="0048210C">
        <w:rPr>
          <w:rFonts w:ascii="Times New Roman" w:hAnsi="Times New Roman"/>
          <w:sz w:val="24"/>
          <w:szCs w:val="24"/>
        </w:rPr>
        <w:t>finančná inštitúcia podľa osobitného predpisu.</w:t>
      </w:r>
      <w:r>
        <w:rPr>
          <w:rStyle w:val="FootnoteReference"/>
          <w:rFonts w:ascii="Times New Roman" w:hAnsi="Times New Roman"/>
          <w:sz w:val="24"/>
          <w:szCs w:val="24"/>
          <w:rtl w:val="0"/>
        </w:rPr>
        <w:footnoteReference w:id="27"/>
      </w:r>
      <w:r w:rsidRPr="0048210C">
        <w:rPr>
          <w:rFonts w:ascii="Times New Roman" w:hAnsi="Times New Roman"/>
          <w:sz w:val="24"/>
          <w:szCs w:val="24"/>
        </w:rPr>
        <w:t>)</w:t>
      </w:r>
    </w:p>
    <w:p w:rsidR="00C23C04" w:rsidRPr="0048210C" w:rsidP="00C23C04">
      <w:pPr>
        <w:pStyle w:val="ListParagraph"/>
        <w:numPr>
          <w:numId w:val="9"/>
        </w:numPr>
        <w:bidi w:val="0"/>
        <w:spacing w:after="0" w:line="240" w:lineRule="auto"/>
        <w:jc w:val="both"/>
        <w:rPr>
          <w:rFonts w:ascii="Times New Roman" w:hAnsi="Times New Roman"/>
          <w:sz w:val="24"/>
          <w:szCs w:val="24"/>
        </w:rPr>
      </w:pPr>
      <w:r w:rsidRPr="0048210C">
        <w:rPr>
          <w:rFonts w:ascii="Times New Roman" w:hAnsi="Times New Roman"/>
          <w:sz w:val="24"/>
          <w:szCs w:val="24"/>
        </w:rPr>
        <w:t xml:space="preserve">Ak poskytovateľ poskytne príspevok na finančný nástroj podľa odseku 1 písm. a), na audit týchto prostriedkov sa vzťahuje </w:t>
      </w:r>
      <w:r>
        <w:rPr>
          <w:rFonts w:ascii="Times New Roman" w:hAnsi="Times New Roman"/>
          <w:sz w:val="24"/>
          <w:szCs w:val="24"/>
        </w:rPr>
        <w:t>osobitný predpis</w:t>
      </w:r>
      <w:r w:rsidRPr="0048210C">
        <w:rPr>
          <w:rFonts w:ascii="Times New Roman" w:hAnsi="Times New Roman"/>
          <w:sz w:val="24"/>
          <w:szCs w:val="24"/>
        </w:rPr>
        <w:t>.</w:t>
      </w:r>
      <w:r>
        <w:rPr>
          <w:rStyle w:val="FootnoteReference"/>
          <w:rFonts w:ascii="Times New Roman" w:hAnsi="Times New Roman"/>
          <w:sz w:val="24"/>
          <w:szCs w:val="24"/>
          <w:rtl w:val="0"/>
        </w:rPr>
        <w:footnoteReference w:id="28"/>
      </w:r>
      <w:r w:rsidRPr="0048210C">
        <w:rPr>
          <w:rFonts w:ascii="Times New Roman" w:hAnsi="Times New Roman"/>
          <w:sz w:val="24"/>
          <w:szCs w:val="24"/>
        </w:rPr>
        <w:t>)</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14</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Postup a finančné toky pri poskytnutí príspevku na finančné nástroje</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26"/>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 xml:space="preserve">Poskytovateľ poskytuje príspevok na finančný nástroj podľa § 13 ods. 1 písm. b) prijímateľovi  na základe zmluvy o financovaní podľa § 15. </w:t>
      </w:r>
    </w:p>
    <w:p w:rsidR="00C23C04" w:rsidRPr="0048210C" w:rsidP="00C23C04">
      <w:pPr>
        <w:pStyle w:val="ListParagraph"/>
        <w:numPr>
          <w:numId w:val="26"/>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Prijímateľ vykonáva finančné nástroje</w:t>
      </w:r>
    </w:p>
    <w:p w:rsidR="00C23C04" w:rsidRPr="0048210C" w:rsidP="00C23C04">
      <w:pPr>
        <w:pStyle w:val="ListParagraph"/>
        <w:numPr>
          <w:numId w:val="27"/>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 xml:space="preserve">priamo, alebo </w:t>
      </w:r>
    </w:p>
    <w:p w:rsidR="00C23C04" w:rsidRPr="0048210C" w:rsidP="00C23C04">
      <w:pPr>
        <w:pStyle w:val="ListParagraph"/>
        <w:numPr>
          <w:numId w:val="27"/>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môže poveriť časťou vykonávania finančných nástrojov finančného sprostredkovateľa.</w:t>
      </w:r>
    </w:p>
    <w:p w:rsidR="00C23C04" w:rsidRPr="0048210C" w:rsidP="00C23C04">
      <w:pPr>
        <w:pStyle w:val="ListParagraph"/>
        <w:numPr>
          <w:numId w:val="26"/>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prijímateľ vykonáva finančné nástroje podľa odseku 2 písm. a), poskytuje finančné prostriedky z finančného nástroja konečnému prijímateľovi na základe zmluvy</w:t>
      </w:r>
      <w:r>
        <w:rPr>
          <w:rStyle w:val="FootnoteReference"/>
          <w:rFonts w:ascii="Times New Roman" w:hAnsi="Times New Roman"/>
          <w:sz w:val="24"/>
          <w:szCs w:val="24"/>
          <w:rtl w:val="0"/>
        </w:rPr>
        <w:footnoteReference w:id="29"/>
      </w:r>
      <w:r w:rsidRPr="0048210C">
        <w:rPr>
          <w:rFonts w:ascii="Times New Roman" w:hAnsi="Times New Roman"/>
          <w:sz w:val="24"/>
          <w:szCs w:val="24"/>
        </w:rPr>
        <w:t>) podľa § 17.</w:t>
      </w:r>
    </w:p>
    <w:p w:rsidR="00C23C04" w:rsidRPr="0048210C" w:rsidP="00C23C04">
      <w:pPr>
        <w:pStyle w:val="ListParagraph"/>
        <w:numPr>
          <w:numId w:val="26"/>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prijímateľ vykonáva finančné nástroje podľa odseku 2 písm. b), poskytuje finančné prostriedky určené na finančné nástroje finančnému sprostredkovateľovi na základe zmluvy s finančným sprostredkovateľom podľa § 16.</w:t>
      </w:r>
    </w:p>
    <w:p w:rsidR="00C23C04" w:rsidRPr="0048210C" w:rsidP="00C23C04">
      <w:pPr>
        <w:pStyle w:val="ListParagraph"/>
        <w:numPr>
          <w:numId w:val="26"/>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Finančný sprostredkovateľ pri vykonávaní finančných nástrojov poskytuje finančné prostriedky konečnému prijímateľovi na základe zmluvy</w:t>
      </w:r>
      <w:r>
        <w:rPr>
          <w:rFonts w:ascii="Times New Roman" w:hAnsi="Times New Roman"/>
          <w:sz w:val="24"/>
          <w:szCs w:val="24"/>
          <w:vertAlign w:val="superscript"/>
        </w:rPr>
        <w:t>28</w:t>
      </w:r>
      <w:r w:rsidRPr="0048210C">
        <w:rPr>
          <w:rFonts w:ascii="Times New Roman" w:hAnsi="Times New Roman"/>
          <w:sz w:val="24"/>
          <w:szCs w:val="24"/>
        </w:rPr>
        <w:t>) podľa § 17.</w:t>
      </w:r>
    </w:p>
    <w:p w:rsidR="00C23C04" w:rsidRPr="0048210C" w:rsidP="00C23C04">
      <w:pPr>
        <w:pStyle w:val="ListParagraph"/>
        <w:bidi w:val="0"/>
        <w:spacing w:after="0" w:line="240" w:lineRule="auto"/>
        <w:jc w:val="both"/>
        <w:rPr>
          <w:rFonts w:ascii="Times New Roman" w:hAnsi="Times New Roman"/>
          <w:sz w:val="24"/>
          <w:szCs w:val="24"/>
        </w:rPr>
      </w:pPr>
    </w:p>
    <w:p w:rsidR="00C23C04" w:rsidP="00C23C04">
      <w:pPr>
        <w:tabs>
          <w:tab w:val="left" w:pos="6390"/>
        </w:tabs>
        <w:bidi w:val="0"/>
        <w:spacing w:after="0" w:line="240" w:lineRule="auto"/>
        <w:jc w:val="center"/>
        <w:rPr>
          <w:rFonts w:ascii="Times New Roman" w:hAnsi="Times New Roman"/>
          <w:b/>
          <w:sz w:val="24"/>
          <w:szCs w:val="24"/>
        </w:rPr>
      </w:pPr>
      <w:r w:rsidRPr="0048210C">
        <w:rPr>
          <w:rFonts w:ascii="Times New Roman" w:hAnsi="Times New Roman"/>
          <w:b/>
          <w:sz w:val="24"/>
          <w:szCs w:val="24"/>
        </w:rPr>
        <w:t>§ 15</w:t>
      </w:r>
    </w:p>
    <w:p w:rsidR="00C23C04" w:rsidRPr="0048210C" w:rsidP="00C23C04">
      <w:pPr>
        <w:tabs>
          <w:tab w:val="left" w:pos="6390"/>
        </w:tabs>
        <w:bidi w:val="0"/>
        <w:spacing w:after="0" w:line="240" w:lineRule="auto"/>
        <w:jc w:val="center"/>
        <w:rPr>
          <w:rFonts w:ascii="Times New Roman" w:hAnsi="Times New Roman"/>
          <w:b/>
          <w:sz w:val="24"/>
          <w:szCs w:val="24"/>
        </w:rPr>
      </w:pPr>
    </w:p>
    <w:p w:rsidR="00C23C04" w:rsidP="00C23C04">
      <w:pPr>
        <w:tabs>
          <w:tab w:val="left" w:pos="6390"/>
        </w:tabs>
        <w:bidi w:val="0"/>
        <w:spacing w:after="0" w:line="240" w:lineRule="auto"/>
        <w:jc w:val="center"/>
        <w:rPr>
          <w:rFonts w:ascii="Times New Roman" w:hAnsi="Times New Roman"/>
          <w:b/>
          <w:sz w:val="24"/>
          <w:szCs w:val="24"/>
        </w:rPr>
      </w:pPr>
      <w:r w:rsidRPr="0048210C">
        <w:rPr>
          <w:rFonts w:ascii="Times New Roman" w:hAnsi="Times New Roman"/>
          <w:b/>
          <w:sz w:val="24"/>
          <w:szCs w:val="24"/>
        </w:rPr>
        <w:t>Zmluva o</w:t>
      </w:r>
      <w:r>
        <w:rPr>
          <w:rFonts w:ascii="Times New Roman" w:hAnsi="Times New Roman"/>
          <w:b/>
          <w:sz w:val="24"/>
          <w:szCs w:val="24"/>
        </w:rPr>
        <w:t> </w:t>
      </w:r>
      <w:r w:rsidRPr="0048210C">
        <w:rPr>
          <w:rFonts w:ascii="Times New Roman" w:hAnsi="Times New Roman"/>
          <w:b/>
          <w:sz w:val="24"/>
          <w:szCs w:val="24"/>
        </w:rPr>
        <w:t>financovaní</w:t>
      </w:r>
    </w:p>
    <w:p w:rsidR="00C23C04" w:rsidRPr="0048210C" w:rsidP="00C23C04">
      <w:pPr>
        <w:tabs>
          <w:tab w:val="left" w:pos="6390"/>
        </w:tabs>
        <w:bidi w:val="0"/>
        <w:spacing w:after="0" w:line="240" w:lineRule="auto"/>
        <w:jc w:val="center"/>
        <w:rPr>
          <w:rFonts w:ascii="Times New Roman" w:hAnsi="Times New Roman"/>
          <w:b/>
          <w:sz w:val="24"/>
          <w:szCs w:val="24"/>
        </w:rPr>
      </w:pPr>
    </w:p>
    <w:p w:rsidR="00C23C04" w:rsidRPr="0048210C" w:rsidP="00C23C04">
      <w:pPr>
        <w:pStyle w:val="ListParagraph"/>
        <w:numPr>
          <w:numId w:val="13"/>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Zmluva o financovaní je zmluvou uzavretou podľa § 269 ods. 2 Obchodného zákonníka a upravuje práva a povinnosti poskytovateľa a prijímateľa pri vykonávaní finančných nástrojov. Ak sa finančné nástroje vykonávajú prostredníctvom fondu fondov, zmluva o financovaní je trojstrannou zmluvou, pričom fond fondov a správca fondu fondov sú zmluvnými stranami zmluvy o financovaní.</w:t>
      </w:r>
    </w:p>
    <w:p w:rsidR="00C23C04" w:rsidRPr="0048210C" w:rsidP="00C23C04">
      <w:pPr>
        <w:pStyle w:val="ListParagraph"/>
        <w:numPr>
          <w:numId w:val="13"/>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Právny nárok na poskytnutie príspevku na finančný nástroj zo strany prijímateľa vzniká nadobudnutím účinnosti zmluvy o financovaní, pričom poskytnutie príspevku na finančný nástroj na základe zmluvy o financovaní je viazané na splnenie podmienok dohodnutých v tejto zmluve.</w:t>
      </w:r>
    </w:p>
    <w:p w:rsidR="00C23C04" w:rsidRPr="0048210C" w:rsidP="00C23C04">
      <w:pPr>
        <w:pStyle w:val="ListParagraph"/>
        <w:numPr>
          <w:numId w:val="13"/>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Zmluva o financovaní obsahuje najmä</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identifikačné údaje poskytovateľa,</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identifikačné údaje prijímateľa; ak sa finančné nástroje vykonávajú prostredníctvom fondu fondov, identifikačné údaje fondu fondov a identifikačné údaje správcu fondu fondov,</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predmet zmluvy,</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práva a povinnosti poskytovateľa,</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práva a povinnosti prijímateľa; ak sa finančné nástroje vykonávajú prostredníctvom fondu fondov, práva a povinnosti fondu fondov a práva a povinnosti správcu fondu fondov,</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výšku poskytovaného príspevku na finančný nástroj,</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účel poskytovaného príspevku na finančný nástroj,</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náležitosti podľa osobitného predpisu,</w:t>
      </w:r>
      <w:r>
        <w:rPr>
          <w:rStyle w:val="FootnoteReference"/>
          <w:rFonts w:ascii="Times New Roman" w:hAnsi="Times New Roman"/>
          <w:sz w:val="24"/>
          <w:szCs w:val="24"/>
          <w:rtl w:val="0"/>
        </w:rPr>
        <w:footnoteReference w:id="30"/>
      </w:r>
      <w:r w:rsidRPr="0048210C">
        <w:rPr>
          <w:rFonts w:ascii="Times New Roman" w:hAnsi="Times New Roman"/>
          <w:sz w:val="24"/>
          <w:szCs w:val="24"/>
        </w:rPr>
        <w:t>)</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vysporiadanie finančných vzťahov,</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spôsoby ukončenia zmluvy,</w:t>
      </w:r>
    </w:p>
    <w:p w:rsidR="00C23C04" w:rsidRPr="0048210C" w:rsidP="00C23C04">
      <w:pPr>
        <w:pStyle w:val="ListParagraph"/>
        <w:numPr>
          <w:numId w:val="14"/>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lang w:eastAsia="sk-SK"/>
        </w:rPr>
        <w:t>meno, priezvisko, funkciu a podpis osoby oprávnenej konať za zmluvnú stranu.</w:t>
      </w:r>
    </w:p>
    <w:p w:rsidR="00C23C04" w:rsidRPr="0048210C" w:rsidP="00C23C04">
      <w:pPr>
        <w:bidi w:val="0"/>
        <w:spacing w:after="0" w:line="240" w:lineRule="auto"/>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16</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Zmluva s finančným sprostredkovateľom</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15"/>
        </w:numPr>
        <w:bidi w:val="0"/>
        <w:spacing w:after="0" w:line="240" w:lineRule="auto"/>
        <w:ind w:hanging="420"/>
        <w:jc w:val="both"/>
        <w:rPr>
          <w:rFonts w:ascii="Times New Roman" w:hAnsi="Times New Roman"/>
          <w:sz w:val="24"/>
          <w:szCs w:val="24"/>
        </w:rPr>
      </w:pPr>
      <w:r w:rsidRPr="0048210C">
        <w:rPr>
          <w:rFonts w:ascii="Times New Roman" w:hAnsi="Times New Roman"/>
          <w:sz w:val="24"/>
          <w:szCs w:val="24"/>
        </w:rPr>
        <w:t>Zmluva s finančným sprostredkovateľom je zmluvou uzavretou podľa § 269 ods. 2 Obchodného zákonníka a upravuje práva a povinnosti prijímateľa a finančného sprostredkovateľa pri vykonávaní finančných nástrojov.</w:t>
      </w:r>
    </w:p>
    <w:p w:rsidR="00C23C04" w:rsidRPr="0048210C" w:rsidP="00C23C04">
      <w:pPr>
        <w:pStyle w:val="ListParagraph"/>
        <w:numPr>
          <w:numId w:val="15"/>
        </w:numPr>
        <w:bidi w:val="0"/>
        <w:spacing w:after="0" w:line="240" w:lineRule="auto"/>
        <w:ind w:hanging="420"/>
        <w:jc w:val="both"/>
        <w:rPr>
          <w:rFonts w:ascii="Times New Roman" w:hAnsi="Times New Roman"/>
          <w:sz w:val="24"/>
          <w:szCs w:val="24"/>
        </w:rPr>
      </w:pPr>
      <w:r w:rsidRPr="0048210C">
        <w:rPr>
          <w:rFonts w:ascii="Times New Roman" w:hAnsi="Times New Roman"/>
          <w:sz w:val="24"/>
          <w:szCs w:val="24"/>
        </w:rPr>
        <w:t>Právny nárok na poskytnutie finančných prostriedkov finančnému sprostredkovateľovi vzniká nadobudnutím účinnosti zmluvy s finančným sprostredkovateľom, pričom poskytnutie príspevku na finančný nástroj na základe zmluvy s finančným sprostredkovateľom je viazané na splnenie podmienok dohodnutých v tejto zmluve</w:t>
      </w:r>
      <w:r w:rsidRPr="0048210C">
        <w:rPr>
          <w:rFonts w:ascii="Times New Roman" w:hAnsi="Times New Roman"/>
          <w:sz w:val="24"/>
          <w:szCs w:val="24"/>
          <w:shd w:val="clear" w:color="auto" w:fill="FFFFFF"/>
        </w:rPr>
        <w:t>.</w:t>
      </w:r>
    </w:p>
    <w:p w:rsidR="00C23C04" w:rsidRPr="0048210C" w:rsidP="00C23C04">
      <w:pPr>
        <w:pStyle w:val="ListParagraph"/>
        <w:numPr>
          <w:numId w:val="15"/>
        </w:numPr>
        <w:bidi w:val="0"/>
        <w:spacing w:after="0" w:line="240" w:lineRule="auto"/>
        <w:ind w:hanging="420"/>
        <w:jc w:val="both"/>
        <w:rPr>
          <w:rFonts w:ascii="Times New Roman" w:hAnsi="Times New Roman"/>
          <w:sz w:val="24"/>
          <w:szCs w:val="24"/>
        </w:rPr>
      </w:pPr>
      <w:r w:rsidRPr="0048210C">
        <w:rPr>
          <w:rFonts w:ascii="Times New Roman" w:hAnsi="Times New Roman"/>
          <w:sz w:val="24"/>
          <w:szCs w:val="24"/>
        </w:rPr>
        <w:t>Zmluva s finančným sprostredkovateľom obsahuje najmä</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identifikačné údaje prijímateľa,</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identifikačné údaje finančného sprostredkovateľa,</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predmet zmluvy,</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práva a povinnosti prijímateľa,</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práva a povinnosti finančného sprostredkovateľa,</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výšku poskytovaného príspevku na finančný nástroj,</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účel poskytovaného príspevku na finančný nástroj,</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náležitosti podľa osobitného predpisu,</w:t>
      </w:r>
      <w:r>
        <w:rPr>
          <w:rStyle w:val="FootnoteReference"/>
          <w:rFonts w:ascii="Times New Roman" w:hAnsi="Times New Roman"/>
          <w:sz w:val="24"/>
          <w:szCs w:val="24"/>
          <w:rtl w:val="0"/>
        </w:rPr>
        <w:footnoteReference w:id="31"/>
      </w:r>
      <w:r w:rsidRPr="0048210C">
        <w:rPr>
          <w:rFonts w:ascii="Times New Roman" w:hAnsi="Times New Roman"/>
          <w:sz w:val="24"/>
          <w:szCs w:val="24"/>
        </w:rPr>
        <w:t>)</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očakávané výsledky, ktoré sa majú dosiahnuť prostredníctvom finančného nástroja vyjadrené prostredníctvom cieľových hodnôt ukazovateľov,</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postup pri kontrole zo strany prijímateľa,</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ustanovenia o likvidácii finančného nástroja,</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vysporiadanie finančných vzťahov,</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spôsoby ukončenia zmluvy,</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rPr>
        <w:t>sankcie za porušenie zmluvy,</w:t>
      </w:r>
    </w:p>
    <w:p w:rsidR="00C23C04" w:rsidRPr="0048210C" w:rsidP="00C23C04">
      <w:pPr>
        <w:pStyle w:val="ListParagraph"/>
        <w:numPr>
          <w:numId w:val="16"/>
        </w:numPr>
        <w:bidi w:val="0"/>
        <w:spacing w:after="0" w:line="240" w:lineRule="auto"/>
        <w:jc w:val="both"/>
        <w:rPr>
          <w:rFonts w:ascii="Times New Roman" w:hAnsi="Times New Roman"/>
          <w:sz w:val="24"/>
          <w:szCs w:val="24"/>
        </w:rPr>
      </w:pPr>
      <w:r w:rsidRPr="0048210C">
        <w:rPr>
          <w:rFonts w:ascii="Times New Roman" w:hAnsi="Times New Roman"/>
          <w:sz w:val="24"/>
          <w:szCs w:val="24"/>
          <w:lang w:eastAsia="sk-SK"/>
        </w:rPr>
        <w:t>meno, priezvisko, funkciu a podpis osoby oprávnenej konať za zmluvnú stranu.</w:t>
      </w:r>
    </w:p>
    <w:p w:rsidR="00C23C04" w:rsidRPr="0048210C" w:rsidP="00C23C04">
      <w:pPr>
        <w:bidi w:val="0"/>
        <w:spacing w:after="0" w:line="240" w:lineRule="auto"/>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17</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Konečný prijímateľ</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28"/>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Orgán vykonávajúci finančné nástroje poskytuje finančné prostriedky z finančného nástroja konečnému prijímateľovi na základe zmluvy.</w:t>
      </w:r>
      <w:r>
        <w:rPr>
          <w:rFonts w:ascii="Times New Roman" w:hAnsi="Times New Roman"/>
          <w:sz w:val="24"/>
          <w:szCs w:val="24"/>
          <w:vertAlign w:val="superscript"/>
        </w:rPr>
        <w:t>28</w:t>
      </w:r>
      <w:r w:rsidRPr="0048210C">
        <w:rPr>
          <w:rFonts w:ascii="Times New Roman" w:hAnsi="Times New Roman"/>
          <w:sz w:val="24"/>
          <w:szCs w:val="24"/>
        </w:rPr>
        <w:t xml:space="preserve">) Zmluva upravuje práva a povinnosti orgánu vykonávajúceho finančné nástroje a konečného prijímateľa pri poskytnutí finančného príspevku z finančného nástroja. </w:t>
      </w:r>
    </w:p>
    <w:p w:rsidR="00C23C04" w:rsidRPr="0048210C" w:rsidP="00C23C04">
      <w:pPr>
        <w:pStyle w:val="ListParagraph"/>
        <w:numPr>
          <w:numId w:val="28"/>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Súčasťou zmluvy podľa odseku 1 musí byť aj povinnosť konečného prijímateľa poskytnúť súčinnosť pri výkone kontroly a auditu prijímateľovi a orgánom oprávneným na výkon kontroly a auditu a strpieť výkon tejto kontroly a auditu. Ak je finančným sprostredkovateľom banka alebo pobočka zahraničnej banky, súčasťou zmluvy podľa odseku 1 musí byť aj predchádzajúci písomný súhlas konečného prijímateľa podľa osobitného predpisu.</w:t>
      </w:r>
      <w:r>
        <w:rPr>
          <w:rStyle w:val="FootnoteReference"/>
          <w:rFonts w:ascii="Times New Roman" w:hAnsi="Times New Roman"/>
          <w:sz w:val="24"/>
          <w:szCs w:val="24"/>
          <w:rtl w:val="0"/>
        </w:rPr>
        <w:footnoteReference w:id="32"/>
      </w:r>
      <w:r w:rsidRPr="0048210C">
        <w:rPr>
          <w:rFonts w:ascii="Times New Roman" w:hAnsi="Times New Roman"/>
          <w:sz w:val="24"/>
          <w:szCs w:val="24"/>
        </w:rPr>
        <w:t xml:space="preserve">) </w:t>
      </w:r>
    </w:p>
    <w:p w:rsidR="00C23C04" w:rsidRPr="0048210C" w:rsidP="00C23C04">
      <w:pPr>
        <w:pStyle w:val="ListParagraph"/>
        <w:numPr>
          <w:numId w:val="28"/>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 xml:space="preserve">Ak zmluva podľa odseku 1 neobsahuje náležitosti podľa odseku 2, na plnenie vyplývajúce z takejto zmluvy sa nesmú použiť finančné prostriedky z príspevku na finančný nástroj; ak sa finančné prostriedky z príspevku na finančný nástroj už použili, finančný sprostredkovateľ je povinný bezodkladne tieto finančné prostriedky v plnej výške nahradiť z vlastných zdrojov. </w:t>
      </w:r>
    </w:p>
    <w:p w:rsidR="00C23C04" w:rsidRPr="0048210C" w:rsidP="00C23C04">
      <w:pPr>
        <w:pStyle w:val="ListParagraph"/>
        <w:numPr>
          <w:numId w:val="28"/>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Konečný prijímateľ je povinný používať finančné prostriedky poskytnuté z finančného nástroja na účely naplnenia cieľov spoločných programov Slovenskej republiky a Európskej únie v súlade s ustanoveniami zmluvy.</w:t>
      </w:r>
    </w:p>
    <w:p w:rsidR="00C23C04" w:rsidRPr="0048210C" w:rsidP="00C23C04">
      <w:pPr>
        <w:bidi w:val="0"/>
        <w:spacing w:after="0" w:line="240" w:lineRule="auto"/>
        <w:ind w:left="426" w:hanging="426"/>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Pravidlá pri poskytnutí a vrátení príspevku na finančné nástroje</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18</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Pravidlá poskytnutia príspevku na finančný nástroj</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17"/>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Prijímateľ žiada o poskytnutie príspevku na finančný nástroj po uzatvorení zmluvy o financovaní prostredníctvom žiadosti o platbu.</w:t>
      </w:r>
      <w:r>
        <w:rPr>
          <w:rStyle w:val="FootnoteReference"/>
          <w:rFonts w:ascii="Times New Roman" w:hAnsi="Times New Roman"/>
          <w:sz w:val="24"/>
          <w:szCs w:val="24"/>
          <w:rtl w:val="0"/>
        </w:rPr>
        <w:footnoteReference w:id="33"/>
      </w:r>
      <w:r w:rsidRPr="0048210C">
        <w:rPr>
          <w:rFonts w:ascii="Times New Roman" w:hAnsi="Times New Roman"/>
          <w:sz w:val="24"/>
          <w:szCs w:val="24"/>
        </w:rPr>
        <w:t>)</w:t>
      </w:r>
    </w:p>
    <w:p w:rsidR="00C23C04" w:rsidRPr="0048210C" w:rsidP="00C23C04">
      <w:pPr>
        <w:pStyle w:val="ListParagraph"/>
        <w:numPr>
          <w:numId w:val="17"/>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V rámci jednej operácie môže realizovať poskytnutie príspevku na finančné nástroje alebo jeho časti prijímateľovi iba jedna platobná jednotka.</w:t>
      </w:r>
    </w:p>
    <w:p w:rsidR="00C23C04" w:rsidRPr="0048210C" w:rsidP="00C23C04">
      <w:pPr>
        <w:pStyle w:val="ListParagraph"/>
        <w:numPr>
          <w:numId w:val="17"/>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Na náklady na riadenie a poplatky za riadenie, ako aj spôsob ich výpočtu, sa vzťahuje osobitný predpis.</w:t>
      </w:r>
      <w:r>
        <w:rPr>
          <w:rStyle w:val="FootnoteReference"/>
          <w:rFonts w:ascii="Times New Roman" w:hAnsi="Times New Roman"/>
          <w:sz w:val="24"/>
          <w:szCs w:val="24"/>
          <w:rtl w:val="0"/>
        </w:rPr>
        <w:footnoteReference w:id="34"/>
      </w:r>
      <w:r w:rsidRPr="0048210C">
        <w:rPr>
          <w:rFonts w:ascii="Times New Roman" w:hAnsi="Times New Roman"/>
          <w:sz w:val="24"/>
          <w:szCs w:val="24"/>
        </w:rPr>
        <w:t xml:space="preserve">) </w:t>
      </w:r>
    </w:p>
    <w:p w:rsidR="00C23C04" w:rsidRPr="0048210C" w:rsidP="00C23C04">
      <w:pPr>
        <w:bidi w:val="0"/>
        <w:spacing w:after="0" w:line="240" w:lineRule="auto"/>
        <w:ind w:left="141"/>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19</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Pravidlá vrátenia príspevku na finančný nástroj</w:t>
      </w:r>
    </w:p>
    <w:p w:rsidR="00C23C04" w:rsidRPr="0048210C" w:rsidP="00C23C04">
      <w:pPr>
        <w:bidi w:val="0"/>
        <w:spacing w:after="0" w:line="240" w:lineRule="auto"/>
        <w:ind w:left="141"/>
        <w:jc w:val="center"/>
        <w:rPr>
          <w:rFonts w:ascii="Times New Roman" w:hAnsi="Times New Roman"/>
          <w:b/>
          <w:sz w:val="24"/>
          <w:szCs w:val="24"/>
        </w:rPr>
      </w:pPr>
    </w:p>
    <w:p w:rsidR="00C23C04" w:rsidRPr="0048210C" w:rsidP="00C23C04">
      <w:pPr>
        <w:pStyle w:val="ListParagraph"/>
        <w:numPr>
          <w:numId w:val="23"/>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Prijímateľ je povinný používať príspevok na finančný nástroj v súlade s cieľmi spoločných programov Slovenskej republiky a Európskej únie počas obdobia ustanoveného osobitným predpisom.</w:t>
      </w:r>
      <w:r>
        <w:rPr>
          <w:rStyle w:val="FootnoteReference"/>
          <w:rFonts w:ascii="Times New Roman" w:hAnsi="Times New Roman"/>
          <w:sz w:val="24"/>
          <w:szCs w:val="24"/>
          <w:rtl w:val="0"/>
        </w:rPr>
        <w:footnoteReference w:id="35"/>
      </w:r>
      <w:r w:rsidRPr="0048210C">
        <w:rPr>
          <w:rFonts w:ascii="Times New Roman" w:hAnsi="Times New Roman"/>
          <w:sz w:val="24"/>
          <w:szCs w:val="24"/>
        </w:rPr>
        <w:t>) O použití týchto prostriedkov po uplynutí obdobia podľa prvej vety rozhodne vláda Slovenskej republiky.</w:t>
      </w:r>
    </w:p>
    <w:p w:rsidR="00C23C04" w:rsidRPr="0048210C" w:rsidP="00C23C04">
      <w:pPr>
        <w:pStyle w:val="ListParagraph"/>
        <w:numPr>
          <w:numId w:val="23"/>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Finančný sprostredkovateľ je povinný používať príspevok na finančný nástroj v rámci určeného finančného nástroja v súlade s podnikateľským plánom tohto finančného nástroja až do ukončenia finančného nástroja, ak v zmluve s finančným sprostredkovateľom nie je dohodnuté inak. Po ukončení obdobia uvedeného v prvej vete je finančný sprostredkovateľ povinný vrátiť tento príspevok na finančný nástroj prijímateľovi v súlade s podmienkami zmluvy s finančným sprostredkovateľom.</w:t>
      </w:r>
    </w:p>
    <w:p w:rsidR="00C23C04" w:rsidRPr="0048210C" w:rsidP="00C23C04">
      <w:pPr>
        <w:pStyle w:val="ListParagraph"/>
        <w:numPr>
          <w:numId w:val="23"/>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 xml:space="preserve">Konečný prijímateľ je povinný vrátiť finančné prostriedky orgánu vykonávajúcemu finančné nástroje, s ktorým uzatvoril zmluvu, v súlade s podmienkami zmluvy.  </w:t>
      </w:r>
    </w:p>
    <w:p w:rsidR="00C23C04" w:rsidRPr="0048210C" w:rsidP="00C23C04">
      <w:pPr>
        <w:bidi w:val="0"/>
        <w:spacing w:after="0" w:line="240" w:lineRule="auto"/>
        <w:ind w:left="141"/>
        <w:jc w:val="both"/>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20</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Pravidlá vrátenia príspevku na finančný nástroj pri finančnej oprave</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22"/>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Prijímateľ je povinný vrátiť poskytovateľovi príspevok na finančný nástroj alebo jeho časť podľa tohto zákona a osobitného predpisu</w:t>
      </w:r>
      <w:r>
        <w:rPr>
          <w:rStyle w:val="FootnoteReference"/>
          <w:rFonts w:ascii="Times New Roman" w:hAnsi="Times New Roman"/>
          <w:sz w:val="24"/>
          <w:szCs w:val="24"/>
          <w:rtl w:val="0"/>
        </w:rPr>
        <w:footnoteReference w:id="36"/>
      </w:r>
      <w:r w:rsidRPr="0048210C">
        <w:rPr>
          <w:rFonts w:ascii="Times New Roman" w:hAnsi="Times New Roman"/>
          <w:sz w:val="24"/>
          <w:szCs w:val="24"/>
        </w:rPr>
        <w:t>) za podmienok uvedených v zmluve o financovaní a v tomto zákone. Ak suma príspevku na finančný nástroj alebo jeho časti, ktorá sa má vrátiť, nepresiahne 100 eur, tento príspevok na finančný nástroj alebo jeho časť poskytovateľ neuplatňuje a nevymáha.</w:t>
      </w:r>
    </w:p>
    <w:p w:rsidR="00C23C04" w:rsidRPr="0048210C" w:rsidP="00C23C04">
      <w:pPr>
        <w:pStyle w:val="ListParagraph"/>
        <w:numPr>
          <w:numId w:val="22"/>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Prijímateľ je povinný vrátiť príspevok na finančný nástroj alebo jeho časť, ak došlo k porušeniu povinnosti prijímateľa. Porušením povinnosti prijímateľa je</w:t>
      </w:r>
    </w:p>
    <w:p w:rsidR="00C23C04" w:rsidRPr="0048210C" w:rsidP="00C23C04">
      <w:pPr>
        <w:pStyle w:val="ListParagraph"/>
        <w:numPr>
          <w:numId w:val="29"/>
        </w:numPr>
        <w:bidi w:val="0"/>
        <w:spacing w:after="0" w:line="240" w:lineRule="auto"/>
        <w:jc w:val="both"/>
        <w:rPr>
          <w:rFonts w:ascii="Times New Roman" w:hAnsi="Times New Roman"/>
          <w:sz w:val="24"/>
          <w:szCs w:val="24"/>
        </w:rPr>
      </w:pPr>
      <w:r w:rsidRPr="0048210C">
        <w:rPr>
          <w:rFonts w:ascii="Times New Roman" w:hAnsi="Times New Roman"/>
          <w:sz w:val="24"/>
          <w:szCs w:val="24"/>
        </w:rPr>
        <w:t>použitie príspevku na finančný nástroj alebo jeho časti v rozpore s určeným účelom, ktorým je zabezpečenie cieľov spoločných programov Slovenskej republiky a Európskej únie,</w:t>
      </w:r>
    </w:p>
    <w:p w:rsidR="00C23C04" w:rsidRPr="0048210C" w:rsidP="00C23C04">
      <w:pPr>
        <w:pStyle w:val="ListParagraph"/>
        <w:numPr>
          <w:numId w:val="29"/>
        </w:numPr>
        <w:bidi w:val="0"/>
        <w:spacing w:after="0" w:line="240" w:lineRule="auto"/>
        <w:jc w:val="both"/>
        <w:rPr>
          <w:rFonts w:ascii="Times New Roman" w:hAnsi="Times New Roman"/>
          <w:sz w:val="24"/>
          <w:szCs w:val="24"/>
        </w:rPr>
      </w:pPr>
      <w:r w:rsidRPr="0048210C">
        <w:rPr>
          <w:rFonts w:ascii="Times New Roman" w:hAnsi="Times New Roman"/>
          <w:sz w:val="24"/>
          <w:szCs w:val="24"/>
        </w:rPr>
        <w:t>poskytnutie finančných prostriedkov určených na finančné nástroje v rozpore s určeným účelom, ktorým je zabezpečenie cieľov spoločných programov Slovenskej republiky a Európskej únie,</w:t>
      </w:r>
    </w:p>
    <w:p w:rsidR="00C23C04" w:rsidRPr="0048210C" w:rsidP="00C23C04">
      <w:pPr>
        <w:pStyle w:val="ListParagraph"/>
        <w:numPr>
          <w:numId w:val="29"/>
        </w:numPr>
        <w:bidi w:val="0"/>
        <w:spacing w:after="0" w:line="240" w:lineRule="auto"/>
        <w:jc w:val="both"/>
        <w:rPr>
          <w:rFonts w:ascii="Times New Roman" w:hAnsi="Times New Roman"/>
          <w:sz w:val="24"/>
          <w:szCs w:val="24"/>
        </w:rPr>
      </w:pPr>
      <w:r w:rsidRPr="0048210C">
        <w:rPr>
          <w:rFonts w:ascii="Times New Roman" w:hAnsi="Times New Roman"/>
          <w:sz w:val="24"/>
          <w:szCs w:val="24"/>
        </w:rPr>
        <w:t>porušenie pravidiel, podmienok a postupov pri vykonávaní finančných nástrojov podľa tohto zákona  a podľa osobitných predpisov,</w:t>
      </w:r>
      <w:r>
        <w:rPr>
          <w:rStyle w:val="FootnoteReference"/>
          <w:rFonts w:ascii="Times New Roman" w:hAnsi="Times New Roman"/>
          <w:sz w:val="24"/>
          <w:szCs w:val="24"/>
          <w:rtl w:val="0"/>
        </w:rPr>
        <w:footnoteReference w:id="37"/>
      </w:r>
      <w:r w:rsidRPr="0048210C">
        <w:rPr>
          <w:rFonts w:ascii="Times New Roman" w:hAnsi="Times New Roman"/>
          <w:sz w:val="24"/>
          <w:szCs w:val="24"/>
        </w:rPr>
        <w:t xml:space="preserve">) </w:t>
      </w:r>
    </w:p>
    <w:p w:rsidR="00C23C04" w:rsidRPr="0048210C" w:rsidP="00C23C04">
      <w:pPr>
        <w:pStyle w:val="ListParagraph"/>
        <w:numPr>
          <w:numId w:val="29"/>
        </w:numPr>
        <w:bidi w:val="0"/>
        <w:spacing w:after="0" w:line="240" w:lineRule="auto"/>
        <w:jc w:val="both"/>
        <w:rPr>
          <w:rFonts w:ascii="Times New Roman" w:hAnsi="Times New Roman"/>
          <w:sz w:val="24"/>
          <w:szCs w:val="24"/>
        </w:rPr>
      </w:pPr>
      <w:r w:rsidRPr="0048210C">
        <w:rPr>
          <w:rFonts w:ascii="Times New Roman" w:hAnsi="Times New Roman"/>
          <w:sz w:val="24"/>
          <w:szCs w:val="24"/>
        </w:rPr>
        <w:t>porušenie pravidiel a podmienok uvedených v zmluve o financovaní, za ktorých bol príspevok na finančný nástroj poskytnutý.</w:t>
      </w:r>
    </w:p>
    <w:p w:rsidR="00C23C04" w:rsidRPr="0048210C" w:rsidP="00C23C04">
      <w:pPr>
        <w:pStyle w:val="ListParagraph"/>
        <w:numPr>
          <w:numId w:val="22"/>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prijímateľ porušil povinnosti podľa odseku 2 písm. a) a b), je povinný vrátiť príspevok na finančný nástroj alebo jeho časť vo výške, v ktorej došlo k porušeniu povinnosti a penále vo výške 0,1 % sumy, v ktorej došlo k porušeniu povinnosti za každý aj začatý deň porušenia povinnosti do dňa vrátenia príspevku na finančný nástroj alebo jeho časti vrátane, najviac do výšky tejto sumy.</w:t>
      </w:r>
    </w:p>
    <w:p w:rsidR="00C23C04" w:rsidRPr="0048210C" w:rsidP="00C23C04">
      <w:pPr>
        <w:pStyle w:val="ListParagraph"/>
        <w:numPr>
          <w:numId w:val="22"/>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prijímateľ porušil povinnosti podľa odseku 2 písm. c) a d), je povinný vrátiť príspevok na finančný nástroj alebo jeho časť vo výške finančnej opravy</w:t>
      </w:r>
      <w:r>
        <w:rPr>
          <w:rStyle w:val="FootnoteReference"/>
          <w:rFonts w:ascii="Times New Roman" w:hAnsi="Times New Roman"/>
          <w:sz w:val="24"/>
          <w:szCs w:val="24"/>
          <w:rtl w:val="0"/>
        </w:rPr>
        <w:footnoteReference w:id="38"/>
      </w:r>
      <w:r w:rsidRPr="0048210C">
        <w:rPr>
          <w:rFonts w:ascii="Times New Roman" w:hAnsi="Times New Roman"/>
          <w:sz w:val="24"/>
          <w:szCs w:val="24"/>
        </w:rPr>
        <w:t>) a penále vo výške 0,1 % sumy finančnej opravy za každý aj začatý deň porušenia povinnosti do dňa vrátenia príspevku na finančný nástroj alebo jeho časti vrátane, najviac do výšky tejto sumy.</w:t>
      </w:r>
    </w:p>
    <w:p w:rsidR="00C23C04" w:rsidRPr="0048210C" w:rsidP="00C23C04">
      <w:pPr>
        <w:pStyle w:val="ListParagraph"/>
        <w:numPr>
          <w:numId w:val="22"/>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Prijímateľ je zodpovedný za vrátenie príspevku na finančný nástroj alebo jeho časti, na ktorom bola vykonaná finančná oprava. Prijímateľ nie je zodpovedný za vrátenie príspevku na finančný nástroj alebo jeho časti pri splnení podmienok ustanovených v osobitnom predpise.</w:t>
      </w:r>
      <w:r>
        <w:rPr>
          <w:rStyle w:val="FootnoteReference"/>
          <w:rFonts w:ascii="Times New Roman" w:hAnsi="Times New Roman"/>
          <w:sz w:val="24"/>
          <w:szCs w:val="24"/>
          <w:rtl w:val="0"/>
        </w:rPr>
        <w:footnoteReference w:id="39"/>
      </w:r>
      <w:r w:rsidRPr="0048210C">
        <w:rPr>
          <w:rFonts w:ascii="Times New Roman" w:hAnsi="Times New Roman"/>
          <w:sz w:val="24"/>
          <w:szCs w:val="24"/>
        </w:rPr>
        <w:t>)</w:t>
      </w:r>
    </w:p>
    <w:p w:rsidR="00C23C04" w:rsidRPr="0048210C" w:rsidP="00C23C04">
      <w:pPr>
        <w:pStyle w:val="ListParagraph"/>
        <w:numPr>
          <w:numId w:val="22"/>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Orgán vykonávajúci finančné nástroje, ktorý porušil zákaz nelegálneho zamestnávania štátnych príslušníkov tretích krajín podľa osobitného predpisu,</w:t>
      </w:r>
      <w:r>
        <w:rPr>
          <w:rStyle w:val="FootnoteReference"/>
          <w:rFonts w:ascii="Times New Roman" w:hAnsi="Times New Roman"/>
          <w:sz w:val="24"/>
          <w:szCs w:val="24"/>
          <w:rtl w:val="0"/>
        </w:rPr>
        <w:footnoteReference w:id="40"/>
      </w:r>
      <w:r w:rsidRPr="0048210C">
        <w:rPr>
          <w:rFonts w:ascii="Times New Roman" w:hAnsi="Times New Roman"/>
          <w:sz w:val="24"/>
          <w:szCs w:val="24"/>
        </w:rPr>
        <w:t>) je povinný vrátiť príspevok poskytnutý v období 12 mesiacov predchádzajúcich dňu nadobudnutia právoplatnosti rozhodnutia o uložení pokuty za porušenie zákazu nelegálneho zamestnávania, a to do 30 dní odo dňa nadobudnutia právoplatnosti tohto rozhodnutia.</w:t>
      </w:r>
      <w:r>
        <w:rPr>
          <w:rStyle w:val="FootnoteReference"/>
          <w:rFonts w:ascii="Times New Roman" w:hAnsi="Times New Roman"/>
          <w:sz w:val="24"/>
          <w:szCs w:val="24"/>
          <w:rtl w:val="0"/>
        </w:rPr>
        <w:footnoteReference w:id="41"/>
      </w:r>
      <w:r w:rsidRPr="0048210C">
        <w:rPr>
          <w:rFonts w:ascii="Times New Roman" w:hAnsi="Times New Roman"/>
          <w:sz w:val="24"/>
          <w:szCs w:val="24"/>
        </w:rPr>
        <w:t>)</w:t>
      </w:r>
    </w:p>
    <w:p w:rsidR="00C23C04" w:rsidRPr="0048210C" w:rsidP="00C23C04">
      <w:pPr>
        <w:bidi w:val="0"/>
        <w:spacing w:after="0" w:line="240" w:lineRule="auto"/>
        <w:ind w:left="141"/>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21</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Vysporiadanie finančných vzťahov</w:t>
      </w:r>
    </w:p>
    <w:p w:rsidR="00C23C04" w:rsidRPr="0048210C" w:rsidP="00C23C04">
      <w:pPr>
        <w:bidi w:val="0"/>
        <w:spacing w:after="0" w:line="240" w:lineRule="auto"/>
        <w:ind w:left="141"/>
        <w:jc w:val="center"/>
        <w:rPr>
          <w:rFonts w:ascii="Times New Roman" w:hAnsi="Times New Roman"/>
          <w:b/>
          <w:sz w:val="24"/>
          <w:szCs w:val="24"/>
        </w:rPr>
      </w:pPr>
    </w:p>
    <w:p w:rsidR="00C23C04" w:rsidRPr="0048210C" w:rsidP="00C23C04">
      <w:pPr>
        <w:pStyle w:val="ListParagraph"/>
        <w:numPr>
          <w:numId w:val="24"/>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Finančnú opravu môže vykonať poskytovateľ, certifikačný orgán alebo orgán auditu pred ukončením operačného programu. Voči poskytovateľovi, certifikačnému orgánu alebo orgánu auditu sa vykoná finančná oprava viazaním podľa osobitného predpisu.</w:t>
      </w:r>
      <w:r>
        <w:rPr>
          <w:rStyle w:val="FootnoteReference"/>
          <w:rFonts w:ascii="Times New Roman" w:hAnsi="Times New Roman"/>
          <w:sz w:val="24"/>
          <w:szCs w:val="24"/>
          <w:rtl w:val="0"/>
        </w:rPr>
        <w:footnoteReference w:id="42"/>
      </w:r>
      <w:r w:rsidRPr="0048210C">
        <w:rPr>
          <w:rFonts w:ascii="Times New Roman" w:hAnsi="Times New Roman"/>
          <w:sz w:val="24"/>
          <w:szCs w:val="24"/>
        </w:rPr>
        <w:t>)</w:t>
      </w:r>
    </w:p>
    <w:p w:rsidR="00C23C04" w:rsidRPr="0048210C" w:rsidP="00C23C04">
      <w:pPr>
        <w:pStyle w:val="ListParagraph"/>
        <w:numPr>
          <w:numId w:val="24"/>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Vysporiadanie finančných vzťahov po vykonaní finančnej opravy voči prijímateľovi sa vykoná vrátením príspevku na finančný nástroj alebo jeho časti, na ktorej bola finančná oprava vykonaná, podľa § 20.</w:t>
      </w:r>
    </w:p>
    <w:p w:rsidR="00C23C04" w:rsidRPr="0048210C" w:rsidP="00C23C04">
      <w:pPr>
        <w:pStyle w:val="ListParagraph"/>
        <w:numPr>
          <w:numId w:val="24"/>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poskytovateľ zistí nesplnenie povinnosti prijímateľa vrátiť príspevok na finančný nástroj alebo jeho časť, vyzve prijímateľa na vrátenie príspevku na finančný nástroj alebo jeho časti.</w:t>
      </w:r>
    </w:p>
    <w:p w:rsidR="00C23C04" w:rsidRPr="0048210C" w:rsidP="00C23C04">
      <w:pPr>
        <w:pStyle w:val="ListParagraph"/>
        <w:numPr>
          <w:numId w:val="24"/>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Prijímateľ vracia prostriedky Európskej únie schválené certifikačným orgánom na osobitný účet Ministerstva financií Slovenskej republiky vedený v Štátnej pokladnici, prostriedky Európskej únie neschválené certifikačným orgánom a prostriedky štátneho rozpočtu vráti do rozpočtu príslušnej platobnej jednotky podľa osobitného predpisu.</w:t>
      </w:r>
      <w:r>
        <w:rPr>
          <w:rStyle w:val="FootnoteReference"/>
          <w:rFonts w:ascii="Times New Roman" w:hAnsi="Times New Roman"/>
          <w:sz w:val="24"/>
          <w:szCs w:val="24"/>
          <w:rtl w:val="0"/>
        </w:rPr>
        <w:footnoteReference w:id="43"/>
      </w:r>
      <w:r w:rsidRPr="0048210C">
        <w:rPr>
          <w:rFonts w:ascii="Times New Roman" w:hAnsi="Times New Roman"/>
          <w:sz w:val="24"/>
          <w:szCs w:val="24"/>
        </w:rPr>
        <w:t>)</w:t>
      </w:r>
    </w:p>
    <w:p w:rsidR="00C23C04" w:rsidRPr="0048210C" w:rsidP="00C23C04">
      <w:pPr>
        <w:pStyle w:val="ListParagraph"/>
        <w:numPr>
          <w:numId w:val="24"/>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prijímateľ nevráti príspevok na finančný nástroj alebo jeho časť a penále na základe výzvy podľa odseku 3, poskytovateľ oznámi túto skutočnosť príslušnej správe finančnej kontroly.</w:t>
      </w:r>
      <w:r>
        <w:rPr>
          <w:rStyle w:val="FootnoteReference"/>
          <w:rFonts w:ascii="Times New Roman" w:hAnsi="Times New Roman"/>
          <w:sz w:val="24"/>
          <w:szCs w:val="24"/>
          <w:rtl w:val="0"/>
        </w:rPr>
        <w:footnoteReference w:id="44"/>
      </w:r>
      <w:r w:rsidRPr="0048210C">
        <w:rPr>
          <w:rFonts w:ascii="Times New Roman" w:hAnsi="Times New Roman"/>
          <w:sz w:val="24"/>
          <w:szCs w:val="24"/>
        </w:rPr>
        <w:t>) Správa finančnej kontroly rozhodne o vrátení príspevku na finančný nástroj alebo jeho časti a penále. Ak prijímateľ nevráti príspevok na finančný nástroj alebo jeho časť a penále, správa finančnej kontroly tento príspevok na finančný nástroj alebo jeho časť a penále vymáha.</w:t>
      </w:r>
    </w:p>
    <w:p w:rsidR="00C23C04" w:rsidRPr="0048210C" w:rsidP="00C23C04">
      <w:pPr>
        <w:pStyle w:val="ListParagraph"/>
        <w:numPr>
          <w:numId w:val="24"/>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Na konanie podľa odseku 5 sa vzťahuje všeobecný predpis o správnom konaní.</w:t>
      </w:r>
    </w:p>
    <w:p w:rsidR="00C23C04" w:rsidRPr="0048210C" w:rsidP="00C23C04">
      <w:pPr>
        <w:pStyle w:val="ListParagraph"/>
        <w:numPr>
          <w:numId w:val="24"/>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vznikne nezrovnalosť</w:t>
      </w:r>
      <w:r>
        <w:rPr>
          <w:rStyle w:val="FootnoteReference"/>
          <w:rFonts w:ascii="Times New Roman" w:hAnsi="Times New Roman"/>
          <w:sz w:val="24"/>
          <w:szCs w:val="24"/>
          <w:rtl w:val="0"/>
        </w:rPr>
        <w:footnoteReference w:id="45"/>
      </w:r>
      <w:r w:rsidRPr="0048210C">
        <w:rPr>
          <w:rFonts w:ascii="Times New Roman" w:hAnsi="Times New Roman"/>
          <w:sz w:val="24"/>
          <w:szCs w:val="24"/>
        </w:rPr>
        <w:t>) u finančného sprostredkovateľa alebo konečného prijímateľa, finančná oprava sa vykoná u prijímateľa. Prijímateľ následne vymáha tieto prostriedky od finančného sprostredkovateľa v súlade so zmluvou s finančným sprostredkovateľom podľa § 16, alebo od konečného prijímateľa v súlade so zmluvou podľa § 17. Výška finančnej opravy u prijímateľa sa určí primerane podľa § 20 ods. 3 a 4.</w:t>
      </w:r>
    </w:p>
    <w:p w:rsidR="00C23C04" w:rsidRPr="0048210C" w:rsidP="00C23C04">
      <w:pPr>
        <w:bidi w:val="0"/>
        <w:spacing w:after="0" w:line="240" w:lineRule="auto"/>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22</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Ochrana finančných záujmov Európskej únie</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Ak finančný sprostredkovateľ alebo konečný prijímateľ zistí nezrovnalosť, je povinný to bezodkladne oznámiť poskytovateľovi a prijímateľovi.</w:t>
      </w:r>
    </w:p>
    <w:p w:rsidR="00C23C04" w:rsidRPr="0048210C" w:rsidP="00C23C04">
      <w:pPr>
        <w:bidi w:val="0"/>
        <w:spacing w:after="0" w:line="240" w:lineRule="auto"/>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23</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Účtovníctvo</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18"/>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Orgán vykonávajúci finančné nástroje a konečný prijímateľ, ktorí sú účtovnou jednotkou,</w:t>
      </w:r>
      <w:r>
        <w:rPr>
          <w:rStyle w:val="FootnoteReference"/>
          <w:rFonts w:ascii="Times New Roman" w:hAnsi="Times New Roman"/>
          <w:sz w:val="24"/>
          <w:szCs w:val="24"/>
          <w:rtl w:val="0"/>
        </w:rPr>
        <w:footnoteReference w:id="46"/>
      </w:r>
      <w:r w:rsidRPr="0048210C">
        <w:rPr>
          <w:rFonts w:ascii="Times New Roman" w:hAnsi="Times New Roman"/>
          <w:sz w:val="24"/>
          <w:szCs w:val="24"/>
        </w:rPr>
        <w:t>) účtujú o skutočnostiach týkajúcich sa finančného nástroja</w:t>
      </w:r>
    </w:p>
    <w:p w:rsidR="00C23C04" w:rsidRPr="0048210C" w:rsidP="00C23C04">
      <w:pPr>
        <w:pStyle w:val="ListParagraph"/>
        <w:numPr>
          <w:numId w:val="19"/>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na analytických účtoch v členení podľa jednotlivých operácií alebo v analytickej evidencii vedenej v technickej forme v členení podľa jednotlivých operácií bez vytvorenia analytických účtov v členení podľa jednotlivých operácií, ak účtujú v sústave podvojného účtovníctva, alebo</w:t>
      </w:r>
    </w:p>
    <w:p w:rsidR="00C23C04" w:rsidRPr="0048210C" w:rsidP="00C23C04">
      <w:pPr>
        <w:pStyle w:val="ListParagraph"/>
        <w:numPr>
          <w:numId w:val="19"/>
        </w:numPr>
        <w:bidi w:val="0"/>
        <w:spacing w:after="0" w:line="240" w:lineRule="auto"/>
        <w:ind w:left="709" w:hanging="283"/>
        <w:jc w:val="both"/>
        <w:rPr>
          <w:rFonts w:ascii="Times New Roman" w:hAnsi="Times New Roman"/>
          <w:sz w:val="24"/>
          <w:szCs w:val="24"/>
        </w:rPr>
      </w:pPr>
      <w:r w:rsidRPr="0048210C">
        <w:rPr>
          <w:rFonts w:ascii="Times New Roman" w:hAnsi="Times New Roman"/>
          <w:sz w:val="24"/>
          <w:szCs w:val="24"/>
        </w:rPr>
        <w:t>v účtovných knihách</w:t>
      </w:r>
      <w:r w:rsidRPr="0048210C">
        <w:rPr>
          <w:rFonts w:ascii="Times New Roman" w:hAnsi="Times New Roman"/>
          <w:b/>
          <w:bCs/>
          <w:sz w:val="24"/>
          <w:szCs w:val="24"/>
          <w:vertAlign w:val="superscript"/>
        </w:rPr>
        <w:t xml:space="preserve"> </w:t>
      </w:r>
      <w:r w:rsidRPr="0048210C">
        <w:rPr>
          <w:rFonts w:ascii="Times New Roman" w:hAnsi="Times New Roman"/>
          <w:sz w:val="24"/>
          <w:szCs w:val="24"/>
        </w:rPr>
        <w:t>so slovným a číselným označením operácie v účtovných zápisoch, ak účtujú v sústave jednoduchého účtovníctva.</w:t>
      </w:r>
    </w:p>
    <w:p w:rsidR="00C23C04" w:rsidRPr="0048210C" w:rsidP="00C23C04">
      <w:pPr>
        <w:pStyle w:val="ListParagraph"/>
        <w:numPr>
          <w:numId w:val="18"/>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Konečný prijímateľ, ktorý nie je účtovnou jednotkou,</w:t>
      </w:r>
      <w:r>
        <w:rPr>
          <w:rFonts w:ascii="Times New Roman" w:hAnsi="Times New Roman"/>
          <w:sz w:val="24"/>
          <w:szCs w:val="24"/>
          <w:vertAlign w:val="superscript"/>
        </w:rPr>
        <w:t>45</w:t>
      </w:r>
      <w:r w:rsidRPr="0048210C">
        <w:rPr>
          <w:rFonts w:ascii="Times New Roman" w:hAnsi="Times New Roman"/>
          <w:sz w:val="24"/>
          <w:szCs w:val="24"/>
        </w:rPr>
        <w:t>) vedie evidenciu</w:t>
      </w:r>
      <w:r>
        <w:rPr>
          <w:rFonts w:ascii="Times New Roman" w:hAnsi="Times New Roman"/>
          <w:sz w:val="24"/>
          <w:szCs w:val="24"/>
        </w:rPr>
        <w:t xml:space="preserve"> </w:t>
      </w:r>
      <w:r w:rsidRPr="0048210C">
        <w:rPr>
          <w:rFonts w:ascii="Times New Roman" w:hAnsi="Times New Roman"/>
          <w:sz w:val="24"/>
          <w:szCs w:val="24"/>
        </w:rPr>
        <w:t>majetku, záväzkov, príjmov a výdavkov týkajúcich sa operácie v účtovných knihách so slovným a číselným označením operácie pri zápisoch v nich, pričom na vedenie tejto evidencie, preukazovanie zápisov a spôsob oceňovania majetku a záväzkov sa primerane použijú ustanovenia osobitného predpisu</w:t>
      </w:r>
      <w:r>
        <w:rPr>
          <w:rStyle w:val="FootnoteReference"/>
          <w:rFonts w:ascii="Times New Roman" w:hAnsi="Times New Roman"/>
          <w:sz w:val="24"/>
          <w:szCs w:val="24"/>
          <w:rtl w:val="0"/>
        </w:rPr>
        <w:footnoteReference w:id="47"/>
      </w:r>
      <w:r w:rsidRPr="0048210C">
        <w:rPr>
          <w:rFonts w:ascii="Times New Roman" w:hAnsi="Times New Roman"/>
          <w:sz w:val="24"/>
          <w:szCs w:val="24"/>
        </w:rPr>
        <w:t>) o účtovných zápisoch, účtovnej dokumentácii a spôsobe oceňovania.</w:t>
      </w:r>
    </w:p>
    <w:p w:rsidR="00C23C04" w:rsidRPr="0048210C" w:rsidP="00C23C04">
      <w:pPr>
        <w:bidi w:val="0"/>
        <w:spacing w:after="0" w:line="240" w:lineRule="auto"/>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 24</w:t>
      </w:r>
    </w:p>
    <w:p w:rsidR="00C23C04" w:rsidRPr="0048210C" w:rsidP="00C23C04">
      <w:pPr>
        <w:bidi w:val="0"/>
        <w:spacing w:after="0" w:line="240" w:lineRule="auto"/>
        <w:jc w:val="center"/>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Uchovávanie dokumentácie</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pStyle w:val="ListParagraph"/>
        <w:numPr>
          <w:numId w:val="20"/>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Orgán vykonávajúci finančné nástroje a konečný prijímateľ uchovávajú a ochraňujú účtovnú dokumentáciu podľa § 23 a inú dokumentáciu týkajúcu sa operácie podľa osobitného predpisu.</w:t>
      </w:r>
      <w:r>
        <w:rPr>
          <w:rFonts w:ascii="Times New Roman" w:hAnsi="Times New Roman"/>
          <w:sz w:val="24"/>
          <w:szCs w:val="24"/>
          <w:vertAlign w:val="superscript"/>
        </w:rPr>
        <w:t>46</w:t>
      </w:r>
      <w:r w:rsidRPr="0048210C">
        <w:rPr>
          <w:rFonts w:ascii="Times New Roman" w:hAnsi="Times New Roman"/>
          <w:sz w:val="24"/>
          <w:szCs w:val="24"/>
        </w:rPr>
        <w:t>)</w:t>
      </w:r>
    </w:p>
    <w:p w:rsidR="00C23C04" w:rsidRPr="0048210C" w:rsidP="00C23C04">
      <w:pPr>
        <w:pStyle w:val="ListParagraph"/>
        <w:numPr>
          <w:numId w:val="20"/>
        </w:numPr>
        <w:bidi w:val="0"/>
        <w:spacing w:after="0" w:line="240" w:lineRule="auto"/>
        <w:ind w:left="426" w:hanging="426"/>
        <w:jc w:val="both"/>
        <w:rPr>
          <w:rFonts w:ascii="Times New Roman" w:hAnsi="Times New Roman"/>
          <w:sz w:val="24"/>
          <w:szCs w:val="24"/>
        </w:rPr>
      </w:pPr>
      <w:r w:rsidRPr="0048210C">
        <w:rPr>
          <w:rFonts w:ascii="Times New Roman" w:hAnsi="Times New Roman"/>
          <w:sz w:val="24"/>
          <w:szCs w:val="24"/>
        </w:rPr>
        <w:t>Ak má prijímateľ sídlo alebo miesto podnikania mimo územia Slovenskej republiky, je povinný viesť účtovníctvo týkajúce sa poskytovania príspevku na finančné nástroje podľa právneho poriadku štátu, na území ktorého má sídlo alebo miesto podnikania. Ustanovenia § 23 sa nepoužijú.</w:t>
      </w:r>
    </w:p>
    <w:p w:rsidR="00C23C04" w:rsidRPr="0048210C" w:rsidP="00C23C04">
      <w:pPr>
        <w:bidi w:val="0"/>
        <w:spacing w:after="0" w:line="240" w:lineRule="auto"/>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Čl. II</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Zákon č. 566/2001 Z. z. o cenných papieroch a investičných službách a o zmene a doplnení niektorých zákonov (zákon o cenných papieroch) v znení zákona č. 291/2002 Z. z., zákona č. 429/2002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w:t>
      </w:r>
      <w:r>
        <w:rPr>
          <w:rFonts w:ascii="Times New Roman" w:hAnsi="Times New Roman"/>
          <w:sz w:val="24"/>
          <w:szCs w:val="24"/>
        </w:rPr>
        <w:t>,</w:t>
      </w:r>
      <w:r w:rsidRPr="0048210C">
        <w:rPr>
          <w:rFonts w:ascii="Times New Roman" w:hAnsi="Times New Roman"/>
          <w:sz w:val="24"/>
          <w:szCs w:val="24"/>
        </w:rPr>
        <w:t xml:space="preserve"> zákona č. 117/2015 Z. z. </w:t>
      </w:r>
      <w:r>
        <w:rPr>
          <w:rFonts w:ascii="Times New Roman" w:hAnsi="Times New Roman"/>
          <w:sz w:val="24"/>
          <w:szCs w:val="24"/>
        </w:rPr>
        <w:t xml:space="preserve">a zákona č. 253/2015 Z. z. </w:t>
      </w:r>
      <w:r w:rsidRPr="0048210C">
        <w:rPr>
          <w:rFonts w:ascii="Times New Roman" w:hAnsi="Times New Roman"/>
          <w:sz w:val="24"/>
          <w:szCs w:val="24"/>
        </w:rPr>
        <w:t>sa dopĺňa takto:</w:t>
      </w:r>
    </w:p>
    <w:p w:rsidR="00C23C04" w:rsidRPr="0048210C" w:rsidP="00C23C04">
      <w:pPr>
        <w:bidi w:val="0"/>
        <w:spacing w:after="0" w:line="240" w:lineRule="auto"/>
        <w:jc w:val="both"/>
        <w:rPr>
          <w:rFonts w:ascii="Times New Roman" w:hAnsi="Times New Roman"/>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V § 110 sa odsek 1 dopĺňa písmenom m), ktoré znie:</w:t>
      </w:r>
    </w:p>
    <w:p w:rsidR="00C23C04" w:rsidRPr="0048210C" w:rsidP="00C23C04">
      <w:pPr>
        <w:pStyle w:val="ListParagraph"/>
        <w:bidi w:val="0"/>
        <w:spacing w:after="0" w:line="240" w:lineRule="auto"/>
        <w:ind w:left="0"/>
        <w:jc w:val="both"/>
        <w:rPr>
          <w:rFonts w:ascii="Times New Roman" w:hAnsi="Times New Roman"/>
          <w:sz w:val="24"/>
          <w:szCs w:val="24"/>
        </w:rPr>
      </w:pPr>
      <w:r w:rsidRPr="0048210C">
        <w:rPr>
          <w:rFonts w:ascii="Times New Roman" w:hAnsi="Times New Roman"/>
          <w:sz w:val="24"/>
          <w:szCs w:val="24"/>
        </w:rPr>
        <w:t>„m) riadiacemu orgánu a orgánu auditu pri výkone kontroly alebo auditu finančných nástrojov.</w:t>
      </w:r>
      <w:r w:rsidRPr="0048210C">
        <w:rPr>
          <w:rFonts w:ascii="Times New Roman" w:hAnsi="Times New Roman"/>
          <w:sz w:val="24"/>
          <w:szCs w:val="24"/>
          <w:vertAlign w:val="superscript"/>
        </w:rPr>
        <w:t>97ba</w:t>
      </w:r>
      <w:r w:rsidRPr="0048210C">
        <w:rPr>
          <w:rFonts w:ascii="Times New Roman" w:hAnsi="Times New Roman"/>
          <w:sz w:val="24"/>
          <w:szCs w:val="24"/>
        </w:rPr>
        <w:t>)“.</w:t>
      </w:r>
    </w:p>
    <w:p w:rsidR="00C23C04" w:rsidRPr="0048210C" w:rsidP="00C23C04">
      <w:pPr>
        <w:pStyle w:val="ListParagraph"/>
        <w:bidi w:val="0"/>
        <w:spacing w:after="0" w:line="240" w:lineRule="auto"/>
        <w:ind w:left="360"/>
        <w:jc w:val="both"/>
        <w:rPr>
          <w:rFonts w:ascii="Times New Roman" w:hAnsi="Times New Roman"/>
          <w:sz w:val="24"/>
          <w:szCs w:val="24"/>
        </w:rPr>
      </w:pPr>
    </w:p>
    <w:p w:rsidR="00C23C04" w:rsidRPr="0048210C" w:rsidP="00C23C04">
      <w:pPr>
        <w:pStyle w:val="ListParagraph"/>
        <w:bidi w:val="0"/>
        <w:spacing w:after="0" w:line="240" w:lineRule="auto"/>
        <w:ind w:left="0"/>
        <w:jc w:val="both"/>
        <w:rPr>
          <w:rFonts w:ascii="Times New Roman" w:hAnsi="Times New Roman"/>
          <w:sz w:val="24"/>
          <w:szCs w:val="24"/>
        </w:rPr>
      </w:pPr>
      <w:r w:rsidRPr="0048210C">
        <w:rPr>
          <w:rFonts w:ascii="Times New Roman" w:hAnsi="Times New Roman"/>
          <w:sz w:val="24"/>
          <w:szCs w:val="24"/>
        </w:rPr>
        <w:t>Poznámka pod čiarou k odkazu 97ba znie:</w:t>
      </w:r>
    </w:p>
    <w:p w:rsidR="00C23C04" w:rsidRPr="0048210C" w:rsidP="00C23C04">
      <w:pPr>
        <w:pStyle w:val="ListParagraph"/>
        <w:bidi w:val="0"/>
        <w:spacing w:after="0" w:line="240" w:lineRule="auto"/>
        <w:ind w:left="0"/>
        <w:jc w:val="both"/>
        <w:rPr>
          <w:rFonts w:ascii="Times New Roman" w:hAnsi="Times New Roman"/>
          <w:sz w:val="24"/>
          <w:szCs w:val="24"/>
        </w:rPr>
      </w:pPr>
      <w:r w:rsidRPr="0048210C">
        <w:rPr>
          <w:rFonts w:ascii="Times New Roman" w:hAnsi="Times New Roman"/>
          <w:sz w:val="24"/>
          <w:szCs w:val="24"/>
        </w:rPr>
        <w:t>„</w:t>
      </w:r>
      <w:r w:rsidRPr="004B70A2">
        <w:rPr>
          <w:rFonts w:ascii="Times New Roman" w:hAnsi="Times New Roman"/>
          <w:sz w:val="24"/>
          <w:szCs w:val="24"/>
          <w:vertAlign w:val="superscript"/>
        </w:rPr>
        <w:t>97ba</w:t>
      </w:r>
      <w:r w:rsidRPr="0048210C">
        <w:rPr>
          <w:rFonts w:ascii="Times New Roman" w:hAnsi="Times New Roman"/>
          <w:sz w:val="24"/>
          <w:szCs w:val="24"/>
        </w:rPr>
        <w:t xml:space="preserve">) § 35a zákona č. 502/2001 Z. z. v znení neskorších predpisov, čl. </w:t>
      </w:r>
      <w:r>
        <w:rPr>
          <w:rFonts w:ascii="Times New Roman" w:hAnsi="Times New Roman"/>
          <w:sz w:val="24"/>
          <w:szCs w:val="24"/>
        </w:rPr>
        <w:t xml:space="preserve">125 a </w:t>
      </w:r>
      <w:r w:rsidRPr="0048210C">
        <w:rPr>
          <w:rFonts w:ascii="Times New Roman" w:hAnsi="Times New Roman"/>
          <w:sz w:val="24"/>
          <w:szCs w:val="24"/>
        </w:rPr>
        <w:t>127 nariadenia Európskeho parlamentu a Rady (EÚ) č. 1303/2013</w:t>
      </w:r>
      <w:r>
        <w:rPr>
          <w:rFonts w:ascii="Times New Roman" w:hAnsi="Times New Roman"/>
          <w:sz w:val="24"/>
          <w:szCs w:val="24"/>
        </w:rPr>
        <w:t xml:space="preserve"> zo 17. decembra 2013</w:t>
      </w:r>
      <w:r w:rsidRPr="0048210C">
        <w:rPr>
          <w:rFonts w:ascii="Times New Roman" w:hAnsi="Times New Roman"/>
          <w:sz w:val="24"/>
          <w:szCs w:val="24"/>
        </w:rPr>
        <w:t>,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w:t>
      </w:r>
      <w:r>
        <w:rPr>
          <w:rFonts w:ascii="Times New Roman" w:hAnsi="Times New Roman"/>
          <w:sz w:val="24"/>
          <w:szCs w:val="24"/>
        </w:rPr>
        <w:t xml:space="preserve"> v platnom znení</w:t>
      </w:r>
      <w:r w:rsidRPr="0048210C">
        <w:rPr>
          <w:rFonts w:ascii="Times New Roman" w:hAnsi="Times New Roman"/>
          <w:sz w:val="24"/>
          <w:szCs w:val="24"/>
        </w:rPr>
        <w:t>.“.</w:t>
      </w:r>
    </w:p>
    <w:p w:rsidR="00C23C04" w:rsidRPr="0048210C" w:rsidP="00C23C04">
      <w:pPr>
        <w:bidi w:val="0"/>
        <w:spacing w:after="0" w:line="240" w:lineRule="auto"/>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Čl. III</w:t>
      </w:r>
    </w:p>
    <w:p w:rsidR="00C23C04" w:rsidRPr="0048210C" w:rsidP="00C23C04">
      <w:pPr>
        <w:bidi w:val="0"/>
        <w:spacing w:after="0" w:line="240" w:lineRule="auto"/>
        <w:jc w:val="center"/>
        <w:rPr>
          <w:rFonts w:ascii="Times New Roman" w:hAnsi="Times New Roman"/>
          <w:b/>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Zákon č. 528/2008 Z. z. o pomoci a podpore poskytovanej z fondov Európskeho spoločenstva v znení zákona č. 266/2009 Z. z., zákona č. 57/2010 Z. z., zákona č. 116/2011 Z. z., zákona č. 71/2012 Z. z., zákona č. 111/2012 Z. z., zákona č. 292/2014 Z. z. a zákona č. 374/2014 Z. z. sa mení a dopĺňa takto:</w:t>
      </w:r>
    </w:p>
    <w:p w:rsidR="00C23C04" w:rsidRPr="0048210C" w:rsidP="00C23C04">
      <w:pPr>
        <w:bidi w:val="0"/>
        <w:spacing w:after="0" w:line="240" w:lineRule="auto"/>
        <w:jc w:val="both"/>
        <w:rPr>
          <w:rFonts w:ascii="Times New Roman" w:hAnsi="Times New Roman"/>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Doterajší text § 23 sa označuje ako odsek 1 a dopĺňa sa odsekom 2, ktorý znie:</w:t>
      </w:r>
    </w:p>
    <w:p w:rsidR="00C23C04" w:rsidRPr="0048210C" w:rsidP="00C23C04">
      <w:pPr>
        <w:pStyle w:val="ListParagraph"/>
        <w:bidi w:val="0"/>
        <w:spacing w:after="0" w:line="240" w:lineRule="auto"/>
        <w:ind w:left="0"/>
        <w:jc w:val="both"/>
        <w:rPr>
          <w:rFonts w:ascii="Times New Roman" w:hAnsi="Times New Roman"/>
          <w:sz w:val="24"/>
          <w:szCs w:val="24"/>
        </w:rPr>
      </w:pPr>
      <w:r w:rsidRPr="0048210C">
        <w:rPr>
          <w:rFonts w:ascii="Times New Roman" w:hAnsi="Times New Roman"/>
          <w:sz w:val="24"/>
          <w:szCs w:val="24"/>
        </w:rPr>
        <w:t>„(2) Slovenská záručná a rozvojová banka, a.s. a SZRB Asset Management, a.s. sú oprávnenými prijímateľmi pre priamy finančný príspevok vo forme dotácie podľa osobitného predpisu.</w:t>
      </w:r>
      <w:r w:rsidRPr="0048210C">
        <w:rPr>
          <w:rFonts w:ascii="Times New Roman" w:hAnsi="Times New Roman"/>
          <w:sz w:val="24"/>
          <w:szCs w:val="24"/>
          <w:vertAlign w:val="superscript"/>
        </w:rPr>
        <w:t>53</w:t>
      </w:r>
      <w:r w:rsidRPr="0048210C">
        <w:rPr>
          <w:rFonts w:ascii="Times New Roman" w:hAnsi="Times New Roman"/>
          <w:sz w:val="24"/>
          <w:szCs w:val="24"/>
        </w:rPr>
        <w:t>)“.</w:t>
      </w:r>
    </w:p>
    <w:p w:rsidR="00C23C04" w:rsidRPr="0048210C" w:rsidP="00C23C04">
      <w:pPr>
        <w:bidi w:val="0"/>
        <w:spacing w:after="0" w:line="240" w:lineRule="auto"/>
        <w:jc w:val="both"/>
        <w:rPr>
          <w:rFonts w:ascii="Times New Roman" w:hAnsi="Times New Roman"/>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Čl. IV</w:t>
      </w:r>
    </w:p>
    <w:p w:rsidR="00C23C04" w:rsidRPr="0048210C" w:rsidP="00C23C04">
      <w:pPr>
        <w:bidi w:val="0"/>
        <w:spacing w:after="0" w:line="240" w:lineRule="auto"/>
        <w:jc w:val="center"/>
        <w:rPr>
          <w:rFonts w:ascii="Times New Roman" w:hAnsi="Times New Roman"/>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Zákon č. 203/2011 Z. z. o kolektívnom investovaní v znení zákona č. 547/2011 Z. z., zákona č. 206/2013 Z. z., zákona č. 352/2013 Z. z. a zákona č. 213/2014 Z. z. sa dopĺňa takto:</w:t>
      </w:r>
    </w:p>
    <w:p w:rsidR="00C23C04" w:rsidRPr="0048210C" w:rsidP="00C23C04">
      <w:pPr>
        <w:bidi w:val="0"/>
        <w:spacing w:after="0" w:line="240" w:lineRule="auto"/>
        <w:jc w:val="both"/>
        <w:rPr>
          <w:rFonts w:ascii="Times New Roman" w:hAnsi="Times New Roman"/>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V § 162 sa odsek 3 dopĺňa písmenom i), ktoré znie:</w:t>
      </w:r>
    </w:p>
    <w:p w:rsidR="00C23C04" w:rsidRPr="0048210C" w:rsidP="00C23C04">
      <w:pPr>
        <w:pStyle w:val="ListParagraph"/>
        <w:bidi w:val="0"/>
        <w:spacing w:after="0" w:line="240" w:lineRule="auto"/>
        <w:ind w:left="0"/>
        <w:jc w:val="both"/>
        <w:rPr>
          <w:rFonts w:ascii="Times New Roman" w:hAnsi="Times New Roman"/>
          <w:sz w:val="24"/>
          <w:szCs w:val="24"/>
        </w:rPr>
      </w:pPr>
      <w:r w:rsidRPr="0048210C">
        <w:rPr>
          <w:rFonts w:ascii="Times New Roman" w:hAnsi="Times New Roman"/>
          <w:sz w:val="24"/>
          <w:szCs w:val="24"/>
        </w:rPr>
        <w:t>„i) riadiacemu orgánu a orgánu auditu pri výkone kontroly alebo auditu finančných nástrojov.</w:t>
      </w:r>
      <w:r w:rsidRPr="0048210C">
        <w:rPr>
          <w:rFonts w:ascii="Times New Roman" w:hAnsi="Times New Roman"/>
          <w:sz w:val="24"/>
          <w:szCs w:val="24"/>
          <w:vertAlign w:val="superscript"/>
        </w:rPr>
        <w:t xml:space="preserve"> 72a</w:t>
      </w:r>
      <w:r w:rsidRPr="0048210C">
        <w:rPr>
          <w:rFonts w:ascii="Times New Roman" w:hAnsi="Times New Roman"/>
          <w:sz w:val="24"/>
          <w:szCs w:val="24"/>
        </w:rPr>
        <w:t>)“.</w:t>
      </w:r>
    </w:p>
    <w:p w:rsidR="00C23C04" w:rsidRPr="0048210C" w:rsidP="00C23C04">
      <w:pPr>
        <w:pStyle w:val="ListParagraph"/>
        <w:bidi w:val="0"/>
        <w:spacing w:after="0" w:line="240" w:lineRule="auto"/>
        <w:ind w:left="0"/>
        <w:jc w:val="both"/>
        <w:rPr>
          <w:rFonts w:ascii="Times New Roman" w:hAnsi="Times New Roman"/>
          <w:sz w:val="24"/>
          <w:szCs w:val="24"/>
        </w:rPr>
      </w:pPr>
    </w:p>
    <w:p w:rsidR="00C23C04" w:rsidRPr="0048210C" w:rsidP="00C23C04">
      <w:pPr>
        <w:pStyle w:val="ListParagraph"/>
        <w:bidi w:val="0"/>
        <w:spacing w:after="0" w:line="240" w:lineRule="auto"/>
        <w:ind w:left="0"/>
        <w:jc w:val="both"/>
        <w:rPr>
          <w:rFonts w:ascii="Times New Roman" w:hAnsi="Times New Roman"/>
          <w:sz w:val="24"/>
          <w:szCs w:val="24"/>
        </w:rPr>
      </w:pPr>
      <w:r w:rsidRPr="0048210C">
        <w:rPr>
          <w:rFonts w:ascii="Times New Roman" w:hAnsi="Times New Roman"/>
          <w:sz w:val="24"/>
          <w:szCs w:val="24"/>
        </w:rPr>
        <w:t>Poznámka pod čiarou k odkazu 72a znie:</w:t>
      </w:r>
    </w:p>
    <w:p w:rsidR="00C23C04" w:rsidRPr="0048210C" w:rsidP="00C23C04">
      <w:pPr>
        <w:pStyle w:val="ListParagraph"/>
        <w:bidi w:val="0"/>
        <w:spacing w:after="0" w:line="240" w:lineRule="auto"/>
        <w:ind w:left="0"/>
        <w:jc w:val="both"/>
        <w:rPr>
          <w:rFonts w:ascii="Times New Roman" w:hAnsi="Times New Roman"/>
          <w:sz w:val="24"/>
          <w:szCs w:val="24"/>
        </w:rPr>
      </w:pPr>
      <w:r w:rsidRPr="0048210C">
        <w:rPr>
          <w:rFonts w:ascii="Times New Roman" w:hAnsi="Times New Roman"/>
          <w:sz w:val="24"/>
          <w:szCs w:val="24"/>
        </w:rPr>
        <w:t>„</w:t>
      </w:r>
      <w:r w:rsidRPr="00BB2C88">
        <w:rPr>
          <w:rFonts w:ascii="Times New Roman" w:hAnsi="Times New Roman"/>
          <w:sz w:val="24"/>
          <w:szCs w:val="24"/>
          <w:vertAlign w:val="superscript"/>
        </w:rPr>
        <w:t>72a</w:t>
      </w:r>
      <w:r w:rsidRPr="0048210C">
        <w:rPr>
          <w:rFonts w:ascii="Times New Roman" w:hAnsi="Times New Roman"/>
          <w:sz w:val="24"/>
          <w:szCs w:val="24"/>
        </w:rPr>
        <w:t xml:space="preserve">) Napríklad § 35a zákona č. 502/2001 Z. z. o finančnej kontrole a vnútornom audite a o zmene a doplnení niektorých zákonov v znení neskorších predpisov, čl. </w:t>
      </w:r>
      <w:r>
        <w:rPr>
          <w:rFonts w:ascii="Times New Roman" w:hAnsi="Times New Roman"/>
          <w:sz w:val="24"/>
          <w:szCs w:val="24"/>
        </w:rPr>
        <w:t xml:space="preserve">125 a </w:t>
      </w:r>
      <w:r w:rsidRPr="0048210C">
        <w:rPr>
          <w:rFonts w:ascii="Times New Roman" w:hAnsi="Times New Roman"/>
          <w:sz w:val="24"/>
          <w:szCs w:val="24"/>
        </w:rPr>
        <w:t>127 nariadenia Európskeho parlamentu a Rady (EÚ) č. 1303/2013</w:t>
      </w:r>
      <w:r>
        <w:rPr>
          <w:rFonts w:ascii="Times New Roman" w:hAnsi="Times New Roman"/>
          <w:sz w:val="24"/>
          <w:szCs w:val="24"/>
        </w:rPr>
        <w:t xml:space="preserve"> zo 17. decembra 2013</w:t>
      </w:r>
      <w:r w:rsidRPr="0048210C">
        <w:rPr>
          <w:rFonts w:ascii="Times New Roman" w:hAnsi="Times New Roman"/>
          <w:sz w:val="24"/>
          <w:szCs w:val="24"/>
        </w:rPr>
        <w:t>,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w:t>
      </w:r>
      <w:r>
        <w:rPr>
          <w:rFonts w:ascii="Times New Roman" w:hAnsi="Times New Roman"/>
          <w:sz w:val="24"/>
          <w:szCs w:val="24"/>
        </w:rPr>
        <w:t xml:space="preserve"> v platnom znení</w:t>
      </w:r>
      <w:r w:rsidRPr="0048210C">
        <w:rPr>
          <w:rFonts w:ascii="Times New Roman" w:hAnsi="Times New Roman"/>
          <w:sz w:val="24"/>
          <w:szCs w:val="24"/>
        </w:rPr>
        <w:t>.“.</w:t>
      </w:r>
    </w:p>
    <w:p w:rsidR="00C23C04" w:rsidP="00C23C04">
      <w:pPr>
        <w:bidi w:val="0"/>
        <w:spacing w:after="0" w:line="240" w:lineRule="auto"/>
        <w:rPr>
          <w:rFonts w:ascii="Times New Roman" w:hAnsi="Times New Roman"/>
          <w:b/>
          <w:sz w:val="24"/>
          <w:szCs w:val="24"/>
        </w:rPr>
      </w:pPr>
    </w:p>
    <w:p w:rsidR="00C23C04" w:rsidRPr="0048210C" w:rsidP="00C23C04">
      <w:pPr>
        <w:bidi w:val="0"/>
        <w:spacing w:after="0" w:line="240" w:lineRule="auto"/>
        <w:rPr>
          <w:rFonts w:ascii="Times New Roman" w:hAnsi="Times New Roman"/>
          <w:b/>
          <w:sz w:val="24"/>
          <w:szCs w:val="24"/>
        </w:rPr>
      </w:pPr>
    </w:p>
    <w:p w:rsidR="00C23C04" w:rsidP="00C23C04">
      <w:pPr>
        <w:bidi w:val="0"/>
        <w:spacing w:after="0" w:line="240" w:lineRule="auto"/>
        <w:jc w:val="center"/>
        <w:rPr>
          <w:rFonts w:ascii="Times New Roman" w:hAnsi="Times New Roman"/>
          <w:b/>
          <w:sz w:val="24"/>
          <w:szCs w:val="24"/>
        </w:rPr>
      </w:pPr>
      <w:r w:rsidRPr="0048210C">
        <w:rPr>
          <w:rFonts w:ascii="Times New Roman" w:hAnsi="Times New Roman"/>
          <w:b/>
          <w:sz w:val="24"/>
          <w:szCs w:val="24"/>
        </w:rPr>
        <w:t>Čl. V</w:t>
      </w:r>
    </w:p>
    <w:p w:rsidR="00C23C04" w:rsidRPr="0048210C" w:rsidP="00C23C04">
      <w:pPr>
        <w:tabs>
          <w:tab w:val="left" w:pos="426"/>
        </w:tabs>
        <w:bidi w:val="0"/>
        <w:spacing w:after="0" w:line="240" w:lineRule="auto"/>
        <w:jc w:val="center"/>
        <w:rPr>
          <w:rFonts w:ascii="Times New Roman" w:hAnsi="Times New Roman"/>
          <w:sz w:val="24"/>
          <w:szCs w:val="24"/>
        </w:rPr>
      </w:pPr>
    </w:p>
    <w:p w:rsidR="00C23C04" w:rsidRPr="0048210C" w:rsidP="00C23C04">
      <w:pPr>
        <w:bidi w:val="0"/>
        <w:spacing w:after="0" w:line="240" w:lineRule="auto"/>
        <w:jc w:val="both"/>
        <w:rPr>
          <w:rFonts w:ascii="Times New Roman" w:hAnsi="Times New Roman"/>
          <w:sz w:val="24"/>
          <w:szCs w:val="24"/>
        </w:rPr>
      </w:pPr>
      <w:r w:rsidRPr="0048210C">
        <w:rPr>
          <w:rFonts w:ascii="Times New Roman" w:hAnsi="Times New Roman"/>
          <w:sz w:val="24"/>
          <w:szCs w:val="24"/>
        </w:rPr>
        <w:t>Tento zákon nadobúda účinnosť 1. decembra 2015.</w:t>
      </w:r>
    </w:p>
    <w:p w:rsidR="00C23C04" w:rsidRPr="0048210C" w:rsidP="00C23C04">
      <w:pPr>
        <w:bidi w:val="0"/>
        <w:spacing w:after="0" w:line="240" w:lineRule="auto"/>
        <w:jc w:val="both"/>
        <w:rPr>
          <w:rFonts w:ascii="Times New Roman" w:hAnsi="Times New Roman"/>
          <w:sz w:val="24"/>
          <w:szCs w:val="24"/>
        </w:rPr>
      </w:pPr>
    </w:p>
    <w:p w:rsidR="00C23C04" w:rsidRPr="00C7717F" w:rsidP="00C23C04">
      <w:pPr>
        <w:bidi w:val="0"/>
        <w:spacing w:after="200" w:line="276" w:lineRule="auto"/>
        <w:jc w:val="center"/>
        <w:rPr>
          <w:rFonts w:ascii="Times New Roman" w:hAnsi="Times New Roman"/>
          <w:sz w:val="24"/>
          <w:szCs w:val="24"/>
        </w:rPr>
      </w:pPr>
    </w:p>
    <w:p w:rsidR="00C23C04" w:rsidP="00C23C04">
      <w:pPr>
        <w:bidi w:val="0"/>
        <w:spacing w:after="200" w:line="276" w:lineRule="auto"/>
        <w:jc w:val="center"/>
        <w:rPr>
          <w:rFonts w:ascii="Times New Roman" w:hAnsi="Times New Roman"/>
          <w:sz w:val="24"/>
          <w:szCs w:val="24"/>
        </w:rPr>
      </w:pPr>
    </w:p>
    <w:p w:rsidR="00C23C04" w:rsidP="00C23C04">
      <w:pPr>
        <w:bidi w:val="0"/>
        <w:spacing w:after="200" w:line="276" w:lineRule="auto"/>
        <w:jc w:val="center"/>
        <w:rPr>
          <w:rFonts w:ascii="Times New Roman" w:hAnsi="Times New Roman"/>
          <w:sz w:val="24"/>
          <w:szCs w:val="24"/>
        </w:rPr>
      </w:pPr>
    </w:p>
    <w:p w:rsidR="00C23C04" w:rsidRPr="00C7717F" w:rsidP="00C23C04">
      <w:pPr>
        <w:bidi w:val="0"/>
        <w:spacing w:after="200" w:line="276" w:lineRule="auto"/>
        <w:jc w:val="center"/>
        <w:rPr>
          <w:rFonts w:ascii="Times New Roman" w:hAnsi="Times New Roman"/>
          <w:sz w:val="24"/>
          <w:szCs w:val="24"/>
        </w:rPr>
      </w:pPr>
    </w:p>
    <w:p w:rsidR="00C23C04" w:rsidRPr="00C7717F" w:rsidP="00C23C04">
      <w:pPr>
        <w:bidi w:val="0"/>
        <w:spacing w:after="200" w:line="276" w:lineRule="auto"/>
        <w:jc w:val="center"/>
        <w:rPr>
          <w:rFonts w:ascii="Times New Roman" w:hAnsi="Times New Roman"/>
          <w:sz w:val="24"/>
          <w:szCs w:val="24"/>
        </w:rPr>
      </w:pPr>
    </w:p>
    <w:p w:rsidR="00C23C04" w:rsidRPr="00C7717F" w:rsidP="00C23C04">
      <w:pPr>
        <w:bidi w:val="0"/>
        <w:spacing w:after="200" w:line="276" w:lineRule="auto"/>
        <w:jc w:val="center"/>
        <w:rPr>
          <w:rFonts w:ascii="Times New Roman" w:hAnsi="Times New Roman"/>
          <w:sz w:val="24"/>
          <w:szCs w:val="24"/>
        </w:rPr>
      </w:pPr>
      <w:r w:rsidRPr="00C7717F">
        <w:rPr>
          <w:rFonts w:ascii="Times New Roman" w:hAnsi="Times New Roman"/>
          <w:sz w:val="24"/>
          <w:szCs w:val="24"/>
        </w:rPr>
        <w:t>prezident Slovenskej republiky</w:t>
      </w: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jc w:val="center"/>
        <w:rPr>
          <w:rFonts w:ascii="Times New Roman" w:hAnsi="Times New Roman"/>
          <w:sz w:val="24"/>
          <w:szCs w:val="24"/>
        </w:rPr>
      </w:pPr>
    </w:p>
    <w:p w:rsidR="00C23C04" w:rsidRPr="00C7717F" w:rsidP="00C23C04">
      <w:pPr>
        <w:bidi w:val="0"/>
        <w:spacing w:after="200" w:line="276" w:lineRule="auto"/>
        <w:jc w:val="center"/>
        <w:rPr>
          <w:rFonts w:ascii="Times New Roman" w:hAnsi="Times New Roman"/>
          <w:sz w:val="24"/>
          <w:szCs w:val="24"/>
        </w:rPr>
      </w:pPr>
      <w:r w:rsidRPr="00C7717F">
        <w:rPr>
          <w:rFonts w:ascii="Times New Roman" w:hAnsi="Times New Roman"/>
          <w:sz w:val="24"/>
          <w:szCs w:val="24"/>
        </w:rPr>
        <w:t>predseda Národnej rady Slovenskej republiky</w:t>
      </w: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rPr>
          <w:rFonts w:ascii="Times New Roman" w:hAnsi="Times New Roman"/>
          <w:sz w:val="24"/>
          <w:szCs w:val="24"/>
        </w:rPr>
      </w:pPr>
    </w:p>
    <w:p w:rsidR="00C23C04" w:rsidRPr="00C7717F" w:rsidP="00C23C04">
      <w:pPr>
        <w:bidi w:val="0"/>
        <w:spacing w:after="200" w:line="276" w:lineRule="auto"/>
        <w:jc w:val="center"/>
        <w:rPr>
          <w:rFonts w:ascii="Times New Roman" w:hAnsi="Times New Roman"/>
          <w:sz w:val="24"/>
          <w:szCs w:val="24"/>
        </w:rPr>
      </w:pPr>
      <w:r w:rsidRPr="00C7717F">
        <w:rPr>
          <w:rFonts w:ascii="Times New Roman" w:hAnsi="Times New Roman"/>
          <w:sz w:val="24"/>
          <w:szCs w:val="24"/>
        </w:rPr>
        <w:t>predseda vlády Slovenskej republiky</w:t>
      </w:r>
    </w:p>
    <w:p w:rsidR="00C23C04" w:rsidRPr="0048210C" w:rsidP="00C23C04">
      <w:pPr>
        <w:bidi w:val="0"/>
        <w:spacing w:after="0" w:line="240" w:lineRule="auto"/>
        <w:rPr>
          <w:rFonts w:ascii="Times New Roman" w:hAnsi="Times New Roman"/>
          <w:sz w:val="24"/>
          <w:szCs w:val="24"/>
        </w:rPr>
      </w:pPr>
    </w:p>
    <w:p w:rsidR="00275E67">
      <w:pPr>
        <w:bidi w:val="0"/>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4C">
    <w:pPr>
      <w:pStyle w:val="Footer"/>
      <w:bidi w:val="0"/>
      <w:jc w:val="center"/>
    </w:pPr>
    <w:r w:rsidR="00AC24C3">
      <w:fldChar w:fldCharType="begin"/>
    </w:r>
    <w:r w:rsidR="00AC24C3">
      <w:instrText>PAGE   \* MERGEFORMAT</w:instrText>
    </w:r>
    <w:r w:rsidR="00AC24C3">
      <w:fldChar w:fldCharType="separate"/>
    </w:r>
    <w:r w:rsidR="00C23C04">
      <w:rPr>
        <w:noProof/>
      </w:rPr>
      <w:t>13</w:t>
    </w:r>
    <w:r w:rsidR="00AC24C3">
      <w:fldChar w:fldCharType="end"/>
    </w:r>
  </w:p>
  <w:p w:rsidR="0079734C">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4E" w:rsidP="00C23C04">
      <w:pPr>
        <w:bidi w:val="0"/>
        <w:spacing w:after="0" w:line="240" w:lineRule="auto"/>
      </w:pPr>
      <w:r>
        <w:separator/>
      </w:r>
    </w:p>
  </w:footnote>
  <w:footnote w:type="continuationSeparator" w:id="1">
    <w:p w:rsidR="00A5084E" w:rsidP="00C23C04">
      <w:pPr>
        <w:bidi w:val="0"/>
        <w:spacing w:after="0" w:line="240" w:lineRule="auto"/>
      </w:pPr>
      <w:r>
        <w:continuationSeparator/>
      </w:r>
    </w:p>
  </w:footnote>
  <w:footnote w:id="2">
    <w:p w:rsidP="00C23C04">
      <w:pPr>
        <w:pStyle w:val="FootnoteText"/>
        <w:bidi w:val="0"/>
        <w:jc w:val="both"/>
      </w:pPr>
      <w:r w:rsidRPr="00AB6E1A" w:rsidR="00C23C04">
        <w:rPr>
          <w:rStyle w:val="FootnoteReference"/>
          <w:rFonts w:ascii="Times New Roman" w:hAnsi="Times New Roman"/>
          <w:sz w:val="18"/>
          <w:szCs w:val="18"/>
        </w:rPr>
        <w:footnoteRef/>
      </w:r>
      <w:r w:rsidR="00C23C04">
        <w:rPr>
          <w:rFonts w:ascii="Times New Roman" w:hAnsi="Times New Roman"/>
          <w:sz w:val="18"/>
          <w:szCs w:val="18"/>
        </w:rPr>
        <w:t xml:space="preserve">) </w:t>
      </w:r>
      <w:r w:rsidRPr="00565311" w:rsidR="00C23C04">
        <w:rPr>
          <w:rFonts w:ascii="Times New Roman" w:hAnsi="Times New Roman"/>
        </w:rPr>
        <w:t>Zákon č. 292/2014 Z. z. o príspevku poskytovanom z európskych štrukturálnych a investičných fondov a o zmene a doplnení niektorých zákonov.</w:t>
      </w:r>
    </w:p>
  </w:footnote>
  <w:footnote w:id="3">
    <w:p w:rsidP="00C23C04">
      <w:pPr>
        <w:bidi w:val="0"/>
        <w:spacing w:after="0" w:line="240" w:lineRule="auto"/>
        <w:jc w:val="both"/>
      </w:pPr>
      <w:r w:rsidRPr="00A773C1" w:rsidR="00C23C04">
        <w:rPr>
          <w:rStyle w:val="FootnoteReference"/>
          <w:rFonts w:ascii="Times New Roman" w:hAnsi="Times New Roman"/>
          <w:sz w:val="18"/>
          <w:szCs w:val="18"/>
        </w:rPr>
        <w:footnoteRef/>
      </w:r>
      <w:r w:rsidRPr="00A773C1" w:rsidR="00C23C04">
        <w:rPr>
          <w:rFonts w:ascii="Times New Roman" w:hAnsi="Times New Roman"/>
          <w:sz w:val="18"/>
          <w:szCs w:val="18"/>
        </w:rPr>
        <w:t xml:space="preserve">) </w:t>
      </w:r>
      <w:r w:rsidRPr="00565311" w:rsidR="00C23C04">
        <w:rPr>
          <w:rFonts w:ascii="Times New Roman" w:hAnsi="Times New Roman"/>
          <w:bCs/>
          <w:sz w:val="20"/>
          <w:szCs w:val="20"/>
        </w:rPr>
        <w:t>Nariadenie Európskeho parlamentu a Rady (EÚ) č. 1301/2013 zo 17. decembra 2013 o Európskom fonde regionálneho rozvoja a o osobitných ustanoveniach týkajúcich sa cieľa Investovanie do rastu a zamestnanosti, a ktorým sa zrušuje nariadenie (ES) č. 1080/2006 (Ú. v. EÚ L 347, 20. 12. 2013).</w:t>
      </w:r>
    </w:p>
  </w:footnote>
  <w:footnote w:id="4">
    <w:p w:rsidP="00C23C04">
      <w:pPr>
        <w:bidi w:val="0"/>
        <w:spacing w:after="0" w:line="240" w:lineRule="auto"/>
        <w:jc w:val="both"/>
      </w:pPr>
      <w:r w:rsidRPr="00565311" w:rsidR="00C23C04">
        <w:rPr>
          <w:rStyle w:val="FootnoteReference"/>
          <w:rFonts w:ascii="Times New Roman" w:hAnsi="Times New Roman"/>
          <w:sz w:val="20"/>
          <w:szCs w:val="20"/>
        </w:rPr>
        <w:footnoteRef/>
      </w:r>
      <w:r w:rsidRPr="00565311" w:rsidR="00C23C04">
        <w:rPr>
          <w:rFonts w:ascii="Times New Roman" w:hAnsi="Times New Roman"/>
          <w:sz w:val="20"/>
          <w:szCs w:val="20"/>
        </w:rPr>
        <w:t xml:space="preserve">) </w:t>
      </w:r>
      <w:r w:rsidRPr="00565311" w:rsidR="00C23C04">
        <w:rPr>
          <w:rFonts w:ascii="Times New Roman" w:hAnsi="Times New Roman"/>
          <w:bCs/>
          <w:sz w:val="20"/>
          <w:szCs w:val="20"/>
        </w:rPr>
        <w:t>Nariadenie Európskeho parlamentu a Rady (EÚ) č. 1304/2013 zo 17. decembra 2013 o Európskom sociálnom fonde a o zrušení nariadenia Rady (ES) č. 1081/2006 (Ú. v. EÚ L 347, 20. 12. 2013).</w:t>
      </w:r>
    </w:p>
  </w:footnote>
  <w:footnote w:id="5">
    <w:p w:rsidP="00C23C04">
      <w:pPr>
        <w:bidi w:val="0"/>
        <w:spacing w:after="0" w:line="240" w:lineRule="auto"/>
        <w:jc w:val="both"/>
      </w:pPr>
      <w:r w:rsidRPr="00565311" w:rsidR="00C23C04">
        <w:rPr>
          <w:rStyle w:val="FootnoteReference"/>
          <w:rFonts w:ascii="Times New Roman" w:hAnsi="Times New Roman"/>
          <w:sz w:val="20"/>
          <w:szCs w:val="20"/>
        </w:rPr>
        <w:footnoteRef/>
      </w:r>
      <w:r w:rsidRPr="00565311" w:rsidR="00C23C04">
        <w:rPr>
          <w:rFonts w:ascii="Times New Roman" w:hAnsi="Times New Roman"/>
          <w:sz w:val="20"/>
          <w:szCs w:val="20"/>
        </w:rPr>
        <w:t>)</w:t>
      </w:r>
      <w:r w:rsidRPr="00565311" w:rsidR="00C23C04">
        <w:rPr>
          <w:rFonts w:ascii="Times New Roman" w:hAnsi="Times New Roman"/>
          <w:bCs/>
          <w:sz w:val="20"/>
          <w:szCs w:val="20"/>
        </w:rPr>
        <w:t xml:space="preserve"> Nariadenie Európskeho parlamentu a Rady (EÚ) č. 1300/2013 zo 17. decembra 2013 o Kohéznom fonde, ktorým sa zrušuje nariadenie Rady (ES) č. 1084/2006 (Ú. v. EÚ L 347, 20. 12. 2013).</w:t>
      </w:r>
    </w:p>
  </w:footnote>
  <w:footnote w:id="6">
    <w:p w:rsidP="00C23C04">
      <w:pPr>
        <w:pStyle w:val="FootnoteText"/>
        <w:bidi w:val="0"/>
        <w:jc w:val="both"/>
      </w:pPr>
      <w:r w:rsidRPr="00565311" w:rsidR="00C23C04">
        <w:rPr>
          <w:rStyle w:val="FootnoteReference"/>
          <w:rFonts w:ascii="Times New Roman" w:hAnsi="Times New Roman"/>
        </w:rPr>
        <w:footnoteRef/>
      </w:r>
      <w:r w:rsidRPr="00565311" w:rsidR="00C23C04">
        <w:rPr>
          <w:rFonts w:ascii="Times New Roman" w:hAnsi="Times New Roman"/>
        </w:rPr>
        <w:t>) Čl. 2 písm. p) nariadenia Európskeho parlamentu a Rady (EÚ, Euratom) č. 966/2012 z 25. októbra 2012, o rozpočtových pravidlách, ktoré sa vzťahujú na všeobecný rozpočet Únie, a zrušení nariadenia Rady (ES, Euratom) č. 1605/2002 (Ú. v. EÚ L 298, 26.10.2012) v platnom znení.</w:t>
      </w:r>
    </w:p>
  </w:footnote>
  <w:footnote w:id="7">
    <w:p w:rsidR="00C23C04" w:rsidRPr="00565311" w:rsidP="00C23C04">
      <w:pPr>
        <w:pStyle w:val="FootnoteText"/>
        <w:bidi w:val="0"/>
        <w:jc w:val="both"/>
        <w:rPr>
          <w:rFonts w:ascii="Times New Roman" w:hAnsi="Times New Roman"/>
        </w:rPr>
      </w:pPr>
      <w:r w:rsidRPr="00565311">
        <w:rPr>
          <w:rStyle w:val="FootnoteReference"/>
          <w:rFonts w:ascii="Times New Roman" w:hAnsi="Times New Roman"/>
        </w:rPr>
        <w:footnoteRef/>
      </w:r>
      <w:r w:rsidRPr="00565311">
        <w:rPr>
          <w:rFonts w:ascii="Times New Roman" w:hAnsi="Times New Roman"/>
        </w:rPr>
        <w:t>) § 4 zákona č. 203/2011 Z. z. o kolektívnom investovaní v znení neskorších predpisov.</w:t>
      </w:r>
    </w:p>
    <w:p w:rsidP="00C23C04">
      <w:pPr>
        <w:pStyle w:val="FootnoteText"/>
        <w:bidi w:val="0"/>
        <w:jc w:val="both"/>
      </w:pPr>
      <w:r w:rsidRPr="00565311" w:rsidR="00C23C04">
        <w:rPr>
          <w:rFonts w:ascii="Times New Roman" w:hAnsi="Times New Roman"/>
        </w:rPr>
        <w:t>Čl. 2 bod 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w:t>
      </w:r>
    </w:p>
  </w:footnote>
  <w:footnote w:id="8">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 26a ods. 1 písm. a) zákona č. 203/2011 Z. z. v znení zákona č. 206/2013 Z. z.</w:t>
      </w:r>
    </w:p>
  </w:footnote>
  <w:footnote w:id="9">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27 zákona č. 203/2011 Z. z. v znení zákona č. 206/2013 Z. z.</w:t>
      </w:r>
    </w:p>
  </w:footnote>
  <w:footnote w:id="10">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xml:space="preserve">) Čl. 2 </w:t>
      </w:r>
      <w:r w:rsidR="00C23C04">
        <w:rPr>
          <w:rFonts w:ascii="Times New Roman" w:hAnsi="Times New Roman"/>
        </w:rPr>
        <w:t>ods.</w:t>
      </w:r>
      <w:r w:rsidRPr="00774235" w:rsidR="00C23C04">
        <w:rPr>
          <w:rFonts w:ascii="Times New Roman" w:hAnsi="Times New Roman"/>
        </w:rPr>
        <w:t xml:space="preserve"> 12 nariadenia (EÚ) č. 1303/2013.</w:t>
      </w:r>
    </w:p>
  </w:footnote>
  <w:footnote w:id="11">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xml:space="preserve">) Čl. 2 </w:t>
      </w:r>
      <w:r w:rsidR="00C23C04">
        <w:rPr>
          <w:rFonts w:ascii="Times New Roman" w:hAnsi="Times New Roman"/>
        </w:rPr>
        <w:t>ods.</w:t>
      </w:r>
      <w:r w:rsidRPr="00774235" w:rsidR="00C23C04">
        <w:rPr>
          <w:rFonts w:ascii="Times New Roman" w:hAnsi="Times New Roman"/>
        </w:rPr>
        <w:t xml:space="preserve"> 9 nariadenia (EÚ) č. 1303/2013.</w:t>
      </w:r>
    </w:p>
  </w:footnote>
  <w:footnote w:id="12">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4 zákona č. 292/2014 Z. z.</w:t>
      </w:r>
    </w:p>
  </w:footnote>
  <w:footnote w:id="13">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5 zákona č. 292/2014 Z. z</w:t>
      </w:r>
    </w:p>
  </w:footnote>
  <w:footnote w:id="14">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6 zákona č. 292/2014 Z. z.</w:t>
      </w:r>
    </w:p>
  </w:footnote>
  <w:footnote w:id="15">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7 zákona č. 292/2014 Z. z.</w:t>
      </w:r>
    </w:p>
  </w:footnote>
  <w:footnote w:id="16">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 9 až 9d zákona č. 502/2001 Z. z. o finančnej kontrole a vnútornom audite a o zmene a doplnení niektorých zákonov v znení neskorších predpisov.</w:t>
      </w:r>
    </w:p>
  </w:footnote>
  <w:footnote w:id="17">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8 zákona č. 292/2014 Z. z.</w:t>
      </w:r>
    </w:p>
  </w:footnote>
  <w:footnote w:id="18">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9 zákona č. 292/2014 Z. z.</w:t>
      </w:r>
    </w:p>
  </w:footnote>
  <w:footnote w:id="19">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 10 zákona č. 292/2014 Z. z.</w:t>
      </w:r>
    </w:p>
  </w:footnote>
  <w:footnote w:id="20">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 35a, § 35d až 35f zákona č. 502/2001 Z. z. v znení neskorších predpisov.</w:t>
      </w:r>
    </w:p>
  </w:footnote>
  <w:footnote w:id="21">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xml:space="preserve">) § 11 zákona č. 292/2014 Z. z. </w:t>
      </w:r>
    </w:p>
  </w:footnote>
  <w:footnote w:id="22">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Zákon č. 71/1967 Zb. o správnom konaní (správny poriadok) v znení neskorších predpisov.</w:t>
      </w:r>
    </w:p>
  </w:footnote>
  <w:footnote w:id="23">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xml:space="preserve">) Čl. 107 a 108 Zmluvy o fungovaní Európskej únie </w:t>
      </w:r>
      <w:r w:rsidRPr="00565311" w:rsidR="00C23C04">
        <w:rPr>
          <w:rFonts w:ascii="Times New Roman" w:hAnsi="Times New Roman"/>
          <w:bCs/>
        </w:rPr>
        <w:t>(Ú. v. EÚ C 326, 26.10.2012)</w:t>
      </w:r>
      <w:r w:rsidRPr="00565311" w:rsidR="00C23C04">
        <w:rPr>
          <w:rFonts w:ascii="Times New Roman" w:hAnsi="Times New Roman"/>
        </w:rPr>
        <w:t>.</w:t>
      </w:r>
    </w:p>
  </w:footnote>
  <w:footnote w:id="24">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Zákon č. 502/2001 Z. z. v znení neskorších predpisov.</w:t>
      </w:r>
    </w:p>
  </w:footnote>
  <w:footnote w:id="25">
    <w:p w:rsidR="00C23C04" w:rsidRPr="00565311" w:rsidP="00C23C04">
      <w:pPr>
        <w:pStyle w:val="FootnoteText"/>
        <w:bidi w:val="0"/>
        <w:rPr>
          <w:rFonts w:ascii="Times New Roman" w:hAnsi="Times New Roman"/>
        </w:rPr>
      </w:pPr>
      <w:r w:rsidRPr="00565311">
        <w:rPr>
          <w:rStyle w:val="FootnoteReference"/>
          <w:rFonts w:ascii="Times New Roman" w:hAnsi="Times New Roman"/>
        </w:rPr>
        <w:footnoteRef/>
      </w:r>
      <w:r w:rsidRPr="00565311">
        <w:rPr>
          <w:rFonts w:ascii="Times New Roman" w:hAnsi="Times New Roman"/>
        </w:rPr>
        <w:t>) Čl. 4 ods. 8 nariadenia (EÚ) č. 1303/2013.</w:t>
      </w:r>
    </w:p>
    <w:p w:rsidP="00C23C04">
      <w:pPr>
        <w:pStyle w:val="FootnoteText"/>
        <w:bidi w:val="0"/>
      </w:pPr>
      <w:r w:rsidRPr="00565311" w:rsidR="00C23C04">
        <w:rPr>
          <w:rFonts w:ascii="Times New Roman" w:hAnsi="Times New Roman"/>
        </w:rPr>
        <w:t xml:space="preserve">     </w:t>
      </w:r>
      <w:r w:rsidRPr="00565311" w:rsidR="00C23C04">
        <w:rPr>
          <w:rFonts w:ascii="Times New Roman" w:hAnsi="Times New Roman"/>
          <w:bCs/>
        </w:rPr>
        <w:t>Čl. 30 nariadenia (EÚ, Euratom) č. 966/2012.</w:t>
      </w:r>
    </w:p>
  </w:footnote>
  <w:footnote w:id="26">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Čl. 38 ods. 4 písm. a) nariadenia (EÚ) č. 1303/2013.</w:t>
      </w:r>
    </w:p>
  </w:footnote>
  <w:footnote w:id="27">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xml:space="preserve">) Napríklad § 5 písm. ab) zákona </w:t>
      </w:r>
      <w:r w:rsidR="00C23C04">
        <w:rPr>
          <w:rFonts w:ascii="Times New Roman" w:hAnsi="Times New Roman"/>
        </w:rPr>
        <w:t xml:space="preserve">č. </w:t>
      </w:r>
      <w:r w:rsidRPr="00774235" w:rsidR="00C23C04">
        <w:rPr>
          <w:rFonts w:ascii="Times New Roman" w:hAnsi="Times New Roman"/>
        </w:rPr>
        <w:t>483/2001 Z. z. o bankách a o zmene a doplnení niektorých zákonov v znení zákona č. 213/2014 Z. z., § 1 ods. 3 zákona č. 516/2008 Z. z. o Audiovizuálnom fonde a o zmene a doplnení niektorých zákonov v znení zákona č. 40/2015 Z. z., § 1 ods. 3 zákona č. 150/2013 Z. z. o Štátnom fonde rozvoja bývania, čl. 4 ods. 1 bod 26 nariadenia Európskeho parlamentu a Rady (EÚ) č. 575/2013 z 26. júna 2013 o prudenciálnych požiadavkách na úverové inštitúcie a investičné spoločnosti a o zmene nariadenia (EÚ) č. 648/2012 (Ú. v. EÚ L 176, 27.6.2013) v platnom znení, čl. 38 ods. 4 písm. b) nariadenia (EÚ) č. 1303/2013.</w:t>
      </w:r>
    </w:p>
  </w:footnote>
  <w:footnote w:id="28">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Čl. 40 ods. 2 nariadenia (EÚ) č. 1303/2013.</w:t>
      </w:r>
    </w:p>
  </w:footnote>
  <w:footnote w:id="29">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Napríklad § 497 až 507 Obchodného zákonníka v znení neskorších predpisov.</w:t>
      </w:r>
    </w:p>
  </w:footnote>
  <w:footnote w:id="30">
    <w:p w:rsidP="00C23C04">
      <w:pPr>
        <w:pStyle w:val="FootnoteText"/>
        <w:bidi w:val="0"/>
      </w:pPr>
      <w:r w:rsidRPr="00565311" w:rsidR="00C23C04">
        <w:rPr>
          <w:rStyle w:val="FootnoteReference"/>
          <w:rFonts w:ascii="Times New Roman" w:hAnsi="Times New Roman"/>
        </w:rPr>
        <w:footnoteRef/>
      </w:r>
      <w:r w:rsidRPr="00565311" w:rsidR="00C23C04">
        <w:rPr>
          <w:rFonts w:ascii="Times New Roman" w:hAnsi="Times New Roman"/>
        </w:rPr>
        <w:t xml:space="preserve">) Príloha IV nariadenia (EÚ) č. 1303/2013. </w:t>
      </w:r>
    </w:p>
  </w:footnote>
  <w:footnote w:id="31">
    <w:p w:rsidR="00C23C04" w:rsidRPr="00565311" w:rsidP="00C23C04">
      <w:pPr>
        <w:pStyle w:val="FootnoteText"/>
        <w:bidi w:val="0"/>
        <w:rPr>
          <w:rFonts w:ascii="Times New Roman" w:hAnsi="Times New Roman"/>
        </w:rPr>
      </w:pPr>
      <w:r w:rsidRPr="00565311">
        <w:rPr>
          <w:rStyle w:val="FootnoteReference"/>
          <w:rFonts w:ascii="Times New Roman" w:hAnsi="Times New Roman"/>
        </w:rPr>
        <w:footnoteRef/>
      </w:r>
      <w:r w:rsidRPr="00565311">
        <w:rPr>
          <w:rFonts w:ascii="Times New Roman" w:hAnsi="Times New Roman"/>
        </w:rPr>
        <w:t xml:space="preserve">) Čl. 140 ods. 4 nariadenia (EÚ, </w:t>
      </w:r>
      <w:r w:rsidRPr="00565311">
        <w:rPr>
          <w:rFonts w:ascii="Times New Roman" w:hAnsi="Times New Roman"/>
          <w:bCs/>
        </w:rPr>
        <w:t>Euratom</w:t>
      </w:r>
      <w:r w:rsidRPr="00565311">
        <w:rPr>
          <w:rFonts w:ascii="Times New Roman" w:hAnsi="Times New Roman"/>
        </w:rPr>
        <w:t>) č. 966/2012.</w:t>
      </w:r>
    </w:p>
    <w:p w:rsidP="00C23C04">
      <w:pPr>
        <w:pStyle w:val="FootnoteText"/>
        <w:bidi w:val="0"/>
      </w:pPr>
      <w:r w:rsidRPr="00565311" w:rsidR="00C23C04">
        <w:rPr>
          <w:rFonts w:ascii="Times New Roman" w:hAnsi="Times New Roman"/>
        </w:rPr>
        <w:t>Príloha IV nariadenia (EÚ) č. 1303/2013.</w:t>
      </w:r>
    </w:p>
  </w:footnote>
  <w:footnote w:id="32">
    <w:p w:rsidP="00C23C04">
      <w:pPr>
        <w:pStyle w:val="FootnoteText"/>
        <w:bidi w:val="0"/>
      </w:pPr>
      <w:r w:rsidRPr="002454A8" w:rsidR="00C23C04">
        <w:rPr>
          <w:rStyle w:val="FootnoteReference"/>
          <w:rFonts w:ascii="Times New Roman" w:hAnsi="Times New Roman"/>
        </w:rPr>
        <w:footnoteRef/>
      </w:r>
      <w:r w:rsidRPr="002454A8" w:rsidR="00C23C04">
        <w:rPr>
          <w:rFonts w:ascii="Times New Roman" w:hAnsi="Times New Roman"/>
        </w:rPr>
        <w:t>) § 91 ods. 1 zákona č. 483/2001 Z. z. v znení neskorších predpisov.</w:t>
      </w:r>
    </w:p>
  </w:footnote>
  <w:footnote w:id="33">
    <w:p w:rsidP="00C23C04">
      <w:pPr>
        <w:pStyle w:val="FootnoteText"/>
        <w:bidi w:val="0"/>
      </w:pPr>
      <w:r w:rsidRPr="002454A8" w:rsidR="00C23C04">
        <w:rPr>
          <w:rStyle w:val="FootnoteReference"/>
          <w:rFonts w:ascii="Times New Roman" w:hAnsi="Times New Roman"/>
        </w:rPr>
        <w:footnoteRef/>
      </w:r>
      <w:r w:rsidRPr="002454A8" w:rsidR="00C23C04">
        <w:rPr>
          <w:rFonts w:ascii="Times New Roman" w:hAnsi="Times New Roman"/>
        </w:rPr>
        <w:t>) Čl. 41 nariadenia (EÚ) č. 1303/2013.</w:t>
      </w:r>
    </w:p>
  </w:footnote>
  <w:footnote w:id="34">
    <w:p w:rsidR="00C23C04" w:rsidRPr="002454A8" w:rsidP="00C23C04">
      <w:pPr>
        <w:pStyle w:val="FootnoteText"/>
        <w:bidi w:val="0"/>
        <w:jc w:val="both"/>
      </w:pPr>
      <w:r w:rsidRPr="002454A8">
        <w:rPr>
          <w:rStyle w:val="FootnoteReference"/>
          <w:rFonts w:ascii="Times New Roman" w:hAnsi="Times New Roman"/>
        </w:rPr>
        <w:footnoteRef/>
      </w:r>
      <w:r w:rsidRPr="002454A8">
        <w:rPr>
          <w:rFonts w:ascii="Times New Roman" w:hAnsi="Times New Roman"/>
        </w:rPr>
        <w:t>) Čl. 42 ods. 1 písm. d) a ods. 5 nariadenia (EÚ) č. 1303/2013.</w:t>
      </w:r>
      <w:r w:rsidRPr="002454A8">
        <w:t xml:space="preserve"> </w:t>
      </w:r>
    </w:p>
    <w:p w:rsidP="00C23C04">
      <w:pPr>
        <w:pStyle w:val="FootnoteText"/>
        <w:bidi w:val="0"/>
        <w:jc w:val="both"/>
      </w:pPr>
      <w:r w:rsidRPr="002454A8" w:rsidR="00C23C04">
        <w:rPr>
          <w:rFonts w:ascii="Times New Roman" w:hAnsi="Times New Roman"/>
        </w:rPr>
        <w:t>Čl. 12 a 13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(Ú. v. EÚ L 138, 13.5.2014) v platnom znení.</w:t>
      </w:r>
    </w:p>
  </w:footnote>
  <w:footnote w:id="35">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Čl. 45 nariadenia (EÚ) č. 1303/2013.</w:t>
      </w:r>
    </w:p>
  </w:footnote>
  <w:footnote w:id="36">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Napríklad Občiansky súdny poriadok v znení neskorších predpisov, nariadenie (EÚ) č. 1303/2013.</w:t>
      </w:r>
    </w:p>
  </w:footnote>
  <w:footnote w:id="37">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Napríklad nariadenie (EÚ) č. 1303/2013, delegované nariadenie (EÚ) č. 480/2014.</w:t>
      </w:r>
    </w:p>
  </w:footnote>
  <w:footnote w:id="38">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Čl. 143 nariadenia (EÚ) č. 1303/2013.</w:t>
      </w:r>
    </w:p>
  </w:footnote>
  <w:footnote w:id="39">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xml:space="preserve">) Čl. 6 ods. 3 delegovaného nariadenia (EÚ) č. 480/2014. </w:t>
      </w:r>
    </w:p>
  </w:footnote>
  <w:footnote w:id="40">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 2 ods. 2 písm. c) a ods. 3 zákona č. 82/2005 Z. z</w:t>
      </w:r>
      <w:r w:rsidR="00C23C04">
        <w:rPr>
          <w:rFonts w:ascii="Times New Roman" w:hAnsi="Times New Roman"/>
        </w:rPr>
        <w:t>.</w:t>
      </w:r>
      <w:r w:rsidRPr="00774235" w:rsidR="00C23C04">
        <w:rPr>
          <w:rFonts w:ascii="Times New Roman" w:hAnsi="Times New Roman"/>
        </w:rPr>
        <w:t> o nelegálnej práci a nelegálnom zamestnávaní a o zmene a doplnení niektorých zákonov v znení neskorších predpisov.</w:t>
      </w:r>
    </w:p>
  </w:footnote>
  <w:footnote w:id="41">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xml:space="preserve">) § 19 zákona č. 125/2006 Z. z. o inšpekcii práce </w:t>
      </w:r>
      <w:r w:rsidR="00C23C04">
        <w:rPr>
          <w:rFonts w:ascii="Times New Roman" w:hAnsi="Times New Roman"/>
        </w:rPr>
        <w:t>a o</w:t>
      </w:r>
      <w:r w:rsidRPr="00774235" w:rsidR="00C23C04">
        <w:rPr>
          <w:rFonts w:ascii="Times New Roman" w:hAnsi="Times New Roman"/>
        </w:rPr>
        <w:t> zmene a doplnení zákona č. 82/2005 Z. z. o nelegálnej práci a nelegálnom zamestnávaní a o zmene a doplnení niektorých zákonov v znení neskorších predpisov.</w:t>
      </w:r>
    </w:p>
  </w:footnote>
  <w:footnote w:id="42">
    <w:p w:rsidP="00C23C04">
      <w:pPr>
        <w:pStyle w:val="FootnoteText"/>
        <w:bidi w:val="0"/>
        <w:jc w:val="both"/>
      </w:pPr>
      <w:r w:rsidRPr="00774235" w:rsidR="00C23C04">
        <w:rPr>
          <w:rStyle w:val="FootnoteReference"/>
          <w:rFonts w:ascii="Times New Roman" w:hAnsi="Times New Roman"/>
        </w:rPr>
        <w:footnoteRef/>
      </w:r>
      <w:r w:rsidRPr="00774235" w:rsidR="00C23C04">
        <w:rPr>
          <w:rFonts w:ascii="Times New Roman" w:hAnsi="Times New Roman"/>
        </w:rPr>
        <w:t xml:space="preserve">) § 18 zákona č. 523/2004 Z. z. o rozpočtových pravidlách verejnej správy a o zmene a doplnení niektorých zákonov v znení neskorších predpisov. </w:t>
      </w:r>
    </w:p>
  </w:footnote>
  <w:footnote w:id="43">
    <w:p w:rsidR="00C23C04" w:rsidRPr="00774235" w:rsidP="00C23C04">
      <w:pPr>
        <w:pStyle w:val="FootnoteText"/>
        <w:bidi w:val="0"/>
        <w:rPr>
          <w:rFonts w:ascii="Times New Roman" w:hAnsi="Times New Roman"/>
        </w:rPr>
      </w:pPr>
      <w:r w:rsidRPr="00774235">
        <w:rPr>
          <w:rStyle w:val="FootnoteReference"/>
          <w:rFonts w:ascii="Times New Roman" w:hAnsi="Times New Roman"/>
        </w:rPr>
        <w:footnoteRef/>
      </w:r>
      <w:r w:rsidRPr="00774235">
        <w:rPr>
          <w:rFonts w:ascii="Times New Roman" w:hAnsi="Times New Roman"/>
        </w:rPr>
        <w:t xml:space="preserve">) Zákon č. 523/2004 Z. z. v znení neskorších predpisov. </w:t>
      </w:r>
    </w:p>
    <w:p w:rsidP="00C23C04">
      <w:pPr>
        <w:pStyle w:val="FootnoteText"/>
        <w:bidi w:val="0"/>
      </w:pPr>
      <w:r w:rsidRPr="00774235" w:rsidR="00C23C04">
        <w:rPr>
          <w:rFonts w:ascii="Times New Roman" w:hAnsi="Times New Roman"/>
        </w:rPr>
        <w:t>Čl. 126 písm. d), g) a h) nariadenia (EÚ) č. 1303/2013.</w:t>
      </w:r>
    </w:p>
  </w:footnote>
  <w:footnote w:id="44">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Zákon č. 440/2000 Z. z. o správach finančnej kontroly v znení neskorších predpisov.</w:t>
      </w:r>
    </w:p>
  </w:footnote>
  <w:footnote w:id="45">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Čl. 2 ods. 36 nariadenia (EÚ) č. 1303/2013.</w:t>
      </w:r>
    </w:p>
  </w:footnote>
  <w:footnote w:id="46">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 1 ods. 2 zákona č. 431/2002 Z. z. o účtovníctve.</w:t>
      </w:r>
    </w:p>
  </w:footnote>
  <w:footnote w:id="47">
    <w:p w:rsidP="00C23C04">
      <w:pPr>
        <w:pStyle w:val="FootnoteText"/>
        <w:bidi w:val="0"/>
      </w:pPr>
      <w:r w:rsidRPr="00774235" w:rsidR="00C23C04">
        <w:rPr>
          <w:rStyle w:val="FootnoteReference"/>
          <w:rFonts w:ascii="Times New Roman" w:hAnsi="Times New Roman"/>
        </w:rPr>
        <w:footnoteRef/>
      </w:r>
      <w:r w:rsidRPr="00774235" w:rsidR="00C23C04">
        <w:rPr>
          <w:rFonts w:ascii="Times New Roman" w:hAnsi="Times New Roman"/>
        </w:rPr>
        <w:t>) Zákon č. 431/2002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CDB"/>
    <w:multiLevelType w:val="hybridMultilevel"/>
    <w:tmpl w:val="50320348"/>
    <w:lvl w:ilvl="0">
      <w:start w:val="1"/>
      <w:numFmt w:val="decimal"/>
      <w:lvlText w:val="(%1)"/>
      <w:lvlJc w:val="left"/>
      <w:pPr>
        <w:ind w:left="501" w:hanging="360"/>
      </w:pPr>
      <w:rPr>
        <w:rFonts w:cs="Times New Roman"/>
        <w:rtl w:val="0"/>
        <w:cs w:val="0"/>
      </w:rPr>
    </w:lvl>
    <w:lvl w:ilvl="1">
      <w:start w:val="1"/>
      <w:numFmt w:val="lowerLetter"/>
      <w:lvlText w:val="%2."/>
      <w:lvlJc w:val="left"/>
      <w:pPr>
        <w:ind w:left="1221" w:hanging="360"/>
      </w:pPr>
      <w:rPr>
        <w:rFonts w:cs="Times New Roman"/>
        <w:rtl w:val="0"/>
        <w:cs w:val="0"/>
      </w:rPr>
    </w:lvl>
    <w:lvl w:ilvl="2">
      <w:start w:val="1"/>
      <w:numFmt w:val="lowerRoman"/>
      <w:lvlText w:val="%3."/>
      <w:lvlJc w:val="right"/>
      <w:pPr>
        <w:ind w:left="1941" w:hanging="180"/>
      </w:pPr>
      <w:rPr>
        <w:rFonts w:cs="Times New Roman"/>
        <w:rtl w:val="0"/>
        <w:cs w:val="0"/>
      </w:rPr>
    </w:lvl>
    <w:lvl w:ilvl="3">
      <w:start w:val="1"/>
      <w:numFmt w:val="decimal"/>
      <w:lvlText w:val="%4."/>
      <w:lvlJc w:val="left"/>
      <w:pPr>
        <w:ind w:left="2661" w:hanging="360"/>
      </w:pPr>
      <w:rPr>
        <w:rFonts w:cs="Times New Roman"/>
        <w:rtl w:val="0"/>
        <w:cs w:val="0"/>
      </w:rPr>
    </w:lvl>
    <w:lvl w:ilvl="4">
      <w:start w:val="1"/>
      <w:numFmt w:val="lowerLetter"/>
      <w:lvlText w:val="%5."/>
      <w:lvlJc w:val="left"/>
      <w:pPr>
        <w:ind w:left="3381" w:hanging="360"/>
      </w:pPr>
      <w:rPr>
        <w:rFonts w:cs="Times New Roman"/>
        <w:rtl w:val="0"/>
        <w:cs w:val="0"/>
      </w:rPr>
    </w:lvl>
    <w:lvl w:ilvl="5">
      <w:start w:val="1"/>
      <w:numFmt w:val="lowerRoman"/>
      <w:lvlText w:val="%6."/>
      <w:lvlJc w:val="right"/>
      <w:pPr>
        <w:ind w:left="4101" w:hanging="180"/>
      </w:pPr>
      <w:rPr>
        <w:rFonts w:cs="Times New Roman"/>
        <w:rtl w:val="0"/>
        <w:cs w:val="0"/>
      </w:rPr>
    </w:lvl>
    <w:lvl w:ilvl="6">
      <w:start w:val="1"/>
      <w:numFmt w:val="decimal"/>
      <w:lvlText w:val="%7."/>
      <w:lvlJc w:val="left"/>
      <w:pPr>
        <w:ind w:left="4821" w:hanging="360"/>
      </w:pPr>
      <w:rPr>
        <w:rFonts w:cs="Times New Roman"/>
        <w:rtl w:val="0"/>
        <w:cs w:val="0"/>
      </w:rPr>
    </w:lvl>
    <w:lvl w:ilvl="7">
      <w:start w:val="1"/>
      <w:numFmt w:val="lowerLetter"/>
      <w:lvlText w:val="%8."/>
      <w:lvlJc w:val="left"/>
      <w:pPr>
        <w:ind w:left="5541" w:hanging="360"/>
      </w:pPr>
      <w:rPr>
        <w:rFonts w:cs="Times New Roman"/>
        <w:rtl w:val="0"/>
        <w:cs w:val="0"/>
      </w:rPr>
    </w:lvl>
    <w:lvl w:ilvl="8">
      <w:start w:val="1"/>
      <w:numFmt w:val="lowerRoman"/>
      <w:lvlText w:val="%9."/>
      <w:lvlJc w:val="right"/>
      <w:pPr>
        <w:ind w:left="6261" w:hanging="180"/>
      </w:pPr>
      <w:rPr>
        <w:rFonts w:cs="Times New Roman"/>
        <w:rtl w:val="0"/>
        <w:cs w:val="0"/>
      </w:rPr>
    </w:lvl>
  </w:abstractNum>
  <w:abstractNum w:abstractNumId="1">
    <w:nsid w:val="079F150F"/>
    <w:multiLevelType w:val="hybridMultilevel"/>
    <w:tmpl w:val="CA8AB8C6"/>
    <w:lvl w:ilvl="0">
      <w:start w:val="1"/>
      <w:numFmt w:val="lowerLetter"/>
      <w:lvlText w:val="%1)"/>
      <w:lvlJc w:val="left"/>
      <w:pPr>
        <w:ind w:left="861" w:hanging="360"/>
      </w:pPr>
      <w:rPr>
        <w:rFonts w:cs="Times New Roman" w:hint="default"/>
        <w:rtl w:val="0"/>
        <w:cs w:val="0"/>
      </w:rPr>
    </w:lvl>
    <w:lvl w:ilvl="1">
      <w:start w:val="1"/>
      <w:numFmt w:val="lowerLetter"/>
      <w:lvlText w:val="%2."/>
      <w:lvlJc w:val="left"/>
      <w:pPr>
        <w:ind w:left="1581" w:hanging="360"/>
      </w:pPr>
      <w:rPr>
        <w:rFonts w:cs="Times New Roman"/>
        <w:rtl w:val="0"/>
        <w:cs w:val="0"/>
      </w:rPr>
    </w:lvl>
    <w:lvl w:ilvl="2">
      <w:start w:val="1"/>
      <w:numFmt w:val="lowerRoman"/>
      <w:lvlText w:val="%3."/>
      <w:lvlJc w:val="right"/>
      <w:pPr>
        <w:ind w:left="2301" w:hanging="180"/>
      </w:pPr>
      <w:rPr>
        <w:rFonts w:cs="Times New Roman"/>
        <w:rtl w:val="0"/>
        <w:cs w:val="0"/>
      </w:rPr>
    </w:lvl>
    <w:lvl w:ilvl="3">
      <w:start w:val="1"/>
      <w:numFmt w:val="decimal"/>
      <w:lvlText w:val="%4."/>
      <w:lvlJc w:val="left"/>
      <w:pPr>
        <w:ind w:left="3021" w:hanging="360"/>
      </w:pPr>
      <w:rPr>
        <w:rFonts w:cs="Times New Roman"/>
        <w:rtl w:val="0"/>
        <w:cs w:val="0"/>
      </w:rPr>
    </w:lvl>
    <w:lvl w:ilvl="4">
      <w:start w:val="1"/>
      <w:numFmt w:val="lowerLetter"/>
      <w:lvlText w:val="%5."/>
      <w:lvlJc w:val="left"/>
      <w:pPr>
        <w:ind w:left="3741" w:hanging="360"/>
      </w:pPr>
      <w:rPr>
        <w:rFonts w:cs="Times New Roman"/>
        <w:rtl w:val="0"/>
        <w:cs w:val="0"/>
      </w:rPr>
    </w:lvl>
    <w:lvl w:ilvl="5">
      <w:start w:val="1"/>
      <w:numFmt w:val="lowerRoman"/>
      <w:lvlText w:val="%6."/>
      <w:lvlJc w:val="right"/>
      <w:pPr>
        <w:ind w:left="4461" w:hanging="180"/>
      </w:pPr>
      <w:rPr>
        <w:rFonts w:cs="Times New Roman"/>
        <w:rtl w:val="0"/>
        <w:cs w:val="0"/>
      </w:rPr>
    </w:lvl>
    <w:lvl w:ilvl="6">
      <w:start w:val="1"/>
      <w:numFmt w:val="decimal"/>
      <w:lvlText w:val="%7."/>
      <w:lvlJc w:val="left"/>
      <w:pPr>
        <w:ind w:left="5181" w:hanging="360"/>
      </w:pPr>
      <w:rPr>
        <w:rFonts w:cs="Times New Roman"/>
        <w:rtl w:val="0"/>
        <w:cs w:val="0"/>
      </w:rPr>
    </w:lvl>
    <w:lvl w:ilvl="7">
      <w:start w:val="1"/>
      <w:numFmt w:val="lowerLetter"/>
      <w:lvlText w:val="%8."/>
      <w:lvlJc w:val="left"/>
      <w:pPr>
        <w:ind w:left="5901" w:hanging="360"/>
      </w:pPr>
      <w:rPr>
        <w:rFonts w:cs="Times New Roman"/>
        <w:rtl w:val="0"/>
        <w:cs w:val="0"/>
      </w:rPr>
    </w:lvl>
    <w:lvl w:ilvl="8">
      <w:start w:val="1"/>
      <w:numFmt w:val="lowerRoman"/>
      <w:lvlText w:val="%9."/>
      <w:lvlJc w:val="right"/>
      <w:pPr>
        <w:ind w:left="6621" w:hanging="180"/>
      </w:pPr>
      <w:rPr>
        <w:rFonts w:cs="Times New Roman"/>
        <w:rtl w:val="0"/>
        <w:cs w:val="0"/>
      </w:rPr>
    </w:lvl>
  </w:abstractNum>
  <w:abstractNum w:abstractNumId="2">
    <w:nsid w:val="0AE64AB7"/>
    <w:multiLevelType w:val="hybridMultilevel"/>
    <w:tmpl w:val="C3A6351E"/>
    <w:lvl w:ilvl="0">
      <w:start w:val="1"/>
      <w:numFmt w:val="lowerLetter"/>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
    <w:nsid w:val="0AE808E5"/>
    <w:multiLevelType w:val="hybridMultilevel"/>
    <w:tmpl w:val="1D3AB422"/>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4">
    <w:nsid w:val="0E811392"/>
    <w:multiLevelType w:val="hybridMultilevel"/>
    <w:tmpl w:val="5596C2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E2C3BF9"/>
    <w:multiLevelType w:val="hybridMultilevel"/>
    <w:tmpl w:val="85908334"/>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6">
    <w:nsid w:val="29A26DFC"/>
    <w:multiLevelType w:val="hybridMultilevel"/>
    <w:tmpl w:val="50320348"/>
    <w:lvl w:ilvl="0">
      <w:start w:val="1"/>
      <w:numFmt w:val="decimal"/>
      <w:lvlText w:val="(%1)"/>
      <w:lvlJc w:val="left"/>
      <w:pPr>
        <w:ind w:left="501" w:hanging="360"/>
      </w:pPr>
      <w:rPr>
        <w:rFonts w:cs="Times New Roman"/>
        <w:rtl w:val="0"/>
        <w:cs w:val="0"/>
      </w:rPr>
    </w:lvl>
    <w:lvl w:ilvl="1">
      <w:start w:val="1"/>
      <w:numFmt w:val="lowerLetter"/>
      <w:lvlText w:val="%2."/>
      <w:lvlJc w:val="left"/>
      <w:pPr>
        <w:ind w:left="1221" w:hanging="360"/>
      </w:pPr>
      <w:rPr>
        <w:rFonts w:cs="Times New Roman"/>
        <w:rtl w:val="0"/>
        <w:cs w:val="0"/>
      </w:rPr>
    </w:lvl>
    <w:lvl w:ilvl="2">
      <w:start w:val="1"/>
      <w:numFmt w:val="lowerRoman"/>
      <w:lvlText w:val="%3."/>
      <w:lvlJc w:val="right"/>
      <w:pPr>
        <w:ind w:left="1941" w:hanging="180"/>
      </w:pPr>
      <w:rPr>
        <w:rFonts w:cs="Times New Roman"/>
        <w:rtl w:val="0"/>
        <w:cs w:val="0"/>
      </w:rPr>
    </w:lvl>
    <w:lvl w:ilvl="3">
      <w:start w:val="1"/>
      <w:numFmt w:val="decimal"/>
      <w:lvlText w:val="%4."/>
      <w:lvlJc w:val="left"/>
      <w:pPr>
        <w:ind w:left="2661" w:hanging="360"/>
      </w:pPr>
      <w:rPr>
        <w:rFonts w:cs="Times New Roman"/>
        <w:rtl w:val="0"/>
        <w:cs w:val="0"/>
      </w:rPr>
    </w:lvl>
    <w:lvl w:ilvl="4">
      <w:start w:val="1"/>
      <w:numFmt w:val="lowerLetter"/>
      <w:lvlText w:val="%5."/>
      <w:lvlJc w:val="left"/>
      <w:pPr>
        <w:ind w:left="3381" w:hanging="360"/>
      </w:pPr>
      <w:rPr>
        <w:rFonts w:cs="Times New Roman"/>
        <w:rtl w:val="0"/>
        <w:cs w:val="0"/>
      </w:rPr>
    </w:lvl>
    <w:lvl w:ilvl="5">
      <w:start w:val="1"/>
      <w:numFmt w:val="lowerRoman"/>
      <w:lvlText w:val="%6."/>
      <w:lvlJc w:val="right"/>
      <w:pPr>
        <w:ind w:left="4101" w:hanging="180"/>
      </w:pPr>
      <w:rPr>
        <w:rFonts w:cs="Times New Roman"/>
        <w:rtl w:val="0"/>
        <w:cs w:val="0"/>
      </w:rPr>
    </w:lvl>
    <w:lvl w:ilvl="6">
      <w:start w:val="1"/>
      <w:numFmt w:val="decimal"/>
      <w:lvlText w:val="%7."/>
      <w:lvlJc w:val="left"/>
      <w:pPr>
        <w:ind w:left="4821" w:hanging="360"/>
      </w:pPr>
      <w:rPr>
        <w:rFonts w:cs="Times New Roman"/>
        <w:rtl w:val="0"/>
        <w:cs w:val="0"/>
      </w:rPr>
    </w:lvl>
    <w:lvl w:ilvl="7">
      <w:start w:val="1"/>
      <w:numFmt w:val="lowerLetter"/>
      <w:lvlText w:val="%8."/>
      <w:lvlJc w:val="left"/>
      <w:pPr>
        <w:ind w:left="5541" w:hanging="360"/>
      </w:pPr>
      <w:rPr>
        <w:rFonts w:cs="Times New Roman"/>
        <w:rtl w:val="0"/>
        <w:cs w:val="0"/>
      </w:rPr>
    </w:lvl>
    <w:lvl w:ilvl="8">
      <w:start w:val="1"/>
      <w:numFmt w:val="lowerRoman"/>
      <w:lvlText w:val="%9."/>
      <w:lvlJc w:val="right"/>
      <w:pPr>
        <w:ind w:left="6261" w:hanging="180"/>
      </w:pPr>
      <w:rPr>
        <w:rFonts w:cs="Times New Roman"/>
        <w:rtl w:val="0"/>
        <w:cs w:val="0"/>
      </w:rPr>
    </w:lvl>
  </w:abstractNum>
  <w:abstractNum w:abstractNumId="7">
    <w:nsid w:val="2B744F02"/>
    <w:multiLevelType w:val="hybridMultilevel"/>
    <w:tmpl w:val="586C79E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34A02A07"/>
    <w:multiLevelType w:val="hybridMultilevel"/>
    <w:tmpl w:val="F5264CBE"/>
    <w:lvl w:ilvl="0">
      <w:start w:val="1"/>
      <w:numFmt w:val="lowerLetter"/>
      <w:lvlText w:val="%1)"/>
      <w:lvlJc w:val="left"/>
      <w:pPr>
        <w:ind w:left="1221" w:hanging="360"/>
      </w:pPr>
      <w:rPr>
        <w:rFonts w:cs="Times New Roman"/>
        <w:rtl w:val="0"/>
        <w:cs w:val="0"/>
      </w:rPr>
    </w:lvl>
    <w:lvl w:ilvl="1">
      <w:start w:val="1"/>
      <w:numFmt w:val="lowerLetter"/>
      <w:lvlText w:val="%2."/>
      <w:lvlJc w:val="left"/>
      <w:pPr>
        <w:ind w:left="1941" w:hanging="360"/>
      </w:pPr>
      <w:rPr>
        <w:rFonts w:cs="Times New Roman"/>
        <w:rtl w:val="0"/>
        <w:cs w:val="0"/>
      </w:rPr>
    </w:lvl>
    <w:lvl w:ilvl="2">
      <w:start w:val="1"/>
      <w:numFmt w:val="lowerRoman"/>
      <w:lvlText w:val="%3."/>
      <w:lvlJc w:val="right"/>
      <w:pPr>
        <w:ind w:left="2661" w:hanging="180"/>
      </w:pPr>
      <w:rPr>
        <w:rFonts w:cs="Times New Roman"/>
        <w:rtl w:val="0"/>
        <w:cs w:val="0"/>
      </w:rPr>
    </w:lvl>
    <w:lvl w:ilvl="3">
      <w:start w:val="1"/>
      <w:numFmt w:val="decimal"/>
      <w:lvlText w:val="%4."/>
      <w:lvlJc w:val="left"/>
      <w:pPr>
        <w:ind w:left="3381" w:hanging="360"/>
      </w:pPr>
      <w:rPr>
        <w:rFonts w:cs="Times New Roman"/>
        <w:rtl w:val="0"/>
        <w:cs w:val="0"/>
      </w:rPr>
    </w:lvl>
    <w:lvl w:ilvl="4">
      <w:start w:val="1"/>
      <w:numFmt w:val="lowerLetter"/>
      <w:lvlText w:val="%5."/>
      <w:lvlJc w:val="left"/>
      <w:pPr>
        <w:ind w:left="4101" w:hanging="360"/>
      </w:pPr>
      <w:rPr>
        <w:rFonts w:cs="Times New Roman"/>
        <w:rtl w:val="0"/>
        <w:cs w:val="0"/>
      </w:rPr>
    </w:lvl>
    <w:lvl w:ilvl="5">
      <w:start w:val="1"/>
      <w:numFmt w:val="lowerRoman"/>
      <w:lvlText w:val="%6."/>
      <w:lvlJc w:val="right"/>
      <w:pPr>
        <w:ind w:left="4821" w:hanging="180"/>
      </w:pPr>
      <w:rPr>
        <w:rFonts w:cs="Times New Roman"/>
        <w:rtl w:val="0"/>
        <w:cs w:val="0"/>
      </w:rPr>
    </w:lvl>
    <w:lvl w:ilvl="6">
      <w:start w:val="1"/>
      <w:numFmt w:val="decimal"/>
      <w:lvlText w:val="%7."/>
      <w:lvlJc w:val="left"/>
      <w:pPr>
        <w:ind w:left="5541" w:hanging="360"/>
      </w:pPr>
      <w:rPr>
        <w:rFonts w:cs="Times New Roman"/>
        <w:rtl w:val="0"/>
        <w:cs w:val="0"/>
      </w:rPr>
    </w:lvl>
    <w:lvl w:ilvl="7">
      <w:start w:val="1"/>
      <w:numFmt w:val="lowerLetter"/>
      <w:lvlText w:val="%8."/>
      <w:lvlJc w:val="left"/>
      <w:pPr>
        <w:ind w:left="6261" w:hanging="360"/>
      </w:pPr>
      <w:rPr>
        <w:rFonts w:cs="Times New Roman"/>
        <w:rtl w:val="0"/>
        <w:cs w:val="0"/>
      </w:rPr>
    </w:lvl>
    <w:lvl w:ilvl="8">
      <w:start w:val="1"/>
      <w:numFmt w:val="lowerRoman"/>
      <w:lvlText w:val="%9."/>
      <w:lvlJc w:val="right"/>
      <w:pPr>
        <w:ind w:left="6981" w:hanging="180"/>
      </w:pPr>
      <w:rPr>
        <w:rFonts w:cs="Times New Roman"/>
        <w:rtl w:val="0"/>
        <w:cs w:val="0"/>
      </w:rPr>
    </w:lvl>
  </w:abstractNum>
  <w:abstractNum w:abstractNumId="9">
    <w:nsid w:val="35DE512D"/>
    <w:multiLevelType w:val="hybridMultilevel"/>
    <w:tmpl w:val="E4F8AC6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3ADF324A"/>
    <w:multiLevelType w:val="hybridMultilevel"/>
    <w:tmpl w:val="EFE008CA"/>
    <w:lvl w:ilvl="0">
      <w:start w:val="1"/>
      <w:numFmt w:val="decimal"/>
      <w:lvlText w:val="(%1)"/>
      <w:lvlJc w:val="left"/>
      <w:pPr>
        <w:ind w:left="420" w:hanging="360"/>
      </w:pPr>
      <w:rPr>
        <w:rFonts w:cs="Times New Roman"/>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1">
    <w:nsid w:val="3C460882"/>
    <w:multiLevelType w:val="hybridMultilevel"/>
    <w:tmpl w:val="41FA8230"/>
    <w:lvl w:ilvl="0">
      <w:start w:val="1"/>
      <w:numFmt w:val="lowerLetter"/>
      <w:lvlText w:val="%1)"/>
      <w:lvlJc w:val="left"/>
      <w:pPr>
        <w:ind w:left="785" w:hanging="360"/>
      </w:pPr>
      <w:rPr>
        <w:rFonts w:ascii="Times New Roman" w:eastAsia="Times New Roman" w:hAnsi="Times New Roman"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46061084"/>
    <w:multiLevelType w:val="hybridMultilevel"/>
    <w:tmpl w:val="652839EE"/>
    <w:lvl w:ilvl="0">
      <w:start w:val="1"/>
      <w:numFmt w:val="decimal"/>
      <w:lvlText w:val="(%1)"/>
      <w:lvlJc w:val="left"/>
      <w:pPr>
        <w:ind w:left="502" w:hanging="360"/>
      </w:pPr>
      <w:rPr>
        <w:rFonts w:cs="Times New Roman"/>
        <w:b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3">
    <w:nsid w:val="460C0625"/>
    <w:multiLevelType w:val="hybridMultilevel"/>
    <w:tmpl w:val="50320348"/>
    <w:lvl w:ilvl="0">
      <w:start w:val="1"/>
      <w:numFmt w:val="decimal"/>
      <w:lvlText w:val="(%1)"/>
      <w:lvlJc w:val="left"/>
      <w:pPr>
        <w:ind w:left="501" w:hanging="360"/>
      </w:pPr>
      <w:rPr>
        <w:rFonts w:cs="Times New Roman"/>
        <w:rtl w:val="0"/>
        <w:cs w:val="0"/>
      </w:rPr>
    </w:lvl>
    <w:lvl w:ilvl="1">
      <w:start w:val="1"/>
      <w:numFmt w:val="lowerLetter"/>
      <w:lvlText w:val="%2."/>
      <w:lvlJc w:val="left"/>
      <w:pPr>
        <w:ind w:left="1221" w:hanging="360"/>
      </w:pPr>
      <w:rPr>
        <w:rFonts w:cs="Times New Roman"/>
        <w:rtl w:val="0"/>
        <w:cs w:val="0"/>
      </w:rPr>
    </w:lvl>
    <w:lvl w:ilvl="2">
      <w:start w:val="1"/>
      <w:numFmt w:val="lowerRoman"/>
      <w:lvlText w:val="%3."/>
      <w:lvlJc w:val="right"/>
      <w:pPr>
        <w:ind w:left="1941" w:hanging="180"/>
      </w:pPr>
      <w:rPr>
        <w:rFonts w:cs="Times New Roman"/>
        <w:rtl w:val="0"/>
        <w:cs w:val="0"/>
      </w:rPr>
    </w:lvl>
    <w:lvl w:ilvl="3">
      <w:start w:val="1"/>
      <w:numFmt w:val="decimal"/>
      <w:lvlText w:val="%4."/>
      <w:lvlJc w:val="left"/>
      <w:pPr>
        <w:ind w:left="2661" w:hanging="360"/>
      </w:pPr>
      <w:rPr>
        <w:rFonts w:cs="Times New Roman"/>
        <w:rtl w:val="0"/>
        <w:cs w:val="0"/>
      </w:rPr>
    </w:lvl>
    <w:lvl w:ilvl="4">
      <w:start w:val="1"/>
      <w:numFmt w:val="lowerLetter"/>
      <w:lvlText w:val="%5."/>
      <w:lvlJc w:val="left"/>
      <w:pPr>
        <w:ind w:left="3381" w:hanging="360"/>
      </w:pPr>
      <w:rPr>
        <w:rFonts w:cs="Times New Roman"/>
        <w:rtl w:val="0"/>
        <w:cs w:val="0"/>
      </w:rPr>
    </w:lvl>
    <w:lvl w:ilvl="5">
      <w:start w:val="1"/>
      <w:numFmt w:val="lowerRoman"/>
      <w:lvlText w:val="%6."/>
      <w:lvlJc w:val="right"/>
      <w:pPr>
        <w:ind w:left="4101" w:hanging="180"/>
      </w:pPr>
      <w:rPr>
        <w:rFonts w:cs="Times New Roman"/>
        <w:rtl w:val="0"/>
        <w:cs w:val="0"/>
      </w:rPr>
    </w:lvl>
    <w:lvl w:ilvl="6">
      <w:start w:val="1"/>
      <w:numFmt w:val="decimal"/>
      <w:lvlText w:val="%7."/>
      <w:lvlJc w:val="left"/>
      <w:pPr>
        <w:ind w:left="4821" w:hanging="360"/>
      </w:pPr>
      <w:rPr>
        <w:rFonts w:cs="Times New Roman"/>
        <w:rtl w:val="0"/>
        <w:cs w:val="0"/>
      </w:rPr>
    </w:lvl>
    <w:lvl w:ilvl="7">
      <w:start w:val="1"/>
      <w:numFmt w:val="lowerLetter"/>
      <w:lvlText w:val="%8."/>
      <w:lvlJc w:val="left"/>
      <w:pPr>
        <w:ind w:left="5541" w:hanging="360"/>
      </w:pPr>
      <w:rPr>
        <w:rFonts w:cs="Times New Roman"/>
        <w:rtl w:val="0"/>
        <w:cs w:val="0"/>
      </w:rPr>
    </w:lvl>
    <w:lvl w:ilvl="8">
      <w:start w:val="1"/>
      <w:numFmt w:val="lowerRoman"/>
      <w:lvlText w:val="%9."/>
      <w:lvlJc w:val="right"/>
      <w:pPr>
        <w:ind w:left="6261" w:hanging="180"/>
      </w:pPr>
      <w:rPr>
        <w:rFonts w:cs="Times New Roman"/>
        <w:rtl w:val="0"/>
        <w:cs w:val="0"/>
      </w:rPr>
    </w:lvl>
  </w:abstractNum>
  <w:abstractNum w:abstractNumId="14">
    <w:nsid w:val="47635E15"/>
    <w:multiLevelType w:val="hybridMultilevel"/>
    <w:tmpl w:val="74AA29CA"/>
    <w:lvl w:ilvl="0">
      <w:start w:val="1"/>
      <w:numFmt w:val="decimal"/>
      <w:lvlText w:val="(%1)"/>
      <w:lvlJc w:val="left"/>
      <w:pPr>
        <w:ind w:left="420" w:hanging="360"/>
      </w:pPr>
      <w:rPr>
        <w:rFonts w:cs="Times New Roman"/>
        <w:b w:val="0"/>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5">
    <w:nsid w:val="49D951A5"/>
    <w:multiLevelType w:val="hybridMultilevel"/>
    <w:tmpl w:val="F30A823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4BA3710D"/>
    <w:multiLevelType w:val="hybridMultilevel"/>
    <w:tmpl w:val="3E9668C2"/>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CD1462E"/>
    <w:multiLevelType w:val="hybridMultilevel"/>
    <w:tmpl w:val="C3E00EA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4EF26489"/>
    <w:multiLevelType w:val="hybridMultilevel"/>
    <w:tmpl w:val="CB6A4EE4"/>
    <w:lvl w:ilvl="0">
      <w:start w:val="1"/>
      <w:numFmt w:val="decimal"/>
      <w:lvlText w:val="(%1)"/>
      <w:lvlJc w:val="left"/>
      <w:pPr>
        <w:ind w:left="50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FCC15B2"/>
    <w:multiLevelType w:val="hybridMultilevel"/>
    <w:tmpl w:val="092C2FE8"/>
    <w:lvl w:ilvl="0">
      <w:start w:val="1"/>
      <w:numFmt w:val="decimal"/>
      <w:lvlText w:val="(%1)"/>
      <w:lvlJc w:val="left"/>
      <w:pPr>
        <w:ind w:left="501" w:hanging="360"/>
      </w:pPr>
      <w:rPr>
        <w:rFonts w:cs="Times New Roman"/>
        <w:rtl w:val="0"/>
        <w:cs w:val="0"/>
      </w:rPr>
    </w:lvl>
    <w:lvl w:ilvl="1">
      <w:start w:val="1"/>
      <w:numFmt w:val="lowerLetter"/>
      <w:lvlText w:val="%2."/>
      <w:lvlJc w:val="left"/>
      <w:pPr>
        <w:ind w:left="1221" w:hanging="360"/>
      </w:pPr>
      <w:rPr>
        <w:rFonts w:cs="Times New Roman"/>
        <w:rtl w:val="0"/>
        <w:cs w:val="0"/>
      </w:rPr>
    </w:lvl>
    <w:lvl w:ilvl="2">
      <w:start w:val="1"/>
      <w:numFmt w:val="lowerRoman"/>
      <w:lvlText w:val="%3."/>
      <w:lvlJc w:val="right"/>
      <w:pPr>
        <w:ind w:left="1941" w:hanging="180"/>
      </w:pPr>
      <w:rPr>
        <w:rFonts w:cs="Times New Roman"/>
        <w:rtl w:val="0"/>
        <w:cs w:val="0"/>
      </w:rPr>
    </w:lvl>
    <w:lvl w:ilvl="3">
      <w:start w:val="1"/>
      <w:numFmt w:val="decimal"/>
      <w:lvlText w:val="%4."/>
      <w:lvlJc w:val="left"/>
      <w:pPr>
        <w:ind w:left="360" w:hanging="360"/>
      </w:pPr>
      <w:rPr>
        <w:rFonts w:cs="Times New Roman"/>
        <w:b/>
        <w:rtl w:val="0"/>
        <w:cs w:val="0"/>
      </w:rPr>
    </w:lvl>
    <w:lvl w:ilvl="4">
      <w:start w:val="1"/>
      <w:numFmt w:val="lowerLetter"/>
      <w:lvlText w:val="%5."/>
      <w:lvlJc w:val="left"/>
      <w:pPr>
        <w:ind w:left="3381" w:hanging="360"/>
      </w:pPr>
      <w:rPr>
        <w:rFonts w:cs="Times New Roman"/>
        <w:rtl w:val="0"/>
        <w:cs w:val="0"/>
      </w:rPr>
    </w:lvl>
    <w:lvl w:ilvl="5">
      <w:start w:val="1"/>
      <w:numFmt w:val="lowerRoman"/>
      <w:lvlText w:val="%6."/>
      <w:lvlJc w:val="right"/>
      <w:pPr>
        <w:ind w:left="4101" w:hanging="180"/>
      </w:pPr>
      <w:rPr>
        <w:rFonts w:cs="Times New Roman"/>
        <w:rtl w:val="0"/>
        <w:cs w:val="0"/>
      </w:rPr>
    </w:lvl>
    <w:lvl w:ilvl="6">
      <w:start w:val="1"/>
      <w:numFmt w:val="decimal"/>
      <w:lvlText w:val="%7."/>
      <w:lvlJc w:val="left"/>
      <w:pPr>
        <w:ind w:left="4821" w:hanging="360"/>
      </w:pPr>
      <w:rPr>
        <w:rFonts w:cs="Times New Roman"/>
        <w:rtl w:val="0"/>
        <w:cs w:val="0"/>
      </w:rPr>
    </w:lvl>
    <w:lvl w:ilvl="7">
      <w:start w:val="1"/>
      <w:numFmt w:val="lowerLetter"/>
      <w:lvlText w:val="%8."/>
      <w:lvlJc w:val="left"/>
      <w:pPr>
        <w:ind w:left="5541" w:hanging="360"/>
      </w:pPr>
      <w:rPr>
        <w:rFonts w:cs="Times New Roman"/>
        <w:rtl w:val="0"/>
        <w:cs w:val="0"/>
      </w:rPr>
    </w:lvl>
    <w:lvl w:ilvl="8">
      <w:start w:val="1"/>
      <w:numFmt w:val="lowerRoman"/>
      <w:lvlText w:val="%9."/>
      <w:lvlJc w:val="right"/>
      <w:pPr>
        <w:ind w:left="6261" w:hanging="180"/>
      </w:pPr>
      <w:rPr>
        <w:rFonts w:cs="Times New Roman"/>
        <w:rtl w:val="0"/>
        <w:cs w:val="0"/>
      </w:rPr>
    </w:lvl>
  </w:abstractNum>
  <w:abstractNum w:abstractNumId="20">
    <w:nsid w:val="56C46493"/>
    <w:multiLevelType w:val="hybridMultilevel"/>
    <w:tmpl w:val="487877D8"/>
    <w:lvl w:ilvl="0">
      <w:start w:val="1"/>
      <w:numFmt w:val="decimal"/>
      <w:lvlText w:val="(%1)"/>
      <w:lvlJc w:val="left"/>
      <w:pPr>
        <w:ind w:left="501" w:hanging="360"/>
      </w:pPr>
      <w:rPr>
        <w:rFonts w:cs="Times New Roman" w:hint="default"/>
        <w:rtl w:val="0"/>
        <w:cs w:val="0"/>
      </w:rPr>
    </w:lvl>
    <w:lvl w:ilvl="1">
      <w:start w:val="1"/>
      <w:numFmt w:val="lowerLetter"/>
      <w:lvlText w:val="%2."/>
      <w:lvlJc w:val="left"/>
      <w:pPr>
        <w:ind w:left="1221" w:hanging="360"/>
      </w:pPr>
      <w:rPr>
        <w:rFonts w:cs="Times New Roman"/>
        <w:rtl w:val="0"/>
        <w:cs w:val="0"/>
      </w:rPr>
    </w:lvl>
    <w:lvl w:ilvl="2">
      <w:start w:val="1"/>
      <w:numFmt w:val="lowerRoman"/>
      <w:lvlText w:val="%3."/>
      <w:lvlJc w:val="right"/>
      <w:pPr>
        <w:ind w:left="1941" w:hanging="180"/>
      </w:pPr>
      <w:rPr>
        <w:rFonts w:cs="Times New Roman"/>
        <w:rtl w:val="0"/>
        <w:cs w:val="0"/>
      </w:rPr>
    </w:lvl>
    <w:lvl w:ilvl="3">
      <w:start w:val="1"/>
      <w:numFmt w:val="decimal"/>
      <w:lvlText w:val="%4."/>
      <w:lvlJc w:val="left"/>
      <w:pPr>
        <w:ind w:left="2661" w:hanging="360"/>
      </w:pPr>
      <w:rPr>
        <w:rFonts w:cs="Times New Roman"/>
        <w:rtl w:val="0"/>
        <w:cs w:val="0"/>
      </w:rPr>
    </w:lvl>
    <w:lvl w:ilvl="4">
      <w:start w:val="1"/>
      <w:numFmt w:val="lowerLetter"/>
      <w:lvlText w:val="%5."/>
      <w:lvlJc w:val="left"/>
      <w:pPr>
        <w:ind w:left="3381" w:hanging="360"/>
      </w:pPr>
      <w:rPr>
        <w:rFonts w:cs="Times New Roman"/>
        <w:rtl w:val="0"/>
        <w:cs w:val="0"/>
      </w:rPr>
    </w:lvl>
    <w:lvl w:ilvl="5">
      <w:start w:val="1"/>
      <w:numFmt w:val="lowerRoman"/>
      <w:lvlText w:val="%6."/>
      <w:lvlJc w:val="right"/>
      <w:pPr>
        <w:ind w:left="4101" w:hanging="180"/>
      </w:pPr>
      <w:rPr>
        <w:rFonts w:cs="Times New Roman"/>
        <w:rtl w:val="0"/>
        <w:cs w:val="0"/>
      </w:rPr>
    </w:lvl>
    <w:lvl w:ilvl="6">
      <w:start w:val="1"/>
      <w:numFmt w:val="decimal"/>
      <w:lvlText w:val="%7."/>
      <w:lvlJc w:val="left"/>
      <w:pPr>
        <w:ind w:left="4821" w:hanging="360"/>
      </w:pPr>
      <w:rPr>
        <w:rFonts w:cs="Times New Roman"/>
        <w:rtl w:val="0"/>
        <w:cs w:val="0"/>
      </w:rPr>
    </w:lvl>
    <w:lvl w:ilvl="7">
      <w:start w:val="1"/>
      <w:numFmt w:val="lowerLetter"/>
      <w:lvlText w:val="%8."/>
      <w:lvlJc w:val="left"/>
      <w:pPr>
        <w:ind w:left="5541" w:hanging="360"/>
      </w:pPr>
      <w:rPr>
        <w:rFonts w:cs="Times New Roman"/>
        <w:rtl w:val="0"/>
        <w:cs w:val="0"/>
      </w:rPr>
    </w:lvl>
    <w:lvl w:ilvl="8">
      <w:start w:val="1"/>
      <w:numFmt w:val="lowerRoman"/>
      <w:lvlText w:val="%9."/>
      <w:lvlJc w:val="right"/>
      <w:pPr>
        <w:ind w:left="6261" w:hanging="180"/>
      </w:pPr>
      <w:rPr>
        <w:rFonts w:cs="Times New Roman"/>
        <w:rtl w:val="0"/>
        <w:cs w:val="0"/>
      </w:rPr>
    </w:lvl>
  </w:abstractNum>
  <w:abstractNum w:abstractNumId="21">
    <w:nsid w:val="582954C6"/>
    <w:multiLevelType w:val="hybridMultilevel"/>
    <w:tmpl w:val="5EFA2CA8"/>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2">
    <w:nsid w:val="58B26F68"/>
    <w:multiLevelType w:val="hybridMultilevel"/>
    <w:tmpl w:val="08F643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F5A4655"/>
    <w:multiLevelType w:val="hybridMultilevel"/>
    <w:tmpl w:val="313E86F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6A3671CA"/>
    <w:multiLevelType w:val="hybridMultilevel"/>
    <w:tmpl w:val="C3E00EA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6CA67767"/>
    <w:multiLevelType w:val="hybridMultilevel"/>
    <w:tmpl w:val="DF5C5F64"/>
    <w:lvl w:ilvl="0">
      <w:start w:val="1"/>
      <w:numFmt w:val="decimal"/>
      <w:lvlText w:val="(%1)"/>
      <w:lvlJc w:val="left"/>
      <w:pPr>
        <w:ind w:left="501" w:hanging="360"/>
      </w:pPr>
      <w:rPr>
        <w:rFonts w:cs="Times New Roman"/>
        <w:rtl w:val="0"/>
        <w:cs w:val="0"/>
      </w:rPr>
    </w:lvl>
    <w:lvl w:ilvl="1">
      <w:start w:val="1"/>
      <w:numFmt w:val="lowerLetter"/>
      <w:lvlText w:val="%2."/>
      <w:lvlJc w:val="left"/>
      <w:pPr>
        <w:ind w:left="1221" w:hanging="360"/>
      </w:pPr>
      <w:rPr>
        <w:rFonts w:cs="Times New Roman"/>
        <w:rtl w:val="0"/>
        <w:cs w:val="0"/>
      </w:rPr>
    </w:lvl>
    <w:lvl w:ilvl="2">
      <w:start w:val="1"/>
      <w:numFmt w:val="lowerRoman"/>
      <w:lvlText w:val="%3."/>
      <w:lvlJc w:val="right"/>
      <w:pPr>
        <w:ind w:left="1941" w:hanging="180"/>
      </w:pPr>
      <w:rPr>
        <w:rFonts w:cs="Times New Roman"/>
        <w:rtl w:val="0"/>
        <w:cs w:val="0"/>
      </w:rPr>
    </w:lvl>
    <w:lvl w:ilvl="3">
      <w:start w:val="1"/>
      <w:numFmt w:val="decimal"/>
      <w:lvlText w:val="%4."/>
      <w:lvlJc w:val="left"/>
      <w:pPr>
        <w:ind w:left="2661" w:hanging="360"/>
      </w:pPr>
      <w:rPr>
        <w:rFonts w:cs="Times New Roman"/>
        <w:rtl w:val="0"/>
        <w:cs w:val="0"/>
      </w:rPr>
    </w:lvl>
    <w:lvl w:ilvl="4">
      <w:start w:val="1"/>
      <w:numFmt w:val="lowerLetter"/>
      <w:lvlText w:val="%5."/>
      <w:lvlJc w:val="left"/>
      <w:pPr>
        <w:ind w:left="3381" w:hanging="360"/>
      </w:pPr>
      <w:rPr>
        <w:rFonts w:cs="Times New Roman"/>
        <w:rtl w:val="0"/>
        <w:cs w:val="0"/>
      </w:rPr>
    </w:lvl>
    <w:lvl w:ilvl="5">
      <w:start w:val="1"/>
      <w:numFmt w:val="lowerRoman"/>
      <w:lvlText w:val="%6."/>
      <w:lvlJc w:val="right"/>
      <w:pPr>
        <w:ind w:left="4101" w:hanging="180"/>
      </w:pPr>
      <w:rPr>
        <w:rFonts w:cs="Times New Roman"/>
        <w:rtl w:val="0"/>
        <w:cs w:val="0"/>
      </w:rPr>
    </w:lvl>
    <w:lvl w:ilvl="6">
      <w:start w:val="1"/>
      <w:numFmt w:val="decimal"/>
      <w:lvlText w:val="%7."/>
      <w:lvlJc w:val="left"/>
      <w:pPr>
        <w:ind w:left="4821" w:hanging="360"/>
      </w:pPr>
      <w:rPr>
        <w:rFonts w:cs="Times New Roman"/>
        <w:rtl w:val="0"/>
        <w:cs w:val="0"/>
      </w:rPr>
    </w:lvl>
    <w:lvl w:ilvl="7">
      <w:start w:val="1"/>
      <w:numFmt w:val="lowerLetter"/>
      <w:lvlText w:val="%8."/>
      <w:lvlJc w:val="left"/>
      <w:pPr>
        <w:ind w:left="5541" w:hanging="360"/>
      </w:pPr>
      <w:rPr>
        <w:rFonts w:cs="Times New Roman"/>
        <w:rtl w:val="0"/>
        <w:cs w:val="0"/>
      </w:rPr>
    </w:lvl>
    <w:lvl w:ilvl="8">
      <w:start w:val="1"/>
      <w:numFmt w:val="lowerRoman"/>
      <w:lvlText w:val="%9."/>
      <w:lvlJc w:val="right"/>
      <w:pPr>
        <w:ind w:left="6261" w:hanging="180"/>
      </w:pPr>
      <w:rPr>
        <w:rFonts w:cs="Times New Roman"/>
        <w:rtl w:val="0"/>
        <w:cs w:val="0"/>
      </w:rPr>
    </w:lvl>
  </w:abstractNum>
  <w:abstractNum w:abstractNumId="26">
    <w:nsid w:val="6F0A25D6"/>
    <w:multiLevelType w:val="hybridMultilevel"/>
    <w:tmpl w:val="4CB4012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0466EA9"/>
    <w:multiLevelType w:val="hybridMultilevel"/>
    <w:tmpl w:val="C388EE3E"/>
    <w:lvl w:ilvl="0">
      <w:start w:val="1"/>
      <w:numFmt w:val="lowerLetter"/>
      <w:lvlText w:val="%1)"/>
      <w:lvlJc w:val="left"/>
      <w:pPr>
        <w:ind w:left="861" w:hanging="360"/>
      </w:pPr>
      <w:rPr>
        <w:rFonts w:cs="Times New Roman"/>
        <w:rtl w:val="0"/>
        <w:cs w:val="0"/>
      </w:rPr>
    </w:lvl>
    <w:lvl w:ilvl="1">
      <w:start w:val="1"/>
      <w:numFmt w:val="lowerLetter"/>
      <w:lvlText w:val="%2."/>
      <w:lvlJc w:val="left"/>
      <w:pPr>
        <w:ind w:left="1581" w:hanging="360"/>
      </w:pPr>
      <w:rPr>
        <w:rFonts w:cs="Times New Roman"/>
        <w:rtl w:val="0"/>
        <w:cs w:val="0"/>
      </w:rPr>
    </w:lvl>
    <w:lvl w:ilvl="2">
      <w:start w:val="1"/>
      <w:numFmt w:val="lowerRoman"/>
      <w:lvlText w:val="%3."/>
      <w:lvlJc w:val="right"/>
      <w:pPr>
        <w:ind w:left="2301" w:hanging="180"/>
      </w:pPr>
      <w:rPr>
        <w:rFonts w:cs="Times New Roman"/>
        <w:rtl w:val="0"/>
        <w:cs w:val="0"/>
      </w:rPr>
    </w:lvl>
    <w:lvl w:ilvl="3">
      <w:start w:val="1"/>
      <w:numFmt w:val="decimal"/>
      <w:lvlText w:val="%4."/>
      <w:lvlJc w:val="left"/>
      <w:pPr>
        <w:ind w:left="3021" w:hanging="360"/>
      </w:pPr>
      <w:rPr>
        <w:rFonts w:cs="Times New Roman"/>
        <w:rtl w:val="0"/>
        <w:cs w:val="0"/>
      </w:rPr>
    </w:lvl>
    <w:lvl w:ilvl="4">
      <w:start w:val="1"/>
      <w:numFmt w:val="lowerLetter"/>
      <w:lvlText w:val="%5."/>
      <w:lvlJc w:val="left"/>
      <w:pPr>
        <w:ind w:left="3741" w:hanging="360"/>
      </w:pPr>
      <w:rPr>
        <w:rFonts w:cs="Times New Roman"/>
        <w:rtl w:val="0"/>
        <w:cs w:val="0"/>
      </w:rPr>
    </w:lvl>
    <w:lvl w:ilvl="5">
      <w:start w:val="1"/>
      <w:numFmt w:val="lowerRoman"/>
      <w:lvlText w:val="%6."/>
      <w:lvlJc w:val="right"/>
      <w:pPr>
        <w:ind w:left="4461" w:hanging="180"/>
      </w:pPr>
      <w:rPr>
        <w:rFonts w:cs="Times New Roman"/>
        <w:rtl w:val="0"/>
        <w:cs w:val="0"/>
      </w:rPr>
    </w:lvl>
    <w:lvl w:ilvl="6">
      <w:start w:val="1"/>
      <w:numFmt w:val="decimal"/>
      <w:lvlText w:val="%7."/>
      <w:lvlJc w:val="left"/>
      <w:pPr>
        <w:ind w:left="5181" w:hanging="360"/>
      </w:pPr>
      <w:rPr>
        <w:rFonts w:cs="Times New Roman"/>
        <w:rtl w:val="0"/>
        <w:cs w:val="0"/>
      </w:rPr>
    </w:lvl>
    <w:lvl w:ilvl="7">
      <w:start w:val="1"/>
      <w:numFmt w:val="lowerLetter"/>
      <w:lvlText w:val="%8."/>
      <w:lvlJc w:val="left"/>
      <w:pPr>
        <w:ind w:left="5901" w:hanging="360"/>
      </w:pPr>
      <w:rPr>
        <w:rFonts w:cs="Times New Roman"/>
        <w:rtl w:val="0"/>
        <w:cs w:val="0"/>
      </w:rPr>
    </w:lvl>
    <w:lvl w:ilvl="8">
      <w:start w:val="1"/>
      <w:numFmt w:val="lowerRoman"/>
      <w:lvlText w:val="%9."/>
      <w:lvlJc w:val="right"/>
      <w:pPr>
        <w:ind w:left="6621" w:hanging="180"/>
      </w:pPr>
      <w:rPr>
        <w:rFonts w:cs="Times New Roman"/>
        <w:rtl w:val="0"/>
        <w:cs w:val="0"/>
      </w:rPr>
    </w:lvl>
  </w:abstractNum>
  <w:abstractNum w:abstractNumId="28">
    <w:nsid w:val="719F3E45"/>
    <w:multiLevelType w:val="hybridMultilevel"/>
    <w:tmpl w:val="232CD73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756A3B6A"/>
    <w:multiLevelType w:val="hybridMultilevel"/>
    <w:tmpl w:val="C87A9338"/>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0">
    <w:nsid w:val="7F5001F6"/>
    <w:multiLevelType w:val="hybridMultilevel"/>
    <w:tmpl w:val="205E24A6"/>
    <w:lvl w:ilvl="0">
      <w:start w:val="1"/>
      <w:numFmt w:val="decimal"/>
      <w:lvlText w:val="(%1)"/>
      <w:lvlJc w:val="left"/>
      <w:pPr>
        <w:ind w:left="420" w:hanging="360"/>
      </w:pPr>
      <w:rPr>
        <w:rFonts w:cs="Times New Roman"/>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20"/>
  </w:num>
  <w:num w:numId="24">
    <w:abstractNumId w:val="13"/>
  </w:num>
  <w:num w:numId="25">
    <w:abstractNumId w:val="26"/>
  </w:num>
  <w:num w:numId="26">
    <w:abstractNumId w:val="4"/>
  </w:num>
  <w:num w:numId="27">
    <w:abstractNumId w:val="23"/>
  </w:num>
  <w:num w:numId="28">
    <w:abstractNumId w:val="18"/>
  </w:num>
  <w:num w:numId="29">
    <w:abstractNumId w:val="1"/>
  </w:num>
  <w:num w:numId="30">
    <w:abstractNumId w:val="22"/>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C23C04"/>
    <w:rsid w:val="002260DB"/>
    <w:rsid w:val="002454A8"/>
    <w:rsid w:val="00275E67"/>
    <w:rsid w:val="0048210C"/>
    <w:rsid w:val="004B70A2"/>
    <w:rsid w:val="00565311"/>
    <w:rsid w:val="00774235"/>
    <w:rsid w:val="00792A42"/>
    <w:rsid w:val="0079734C"/>
    <w:rsid w:val="007C7201"/>
    <w:rsid w:val="00A5084E"/>
    <w:rsid w:val="00A773C1"/>
    <w:rsid w:val="00AB6E1A"/>
    <w:rsid w:val="00AC24C3"/>
    <w:rsid w:val="00BB2C88"/>
    <w:rsid w:val="00C23C04"/>
    <w:rsid w:val="00C7717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04"/>
    <w:pPr>
      <w:framePr w:wrap="auto"/>
      <w:widowControl/>
      <w:autoSpaceDE/>
      <w:autoSpaceDN/>
      <w:adjustRightInd/>
      <w:spacing w:after="160" w:line="25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C23C04"/>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C23C04"/>
    <w:rPr>
      <w:rFonts w:eastAsia="Times New Roman" w:cs="Times New Roman"/>
      <w:sz w:val="20"/>
      <w:szCs w:val="20"/>
      <w:rtl w:val="0"/>
      <w:cs w:val="0"/>
    </w:rPr>
  </w:style>
  <w:style w:type="paragraph" w:styleId="ListParagraph">
    <w:name w:val="List Paragraph"/>
    <w:basedOn w:val="Normal"/>
    <w:uiPriority w:val="34"/>
    <w:qFormat/>
    <w:rsid w:val="00C23C04"/>
    <w:pPr>
      <w:ind w:left="720"/>
      <w:contextualSpacing/>
      <w:jc w:val="left"/>
    </w:pPr>
  </w:style>
  <w:style w:type="character" w:styleId="FootnoteReference">
    <w:name w:val="footnote reference"/>
    <w:basedOn w:val="DefaultParagraphFont"/>
    <w:uiPriority w:val="99"/>
    <w:semiHidden/>
    <w:unhideWhenUsed/>
    <w:rsid w:val="00C23C04"/>
    <w:rPr>
      <w:rFonts w:cs="Times New Roman"/>
      <w:vertAlign w:val="superscript"/>
      <w:rtl w:val="0"/>
      <w:cs w:val="0"/>
    </w:rPr>
  </w:style>
  <w:style w:type="paragraph" w:styleId="Footer">
    <w:name w:val="footer"/>
    <w:basedOn w:val="Normal"/>
    <w:link w:val="PtaChar"/>
    <w:uiPriority w:val="99"/>
    <w:unhideWhenUsed/>
    <w:rsid w:val="00C23C0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23C04"/>
    <w:rPr>
      <w:rFonts w:eastAsia="Times New Roman" w:cs="Times New Roman"/>
      <w:rtl w:val="0"/>
      <w:cs w:val="0"/>
    </w:rPr>
  </w:style>
  <w:style w:type="paragraph" w:customStyle="1" w:styleId="Zkladntext">
    <w:name w:val="Základní text"/>
    <w:rsid w:val="00C23C04"/>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character" w:styleId="CommentReference">
    <w:name w:val="annotation reference"/>
    <w:basedOn w:val="DefaultParagraphFont"/>
    <w:uiPriority w:val="99"/>
    <w:rsid w:val="00C23C04"/>
    <w:rPr>
      <w:rFonts w:cs="Times New Roman"/>
      <w:sz w:val="16"/>
      <w:szCs w:val="16"/>
      <w:rtl w:val="0"/>
      <w:cs w:val="0"/>
    </w:rPr>
  </w:style>
  <w:style w:type="paragraph" w:styleId="CommentText">
    <w:name w:val="annotation text"/>
    <w:basedOn w:val="Normal"/>
    <w:link w:val="TextkomentraChar"/>
    <w:uiPriority w:val="99"/>
    <w:rsid w:val="00C23C04"/>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C23C04"/>
    <w:rPr>
      <w:rFonts w:eastAsia="Times New Roman" w:cs="Times New Roman"/>
      <w:sz w:val="20"/>
      <w:szCs w:val="20"/>
      <w:rtl w:val="0"/>
      <w:cs w:val="0"/>
    </w:rPr>
  </w:style>
  <w:style w:type="paragraph" w:styleId="BalloonText">
    <w:name w:val="Balloon Text"/>
    <w:basedOn w:val="Normal"/>
    <w:link w:val="TextbublinyChar"/>
    <w:uiPriority w:val="99"/>
    <w:semiHidden/>
    <w:unhideWhenUsed/>
    <w:rsid w:val="00C23C04"/>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23C04"/>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13</Pages>
  <Words>4013</Words>
  <Characters>22876</Characters>
  <Application>Microsoft Office Word</Application>
  <DocSecurity>0</DocSecurity>
  <Lines>0</Lines>
  <Paragraphs>0</Paragraphs>
  <ScaleCrop>false</ScaleCrop>
  <Company/>
  <LinksUpToDate>false</LinksUpToDate>
  <CharactersWithSpaces>26836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cp:revision>
  <dcterms:created xsi:type="dcterms:W3CDTF">2015-11-10T09:49:00Z</dcterms:created>
  <dcterms:modified xsi:type="dcterms:W3CDTF">2015-11-10T09:49:00Z</dcterms:modified>
</cp:coreProperties>
</file>