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1E94" w:rsidP="00E81E94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81E94" w:rsidP="00E81E94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81E94" w:rsidP="00E81E94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57. schôdza výboru                                                                                                           </w:t>
      </w: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CRD-1628/2015</w:t>
      </w: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P="00E81E94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525028">
        <w:rPr>
          <w:rFonts w:ascii="Arial" w:hAnsi="Arial" w:cs="Arial"/>
          <w:b/>
          <w:sz w:val="20"/>
          <w:szCs w:val="20"/>
        </w:rPr>
        <w:t>197</w:t>
      </w:r>
    </w:p>
    <w:p w:rsidR="00E81E94" w:rsidP="00E81E94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81E94" w:rsidP="00E81E94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81E94" w:rsidP="00E81E94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81E94" w:rsidP="00E81E94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81E94" w:rsidP="00E81E94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25028">
        <w:rPr>
          <w:rFonts w:ascii="Arial" w:hAnsi="Arial" w:cs="Arial"/>
          <w:sz w:val="20"/>
          <w:szCs w:val="20"/>
        </w:rPr>
        <w:t>o 4. novembra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RPr="00420E92" w:rsidP="00E81E94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vládnemu návrhu zákona, ktorým sa mení a dopĺňa zákon č. 211/2000 Z. z. o slobodnom prístupe k informáciám a o zmene a doplnení niektorých zákonov (zákon o slobode informácií) v znení neskorších predpisov (tlač 1727) </w:t>
      </w:r>
    </w:p>
    <w:p w:rsidR="00E81E94" w:rsidP="00E81E94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E81E94" w:rsidP="00E81E94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81E94" w:rsidP="00E81E94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81E94" w:rsidP="00E81E94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81E94" w:rsidP="00E81E9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E81E94" w:rsidP="00E81E94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81E94" w:rsidRPr="00420E92" w:rsidP="00E81E94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/>
          <w:bCs/>
          <w:sz w:val="20"/>
        </w:rPr>
        <w:t xml:space="preserve">s vládnym návrhom zákona,  </w:t>
      </w:r>
      <w:r>
        <w:rPr>
          <w:rFonts w:ascii="Arial" w:hAnsi="Arial" w:cs="Arial"/>
          <w:sz w:val="20"/>
        </w:rPr>
        <w:t xml:space="preserve">ktorým sa mení a dopĺňa zákon č. 211/2000 Z. z. o slobodnom prístupe k informáciám a o zmene a doplnení niektorých zákonov (zákon o slobode informácií) v znení neskorších predpisov (tlač 1727), </w:t>
      </w: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P="00E81E9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E81E94" w:rsidP="00E81E94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81E94" w:rsidRPr="00420E92" w:rsidP="00E81E94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Národnej rade Slovenskej republiky vládny návrh zákona, ktorým sa mení a dopĺňa zákon č. 211/2000 Z. z. o slobodnom prístupe k informáciám a o zmene a doplnení niektorých zákonov (zákon o slobode informácií) v znení neskorších predpisov (tlač 1727) </w:t>
      </w:r>
      <w:r w:rsidRPr="004C1D1C">
        <w:rPr>
          <w:rFonts w:ascii="Arial" w:hAnsi="Arial"/>
          <w:b/>
          <w:bCs/>
          <w:sz w:val="20"/>
        </w:rPr>
        <w:t>schváliť s pripomienkami</w:t>
      </w:r>
      <w:r>
        <w:rPr>
          <w:rFonts w:ascii="Arial" w:hAnsi="Arial"/>
          <w:bCs/>
          <w:sz w:val="20"/>
        </w:rPr>
        <w:t>, uvedenými v prílohe tohto uznesenia,</w:t>
      </w:r>
    </w:p>
    <w:p w:rsidR="00E81E94" w:rsidP="00E81E94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E81E94" w:rsidP="00E81E9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E81E94" w:rsidP="00E81E94">
      <w:pPr>
        <w:bidi w:val="0"/>
        <w:spacing w:after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predsedovi výboru informovať gestorský Ústavnoprávny výbor Národnej rady Slovenskej republiky o prijatom uznesení. </w:t>
      </w: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E81E94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525028" w:rsidRPr="00DF6F1F" w:rsidP="00525028">
      <w:pPr>
        <w:bidi w:val="0"/>
        <w:spacing w:after="0"/>
        <w:jc w:val="center"/>
        <w:rPr>
          <w:rFonts w:ascii="Arial" w:hAnsi="Arial"/>
          <w:b/>
          <w:bCs/>
          <w:sz w:val="20"/>
          <w:szCs w:val="20"/>
        </w:rPr>
      </w:pPr>
      <w:r w:rsidRPr="00DF6F1F">
        <w:rPr>
          <w:rFonts w:ascii="Arial" w:hAnsi="Arial"/>
          <w:b/>
          <w:bCs/>
          <w:sz w:val="20"/>
          <w:szCs w:val="20"/>
        </w:rPr>
        <w:t>Príloha</w:t>
      </w:r>
    </w:p>
    <w:p w:rsidR="00525028" w:rsidRPr="00DF6F1F" w:rsidP="00525028">
      <w:pPr>
        <w:bidi w:val="0"/>
        <w:spacing w:after="0"/>
        <w:jc w:val="center"/>
        <w:rPr>
          <w:rFonts w:ascii="Arial" w:hAnsi="Arial"/>
          <w:b/>
          <w:bCs/>
          <w:sz w:val="20"/>
          <w:szCs w:val="20"/>
        </w:rPr>
      </w:pPr>
      <w:r w:rsidRPr="00DF6F1F">
        <w:rPr>
          <w:rFonts w:ascii="Arial" w:hAnsi="Arial"/>
          <w:b/>
          <w:bCs/>
          <w:sz w:val="20"/>
          <w:szCs w:val="20"/>
        </w:rPr>
        <w:t>k uzneseniu Výboru NR SR pre ľudské pr</w:t>
      </w:r>
      <w:r>
        <w:rPr>
          <w:rFonts w:ascii="Arial" w:hAnsi="Arial"/>
          <w:b/>
          <w:bCs/>
          <w:sz w:val="20"/>
          <w:szCs w:val="20"/>
        </w:rPr>
        <w:t>áva a národnostné menšiny č. 197</w:t>
      </w:r>
    </w:p>
    <w:p w:rsidR="00525028" w:rsidRPr="00DF6F1F" w:rsidP="00525028">
      <w:pPr>
        <w:bidi w:val="0"/>
        <w:spacing w:after="0"/>
        <w:jc w:val="both"/>
        <w:rPr>
          <w:rFonts w:ascii="Arial" w:hAnsi="Arial"/>
          <w:b/>
          <w:bCs/>
          <w:sz w:val="20"/>
          <w:szCs w:val="20"/>
        </w:rPr>
      </w:pPr>
    </w:p>
    <w:p w:rsidR="00525028" w:rsidP="00525028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 w:rsidRPr="00DF6F1F">
        <w:rPr>
          <w:rFonts w:ascii="Arial" w:hAnsi="Arial"/>
          <w:bCs/>
          <w:sz w:val="20"/>
          <w:szCs w:val="20"/>
        </w:rPr>
        <w:t xml:space="preserve">Pripomienky k vládnemu návrhu </w:t>
      </w:r>
      <w:r>
        <w:rPr>
          <w:rFonts w:ascii="Arial" w:hAnsi="Arial" w:cs="Arial"/>
          <w:sz w:val="20"/>
        </w:rPr>
        <w:t xml:space="preserve">zákona, ktorým sa mení a dopĺňa zákon č. 211/2000 Z. z. o slobodnom prístupe k informáciám a o zmene a doplnení niektorých zákonov (zákon o slobode informácií) v znení neskorších predpisov (tlač 1727) </w:t>
      </w:r>
    </w:p>
    <w:p w:rsidR="00525028" w:rsidP="00525028">
      <w:pPr>
        <w:bidi w:val="0"/>
        <w:spacing w:after="0"/>
        <w:ind w:left="340" w:hanging="340"/>
        <w:jc w:val="both"/>
        <w:rPr>
          <w:b/>
        </w:rPr>
      </w:pPr>
    </w:p>
    <w:p w:rsidR="00525028" w:rsidP="00E81E94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1. V čl. I druhom bode sa na konci pripájajú tieto slová:</w:t>
      </w: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„Poznámka pod čiarou k odkazu 23 znie:</w:t>
      </w: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„</w:t>
      </w:r>
      <w:r>
        <w:rPr>
          <w:szCs w:val="24"/>
          <w:vertAlign w:val="superscript"/>
        </w:rPr>
        <w:t>23</w:t>
      </w:r>
      <w:r>
        <w:rPr>
          <w:szCs w:val="24"/>
        </w:rPr>
        <w:t>) Napríklad zákon č. 527/1990 Zb. o vynálezoch, priemyselných vzoroch a zlepšovacích návrhoch v znení neskorších predpisov, zákon č. 146/2000 Z. z. o ochrane topografií polovodičových výrobkov v znení zákona č. 84/2007 Z. z., zákon č. 517/2007 Z. z. o úžitkových vzoroch a o zmene a doplnení niektorých zákonov v znení zákona č. 495/2008 Z. z., zákon č. 202/2009 Z. z. o právnej ochrane odrôd rastlín, zákon č. 185/2015 Z. z. Autorský zákon.“.“.</w:t>
      </w:r>
    </w:p>
    <w:p w:rsidR="001C4648" w:rsidP="001C4648">
      <w:pPr>
        <w:pStyle w:val="BodyTextIndent"/>
        <w:bidi w:val="0"/>
        <w:spacing w:line="240" w:lineRule="auto"/>
        <w:rPr>
          <w:szCs w:val="24"/>
        </w:rPr>
      </w:pPr>
    </w:p>
    <w:p w:rsidR="001C4648" w:rsidRPr="00A2340A" w:rsidP="001C4648">
      <w:pPr>
        <w:pStyle w:val="BodyTextIndent"/>
        <w:bidi w:val="0"/>
        <w:spacing w:line="240" w:lineRule="auto"/>
        <w:ind w:left="3540"/>
        <w:rPr>
          <w:szCs w:val="24"/>
        </w:rPr>
      </w:pPr>
      <w:r>
        <w:rPr>
          <w:szCs w:val="24"/>
        </w:rPr>
        <w:t xml:space="preserve">Navrhujeme aktualizovať znenie poznámky pod čiarou  s ohľadom na platnú právnu úpravu.  </w:t>
      </w:r>
    </w:p>
    <w:p w:rsidR="001C4648" w:rsidP="001C4648">
      <w:pPr>
        <w:pStyle w:val="BodyTextIndent"/>
        <w:bidi w:val="0"/>
        <w:rPr>
          <w:szCs w:val="24"/>
        </w:rPr>
      </w:pPr>
    </w:p>
    <w:p w:rsidR="001C4648" w:rsidP="001C4648">
      <w:pPr>
        <w:pStyle w:val="BodyTextIndent"/>
        <w:bidi w:val="0"/>
        <w:rPr>
          <w:szCs w:val="24"/>
        </w:rPr>
      </w:pP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 xml:space="preserve">2. V čl. I jedenástom  bode v § 21e ods.4 sa za slovami „10 rokov“ vypúšťajú slová „povinná osoba“.  </w:t>
      </w:r>
    </w:p>
    <w:p w:rsidR="001C4648" w:rsidP="001C4648">
      <w:pPr>
        <w:pStyle w:val="BodyTextIndent"/>
        <w:bidi w:val="0"/>
        <w:spacing w:line="240" w:lineRule="auto"/>
        <w:ind w:left="3540"/>
        <w:rPr>
          <w:szCs w:val="24"/>
        </w:rPr>
      </w:pPr>
      <w:r>
        <w:rPr>
          <w:szCs w:val="24"/>
        </w:rPr>
        <w:t>Ide o gramatickú úpravu normatívneho textu (vypúšťajú sa nadbytočné slová).</w:t>
      </w:r>
    </w:p>
    <w:p w:rsidR="001C4648" w:rsidP="001C4648">
      <w:pPr>
        <w:pStyle w:val="BodyTextIndent"/>
        <w:bidi w:val="0"/>
        <w:rPr>
          <w:szCs w:val="24"/>
        </w:rPr>
      </w:pP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3. V čl. I trinástom bode  sa vypúšťajú slová „vrátane poznámky pod čiarou k odkazu 27n)“.</w:t>
      </w: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 xml:space="preserve"> </w:t>
      </w:r>
    </w:p>
    <w:p w:rsidR="001C4648" w:rsidP="001C4648">
      <w:pPr>
        <w:pStyle w:val="BodyTextIndent"/>
        <w:bidi w:val="0"/>
        <w:spacing w:line="240" w:lineRule="auto"/>
        <w:ind w:left="3540"/>
        <w:rPr>
          <w:szCs w:val="24"/>
        </w:rPr>
      </w:pPr>
      <w:r>
        <w:rPr>
          <w:szCs w:val="24"/>
        </w:rPr>
        <w:t>Legislatívno-technická úprava. Nie je dôvodné predmetnú poznámku vypúšťať s ohľadom na návrh v pätnástom bode.</w:t>
      </w:r>
    </w:p>
    <w:p w:rsidR="001C4648" w:rsidP="001C4648">
      <w:pPr>
        <w:pStyle w:val="BodyTextIndent"/>
        <w:bidi w:val="0"/>
        <w:rPr>
          <w:szCs w:val="24"/>
        </w:rPr>
      </w:pP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4. V čl. II sa slová „1. decembra  2015“nahrádzajú slovami „1. januára 2016“.</w:t>
      </w:r>
    </w:p>
    <w:p w:rsidR="001C4648" w:rsidP="001C4648">
      <w:pPr>
        <w:pStyle w:val="BodyTextIndent"/>
        <w:bidi w:val="0"/>
        <w:rPr>
          <w:szCs w:val="24"/>
        </w:rPr>
      </w:pPr>
      <w:r>
        <w:rPr>
          <w:szCs w:val="24"/>
        </w:rPr>
        <w:t>Zároveň je potrebné v čl. I 25. bode § 22f vrátane nadpisu slová „od 1. decembra 2015“ nahradiť slovami „od 1. januára 2016“ a slová „k 1. decembru 2015“ nahradiť slovami „k 1. januáru 2016“.</w:t>
      </w:r>
    </w:p>
    <w:p w:rsidR="001C4648" w:rsidP="001C4648">
      <w:pPr>
        <w:pStyle w:val="BodyTextIndent"/>
        <w:bidi w:val="0"/>
        <w:rPr>
          <w:szCs w:val="24"/>
        </w:rPr>
      </w:pPr>
    </w:p>
    <w:p w:rsidR="00E81E94" w:rsidP="007E6BDC">
      <w:pPr>
        <w:pStyle w:val="BodyTextIndent"/>
        <w:bidi w:val="0"/>
        <w:spacing w:line="240" w:lineRule="auto"/>
        <w:ind w:left="3540"/>
      </w:pPr>
      <w:r w:rsidR="001C4648">
        <w:rPr>
          <w:szCs w:val="24"/>
        </w:rPr>
        <w:t xml:space="preserve">Zmena termínu účinnosti sa navrhuje s ohľadom  na priebeh legislatívneho procesu a </w:t>
      </w:r>
      <w:r w:rsidR="001C4648">
        <w:t>potrebu dodržania lehoty podľa čl. 102 ods. 1 písm. o) Ústavy Slovenskej republiky.</w:t>
      </w:r>
      <w:r w:rsidR="001C4648">
        <w:rPr>
          <w:szCs w:val="24"/>
        </w:rPr>
        <w:t xml:space="preserve">  Súčasne je potrebné primerane upraviť aj lehoty navrhované v prechodnom ustanovení. </w:t>
      </w:r>
    </w:p>
    <w:p w:rsidR="000A4C4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354C"/>
    <w:rsid w:val="000A4C4E"/>
    <w:rsid w:val="001C4648"/>
    <w:rsid w:val="00420E92"/>
    <w:rsid w:val="004C1D1C"/>
    <w:rsid w:val="00525028"/>
    <w:rsid w:val="006475FF"/>
    <w:rsid w:val="007E6BDC"/>
    <w:rsid w:val="00A2340A"/>
    <w:rsid w:val="00BC354C"/>
    <w:rsid w:val="00DF6F1F"/>
    <w:rsid w:val="00E81E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E9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81E94"/>
    <w:pPr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81E9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81E94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502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5028"/>
    <w:rPr>
      <w:rFonts w:ascii="Segoe UI" w:hAnsi="Segoe UI" w:cs="Segoe UI"/>
      <w:sz w:val="18"/>
      <w:szCs w:val="1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1C464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C46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492</Words>
  <Characters>2807</Characters>
  <Application>Microsoft Office Word</Application>
  <DocSecurity>0</DocSecurity>
  <Lines>0</Lines>
  <Paragraphs>0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Kastlerová, Iveta</cp:lastModifiedBy>
  <cp:revision>2</cp:revision>
  <cp:lastPrinted>2015-10-22T09:50:00Z</cp:lastPrinted>
  <dcterms:created xsi:type="dcterms:W3CDTF">2015-11-11T11:13:00Z</dcterms:created>
  <dcterms:modified xsi:type="dcterms:W3CDTF">2015-11-11T11:13:00Z</dcterms:modified>
</cp:coreProperties>
</file>