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2C4455">
        <w:rPr>
          <w:rFonts w:ascii="Times New Roman" w:hAnsi="Times New Roman"/>
          <w:bCs/>
        </w:rPr>
        <w:t>Číslo: 1</w:t>
      </w:r>
      <w:r w:rsidR="003F4A10">
        <w:rPr>
          <w:rFonts w:ascii="Times New Roman" w:hAnsi="Times New Roman"/>
          <w:bCs/>
        </w:rPr>
        <w:t>636</w:t>
      </w:r>
      <w:r w:rsidRPr="00F36DCE" w:rsidR="00092E2E">
        <w:rPr>
          <w:rFonts w:ascii="Times New Roman" w:hAnsi="Times New Roman"/>
          <w:bCs/>
        </w:rPr>
        <w:t>/201</w:t>
      </w:r>
      <w:r w:rsidR="004840F4">
        <w:rPr>
          <w:rFonts w:ascii="Times New Roman" w:hAnsi="Times New Roman"/>
          <w:bCs/>
        </w:rPr>
        <w:t>5</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Pr="004840F4" w:rsidR="004840F4">
        <w:rPr>
          <w:rFonts w:ascii="Times New Roman" w:hAnsi="Times New Roman"/>
          <w:b/>
          <w:sz w:val="32"/>
          <w:szCs w:val="32"/>
        </w:rPr>
        <w:t>16</w:t>
      </w:r>
      <w:r w:rsidR="002C4455">
        <w:rPr>
          <w:rFonts w:ascii="Times New Roman" w:hAnsi="Times New Roman"/>
          <w:b/>
          <w:sz w:val="32"/>
          <w:szCs w:val="32"/>
        </w:rPr>
        <w:t>9</w:t>
      </w:r>
      <w:r w:rsidR="003F4A10">
        <w:rPr>
          <w:rFonts w:ascii="Times New Roman" w:hAnsi="Times New Roman"/>
          <w:b/>
          <w:sz w:val="32"/>
          <w:szCs w:val="32"/>
        </w:rPr>
        <w:t>6</w:t>
      </w:r>
      <w:r w:rsidRPr="004840F4">
        <w:rPr>
          <w:rFonts w:ascii="Times New Roman" w:hAnsi="Times New Roman"/>
          <w:b/>
          <w:sz w:val="32"/>
          <w:szCs w:val="32"/>
        </w:rPr>
        <w:t>a</w:t>
      </w:r>
    </w:p>
    <w:p w:rsidR="00AA7E5B" w:rsidP="00A666DE">
      <w:pPr>
        <w:pStyle w:val="Heading3"/>
        <w:bidi w:val="0"/>
        <w:rPr>
          <w:rFonts w:ascii="Times New Roman" w:hAnsi="Times New Roman"/>
          <w:bCs/>
          <w:szCs w:val="28"/>
          <w:lang w:val="sk-SK"/>
        </w:rPr>
      </w:pP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3F4A10" w:rsidRPr="003F4A10" w:rsidP="003F4A10">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Pr>
          <w:rFonts w:ascii="Times New Roman" w:hAnsi="Times New Roman"/>
          <w:b/>
        </w:rPr>
        <w:t>v</w:t>
      </w:r>
      <w:r w:rsidRPr="003F4A10">
        <w:rPr>
          <w:rFonts w:ascii="Times New Roman" w:hAnsi="Times New Roman"/>
          <w:b/>
          <w:bCs/>
          <w:iCs/>
        </w:rPr>
        <w:t>ládn</w:t>
      </w:r>
      <w:r>
        <w:rPr>
          <w:rFonts w:ascii="Times New Roman" w:hAnsi="Times New Roman"/>
          <w:b/>
          <w:bCs/>
          <w:iCs/>
        </w:rPr>
        <w:t>eho</w:t>
      </w:r>
      <w:r w:rsidRPr="003F4A10">
        <w:rPr>
          <w:rFonts w:ascii="Times New Roman" w:hAnsi="Times New Roman"/>
          <w:b/>
          <w:bCs/>
          <w:iCs/>
        </w:rPr>
        <w:t xml:space="preserve"> návrh</w:t>
      </w:r>
      <w:r>
        <w:rPr>
          <w:rFonts w:ascii="Times New Roman" w:hAnsi="Times New Roman"/>
          <w:b/>
          <w:bCs/>
          <w:iCs/>
        </w:rPr>
        <w:t>u</w:t>
      </w:r>
      <w:r w:rsidRPr="003F4A10">
        <w:rPr>
          <w:rFonts w:ascii="Times New Roman" w:hAnsi="Times New Roman"/>
          <w:b/>
          <w:bCs/>
          <w:iCs/>
        </w:rPr>
        <w:t xml:space="preserve"> zákona, ktorým sa mení a dopĺňa zákon č. 374/2014 Z. z. o pohľadávkach štátu a o zmene a doplnení niektorých zákonov v znení zákona č. 87/2015 Z. z. (tlač 1696)</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852A91">
      <w:pPr>
        <w:bidi w:val="0"/>
        <w:ind w:firstLine="709"/>
        <w:jc w:val="both"/>
        <w:rPr>
          <w:rFonts w:ascii="Times New Roman" w:hAnsi="Times New Roman"/>
        </w:rPr>
      </w:pPr>
      <w:r w:rsidRPr="00A32B69" w:rsidR="00AA7E5B">
        <w:rPr>
          <w:rFonts w:ascii="Times New Roman" w:hAnsi="Times New Roman"/>
        </w:rPr>
        <w:t xml:space="preserve">Národná rada Slovenskej republiky uznesením </w:t>
      </w:r>
      <w:r w:rsidRPr="00A32B69" w:rsidR="00955448">
        <w:rPr>
          <w:rFonts w:ascii="Times New Roman" w:hAnsi="Times New Roman"/>
        </w:rPr>
        <w:t xml:space="preserve">č. </w:t>
      </w:r>
      <w:r w:rsidR="003F4A10">
        <w:rPr>
          <w:rFonts w:ascii="Times New Roman" w:hAnsi="Times New Roman"/>
        </w:rPr>
        <w:t>1900</w:t>
      </w:r>
      <w:r w:rsidRPr="00A32B69" w:rsidR="00955448">
        <w:rPr>
          <w:rFonts w:ascii="Times New Roman" w:hAnsi="Times New Roman"/>
        </w:rPr>
        <w:t xml:space="preserve"> </w:t>
      </w:r>
      <w:r w:rsidRPr="00A32B69" w:rsidR="00AA7E5B">
        <w:rPr>
          <w:rFonts w:ascii="Times New Roman" w:hAnsi="Times New Roman"/>
        </w:rPr>
        <w:t>z</w:t>
      </w:r>
      <w:r w:rsidRPr="00A32B69" w:rsidR="004E652B">
        <w:rPr>
          <w:rFonts w:ascii="Times New Roman" w:hAnsi="Times New Roman"/>
        </w:rPr>
        <w:t> </w:t>
      </w:r>
      <w:r w:rsidR="009268C8">
        <w:rPr>
          <w:rFonts w:ascii="Times New Roman" w:hAnsi="Times New Roman"/>
        </w:rPr>
        <w:t>18</w:t>
      </w:r>
      <w:r w:rsidRPr="00A32B69" w:rsidR="004E652B">
        <w:rPr>
          <w:rFonts w:ascii="Times New Roman" w:hAnsi="Times New Roman"/>
        </w:rPr>
        <w:t xml:space="preserve">. </w:t>
      </w:r>
      <w:r w:rsidR="009B5FEF">
        <w:rPr>
          <w:rFonts w:ascii="Times New Roman" w:hAnsi="Times New Roman"/>
        </w:rPr>
        <w:t>septembra</w:t>
      </w:r>
      <w:r w:rsidRPr="00A32B69" w:rsidR="00D31BCE">
        <w:rPr>
          <w:rFonts w:ascii="Times New Roman" w:hAnsi="Times New Roman"/>
        </w:rPr>
        <w:t xml:space="preserve"> </w:t>
      </w:r>
      <w:r w:rsidRPr="00A32B69" w:rsidR="00AA7E5B">
        <w:rPr>
          <w:rFonts w:ascii="Times New Roman" w:hAnsi="Times New Roman"/>
        </w:rPr>
        <w:t>201</w:t>
      </w:r>
      <w:r w:rsidRPr="00A32B69" w:rsidR="00FC35D1">
        <w:rPr>
          <w:rFonts w:ascii="Times New Roman" w:hAnsi="Times New Roman"/>
        </w:rPr>
        <w:t>5</w:t>
      </w:r>
      <w:r w:rsidRPr="00A32B69" w:rsidR="00AA7E5B">
        <w:rPr>
          <w:rFonts w:ascii="Times New Roman" w:hAnsi="Times New Roman"/>
        </w:rPr>
        <w:t xml:space="preserve"> pridelila</w:t>
      </w:r>
      <w:r w:rsidRPr="00A32B69" w:rsidR="004E652B">
        <w:rPr>
          <w:rFonts w:ascii="Times New Roman" w:hAnsi="Times New Roman"/>
        </w:rPr>
        <w:t xml:space="preserve"> </w:t>
      </w:r>
      <w:r w:rsidRPr="003F4A10" w:rsidR="003F4A10">
        <w:rPr>
          <w:rFonts w:ascii="Times New Roman" w:hAnsi="Times New Roman"/>
        </w:rPr>
        <w:t>v</w:t>
      </w:r>
      <w:r w:rsidRPr="003F4A10" w:rsidR="003F4A10">
        <w:rPr>
          <w:rFonts w:ascii="Times New Roman" w:hAnsi="Times New Roman"/>
          <w:bCs/>
          <w:iCs/>
        </w:rPr>
        <w:t>ládny návrh zákona, ktorým sa mení a dopĺňa zákon č. 374/2014 Z. z. o pohľadávkach štátu a o zmene a doplnení niektorých zákonov v znení zákona č. 87/2015 Z. z. (tlač 1696)</w:t>
      </w:r>
      <w:r w:rsidR="003F4A10">
        <w:rPr>
          <w:rFonts w:ascii="Times New Roman" w:hAnsi="Times New Roman"/>
          <w:bCs/>
          <w:iCs/>
        </w:rPr>
        <w:t xml:space="preserve"> </w:t>
      </w:r>
      <w:r w:rsidRPr="00A32B69" w:rsidR="004E652B">
        <w:rPr>
          <w:rFonts w:ascii="Times New Roman" w:hAnsi="Times New Roman"/>
        </w:rPr>
        <w:t>na  prerokovanie týmto výborom:</w:t>
      </w:r>
    </w:p>
    <w:p w:rsidR="003F4A10" w:rsidRPr="001E00FE" w:rsidP="00A666DE">
      <w:pPr>
        <w:bidi w:val="0"/>
        <w:ind w:firstLine="709"/>
        <w:jc w:val="both"/>
        <w:rPr>
          <w:rFonts w:ascii="Times New Roman" w:hAnsi="Times New Roman"/>
        </w:rPr>
      </w:pPr>
    </w:p>
    <w:p w:rsidR="00480F7B" w:rsidRPr="00845921" w:rsidP="00480F7B">
      <w:pPr>
        <w:pStyle w:val="ListParagraph"/>
        <w:numPr>
          <w:numId w:val="13"/>
        </w:numPr>
        <w:bidi w:val="0"/>
        <w:ind w:left="708"/>
        <w:jc w:val="both"/>
        <w:rPr>
          <w:rFonts w:ascii="Times New Roman" w:hAnsi="Times New Roman"/>
          <w:sz w:val="24"/>
          <w:szCs w:val="24"/>
        </w:rPr>
      </w:pPr>
      <w:r w:rsidRPr="00845921">
        <w:rPr>
          <w:rFonts w:ascii="Times New Roman" w:hAnsi="Times New Roman"/>
          <w:sz w:val="24"/>
          <w:szCs w:val="24"/>
        </w:rPr>
        <w:t xml:space="preserve">Ústavnoprávnemu výboru Národnej rady Slovenskej republiky, </w:t>
      </w:r>
    </w:p>
    <w:p w:rsidR="00480F7B" w:rsidRPr="00845921" w:rsidP="00480F7B">
      <w:pPr>
        <w:pStyle w:val="ListParagraph"/>
        <w:numPr>
          <w:numId w:val="13"/>
        </w:numPr>
        <w:bidi w:val="0"/>
        <w:ind w:left="708"/>
        <w:jc w:val="both"/>
        <w:rPr>
          <w:rFonts w:ascii="Times New Roman" w:hAnsi="Times New Roman"/>
          <w:sz w:val="24"/>
          <w:szCs w:val="24"/>
        </w:rPr>
      </w:pPr>
      <w:r w:rsidRPr="00845921">
        <w:rPr>
          <w:rFonts w:ascii="Times New Roman" w:hAnsi="Times New Roman"/>
          <w:sz w:val="24"/>
          <w:szCs w:val="24"/>
        </w:rPr>
        <w:t>Výboru Národnej rady Slovenskej republiky pre financie a rozpočet.</w:t>
      </w:r>
    </w:p>
    <w:p w:rsidR="00A32B69"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2C4455" w:rsidP="00A666DE">
      <w:pPr>
        <w:pStyle w:val="BodyText3"/>
        <w:tabs>
          <w:tab w:val="left" w:pos="-1985"/>
          <w:tab w:val="left" w:pos="709"/>
          <w:tab w:val="left" w:pos="1077"/>
        </w:tabs>
        <w:bidi w:val="0"/>
        <w:rPr>
          <w:rFonts w:ascii="Times New Roman" w:hAnsi="Times New Roman"/>
          <w:bCs/>
          <w:szCs w:val="24"/>
        </w:rPr>
      </w:pPr>
    </w:p>
    <w:p w:rsidR="002C4455" w:rsidP="00A666DE">
      <w:pPr>
        <w:pStyle w:val="BodyText3"/>
        <w:tabs>
          <w:tab w:val="left" w:pos="-1985"/>
          <w:tab w:val="left" w:pos="709"/>
          <w:tab w:val="left" w:pos="1077"/>
        </w:tabs>
        <w:bidi w:val="0"/>
        <w:rPr>
          <w:rFonts w:ascii="Times New Roman" w:hAnsi="Times New Roman"/>
          <w:bCs/>
          <w:szCs w:val="24"/>
        </w:rPr>
      </w:pPr>
    </w:p>
    <w:p w:rsidR="009268C8"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480F7B"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r w:rsidR="00852A91">
        <w:rPr>
          <w:rFonts w:ascii="Times New Roman" w:hAnsi="Times New Roman"/>
          <w:b/>
          <w:bCs/>
          <w:szCs w:val="20"/>
        </w:rPr>
        <w:t>:</w:t>
      </w:r>
    </w:p>
    <w:p w:rsidR="00A32B69" w:rsidRPr="00A32B69" w:rsidP="00A666DE">
      <w:pPr>
        <w:bidi w:val="0"/>
        <w:ind w:left="720"/>
        <w:jc w:val="both"/>
        <w:rPr>
          <w:rFonts w:ascii="Times New Roman" w:hAnsi="Times New Roman"/>
          <w:b/>
          <w:bCs/>
          <w:szCs w:val="20"/>
        </w:rPr>
      </w:pPr>
    </w:p>
    <w:p w:rsidR="00A32B69" w:rsidP="00A666DE">
      <w:pPr>
        <w:numPr>
          <w:numId w:val="10"/>
        </w:numPr>
        <w:bidi w:val="0"/>
        <w:jc w:val="both"/>
        <w:rPr>
          <w:rFonts w:ascii="Times New Roman" w:hAnsi="Times New Roman"/>
          <w:szCs w:val="20"/>
        </w:rPr>
      </w:pPr>
      <w:r w:rsidRPr="00A32B69">
        <w:rPr>
          <w:rFonts w:ascii="Times New Roman" w:hAnsi="Times New Roman"/>
          <w:b/>
          <w:szCs w:val="20"/>
        </w:rPr>
        <w:t>Výbor</w:t>
      </w:r>
      <w:r w:rsidRPr="00A32B69">
        <w:rPr>
          <w:rFonts w:ascii="Times New Roman" w:hAnsi="Times New Roman"/>
          <w:szCs w:val="20"/>
        </w:rPr>
        <w:t xml:space="preserve"> Národnej rady Slovenskej republiky </w:t>
      </w:r>
      <w:r w:rsidRPr="00A32B69">
        <w:rPr>
          <w:rFonts w:ascii="Times New Roman" w:hAnsi="Times New Roman"/>
          <w:b/>
          <w:szCs w:val="20"/>
        </w:rPr>
        <w:t>pre financie a rozpočet</w:t>
      </w:r>
      <w:r w:rsidRPr="00A32B69">
        <w:rPr>
          <w:rFonts w:ascii="Times New Roman" w:hAnsi="Times New Roman"/>
          <w:szCs w:val="20"/>
        </w:rPr>
        <w:t xml:space="preserve"> (uzn. č. </w:t>
      </w:r>
      <w:r w:rsidR="006A2819">
        <w:rPr>
          <w:rFonts w:ascii="Times New Roman" w:hAnsi="Times New Roman"/>
          <w:szCs w:val="20"/>
        </w:rPr>
        <w:t>502</w:t>
      </w:r>
      <w:r>
        <w:rPr>
          <w:rFonts w:ascii="Times New Roman" w:hAnsi="Times New Roman"/>
          <w:szCs w:val="20"/>
        </w:rPr>
        <w:t xml:space="preserve"> zo dňa 3. novembra</w:t>
      </w:r>
      <w:r w:rsidRPr="00A32B69">
        <w:rPr>
          <w:rFonts w:ascii="Times New Roman" w:hAnsi="Times New Roman"/>
          <w:szCs w:val="20"/>
        </w:rPr>
        <w:t xml:space="preserve"> 2015)</w:t>
      </w:r>
    </w:p>
    <w:p w:rsidR="00ED2572" w:rsidRPr="00A32B69" w:rsidP="00ED2572">
      <w:pPr>
        <w:bidi w:val="0"/>
        <w:ind w:left="1065"/>
        <w:jc w:val="both"/>
        <w:rPr>
          <w:rFonts w:ascii="Times New Roman" w:hAnsi="Times New Roman"/>
          <w:szCs w:val="20"/>
        </w:rPr>
      </w:pPr>
    </w:p>
    <w:p w:rsidR="00A32B69" w:rsidP="00ED2572">
      <w:pPr>
        <w:bidi w:val="0"/>
        <w:ind w:left="705"/>
        <w:jc w:val="both"/>
        <w:rPr>
          <w:rFonts w:ascii="Times New Roman" w:hAnsi="Times New Roman"/>
          <w:b/>
          <w:bCs/>
          <w:szCs w:val="20"/>
        </w:rPr>
      </w:pPr>
      <w:r w:rsidR="00ED2572">
        <w:rPr>
          <w:rFonts w:ascii="Times New Roman" w:hAnsi="Times New Roman"/>
          <w:szCs w:val="20"/>
        </w:rPr>
        <w:t xml:space="preserve">2.   </w:t>
      </w:r>
      <w:r w:rsidRPr="00A32B69" w:rsidR="00ED2572">
        <w:rPr>
          <w:rFonts w:ascii="Times New Roman" w:hAnsi="Times New Roman"/>
          <w:szCs w:val="20"/>
        </w:rPr>
        <w:t xml:space="preserve">Odporúčanie pre Národnú radu Slovenskej republiky návrh </w:t>
      </w:r>
      <w:r w:rsidRPr="00A32B69" w:rsidR="00ED2572">
        <w:rPr>
          <w:rFonts w:ascii="Times New Roman" w:hAnsi="Times New Roman"/>
          <w:b/>
          <w:bCs/>
          <w:szCs w:val="20"/>
        </w:rPr>
        <w:t>schváliť</w:t>
      </w:r>
    </w:p>
    <w:p w:rsidR="00ED2572" w:rsidRPr="00A32B69" w:rsidP="00ED2572">
      <w:pPr>
        <w:bidi w:val="0"/>
        <w:ind w:left="705"/>
        <w:jc w:val="both"/>
        <w:rPr>
          <w:rFonts w:ascii="Times New Roman" w:hAnsi="Times New Roman"/>
          <w:szCs w:val="20"/>
        </w:rPr>
      </w:pPr>
    </w:p>
    <w:p w:rsidR="00A32B69" w:rsidRPr="00A32B69" w:rsidP="00A666DE">
      <w:pPr>
        <w:numPr>
          <w:numId w:val="10"/>
        </w:numPr>
        <w:bidi w:val="0"/>
        <w:jc w:val="both"/>
        <w:rPr>
          <w:rFonts w:ascii="Times New Roman" w:hAnsi="Times New Roman"/>
          <w:szCs w:val="20"/>
        </w:rPr>
      </w:pPr>
      <w:r w:rsidRPr="00A32B69">
        <w:rPr>
          <w:rFonts w:ascii="Times New Roman" w:hAnsi="Times New Roman"/>
          <w:b/>
          <w:szCs w:val="20"/>
        </w:rPr>
        <w:t>Ústavnoprávny výbor</w:t>
      </w:r>
      <w:r w:rsidRPr="00A32B69">
        <w:rPr>
          <w:rFonts w:ascii="Times New Roman" w:hAnsi="Times New Roman"/>
          <w:szCs w:val="20"/>
        </w:rPr>
        <w:t xml:space="preserve"> Národnej rady Slovenskej </w:t>
      </w:r>
      <w:r w:rsidRPr="00A32B69">
        <w:rPr>
          <w:rFonts w:ascii="Times New Roman" w:hAnsi="Times New Roman"/>
          <w:b/>
          <w:szCs w:val="20"/>
        </w:rPr>
        <w:t>republiky</w:t>
      </w:r>
      <w:r w:rsidRPr="00A32B69">
        <w:rPr>
          <w:rFonts w:ascii="Times New Roman" w:hAnsi="Times New Roman"/>
          <w:szCs w:val="20"/>
        </w:rPr>
        <w:t xml:space="preserve"> (uzn. č. </w:t>
      </w:r>
      <w:r w:rsidR="00ED2572">
        <w:rPr>
          <w:rFonts w:ascii="Times New Roman" w:hAnsi="Times New Roman"/>
          <w:szCs w:val="20"/>
        </w:rPr>
        <w:t>719</w:t>
      </w:r>
      <w:r w:rsidRPr="00A32B69">
        <w:rPr>
          <w:rFonts w:ascii="Times New Roman" w:hAnsi="Times New Roman"/>
          <w:szCs w:val="20"/>
        </w:rPr>
        <w:t xml:space="preserve"> zo dňa </w:t>
      </w:r>
      <w:r w:rsidR="00852A91">
        <w:rPr>
          <w:rFonts w:ascii="Times New Roman" w:hAnsi="Times New Roman"/>
          <w:szCs w:val="20"/>
        </w:rPr>
        <w:t>4</w:t>
      </w:r>
      <w:r w:rsidRPr="00A32B69">
        <w:rPr>
          <w:rFonts w:ascii="Times New Roman" w:hAnsi="Times New Roman"/>
          <w:szCs w:val="20"/>
        </w:rPr>
        <w:t xml:space="preserve">. </w:t>
      </w:r>
      <w:r>
        <w:rPr>
          <w:rFonts w:ascii="Times New Roman" w:hAnsi="Times New Roman"/>
          <w:szCs w:val="20"/>
        </w:rPr>
        <w:t>novembra</w:t>
      </w:r>
      <w:r w:rsidRPr="00A32B69">
        <w:rPr>
          <w:rFonts w:ascii="Times New Roman" w:hAnsi="Times New Roman"/>
          <w:szCs w:val="20"/>
        </w:rPr>
        <w:t xml:space="preserve"> 2015)</w:t>
      </w:r>
    </w:p>
    <w:p w:rsidR="009268C8" w:rsidP="00A666DE">
      <w:pPr>
        <w:bidi w:val="0"/>
        <w:jc w:val="both"/>
        <w:rPr>
          <w:rFonts w:ascii="Times New Roman" w:hAnsi="Times New Roman"/>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P="00A666DE">
      <w:pPr>
        <w:tabs>
          <w:tab w:val="left" w:pos="-1985"/>
          <w:tab w:val="left" w:pos="709"/>
          <w:tab w:val="left" w:pos="1077"/>
        </w:tabs>
        <w:bidi w:val="0"/>
        <w:jc w:val="both"/>
        <w:rPr>
          <w:rFonts w:ascii="Times New Roman" w:hAnsi="Times New Roman"/>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00014401">
        <w:rPr>
          <w:rFonts w:ascii="Times New Roman" w:hAnsi="Times New Roman"/>
        </w:rPr>
        <w:t>ia</w:t>
      </w:r>
      <w:r w:rsidRPr="00DE5C53" w:rsidR="00FB571A">
        <w:rPr>
          <w:rFonts w:ascii="Times New Roman" w:hAnsi="Times New Roman"/>
        </w:rPr>
        <w:t xml:space="preserve"> vý</w:t>
      </w:r>
      <w:r w:rsidR="00014401">
        <w:rPr>
          <w:rFonts w:ascii="Times New Roman" w:hAnsi="Times New Roman"/>
        </w:rPr>
        <w:t>boru</w:t>
      </w:r>
      <w:r w:rsidRPr="00DE5C53" w:rsidR="00FB571A">
        <w:rPr>
          <w:rFonts w:ascii="Times New Roman" w:hAnsi="Times New Roman"/>
        </w:rPr>
        <w:t xml:space="preserve">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00014401">
        <w:rPr>
          <w:rFonts w:ascii="Times New Roman" w:hAnsi="Times New Roman"/>
        </w:rPr>
        <w:t>ého</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tieto </w:t>
      </w:r>
      <w:r w:rsidRPr="00DE5C53" w:rsidR="00653FBD">
        <w:rPr>
          <w:rFonts w:ascii="Times New Roman" w:hAnsi="Times New Roman"/>
          <w:bCs/>
        </w:rPr>
        <w:t>p</w:t>
      </w:r>
      <w:r w:rsidRPr="00DE5C53">
        <w:rPr>
          <w:rFonts w:ascii="Times New Roman" w:hAnsi="Times New Roman"/>
          <w:bCs/>
        </w:rPr>
        <w:t>ozmeňujúce a doplňujúce návrhy:</w:t>
      </w:r>
    </w:p>
    <w:p w:rsidR="00014401" w:rsidRPr="00DE5C53" w:rsidP="00A666DE">
      <w:pPr>
        <w:tabs>
          <w:tab w:val="left" w:pos="-1985"/>
          <w:tab w:val="left" w:pos="709"/>
          <w:tab w:val="left" w:pos="1077"/>
        </w:tabs>
        <w:bidi w:val="0"/>
        <w:jc w:val="both"/>
        <w:rPr>
          <w:rFonts w:ascii="Times New Roman" w:hAnsi="Times New Roman"/>
          <w:bCs/>
        </w:rPr>
      </w:pPr>
    </w:p>
    <w:p w:rsidR="00014401" w:rsidRPr="00014401" w:rsidP="00014401">
      <w:pPr>
        <w:bidi w:val="0"/>
        <w:jc w:val="both"/>
        <w:rPr>
          <w:rFonts w:ascii="Times New Roman" w:hAnsi="Times New Roman"/>
          <w:lang w:eastAsia="en-US"/>
        </w:rPr>
      </w:pPr>
      <w:r w:rsidRPr="00014401">
        <w:rPr>
          <w:rFonts w:ascii="Times New Roman" w:hAnsi="Times New Roman"/>
          <w:b/>
          <w:lang w:eastAsia="en-US"/>
        </w:rPr>
        <w:t>1. V čl. I sa za bod 10 vkladá nový bod 11</w:t>
      </w:r>
      <w:r w:rsidRPr="00014401">
        <w:rPr>
          <w:rFonts w:ascii="Times New Roman" w:hAnsi="Times New Roman"/>
          <w:lang w:eastAsia="en-US"/>
        </w:rPr>
        <w:t>, ktorý znie:</w:t>
      </w:r>
    </w:p>
    <w:p w:rsidR="00014401" w:rsidRPr="00014401" w:rsidP="00014401">
      <w:pPr>
        <w:bidi w:val="0"/>
        <w:jc w:val="both"/>
        <w:rPr>
          <w:rFonts w:ascii="Times New Roman" w:hAnsi="Times New Roman"/>
          <w:lang w:eastAsia="en-US"/>
        </w:rPr>
      </w:pPr>
      <w:r w:rsidRPr="00014401">
        <w:rPr>
          <w:rFonts w:ascii="Times New Roman" w:hAnsi="Times New Roman"/>
          <w:lang w:eastAsia="en-US"/>
        </w:rPr>
        <w:t>„11. V § 18 odsek 1 znie:</w:t>
      </w:r>
    </w:p>
    <w:p w:rsidR="00014401" w:rsidRPr="00014401" w:rsidP="00014401">
      <w:pPr>
        <w:bidi w:val="0"/>
        <w:jc w:val="both"/>
        <w:rPr>
          <w:rFonts w:ascii="Times New Roman" w:hAnsi="Times New Roman"/>
          <w:lang w:eastAsia="en-US"/>
        </w:rPr>
      </w:pPr>
      <w:r w:rsidRPr="00014401">
        <w:rPr>
          <w:rFonts w:ascii="Times New Roman" w:hAnsi="Times New Roman"/>
          <w:lang w:eastAsia="en-US"/>
        </w:rPr>
        <w:t>„(1) Zmluva o vymáhaní pohľadávky štátu zaniká uplynutím výpovednej doby, ktorá je jeden mesiac odo dňa doručenia výpovede. Zmluva o vymáhaní pohľadávky štátu zaniká tiež pripísaním výnosu z vymoženej pohľadávky štátu na účet správcu alebo splnením dlhu správcovi. Ak je predmetom zmluvy o vymáhaní pohľadávky štátu viacero pohľadávok štátu, zmluva o vymáhaní pohľadávky štátu zaniká len v časti pripísania výnosu z vymoženej pohľadávky štátu na účet správcu alebo v časti splnenia dlhu správcovi.“.“.</w:t>
      </w:r>
    </w:p>
    <w:p w:rsidR="00014401" w:rsidRPr="00014401" w:rsidP="00014401">
      <w:pPr>
        <w:bidi w:val="0"/>
        <w:jc w:val="both"/>
        <w:rPr>
          <w:rFonts w:ascii="Times New Roman" w:hAnsi="Times New Roman"/>
          <w:lang w:eastAsia="en-US"/>
        </w:rPr>
      </w:pPr>
    </w:p>
    <w:p w:rsidR="00014401" w:rsidRPr="00014401" w:rsidP="00014401">
      <w:pPr>
        <w:bidi w:val="0"/>
        <w:jc w:val="both"/>
        <w:rPr>
          <w:rFonts w:ascii="Times New Roman" w:hAnsi="Times New Roman"/>
          <w:lang w:eastAsia="en-US"/>
        </w:rPr>
      </w:pPr>
      <w:r w:rsidRPr="00014401">
        <w:rPr>
          <w:rFonts w:ascii="Times New Roman" w:hAnsi="Times New Roman"/>
          <w:lang w:eastAsia="en-US"/>
        </w:rPr>
        <w:t xml:space="preserve">Nasledujúce body sa primerane prečíslujú. </w:t>
      </w:r>
    </w:p>
    <w:p w:rsidR="00014401" w:rsidRPr="00014401" w:rsidP="00014401">
      <w:pPr>
        <w:bidi w:val="0"/>
        <w:jc w:val="both"/>
        <w:rPr>
          <w:rFonts w:ascii="Times New Roman" w:hAnsi="Times New Roman"/>
          <w:i/>
          <w:u w:val="single"/>
          <w:lang w:eastAsia="en-US"/>
        </w:rPr>
      </w:pPr>
    </w:p>
    <w:p w:rsidR="00014401" w:rsidRPr="00014401" w:rsidP="00014401">
      <w:pPr>
        <w:bidi w:val="0"/>
        <w:ind w:left="2410"/>
        <w:jc w:val="both"/>
        <w:rPr>
          <w:rFonts w:ascii="Times New Roman" w:hAnsi="Times New Roman"/>
          <w:lang w:eastAsia="en-US"/>
        </w:rPr>
      </w:pPr>
      <w:r w:rsidRPr="00014401">
        <w:rPr>
          <w:rFonts w:ascii="Times New Roman" w:hAnsi="Times New Roman"/>
          <w:lang w:eastAsia="en-US"/>
        </w:rPr>
        <w:t xml:space="preserve">Precizuje sa účinná právna úprava zániku zmluvy o vymáhaní pohľadávky štátu. Ak je predmetom zmluvy o vymáhaní pohľadávky štátu viacero pohľadávok štátu,  zmluva zaniká len v časti splnenia jednotlivej pohľadávky štátu. Navrhovaná zmena nemení súčasný právny stav, len ho spresňuje.    </w:t>
      </w:r>
    </w:p>
    <w:p w:rsidR="00014401" w:rsidP="00014401">
      <w:pPr>
        <w:bidi w:val="0"/>
        <w:rPr>
          <w:rFonts w:ascii="Times New Roman" w:hAnsi="Times New Roman"/>
          <w:b/>
          <w:lang w:eastAsia="en-US"/>
        </w:rPr>
      </w:pPr>
    </w:p>
    <w:p w:rsidR="00014401" w:rsidP="00014401">
      <w:pPr>
        <w:bidi w:val="0"/>
        <w:ind w:left="3540" w:hanging="113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014401" w:rsidP="00014401">
      <w:pPr>
        <w:bidi w:val="0"/>
        <w:ind w:left="1702" w:firstLine="708"/>
        <w:rPr>
          <w:rFonts w:ascii="Times New Roman" w:hAnsi="Times New Roman"/>
          <w:b/>
        </w:rPr>
      </w:pPr>
      <w:r w:rsidRPr="00BF14E2">
        <w:rPr>
          <w:rFonts w:ascii="Times New Roman" w:hAnsi="Times New Roman"/>
          <w:b/>
        </w:rPr>
        <w:t>Gestorský výbor odporúča schváliť.</w:t>
      </w:r>
    </w:p>
    <w:p w:rsidR="00014401" w:rsidP="00014401">
      <w:pPr>
        <w:bidi w:val="0"/>
        <w:ind w:hanging="1130"/>
        <w:rPr>
          <w:rFonts w:ascii="Times New Roman" w:hAnsi="Times New Roman"/>
          <w:b/>
          <w:lang w:eastAsia="en-US"/>
        </w:rPr>
      </w:pPr>
    </w:p>
    <w:p w:rsidR="00014401" w:rsidRPr="00014401" w:rsidP="00014401">
      <w:pPr>
        <w:bidi w:val="0"/>
        <w:rPr>
          <w:rFonts w:ascii="Times New Roman" w:hAnsi="Times New Roman"/>
          <w:lang w:eastAsia="en-US"/>
        </w:rPr>
      </w:pPr>
      <w:r w:rsidRPr="00014401">
        <w:rPr>
          <w:rFonts w:ascii="Times New Roman" w:hAnsi="Times New Roman"/>
          <w:b/>
          <w:lang w:eastAsia="en-US"/>
        </w:rPr>
        <w:t>2. V čl. I  bod 11 (doterajší) znie:</w:t>
      </w:r>
    </w:p>
    <w:p w:rsidR="00014401" w:rsidRPr="00014401" w:rsidP="00014401">
      <w:pPr>
        <w:bidi w:val="0"/>
        <w:rPr>
          <w:rFonts w:ascii="Times New Roman" w:hAnsi="Times New Roman"/>
          <w:lang w:eastAsia="en-US"/>
        </w:rPr>
      </w:pPr>
      <w:r w:rsidRPr="00014401">
        <w:rPr>
          <w:rFonts w:ascii="Times New Roman" w:hAnsi="Times New Roman"/>
          <w:lang w:eastAsia="en-US"/>
        </w:rPr>
        <w:t>„11. V § 18 odsek 6 znie:</w:t>
      </w:r>
    </w:p>
    <w:p w:rsidR="00014401" w:rsidRPr="00014401" w:rsidP="00014401">
      <w:pPr>
        <w:bidi w:val="0"/>
        <w:jc w:val="both"/>
        <w:rPr>
          <w:rFonts w:ascii="Times New Roman" w:hAnsi="Times New Roman"/>
          <w:lang w:eastAsia="en-US"/>
        </w:rPr>
      </w:pPr>
      <w:r w:rsidRPr="00014401">
        <w:rPr>
          <w:rFonts w:ascii="Times New Roman" w:hAnsi="Times New Roman"/>
          <w:lang w:eastAsia="en-US"/>
        </w:rPr>
        <w:t>„(6) Ak vymáhanie pohľadávky štátu bolo aspoň čiastočne úspešné a poverená osoba riadne vykonala svoju činnosť, vzniká poverenej osobe nárok na odmenu vo výške 20% z vymoženej sumy. Poverená osoba je povinná bez zbytočného odkladu uhradiť správcovi vymoženú sumu zníženú o svoju odmenu, pričom odmena sa zvýši o daň z pridanej hodnoty, ak je poverená osoba platiteľom dane z pridanej hodnoty. Ak dlžník splnil dlh správcovi alebo vymáhanie pohľadávky štátu nebolo úspešné, poverenej osobe nevzniká nárok na odmenu. Ak dlžník splnil časť dlhu správcovi, poverenej osobe nevzniká nárok na odmenu v tejto časti splnenia dlhu správcovi. Náklady súvisiace s uplatňovaním a vymáhaním pohľadávky štátu znáša poverená osoba, ak povinnosť ich uhradenia vznikla počas účinnosti zmluvy o vymáhaní pohľadávky štátu alebo z činnosti poverenej osoby.“.“.</w:t>
      </w:r>
    </w:p>
    <w:p w:rsidR="00014401" w:rsidRPr="00014401" w:rsidP="00014401">
      <w:pPr>
        <w:bidi w:val="0"/>
        <w:jc w:val="both"/>
        <w:rPr>
          <w:rFonts w:ascii="Times New Roman" w:hAnsi="Times New Roman"/>
          <w:i/>
          <w:u w:val="single"/>
          <w:lang w:eastAsia="en-US"/>
        </w:rPr>
      </w:pPr>
    </w:p>
    <w:p w:rsidR="00014401" w:rsidRPr="00014401" w:rsidP="00014401">
      <w:pPr>
        <w:bidi w:val="0"/>
        <w:ind w:left="2410"/>
        <w:jc w:val="both"/>
        <w:rPr>
          <w:rFonts w:ascii="Times New Roman" w:hAnsi="Times New Roman"/>
          <w:lang w:eastAsia="en-US"/>
        </w:rPr>
      </w:pPr>
      <w:r w:rsidRPr="00014401">
        <w:rPr>
          <w:rFonts w:ascii="Times New Roman" w:hAnsi="Times New Roman"/>
          <w:lang w:eastAsia="en-US"/>
        </w:rPr>
        <w:t>Pozmeňovací návrh zahŕňa doterajší obsah bodu 11 návrhu zákona a zároveň sa spresňuje postup správcov v prípade čiastočného splnenia dlhu na účet správcu. Cieľom navrhovanej zmeny je maximalizácia príjmov</w:t>
      </w:r>
      <w:r w:rsidRPr="00014401">
        <w:rPr>
          <w:rFonts w:ascii="Times New Roman" w:hAnsi="Times New Roman"/>
          <w:i/>
          <w:lang w:eastAsia="en-US"/>
        </w:rPr>
        <w:t xml:space="preserve"> </w:t>
      </w:r>
      <w:r w:rsidRPr="00014401">
        <w:rPr>
          <w:rFonts w:ascii="Times New Roman" w:hAnsi="Times New Roman"/>
          <w:lang w:eastAsia="en-US"/>
        </w:rPr>
        <w:t xml:space="preserve">štátneho rozpočtu a zníženie administratívnej náročnosti súvisiacej s dodatočnou úhradou odmeny pre poverenú osobu. </w:t>
      </w:r>
    </w:p>
    <w:p w:rsidR="00A32B69" w:rsidP="00A666DE">
      <w:pPr>
        <w:bidi w:val="0"/>
        <w:jc w:val="both"/>
        <w:rPr>
          <w:rFonts w:ascii="Times New Roman" w:hAnsi="Times New Roman"/>
          <w:color w:val="FF0000"/>
          <w:lang w:eastAsia="en-US"/>
        </w:rPr>
      </w:pPr>
    </w:p>
    <w:p w:rsidR="00A32B69" w:rsidP="00014401">
      <w:pPr>
        <w:bidi w:val="0"/>
        <w:ind w:left="1702"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0679AD" w:rsidP="00014401">
      <w:pPr>
        <w:bidi w:val="0"/>
        <w:ind w:left="1702" w:firstLine="708"/>
        <w:rPr>
          <w:rFonts w:ascii="Times New Roman" w:hAnsi="Times New Roman"/>
          <w:b/>
        </w:rPr>
      </w:pPr>
      <w:r w:rsidRPr="00BF14E2">
        <w:rPr>
          <w:rFonts w:ascii="Times New Roman" w:hAnsi="Times New Roman"/>
          <w:b/>
        </w:rPr>
        <w:t>Gestorský výbor odporúča schváliť.</w:t>
      </w:r>
    </w:p>
    <w:p w:rsidR="004343FE" w:rsidP="00A666DE">
      <w:pPr>
        <w:tabs>
          <w:tab w:val="left" w:pos="993"/>
        </w:tabs>
        <w:bidi w:val="0"/>
        <w:ind w:left="4253" w:hanging="3686"/>
        <w:rPr>
          <w:rFonts w:ascii="Times New Roman" w:eastAsia="MS Mincho" w:hAnsi="Times New Roman"/>
          <w:lang w:eastAsia="en-US"/>
        </w:rPr>
      </w:pPr>
    </w:p>
    <w:p w:rsidR="00F3225B" w:rsidRPr="0032038B" w:rsidP="00A666DE">
      <w:pPr>
        <w:bidi w:val="0"/>
        <w:ind w:firstLine="4500"/>
        <w:jc w:val="both"/>
        <w:rPr>
          <w:rFonts w:ascii="Times New Roman" w:hAnsi="Times New Roman"/>
        </w:rPr>
      </w:pPr>
    </w:p>
    <w:p w:rsidR="00480F7B" w:rsidP="00480F7B">
      <w:pPr>
        <w:pStyle w:val="BodyText2"/>
        <w:bidi w:val="0"/>
        <w:ind w:firstLine="708"/>
        <w:rPr>
          <w:rFonts w:ascii="Times New Roman" w:hAnsi="Times New Roman"/>
        </w:rPr>
      </w:pPr>
      <w:r w:rsidRPr="0032038B" w:rsidR="00342E40">
        <w:rPr>
          <w:rFonts w:ascii="Times New Roman" w:hAnsi="Times New Roman"/>
        </w:rPr>
        <w:tab/>
      </w:r>
      <w:r>
        <w:rPr>
          <w:rFonts w:ascii="Times New Roman" w:hAnsi="Times New Roman"/>
        </w:rPr>
        <w:t>Gestorský výbor odporúča o návrhoch výboru Národnej rady Slovenskej republiky, ktoré sú uvedené v spoločnej správe hlasovať takto :</w:t>
      </w:r>
    </w:p>
    <w:p w:rsidR="00480F7B" w:rsidP="00480F7B">
      <w:pPr>
        <w:pStyle w:val="BodyText2"/>
        <w:bidi w:val="0"/>
        <w:rPr>
          <w:rFonts w:ascii="Times New Roman" w:hAnsi="Times New Roman"/>
        </w:rPr>
      </w:pPr>
    </w:p>
    <w:p w:rsidR="00480F7B" w:rsidRPr="002B0CB4" w:rsidP="00480F7B">
      <w:pPr>
        <w:pStyle w:val="BodyText2"/>
        <w:bidi w:val="0"/>
        <w:ind w:firstLine="708"/>
        <w:rPr>
          <w:rFonts w:ascii="Times New Roman" w:hAnsi="Times New Roman"/>
        </w:rPr>
      </w:pPr>
      <w:r w:rsidRPr="002B0CB4">
        <w:rPr>
          <w:rFonts w:ascii="Times New Roman" w:hAnsi="Times New Roman"/>
        </w:rPr>
        <w:t xml:space="preserve">O bodoch spoločnej správy č. </w:t>
      </w:r>
      <w:r>
        <w:rPr>
          <w:rFonts w:ascii="Times New Roman" w:hAnsi="Times New Roman"/>
        </w:rPr>
        <w:t xml:space="preserve">  </w:t>
      </w:r>
      <w:r>
        <w:rPr>
          <w:rFonts w:ascii="Times New Roman" w:hAnsi="Times New Roman"/>
          <w:b/>
        </w:rPr>
        <w:t xml:space="preserve">1, 2   </w:t>
      </w:r>
      <w:r w:rsidRPr="002B0CB4">
        <w:rPr>
          <w:rFonts w:ascii="Times New Roman" w:hAnsi="Times New Roman"/>
        </w:rPr>
        <w:t xml:space="preserve">hlasovať spoločne s návrhom gestorského výboru </w:t>
      </w:r>
      <w:r w:rsidRPr="002B0CB4">
        <w:rPr>
          <w:rFonts w:ascii="Times New Roman" w:hAnsi="Times New Roman"/>
          <w:b/>
        </w:rPr>
        <w:t>schváliť</w:t>
      </w:r>
      <w:r w:rsidRPr="002B0CB4">
        <w:rPr>
          <w:rFonts w:ascii="Times New Roman" w:hAnsi="Times New Roman"/>
        </w:rPr>
        <w:t>.</w:t>
      </w:r>
    </w:p>
    <w:p w:rsidR="00480F7B" w:rsidRPr="0032038B" w:rsidP="00480F7B">
      <w:pPr>
        <w:tabs>
          <w:tab w:val="left" w:pos="-1985"/>
          <w:tab w:val="left" w:pos="709"/>
          <w:tab w:val="left" w:pos="1077"/>
        </w:tabs>
        <w:bidi w:val="0"/>
        <w:jc w:val="both"/>
        <w:rPr>
          <w:rFonts w:ascii="Times New Roman" w:hAnsi="Times New Roman"/>
        </w:rPr>
      </w:pPr>
    </w:p>
    <w:p w:rsidR="00014401" w:rsidRPr="0032038B" w:rsidP="00A666DE">
      <w:pPr>
        <w:tabs>
          <w:tab w:val="left" w:pos="-1985"/>
          <w:tab w:val="left" w:pos="709"/>
          <w:tab w:val="left" w:pos="1077"/>
        </w:tabs>
        <w:bidi w:val="0"/>
        <w:jc w:val="both"/>
        <w:rPr>
          <w:rFonts w:ascii="Times New Roman" w:hAnsi="Times New Roman"/>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3F4A10" w:rsidR="003F4A10">
        <w:rPr>
          <w:rFonts w:ascii="Times New Roman" w:hAnsi="Times New Roman"/>
        </w:rPr>
        <w:t>v</w:t>
      </w:r>
      <w:r w:rsidRPr="003F4A10" w:rsidR="003F4A10">
        <w:rPr>
          <w:rFonts w:ascii="Times New Roman" w:hAnsi="Times New Roman"/>
          <w:bCs/>
          <w:iCs/>
        </w:rPr>
        <w:t>ládnemu návrhu zákona, ktorým sa mení a dopĺňa zákon č. 374/2014 Z. z. o pohľadávkach štátu a o zmene a doplnení niektorých zákonov v znení zákona č. 87/2015 Z. z. (tlač 1696)</w:t>
      </w:r>
      <w:r w:rsidR="003F4A10">
        <w:rPr>
          <w:rFonts w:ascii="Times New Roman" w:hAnsi="Times New Roman"/>
          <w:bCs/>
          <w:iCs/>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RPr="00F36DCE" w:rsidP="004E4DCD">
      <w:pPr>
        <w:bidi w:val="0"/>
        <w:spacing w:line="360" w:lineRule="auto"/>
        <w:jc w:val="both"/>
        <w:rPr>
          <w:rFonts w:ascii="Times New Roman" w:hAnsi="Times New Roman"/>
          <w:b/>
          <w:bCs/>
        </w:rPr>
      </w:pPr>
    </w:p>
    <w:p w:rsidR="004E4DCD" w:rsidRPr="00F36DCE" w:rsidP="002C4455">
      <w:pPr>
        <w:keepNext/>
        <w:shd w:val="clear" w:color="auto" w:fill="FFFFFF"/>
        <w:bidi w:val="0"/>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3F4A10" w:rsidR="003F4A10">
        <w:rPr>
          <w:rFonts w:ascii="Times New Roman" w:hAnsi="Times New Roman"/>
        </w:rPr>
        <w:t>v</w:t>
      </w:r>
      <w:r w:rsidRPr="003F4A10" w:rsidR="003F4A10">
        <w:rPr>
          <w:rFonts w:ascii="Times New Roman" w:hAnsi="Times New Roman"/>
          <w:bCs/>
          <w:iCs/>
        </w:rPr>
        <w:t>ládneho návrhu zákona, ktorým sa mení a dopĺňa zákon č. 374/2014 Z. z. o pohľadávkach štátu a o zmene a doplnení niektorých zákonov v znení zákona č. 87/2015 Z. z. (tlač 1696a)</w:t>
      </w:r>
      <w:r w:rsidR="003F4A10">
        <w:rPr>
          <w:rFonts w:ascii="Times New Roman" w:hAnsi="Times New Roman"/>
          <w:bCs/>
          <w:iCs/>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F36DCE" w:rsidR="00436E42">
        <w:rPr>
          <w:rFonts w:ascii="Times New Roman" w:hAnsi="Times New Roman"/>
          <w:bCs/>
        </w:rPr>
        <w:t>č.</w:t>
      </w:r>
      <w:r w:rsidR="00095A32">
        <w:rPr>
          <w:rFonts w:ascii="Times New Roman" w:hAnsi="Times New Roman"/>
          <w:bCs/>
        </w:rPr>
        <w:t xml:space="preserve"> </w:t>
      </w:r>
      <w:r w:rsidR="00B733C2">
        <w:rPr>
          <w:rFonts w:ascii="Times New Roman" w:hAnsi="Times New Roman"/>
          <w:bCs/>
        </w:rPr>
        <w:t xml:space="preserve">522 </w:t>
      </w:r>
      <w:r w:rsidR="004C0A10">
        <w:rPr>
          <w:rFonts w:ascii="Times New Roman" w:hAnsi="Times New Roman"/>
          <w:bCs/>
        </w:rPr>
        <w:t xml:space="preserve"> </w:t>
      </w:r>
      <w:r w:rsidRPr="00F36DCE" w:rsidR="00AA7E5B">
        <w:rPr>
          <w:rFonts w:ascii="Times New Roman" w:hAnsi="Times New Roman"/>
          <w:bCs/>
        </w:rPr>
        <w:t>z</w:t>
      </w:r>
      <w:r w:rsidR="00252DDA">
        <w:rPr>
          <w:rFonts w:ascii="Times New Roman" w:hAnsi="Times New Roman"/>
          <w:bCs/>
        </w:rPr>
        <w:t>o</w:t>
      </w:r>
      <w:r w:rsidR="00BE7DA9">
        <w:rPr>
          <w:rFonts w:ascii="Times New Roman" w:hAnsi="Times New Roman"/>
          <w:bCs/>
        </w:rPr>
        <w:t> </w:t>
      </w:r>
      <w:r w:rsidR="00252DDA">
        <w:rPr>
          <w:rFonts w:ascii="Times New Roman" w:hAnsi="Times New Roman"/>
          <w:bCs/>
        </w:rPr>
        <w:t>6</w:t>
      </w:r>
      <w:r w:rsidRPr="00F36DCE" w:rsidR="00FC4AEC">
        <w:rPr>
          <w:rFonts w:ascii="Times New Roman" w:hAnsi="Times New Roman"/>
          <w:bCs/>
        </w:rPr>
        <w:t>.</w:t>
      </w:r>
      <w:r w:rsidRPr="00F36DCE" w:rsidR="004903E5">
        <w:rPr>
          <w:rFonts w:ascii="Times New Roman" w:hAnsi="Times New Roman"/>
          <w:bCs/>
        </w:rPr>
        <w:t xml:space="preserve"> </w:t>
      </w:r>
      <w:r w:rsidR="00252DDA">
        <w:rPr>
          <w:rFonts w:ascii="Times New Roman" w:hAnsi="Times New Roman"/>
          <w:bCs/>
        </w:rPr>
        <w:t>novembra</w:t>
      </w:r>
      <w:r w:rsidRPr="00F36DCE" w:rsidR="004903E5">
        <w:rPr>
          <w:rFonts w:ascii="Times New Roman" w:hAnsi="Times New Roman"/>
          <w:bCs/>
        </w:rPr>
        <w:t xml:space="preserve">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014401" w:rsidP="00472536">
      <w:pPr>
        <w:bidi w:val="0"/>
        <w:ind w:firstLine="708"/>
        <w:jc w:val="both"/>
        <w:rPr>
          <w:rFonts w:ascii="Times New Roman" w:hAnsi="Times New Roman"/>
          <w:bCs/>
        </w:rPr>
      </w:pPr>
    </w:p>
    <w:p w:rsidR="004903E5" w:rsidP="00472536">
      <w:pPr>
        <w:bidi w:val="0"/>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852A91">
        <w:rPr>
          <w:rFonts w:ascii="Times New Roman" w:hAnsi="Times New Roman"/>
          <w:bCs/>
        </w:rPr>
        <w:t>ú</w:t>
      </w:r>
      <w:r w:rsidRPr="00F36DCE" w:rsidR="00894BC4">
        <w:rPr>
          <w:rFonts w:ascii="Times New Roman" w:hAnsi="Times New Roman"/>
          <w:bCs/>
        </w:rPr>
        <w:t xml:space="preserve"> spravodaj</w:t>
      </w:r>
      <w:r w:rsidR="00852A91">
        <w:rPr>
          <w:rFonts w:ascii="Times New Roman" w:hAnsi="Times New Roman"/>
          <w:bCs/>
        </w:rPr>
        <w:t>kyňu</w:t>
      </w:r>
      <w:r w:rsidRPr="00F36DCE" w:rsidR="00894BC4">
        <w:rPr>
          <w:rFonts w:ascii="Times New Roman" w:hAnsi="Times New Roman"/>
          <w:bCs/>
        </w:rPr>
        <w:t xml:space="preserve"> </w:t>
      </w:r>
      <w:r w:rsidR="005710A5">
        <w:rPr>
          <w:rFonts w:ascii="Times New Roman" w:hAnsi="Times New Roman"/>
          <w:bCs/>
        </w:rPr>
        <w:t xml:space="preserve">poslankyňu </w:t>
      </w:r>
      <w:r w:rsidRPr="005710A5" w:rsidR="005710A5">
        <w:rPr>
          <w:rFonts w:ascii="Times New Roman" w:hAnsi="Times New Roman"/>
          <w:b/>
          <w:bCs/>
        </w:rPr>
        <w:t>Evu Hufkovú</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005710A5">
        <w:rPr>
          <w:rFonts w:ascii="Times New Roman" w:hAnsi="Times New Roman"/>
          <w:bCs/>
        </w:rPr>
        <w:t>a</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3F4A10" w:rsidP="00472536">
      <w:pPr>
        <w:pStyle w:val="BodyText3"/>
        <w:bidi w:val="0"/>
        <w:ind w:left="720"/>
        <w:rPr>
          <w:rFonts w:ascii="Times New Roman" w:hAnsi="Times New Roman"/>
        </w:rPr>
      </w:pPr>
      <w:r w:rsidRPr="00F36DCE" w:rsidR="00AA7E5B">
        <w:rPr>
          <w:rFonts w:ascii="Times New Roman" w:hAnsi="Times New Roman"/>
        </w:rPr>
        <w:tab/>
        <w:tab/>
      </w:r>
    </w:p>
    <w:p w:rsidR="003F4A10"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6. </w:t>
      </w:r>
      <w:r>
        <w:rPr>
          <w:rFonts w:ascii="Times New Roman" w:hAnsi="Times New Roman"/>
          <w:szCs w:val="20"/>
        </w:rPr>
        <w:t>novembra</w:t>
      </w:r>
      <w:r w:rsidRPr="00252DDA">
        <w:rPr>
          <w:rFonts w:ascii="Times New Roman" w:hAnsi="Times New Roman"/>
          <w:szCs w:val="20"/>
        </w:rPr>
        <w:t xml:space="preserve"> 2015</w:t>
      </w: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center"/>
        <w:rPr>
          <w:rFonts w:ascii="Times New Roman" w:hAnsi="Times New Roman"/>
          <w:b/>
          <w:bCs/>
          <w:szCs w:val="20"/>
        </w:rPr>
      </w:pPr>
      <w:r w:rsidR="00014401">
        <w:rPr>
          <w:rFonts w:ascii="Times New Roman" w:hAnsi="Times New Roman"/>
          <w:b/>
          <w:bCs/>
          <w:szCs w:val="20"/>
        </w:rPr>
        <w:t xml:space="preserve"> </w:t>
      </w:r>
      <w:r w:rsidRPr="00252DDA">
        <w:rPr>
          <w:rFonts w:ascii="Times New Roman" w:hAnsi="Times New Roman"/>
          <w:b/>
          <w:bCs/>
          <w:szCs w:val="20"/>
        </w:rPr>
        <w:t>Daniel  D u c h o</w:t>
      </w:r>
      <w:r>
        <w:rPr>
          <w:rFonts w:ascii="Times New Roman" w:hAnsi="Times New Roman"/>
          <w:b/>
          <w:bCs/>
          <w:szCs w:val="20"/>
        </w:rPr>
        <w:t> </w:t>
      </w:r>
      <w:r w:rsidRPr="00252DDA">
        <w:rPr>
          <w:rFonts w:ascii="Times New Roman" w:hAnsi="Times New Roman"/>
          <w:b/>
          <w:bCs/>
          <w:szCs w:val="20"/>
        </w:rPr>
        <w:t>ň</w:t>
      </w:r>
      <w:r>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252DDA" w:rsidRPr="00252DDA" w:rsidP="00472536">
      <w:pPr>
        <w:bidi w:val="0"/>
        <w:ind w:left="1416" w:firstLine="708"/>
        <w:rPr>
          <w:rFonts w:ascii="Times New Roman" w:hAnsi="Times New Roman"/>
        </w:rPr>
      </w:pPr>
      <w:r w:rsidRPr="00252DDA">
        <w:rPr>
          <w:rFonts w:ascii="Times New Roman" w:hAnsi="Times New Roman"/>
          <w:b/>
          <w:bCs/>
        </w:rPr>
        <w:t xml:space="preserve">            Výboru NR SR pre financie a rozpočet </w:t>
      </w:r>
    </w:p>
    <w:p w:rsidR="00D02F29" w:rsidP="00472536">
      <w:pPr>
        <w:tabs>
          <w:tab w:val="left" w:pos="-1985"/>
          <w:tab w:val="left" w:pos="709"/>
          <w:tab w:val="left" w:pos="1077"/>
        </w:tabs>
        <w:bidi w:val="0"/>
        <w:jc w:val="both"/>
        <w:rPr>
          <w:rFonts w:ascii="Times New Roman" w:hAnsi="Times New Roman"/>
        </w:rPr>
      </w:pPr>
    </w:p>
    <w:sectPr w:rsidSect="004840F4">
      <w:footerReference w:type="even" r:id="rId5"/>
      <w:footerReference w:type="default" r:id="rId6"/>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MS Mincho">
    <w:panose1 w:val="00000000000000000000"/>
    <w:charset w:val="80"/>
    <w:family w:val="modern"/>
    <w:pitch w:val="fixed"/>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733C2">
      <w:rPr>
        <w:rFonts w:ascii="Times New Roman" w:hAnsi="Times New Roman"/>
        <w:noProof/>
      </w:rPr>
      <w:t>3</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9">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1">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
    <w:lvlOverride w:ilvl="0"/>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401"/>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5AE"/>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3569"/>
    <w:rsid w:val="000A3770"/>
    <w:rsid w:val="000A52C3"/>
    <w:rsid w:val="000B2DFC"/>
    <w:rsid w:val="000B30D5"/>
    <w:rsid w:val="000B727A"/>
    <w:rsid w:val="000B736A"/>
    <w:rsid w:val="000C54F6"/>
    <w:rsid w:val="000D77FB"/>
    <w:rsid w:val="000D7FFE"/>
    <w:rsid w:val="000E1A7F"/>
    <w:rsid w:val="000E43A5"/>
    <w:rsid w:val="000E4C51"/>
    <w:rsid w:val="000E7B01"/>
    <w:rsid w:val="000F0182"/>
    <w:rsid w:val="000F3B1A"/>
    <w:rsid w:val="000F5211"/>
    <w:rsid w:val="000F6F24"/>
    <w:rsid w:val="00101620"/>
    <w:rsid w:val="00101BB0"/>
    <w:rsid w:val="00103242"/>
    <w:rsid w:val="001078EB"/>
    <w:rsid w:val="00111F2C"/>
    <w:rsid w:val="00122F08"/>
    <w:rsid w:val="00131F8C"/>
    <w:rsid w:val="00132CD1"/>
    <w:rsid w:val="0013356F"/>
    <w:rsid w:val="00137721"/>
    <w:rsid w:val="00137964"/>
    <w:rsid w:val="001420F5"/>
    <w:rsid w:val="00142A59"/>
    <w:rsid w:val="001447DD"/>
    <w:rsid w:val="0014586D"/>
    <w:rsid w:val="00147D4A"/>
    <w:rsid w:val="00147F6A"/>
    <w:rsid w:val="00150303"/>
    <w:rsid w:val="00152669"/>
    <w:rsid w:val="00152A47"/>
    <w:rsid w:val="00157B37"/>
    <w:rsid w:val="00161B82"/>
    <w:rsid w:val="001712C4"/>
    <w:rsid w:val="00175456"/>
    <w:rsid w:val="00176CC3"/>
    <w:rsid w:val="001773E3"/>
    <w:rsid w:val="00182351"/>
    <w:rsid w:val="00182A8C"/>
    <w:rsid w:val="001873B1"/>
    <w:rsid w:val="001875EC"/>
    <w:rsid w:val="00187D05"/>
    <w:rsid w:val="001955ED"/>
    <w:rsid w:val="001A2BBD"/>
    <w:rsid w:val="001A39C3"/>
    <w:rsid w:val="001B1448"/>
    <w:rsid w:val="001B3463"/>
    <w:rsid w:val="001B3D60"/>
    <w:rsid w:val="001B4E8A"/>
    <w:rsid w:val="001C48CF"/>
    <w:rsid w:val="001D129D"/>
    <w:rsid w:val="001D7527"/>
    <w:rsid w:val="001D7935"/>
    <w:rsid w:val="001E00FE"/>
    <w:rsid w:val="001E5703"/>
    <w:rsid w:val="001E5BBB"/>
    <w:rsid w:val="001F3714"/>
    <w:rsid w:val="001F49EA"/>
    <w:rsid w:val="001F53E1"/>
    <w:rsid w:val="001F7A38"/>
    <w:rsid w:val="00203E62"/>
    <w:rsid w:val="0020722A"/>
    <w:rsid w:val="002114A2"/>
    <w:rsid w:val="00211680"/>
    <w:rsid w:val="00213043"/>
    <w:rsid w:val="00215316"/>
    <w:rsid w:val="00215931"/>
    <w:rsid w:val="002162DB"/>
    <w:rsid w:val="002202FF"/>
    <w:rsid w:val="00221F2F"/>
    <w:rsid w:val="002224EE"/>
    <w:rsid w:val="0022456B"/>
    <w:rsid w:val="00224FBF"/>
    <w:rsid w:val="00230C9E"/>
    <w:rsid w:val="00252DDA"/>
    <w:rsid w:val="002538F7"/>
    <w:rsid w:val="00253E76"/>
    <w:rsid w:val="00253EC8"/>
    <w:rsid w:val="0026127D"/>
    <w:rsid w:val="00261BDF"/>
    <w:rsid w:val="00272845"/>
    <w:rsid w:val="00272D6D"/>
    <w:rsid w:val="00273BCF"/>
    <w:rsid w:val="00277678"/>
    <w:rsid w:val="00281447"/>
    <w:rsid w:val="0028184A"/>
    <w:rsid w:val="002870B7"/>
    <w:rsid w:val="00287C47"/>
    <w:rsid w:val="00292A65"/>
    <w:rsid w:val="00292FE5"/>
    <w:rsid w:val="0029726B"/>
    <w:rsid w:val="002A35C6"/>
    <w:rsid w:val="002A366B"/>
    <w:rsid w:val="002A4081"/>
    <w:rsid w:val="002B0A29"/>
    <w:rsid w:val="002B0CB4"/>
    <w:rsid w:val="002B2C5C"/>
    <w:rsid w:val="002B3087"/>
    <w:rsid w:val="002B3EB3"/>
    <w:rsid w:val="002C4455"/>
    <w:rsid w:val="002C5844"/>
    <w:rsid w:val="002C5FA5"/>
    <w:rsid w:val="002D02C6"/>
    <w:rsid w:val="002D2FC8"/>
    <w:rsid w:val="002D3E18"/>
    <w:rsid w:val="002E0770"/>
    <w:rsid w:val="002E2B72"/>
    <w:rsid w:val="002E3E4A"/>
    <w:rsid w:val="002E45E1"/>
    <w:rsid w:val="002E6728"/>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456"/>
    <w:rsid w:val="003E3F3F"/>
    <w:rsid w:val="003E63F7"/>
    <w:rsid w:val="003F0500"/>
    <w:rsid w:val="003F19DB"/>
    <w:rsid w:val="003F4A10"/>
    <w:rsid w:val="003F6BE1"/>
    <w:rsid w:val="00400586"/>
    <w:rsid w:val="00403584"/>
    <w:rsid w:val="00403F53"/>
    <w:rsid w:val="00405C7B"/>
    <w:rsid w:val="00406B95"/>
    <w:rsid w:val="00406D3E"/>
    <w:rsid w:val="00410222"/>
    <w:rsid w:val="0041026E"/>
    <w:rsid w:val="00412BCE"/>
    <w:rsid w:val="0041310A"/>
    <w:rsid w:val="00413244"/>
    <w:rsid w:val="004159E6"/>
    <w:rsid w:val="00417F18"/>
    <w:rsid w:val="00421057"/>
    <w:rsid w:val="00421B64"/>
    <w:rsid w:val="00422722"/>
    <w:rsid w:val="00424E70"/>
    <w:rsid w:val="00425785"/>
    <w:rsid w:val="00432A3E"/>
    <w:rsid w:val="004338F0"/>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0F7B"/>
    <w:rsid w:val="004837AE"/>
    <w:rsid w:val="004840F4"/>
    <w:rsid w:val="00484336"/>
    <w:rsid w:val="0048531C"/>
    <w:rsid w:val="0048615B"/>
    <w:rsid w:val="0048620A"/>
    <w:rsid w:val="004903E5"/>
    <w:rsid w:val="0049102C"/>
    <w:rsid w:val="004A2565"/>
    <w:rsid w:val="004A2B6A"/>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4DCD"/>
    <w:rsid w:val="004E5E15"/>
    <w:rsid w:val="004E63F8"/>
    <w:rsid w:val="004E652B"/>
    <w:rsid w:val="004E72AC"/>
    <w:rsid w:val="004F0289"/>
    <w:rsid w:val="004F221F"/>
    <w:rsid w:val="004F2823"/>
    <w:rsid w:val="00502134"/>
    <w:rsid w:val="00502CDE"/>
    <w:rsid w:val="00503550"/>
    <w:rsid w:val="00506162"/>
    <w:rsid w:val="00506D8C"/>
    <w:rsid w:val="00513BED"/>
    <w:rsid w:val="00516EAB"/>
    <w:rsid w:val="00523682"/>
    <w:rsid w:val="00531E47"/>
    <w:rsid w:val="005334B7"/>
    <w:rsid w:val="0054160D"/>
    <w:rsid w:val="00544052"/>
    <w:rsid w:val="00545887"/>
    <w:rsid w:val="00546D94"/>
    <w:rsid w:val="005471E5"/>
    <w:rsid w:val="005509C2"/>
    <w:rsid w:val="00550DBE"/>
    <w:rsid w:val="00551848"/>
    <w:rsid w:val="00553303"/>
    <w:rsid w:val="00555BB5"/>
    <w:rsid w:val="0056087A"/>
    <w:rsid w:val="00561599"/>
    <w:rsid w:val="00561AB6"/>
    <w:rsid w:val="00562FA8"/>
    <w:rsid w:val="005650E0"/>
    <w:rsid w:val="005710A5"/>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D5F"/>
    <w:rsid w:val="005C41B3"/>
    <w:rsid w:val="005C4675"/>
    <w:rsid w:val="005C55CC"/>
    <w:rsid w:val="005C778A"/>
    <w:rsid w:val="005D2F8A"/>
    <w:rsid w:val="005E1F5F"/>
    <w:rsid w:val="005F73A5"/>
    <w:rsid w:val="005F78C6"/>
    <w:rsid w:val="00600940"/>
    <w:rsid w:val="00603921"/>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39EB"/>
    <w:rsid w:val="006849D7"/>
    <w:rsid w:val="00684CAF"/>
    <w:rsid w:val="00690613"/>
    <w:rsid w:val="00692118"/>
    <w:rsid w:val="0069472B"/>
    <w:rsid w:val="006957DF"/>
    <w:rsid w:val="006961B5"/>
    <w:rsid w:val="00696994"/>
    <w:rsid w:val="00696E46"/>
    <w:rsid w:val="00697508"/>
    <w:rsid w:val="006A2819"/>
    <w:rsid w:val="006A7632"/>
    <w:rsid w:val="006A7C60"/>
    <w:rsid w:val="006B15D0"/>
    <w:rsid w:val="006B1B1C"/>
    <w:rsid w:val="006B4D28"/>
    <w:rsid w:val="006C016C"/>
    <w:rsid w:val="006C226C"/>
    <w:rsid w:val="006C4108"/>
    <w:rsid w:val="006C6B61"/>
    <w:rsid w:val="006E0226"/>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72EA"/>
    <w:rsid w:val="00791A58"/>
    <w:rsid w:val="00795328"/>
    <w:rsid w:val="00795D4C"/>
    <w:rsid w:val="007A0766"/>
    <w:rsid w:val="007A0815"/>
    <w:rsid w:val="007A0CD1"/>
    <w:rsid w:val="007A1668"/>
    <w:rsid w:val="007B4C04"/>
    <w:rsid w:val="007B60BE"/>
    <w:rsid w:val="007B63AE"/>
    <w:rsid w:val="007C3665"/>
    <w:rsid w:val="007C49FA"/>
    <w:rsid w:val="007D3D65"/>
    <w:rsid w:val="007D45B8"/>
    <w:rsid w:val="007D52F0"/>
    <w:rsid w:val="007D730B"/>
    <w:rsid w:val="007D7DE9"/>
    <w:rsid w:val="007E233A"/>
    <w:rsid w:val="007E32AE"/>
    <w:rsid w:val="007F2411"/>
    <w:rsid w:val="007F36AB"/>
    <w:rsid w:val="00800E9F"/>
    <w:rsid w:val="008069C2"/>
    <w:rsid w:val="00812DA5"/>
    <w:rsid w:val="00816027"/>
    <w:rsid w:val="008200BB"/>
    <w:rsid w:val="008207FF"/>
    <w:rsid w:val="0082235F"/>
    <w:rsid w:val="008229C1"/>
    <w:rsid w:val="008233AA"/>
    <w:rsid w:val="00830E39"/>
    <w:rsid w:val="00832161"/>
    <w:rsid w:val="00835A91"/>
    <w:rsid w:val="00845921"/>
    <w:rsid w:val="00845C6A"/>
    <w:rsid w:val="0084777F"/>
    <w:rsid w:val="0085207D"/>
    <w:rsid w:val="008527ED"/>
    <w:rsid w:val="00852A91"/>
    <w:rsid w:val="008530E6"/>
    <w:rsid w:val="00853325"/>
    <w:rsid w:val="008578CE"/>
    <w:rsid w:val="00857C9B"/>
    <w:rsid w:val="0086255E"/>
    <w:rsid w:val="00862914"/>
    <w:rsid w:val="00863D09"/>
    <w:rsid w:val="0086439B"/>
    <w:rsid w:val="00864643"/>
    <w:rsid w:val="00864BAE"/>
    <w:rsid w:val="00870242"/>
    <w:rsid w:val="0087558F"/>
    <w:rsid w:val="008757C5"/>
    <w:rsid w:val="00876FF0"/>
    <w:rsid w:val="008826ED"/>
    <w:rsid w:val="00885246"/>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10A72"/>
    <w:rsid w:val="00915CE5"/>
    <w:rsid w:val="00916319"/>
    <w:rsid w:val="00925C56"/>
    <w:rsid w:val="009268C8"/>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B5FEF"/>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A02698"/>
    <w:rsid w:val="00A07E89"/>
    <w:rsid w:val="00A07F5C"/>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41904"/>
    <w:rsid w:val="00A428FC"/>
    <w:rsid w:val="00A42BEF"/>
    <w:rsid w:val="00A43C97"/>
    <w:rsid w:val="00A440FC"/>
    <w:rsid w:val="00A45B77"/>
    <w:rsid w:val="00A47E04"/>
    <w:rsid w:val="00A51658"/>
    <w:rsid w:val="00A526ED"/>
    <w:rsid w:val="00A55A28"/>
    <w:rsid w:val="00A56A53"/>
    <w:rsid w:val="00A64157"/>
    <w:rsid w:val="00A666DE"/>
    <w:rsid w:val="00A66F8B"/>
    <w:rsid w:val="00A734DB"/>
    <w:rsid w:val="00A7437B"/>
    <w:rsid w:val="00A74CF5"/>
    <w:rsid w:val="00A7530E"/>
    <w:rsid w:val="00A83017"/>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4543"/>
    <w:rsid w:val="00AD6ECA"/>
    <w:rsid w:val="00AD71B2"/>
    <w:rsid w:val="00AE0104"/>
    <w:rsid w:val="00AE254E"/>
    <w:rsid w:val="00AE427B"/>
    <w:rsid w:val="00AE4C1A"/>
    <w:rsid w:val="00AE5880"/>
    <w:rsid w:val="00AE7DD3"/>
    <w:rsid w:val="00B00F64"/>
    <w:rsid w:val="00B010CC"/>
    <w:rsid w:val="00B02AA0"/>
    <w:rsid w:val="00B03257"/>
    <w:rsid w:val="00B04171"/>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6431"/>
    <w:rsid w:val="00B522E0"/>
    <w:rsid w:val="00B54303"/>
    <w:rsid w:val="00B70ECB"/>
    <w:rsid w:val="00B71A65"/>
    <w:rsid w:val="00B733C2"/>
    <w:rsid w:val="00B75492"/>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E0560"/>
    <w:rsid w:val="00BE275A"/>
    <w:rsid w:val="00BE36C0"/>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5404"/>
    <w:rsid w:val="00C461D0"/>
    <w:rsid w:val="00C4736A"/>
    <w:rsid w:val="00C5151A"/>
    <w:rsid w:val="00C51AB6"/>
    <w:rsid w:val="00C6169B"/>
    <w:rsid w:val="00C61D9B"/>
    <w:rsid w:val="00C63FFE"/>
    <w:rsid w:val="00C64850"/>
    <w:rsid w:val="00C71DB3"/>
    <w:rsid w:val="00C726B2"/>
    <w:rsid w:val="00C76C68"/>
    <w:rsid w:val="00C821E2"/>
    <w:rsid w:val="00C865E5"/>
    <w:rsid w:val="00C87B83"/>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F4A31"/>
    <w:rsid w:val="00CF62A2"/>
    <w:rsid w:val="00D018D2"/>
    <w:rsid w:val="00D02F29"/>
    <w:rsid w:val="00D07174"/>
    <w:rsid w:val="00D159CC"/>
    <w:rsid w:val="00D15C6D"/>
    <w:rsid w:val="00D21B1E"/>
    <w:rsid w:val="00D21BF2"/>
    <w:rsid w:val="00D23881"/>
    <w:rsid w:val="00D31BCE"/>
    <w:rsid w:val="00D352D6"/>
    <w:rsid w:val="00D42F41"/>
    <w:rsid w:val="00D44F85"/>
    <w:rsid w:val="00D54C86"/>
    <w:rsid w:val="00D624A5"/>
    <w:rsid w:val="00D67C0C"/>
    <w:rsid w:val="00D8757A"/>
    <w:rsid w:val="00D91F68"/>
    <w:rsid w:val="00D92411"/>
    <w:rsid w:val="00DA2D42"/>
    <w:rsid w:val="00DA4865"/>
    <w:rsid w:val="00DB491A"/>
    <w:rsid w:val="00DC31F2"/>
    <w:rsid w:val="00DD27CB"/>
    <w:rsid w:val="00DD3169"/>
    <w:rsid w:val="00DD7A8C"/>
    <w:rsid w:val="00DE45A1"/>
    <w:rsid w:val="00DE5C53"/>
    <w:rsid w:val="00DF2126"/>
    <w:rsid w:val="00DF3A85"/>
    <w:rsid w:val="00E068AC"/>
    <w:rsid w:val="00E07B95"/>
    <w:rsid w:val="00E105A0"/>
    <w:rsid w:val="00E112F6"/>
    <w:rsid w:val="00E15CBF"/>
    <w:rsid w:val="00E209BA"/>
    <w:rsid w:val="00E21885"/>
    <w:rsid w:val="00E21C21"/>
    <w:rsid w:val="00E25A91"/>
    <w:rsid w:val="00E33075"/>
    <w:rsid w:val="00E37D49"/>
    <w:rsid w:val="00E40761"/>
    <w:rsid w:val="00E41238"/>
    <w:rsid w:val="00E462E4"/>
    <w:rsid w:val="00E62863"/>
    <w:rsid w:val="00E63890"/>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DD3"/>
    <w:rsid w:val="00EC6A1B"/>
    <w:rsid w:val="00EC6B60"/>
    <w:rsid w:val="00EC7011"/>
    <w:rsid w:val="00EC74D9"/>
    <w:rsid w:val="00ED2572"/>
    <w:rsid w:val="00ED4365"/>
    <w:rsid w:val="00ED46C7"/>
    <w:rsid w:val="00ED4B90"/>
    <w:rsid w:val="00EE2114"/>
    <w:rsid w:val="00EE633C"/>
    <w:rsid w:val="00EF10E3"/>
    <w:rsid w:val="00EF2065"/>
    <w:rsid w:val="00EF6176"/>
    <w:rsid w:val="00F00D19"/>
    <w:rsid w:val="00F01878"/>
    <w:rsid w:val="00F02558"/>
    <w:rsid w:val="00F02E4E"/>
    <w:rsid w:val="00F0406A"/>
    <w:rsid w:val="00F045DC"/>
    <w:rsid w:val="00F07918"/>
    <w:rsid w:val="00F1207F"/>
    <w:rsid w:val="00F13643"/>
    <w:rsid w:val="00F1512C"/>
    <w:rsid w:val="00F16C39"/>
    <w:rsid w:val="00F20E89"/>
    <w:rsid w:val="00F22A3D"/>
    <w:rsid w:val="00F25667"/>
    <w:rsid w:val="00F25F14"/>
    <w:rsid w:val="00F267D8"/>
    <w:rsid w:val="00F3225B"/>
    <w:rsid w:val="00F35C2F"/>
    <w:rsid w:val="00F36CB9"/>
    <w:rsid w:val="00F36DCE"/>
    <w:rsid w:val="00F50281"/>
    <w:rsid w:val="00F51401"/>
    <w:rsid w:val="00F60A4F"/>
    <w:rsid w:val="00F63091"/>
    <w:rsid w:val="00F6446A"/>
    <w:rsid w:val="00F67BB8"/>
    <w:rsid w:val="00F73FC1"/>
    <w:rsid w:val="00F74CEC"/>
    <w:rsid w:val="00F768C4"/>
    <w:rsid w:val="00F77206"/>
    <w:rsid w:val="00F82FFC"/>
    <w:rsid w:val="00F85163"/>
    <w:rsid w:val="00F8563D"/>
    <w:rsid w:val="00F869DD"/>
    <w:rsid w:val="00F9138B"/>
    <w:rsid w:val="00F95D00"/>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0D4D9-A1A1-4FAC-B17D-1E27AF34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194</TotalTime>
  <Pages>3</Pages>
  <Words>906</Words>
  <Characters>5168</Characters>
  <Application>Microsoft Office Word</Application>
  <DocSecurity>0</DocSecurity>
  <Lines>0</Lines>
  <Paragraphs>0</Paragraphs>
  <ScaleCrop>false</ScaleCrop>
  <Company>Kancelaria NR SR</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119</cp:revision>
  <cp:lastPrinted>2015-05-06T17:18:00Z</cp:lastPrinted>
  <dcterms:created xsi:type="dcterms:W3CDTF">2015-03-09T15:36:00Z</dcterms:created>
  <dcterms:modified xsi:type="dcterms:W3CDTF">2015-11-06T11:41:00Z</dcterms:modified>
</cp:coreProperties>
</file>