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4840F4">
        <w:rPr>
          <w:rFonts w:ascii="Times New Roman" w:hAnsi="Times New Roman"/>
          <w:bCs/>
        </w:rPr>
        <w:t>Číslo: 1</w:t>
      </w:r>
      <w:r w:rsidR="008B1B60">
        <w:rPr>
          <w:rFonts w:ascii="Times New Roman" w:hAnsi="Times New Roman"/>
          <w:bCs/>
        </w:rPr>
        <w:t>619</w:t>
      </w:r>
      <w:r w:rsidRPr="00F36DCE" w:rsidR="00092E2E">
        <w:rPr>
          <w:rFonts w:ascii="Times New Roman" w:hAnsi="Times New Roman"/>
          <w:bCs/>
        </w:rPr>
        <w:t>/201</w:t>
      </w:r>
      <w:r w:rsidR="004840F4">
        <w:rPr>
          <w:rFonts w:ascii="Times New Roman" w:hAnsi="Times New Roman"/>
          <w:bCs/>
        </w:rPr>
        <w:t>5</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666DE" w:rsidP="00A666DE">
      <w:pPr>
        <w:bidi w:val="0"/>
        <w:jc w:val="center"/>
        <w:rPr>
          <w:rFonts w:ascii="Times New Roman" w:hAnsi="Times New Roman"/>
          <w:b/>
          <w:sz w:val="32"/>
          <w:szCs w:val="32"/>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Pr="004840F4" w:rsidR="004840F4">
        <w:rPr>
          <w:rFonts w:ascii="Times New Roman" w:hAnsi="Times New Roman"/>
          <w:b/>
          <w:sz w:val="32"/>
          <w:szCs w:val="32"/>
        </w:rPr>
        <w:t>16</w:t>
      </w:r>
      <w:r w:rsidR="008B1B60">
        <w:rPr>
          <w:rFonts w:ascii="Times New Roman" w:hAnsi="Times New Roman"/>
          <w:b/>
          <w:sz w:val="32"/>
          <w:szCs w:val="32"/>
        </w:rPr>
        <w:t>91</w:t>
      </w:r>
      <w:r w:rsidRPr="004840F4">
        <w:rPr>
          <w:rFonts w:ascii="Times New Roman" w:hAnsi="Times New Roman"/>
          <w:b/>
          <w:sz w:val="32"/>
          <w:szCs w:val="32"/>
        </w:rPr>
        <w:t>a</w:t>
      </w:r>
    </w:p>
    <w:p w:rsidR="00AA7E5B" w:rsidP="00A666DE">
      <w:pPr>
        <w:pStyle w:val="Heading3"/>
        <w:bidi w:val="0"/>
        <w:rPr>
          <w:rFonts w:ascii="Times New Roman" w:hAnsi="Times New Roman"/>
          <w:bCs/>
          <w:szCs w:val="28"/>
          <w:lang w:val="sk-SK"/>
        </w:rPr>
      </w:pP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8B1B60" w:rsidRPr="008B1B60" w:rsidP="00A666DE">
      <w:pPr>
        <w:bidi w:val="0"/>
        <w:jc w:val="both"/>
        <w:rPr>
          <w:rFonts w:ascii="Times New Roman" w:hAnsi="Times New Roman"/>
          <w:b/>
        </w:rPr>
      </w:pPr>
      <w:r w:rsidRPr="00F36DCE" w:rsidR="00AA7E5B">
        <w:rPr>
          <w:rFonts w:ascii="Times New Roman" w:hAnsi="Times New Roman"/>
          <w:b/>
        </w:rPr>
        <w:t xml:space="preserve">výborov Národnej rady Slovenskej republiky o prerokovaní </w:t>
      </w:r>
      <w:r w:rsidRPr="008B1B60">
        <w:rPr>
          <w:rFonts w:ascii="Times New Roman" w:hAnsi="Times New Roman"/>
          <w:b/>
        </w:rPr>
        <w:t>v</w:t>
      </w:r>
      <w:r w:rsidRPr="008B1B60">
        <w:rPr>
          <w:rFonts w:ascii="Times New Roman" w:hAnsi="Times New Roman"/>
          <w:b/>
          <w:bCs/>
          <w:iCs/>
        </w:rPr>
        <w:t>ládneho návrhu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(tlač 1691)</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A32B69" w:rsidP="00595C2C">
      <w:pPr>
        <w:bidi w:val="0"/>
        <w:ind w:firstLine="709"/>
        <w:jc w:val="both"/>
        <w:rPr>
          <w:rFonts w:ascii="Times New Roman" w:hAnsi="Times New Roman"/>
        </w:rPr>
      </w:pPr>
      <w:r w:rsidRPr="00A32B69" w:rsidR="00AA7E5B">
        <w:rPr>
          <w:rFonts w:ascii="Times New Roman" w:hAnsi="Times New Roman"/>
        </w:rPr>
        <w:t xml:space="preserve">Národná rada Slovenskej republiky uznesením </w:t>
      </w:r>
      <w:r w:rsidRPr="00A32B69" w:rsidR="00955448">
        <w:rPr>
          <w:rFonts w:ascii="Times New Roman" w:hAnsi="Times New Roman"/>
        </w:rPr>
        <w:t xml:space="preserve">č. </w:t>
      </w:r>
      <w:r w:rsidR="008B1B60">
        <w:rPr>
          <w:rFonts w:ascii="Times New Roman" w:hAnsi="Times New Roman"/>
        </w:rPr>
        <w:t>1904</w:t>
      </w:r>
      <w:r w:rsidRPr="00A32B69" w:rsidR="00955448">
        <w:rPr>
          <w:rFonts w:ascii="Times New Roman" w:hAnsi="Times New Roman"/>
        </w:rPr>
        <w:t xml:space="preserve"> </w:t>
      </w:r>
      <w:r w:rsidRPr="00A32B69" w:rsidR="00AA7E5B">
        <w:rPr>
          <w:rFonts w:ascii="Times New Roman" w:hAnsi="Times New Roman"/>
        </w:rPr>
        <w:t>z</w:t>
      </w:r>
      <w:r w:rsidRPr="00A32B69" w:rsidR="004E652B">
        <w:rPr>
          <w:rFonts w:ascii="Times New Roman" w:hAnsi="Times New Roman"/>
        </w:rPr>
        <w:t> </w:t>
      </w:r>
      <w:r w:rsidRPr="00A32B69" w:rsidR="00FC35D1">
        <w:rPr>
          <w:rFonts w:ascii="Times New Roman" w:hAnsi="Times New Roman"/>
        </w:rPr>
        <w:t xml:space="preserve"> </w:t>
      </w:r>
      <w:r w:rsidR="009B5FEF">
        <w:rPr>
          <w:rFonts w:ascii="Times New Roman" w:hAnsi="Times New Roman"/>
        </w:rPr>
        <w:t>18</w:t>
      </w:r>
      <w:r w:rsidRPr="00A32B69" w:rsidR="004E652B">
        <w:rPr>
          <w:rFonts w:ascii="Times New Roman" w:hAnsi="Times New Roman"/>
        </w:rPr>
        <w:t xml:space="preserve">. </w:t>
      </w:r>
      <w:r w:rsidR="009B5FEF">
        <w:rPr>
          <w:rFonts w:ascii="Times New Roman" w:hAnsi="Times New Roman"/>
        </w:rPr>
        <w:t>septembra</w:t>
      </w:r>
      <w:r w:rsidRPr="00A32B69" w:rsidR="00D31BCE">
        <w:rPr>
          <w:rFonts w:ascii="Times New Roman" w:hAnsi="Times New Roman"/>
        </w:rPr>
        <w:t xml:space="preserve"> </w:t>
      </w:r>
      <w:r w:rsidRPr="00A32B69" w:rsidR="00AA7E5B">
        <w:rPr>
          <w:rFonts w:ascii="Times New Roman" w:hAnsi="Times New Roman"/>
        </w:rPr>
        <w:t>201</w:t>
      </w:r>
      <w:r w:rsidRPr="00A32B69" w:rsidR="00FC35D1">
        <w:rPr>
          <w:rFonts w:ascii="Times New Roman" w:hAnsi="Times New Roman"/>
        </w:rPr>
        <w:t>5</w:t>
      </w:r>
      <w:r w:rsidRPr="00A32B69" w:rsidR="00AA7E5B">
        <w:rPr>
          <w:rFonts w:ascii="Times New Roman" w:hAnsi="Times New Roman"/>
        </w:rPr>
        <w:t xml:space="preserve"> pridelila</w:t>
      </w:r>
      <w:r w:rsidR="00595C2C">
        <w:rPr>
          <w:rFonts w:ascii="Times New Roman" w:hAnsi="Times New Roman"/>
        </w:rPr>
        <w:t xml:space="preserve"> </w:t>
      </w:r>
      <w:r w:rsidRPr="008B1B60" w:rsidR="008B1B60">
        <w:rPr>
          <w:rFonts w:ascii="Times New Roman" w:hAnsi="Times New Roman"/>
        </w:rPr>
        <w:t>v</w:t>
      </w:r>
      <w:r w:rsidRPr="008B1B60" w:rsidR="008B1B60">
        <w:rPr>
          <w:rFonts w:ascii="Times New Roman" w:hAnsi="Times New Roman"/>
          <w:bCs/>
          <w:iCs/>
        </w:rPr>
        <w:t>ládny návrh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(tlač 1691)</w:t>
      </w:r>
      <w:r w:rsidR="008B1B60">
        <w:rPr>
          <w:rFonts w:ascii="Times New Roman" w:hAnsi="Times New Roman"/>
          <w:bCs/>
          <w:iCs/>
        </w:rPr>
        <w:t xml:space="preserve"> </w:t>
      </w:r>
      <w:r w:rsidRPr="00A32B69" w:rsidR="004E652B">
        <w:rPr>
          <w:rFonts w:ascii="Times New Roman" w:hAnsi="Times New Roman"/>
        </w:rPr>
        <w:t>na  prerokovanie týmto výborom:</w:t>
      </w:r>
    </w:p>
    <w:p w:rsidR="001E00FE" w:rsidRPr="001E00FE" w:rsidP="00A666DE">
      <w:pPr>
        <w:bidi w:val="0"/>
        <w:ind w:firstLine="709"/>
        <w:jc w:val="both"/>
        <w:rPr>
          <w:rFonts w:ascii="Times New Roman" w:hAnsi="Times New Roman"/>
        </w:rPr>
      </w:pPr>
    </w:p>
    <w:p w:rsidR="0067490B" w:rsidRPr="0067490B" w:rsidP="0067490B">
      <w:pPr>
        <w:pStyle w:val="ListParagraph"/>
        <w:numPr>
          <w:numId w:val="13"/>
        </w:numPr>
        <w:bidi w:val="0"/>
        <w:spacing w:after="0" w:line="240" w:lineRule="auto"/>
        <w:ind w:left="703" w:hanging="357"/>
        <w:jc w:val="both"/>
        <w:rPr>
          <w:rFonts w:ascii="Times New Roman" w:hAnsi="Times New Roman"/>
          <w:sz w:val="24"/>
          <w:szCs w:val="24"/>
        </w:rPr>
      </w:pPr>
      <w:r w:rsidRPr="0067490B" w:rsidR="00A9330F">
        <w:rPr>
          <w:rFonts w:ascii="Times New Roman" w:hAnsi="Times New Roman"/>
          <w:sz w:val="24"/>
          <w:szCs w:val="24"/>
        </w:rPr>
        <w:t>Ústavnoprávnemu výboru Národnej rady Slovenskej republiky</w:t>
      </w:r>
      <w:r w:rsidRPr="0067490B" w:rsidR="0057420B">
        <w:rPr>
          <w:rFonts w:ascii="Times New Roman" w:hAnsi="Times New Roman"/>
          <w:sz w:val="24"/>
          <w:szCs w:val="24"/>
        </w:rPr>
        <w:t>,</w:t>
      </w:r>
      <w:r w:rsidRPr="0067490B" w:rsidR="00625A81">
        <w:rPr>
          <w:rFonts w:ascii="Times New Roman" w:hAnsi="Times New Roman"/>
          <w:sz w:val="24"/>
          <w:szCs w:val="24"/>
        </w:rPr>
        <w:t xml:space="preserve"> </w:t>
      </w:r>
    </w:p>
    <w:p w:rsidR="0057420B" w:rsidRPr="0067490B" w:rsidP="0067490B">
      <w:pPr>
        <w:pStyle w:val="ListParagraph"/>
        <w:numPr>
          <w:numId w:val="13"/>
        </w:numPr>
        <w:bidi w:val="0"/>
        <w:spacing w:after="0" w:line="240" w:lineRule="auto"/>
        <w:ind w:left="703" w:hanging="357"/>
        <w:jc w:val="both"/>
        <w:rPr>
          <w:rFonts w:ascii="Times New Roman" w:hAnsi="Times New Roman"/>
          <w:sz w:val="24"/>
          <w:szCs w:val="24"/>
        </w:rPr>
      </w:pPr>
      <w:r w:rsidRPr="0067490B">
        <w:rPr>
          <w:rFonts w:ascii="Times New Roman" w:hAnsi="Times New Roman"/>
          <w:sz w:val="24"/>
          <w:szCs w:val="24"/>
        </w:rPr>
        <w:t xml:space="preserve">Výboru Národnej rady Slovenskej republiky </w:t>
      </w:r>
      <w:r w:rsidRPr="0067490B" w:rsidR="00625A81">
        <w:rPr>
          <w:rFonts w:ascii="Times New Roman" w:hAnsi="Times New Roman"/>
          <w:sz w:val="24"/>
          <w:szCs w:val="24"/>
        </w:rPr>
        <w:t xml:space="preserve">pre </w:t>
      </w:r>
      <w:r w:rsidRPr="0067490B" w:rsidR="00A32B69">
        <w:rPr>
          <w:rFonts w:ascii="Times New Roman" w:hAnsi="Times New Roman"/>
          <w:sz w:val="24"/>
          <w:szCs w:val="24"/>
        </w:rPr>
        <w:t>financie a</w:t>
      </w:r>
      <w:r w:rsidRPr="0067490B" w:rsidR="00595C2C">
        <w:rPr>
          <w:rFonts w:ascii="Times New Roman" w:hAnsi="Times New Roman"/>
          <w:sz w:val="24"/>
          <w:szCs w:val="24"/>
        </w:rPr>
        <w:t> </w:t>
      </w:r>
      <w:r w:rsidRPr="0067490B" w:rsidR="00A32B69">
        <w:rPr>
          <w:rFonts w:ascii="Times New Roman" w:hAnsi="Times New Roman"/>
          <w:sz w:val="24"/>
          <w:szCs w:val="24"/>
        </w:rPr>
        <w:t>rozpočet</w:t>
      </w:r>
      <w:r w:rsidRPr="0067490B" w:rsidR="00595C2C">
        <w:rPr>
          <w:rFonts w:ascii="Times New Roman" w:hAnsi="Times New Roman"/>
          <w:sz w:val="24"/>
          <w:szCs w:val="24"/>
        </w:rPr>
        <w:t>.</w:t>
      </w:r>
    </w:p>
    <w:p w:rsidR="00A32B69"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666DE" w:rsidP="00A666DE">
      <w:pPr>
        <w:pStyle w:val="BodyText3"/>
        <w:tabs>
          <w:tab w:val="left" w:pos="-1985"/>
          <w:tab w:val="left" w:pos="709"/>
          <w:tab w:val="left" w:pos="1077"/>
        </w:tabs>
        <w:bidi w:val="0"/>
        <w:rPr>
          <w:rFonts w:ascii="Times New Roman" w:hAnsi="Times New Roman"/>
          <w:bCs/>
          <w:szCs w:val="24"/>
        </w:rPr>
      </w:pPr>
    </w:p>
    <w:p w:rsidR="00A666DE"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jc w:val="left"/>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r w:rsidR="00595C2C">
        <w:rPr>
          <w:rFonts w:ascii="Times New Roman" w:hAnsi="Times New Roman"/>
          <w:b/>
          <w:bCs/>
          <w:szCs w:val="20"/>
        </w:rPr>
        <w:t>:</w:t>
      </w:r>
    </w:p>
    <w:p w:rsidR="00A32B69" w:rsidRPr="00A32B69" w:rsidP="00A666DE">
      <w:pPr>
        <w:bidi w:val="0"/>
        <w:ind w:left="720"/>
        <w:jc w:val="both"/>
        <w:rPr>
          <w:rFonts w:ascii="Times New Roman" w:hAnsi="Times New Roman"/>
          <w:b/>
          <w:bCs/>
          <w:szCs w:val="20"/>
        </w:rPr>
      </w:pPr>
    </w:p>
    <w:p w:rsidR="00A32B69" w:rsidRPr="00A32B69" w:rsidP="00A666DE">
      <w:pPr>
        <w:numPr>
          <w:numId w:val="10"/>
        </w:numPr>
        <w:bidi w:val="0"/>
        <w:jc w:val="both"/>
        <w:rPr>
          <w:rFonts w:ascii="Times New Roman" w:hAnsi="Times New Roman"/>
          <w:szCs w:val="20"/>
        </w:rPr>
      </w:pPr>
      <w:r w:rsidRPr="00A32B69">
        <w:rPr>
          <w:rFonts w:ascii="Times New Roman" w:hAnsi="Times New Roman"/>
          <w:b/>
          <w:szCs w:val="20"/>
        </w:rPr>
        <w:t>Výbor</w:t>
      </w:r>
      <w:r w:rsidRPr="00A32B69">
        <w:rPr>
          <w:rFonts w:ascii="Times New Roman" w:hAnsi="Times New Roman"/>
          <w:szCs w:val="20"/>
        </w:rPr>
        <w:t xml:space="preserve"> Národnej rady Slovenskej republiky </w:t>
      </w:r>
      <w:r w:rsidRPr="00A32B69">
        <w:rPr>
          <w:rFonts w:ascii="Times New Roman" w:hAnsi="Times New Roman"/>
          <w:b/>
          <w:szCs w:val="20"/>
        </w:rPr>
        <w:t>pre financie a rozpočet</w:t>
      </w:r>
      <w:r w:rsidRPr="00A32B69">
        <w:rPr>
          <w:rFonts w:ascii="Times New Roman" w:hAnsi="Times New Roman"/>
          <w:szCs w:val="20"/>
        </w:rPr>
        <w:t xml:space="preserve"> (uzn. č. </w:t>
      </w:r>
      <w:r w:rsidR="00716B7D">
        <w:rPr>
          <w:rFonts w:ascii="Times New Roman" w:hAnsi="Times New Roman"/>
          <w:szCs w:val="20"/>
        </w:rPr>
        <w:t>508</w:t>
      </w:r>
      <w:r>
        <w:rPr>
          <w:rFonts w:ascii="Times New Roman" w:hAnsi="Times New Roman"/>
          <w:szCs w:val="20"/>
        </w:rPr>
        <w:t xml:space="preserve"> zo dňa 3. novembra</w:t>
      </w:r>
      <w:r w:rsidRPr="00A32B69">
        <w:rPr>
          <w:rFonts w:ascii="Times New Roman" w:hAnsi="Times New Roman"/>
          <w:szCs w:val="20"/>
        </w:rPr>
        <w:t xml:space="preserve"> 2015)</w:t>
      </w:r>
    </w:p>
    <w:p w:rsidR="00A32B69" w:rsidRPr="00A32B69" w:rsidP="00A666DE">
      <w:pPr>
        <w:bidi w:val="0"/>
        <w:ind w:left="1065"/>
        <w:jc w:val="both"/>
        <w:rPr>
          <w:rFonts w:ascii="Times New Roman" w:hAnsi="Times New Roman"/>
          <w:szCs w:val="20"/>
        </w:rPr>
      </w:pPr>
    </w:p>
    <w:p w:rsidR="00A32B69" w:rsidRPr="00DA564F" w:rsidP="00A666DE">
      <w:pPr>
        <w:numPr>
          <w:numId w:val="10"/>
        </w:numPr>
        <w:bidi w:val="0"/>
        <w:jc w:val="both"/>
        <w:rPr>
          <w:rFonts w:ascii="Times New Roman" w:hAnsi="Times New Roman"/>
          <w:szCs w:val="20"/>
        </w:rPr>
      </w:pPr>
      <w:r w:rsidRPr="00A32B69">
        <w:rPr>
          <w:rFonts w:ascii="Times New Roman" w:hAnsi="Times New Roman"/>
          <w:b/>
          <w:szCs w:val="20"/>
        </w:rPr>
        <w:t>Ústavnoprávny výbor</w:t>
      </w:r>
      <w:r w:rsidRPr="00A32B69">
        <w:rPr>
          <w:rFonts w:ascii="Times New Roman" w:hAnsi="Times New Roman"/>
          <w:szCs w:val="20"/>
        </w:rPr>
        <w:t xml:space="preserve"> Národnej rady Slovenskej </w:t>
      </w:r>
      <w:r w:rsidRPr="00A32B69">
        <w:rPr>
          <w:rFonts w:ascii="Times New Roman" w:hAnsi="Times New Roman"/>
          <w:b/>
          <w:szCs w:val="20"/>
        </w:rPr>
        <w:t>republiky</w:t>
      </w:r>
      <w:r w:rsidRPr="00A32B69">
        <w:rPr>
          <w:rFonts w:ascii="Times New Roman" w:hAnsi="Times New Roman"/>
          <w:szCs w:val="20"/>
        </w:rPr>
        <w:t xml:space="preserve"> </w:t>
      </w:r>
      <w:r w:rsidRPr="00DA564F">
        <w:rPr>
          <w:rFonts w:ascii="Times New Roman" w:hAnsi="Times New Roman"/>
          <w:szCs w:val="20"/>
        </w:rPr>
        <w:t>(</w:t>
      </w:r>
      <w:r w:rsidRPr="00DA564F" w:rsidR="00DA564F">
        <w:rPr>
          <w:rFonts w:ascii="Times New Roman" w:hAnsi="Times New Roman"/>
          <w:szCs w:val="20"/>
        </w:rPr>
        <w:t>uzn. č. 716</w:t>
      </w:r>
      <w:r w:rsidRPr="00DA564F">
        <w:rPr>
          <w:rFonts w:ascii="Times New Roman" w:hAnsi="Times New Roman"/>
          <w:szCs w:val="20"/>
        </w:rPr>
        <w:t xml:space="preserve"> zo dňa </w:t>
      </w:r>
      <w:r w:rsidRPr="00DA564F" w:rsidR="00595C2C">
        <w:rPr>
          <w:rFonts w:ascii="Times New Roman" w:hAnsi="Times New Roman"/>
          <w:szCs w:val="20"/>
        </w:rPr>
        <w:t>4</w:t>
      </w:r>
      <w:r w:rsidRPr="00DA564F">
        <w:rPr>
          <w:rFonts w:ascii="Times New Roman" w:hAnsi="Times New Roman"/>
          <w:szCs w:val="20"/>
        </w:rPr>
        <w:t>. novembra 2015)</w:t>
      </w:r>
    </w:p>
    <w:p w:rsidR="00A32B69" w:rsidRPr="00A32B69" w:rsidP="00A666DE">
      <w:pPr>
        <w:bidi w:val="0"/>
        <w:jc w:val="both"/>
        <w:rPr>
          <w:rFonts w:ascii="Times New Roman" w:hAnsi="Times New Roman"/>
          <w:szCs w:val="20"/>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305DD0" w:rsidRPr="00DE5C53" w:rsidP="00A666DE">
      <w:pPr>
        <w:tabs>
          <w:tab w:val="left" w:pos="-1985"/>
          <w:tab w:val="left" w:pos="709"/>
          <w:tab w:val="left" w:pos="1077"/>
        </w:tabs>
        <w:bidi w:val="0"/>
        <w:jc w:val="both"/>
        <w:rPr>
          <w:rFonts w:ascii="Times New Roman" w:hAnsi="Times New Roman"/>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tieto </w:t>
      </w:r>
      <w:r w:rsidRPr="00DE5C53" w:rsidR="00653FBD">
        <w:rPr>
          <w:rFonts w:ascii="Times New Roman" w:hAnsi="Times New Roman"/>
          <w:bCs/>
        </w:rPr>
        <w:t>p</w:t>
      </w:r>
      <w:r w:rsidRPr="00DE5C53">
        <w:rPr>
          <w:rFonts w:ascii="Times New Roman" w:hAnsi="Times New Roman"/>
          <w:bCs/>
        </w:rPr>
        <w:t>ozmeňujúce a doplňujúce návrhy:</w:t>
      </w:r>
    </w:p>
    <w:p w:rsidR="00FA304E" w:rsidP="00A666DE">
      <w:pPr>
        <w:bidi w:val="0"/>
        <w:jc w:val="both"/>
        <w:rPr>
          <w:rFonts w:ascii="Times New Roman" w:hAnsi="Times New Roman"/>
          <w:color w:val="FF0000"/>
          <w:lang w:eastAsia="en-US"/>
        </w:rPr>
      </w:pPr>
    </w:p>
    <w:p w:rsidR="00FA304E" w:rsidRPr="00FA304E" w:rsidP="00FA304E">
      <w:pPr>
        <w:numPr>
          <w:numId w:val="12"/>
        </w:numPr>
        <w:bidi w:val="0"/>
        <w:contextualSpacing/>
        <w:jc w:val="both"/>
        <w:rPr>
          <w:rFonts w:ascii="Times New Roman" w:hAnsi="Times New Roman"/>
          <w:b/>
        </w:rPr>
      </w:pPr>
      <w:r w:rsidRPr="00FA304E">
        <w:rPr>
          <w:rFonts w:ascii="Times New Roman" w:hAnsi="Times New Roman"/>
          <w:b/>
        </w:rPr>
        <w:t>K čl. I 11. bodu (§ 41 ods. 11)</w:t>
      </w:r>
    </w:p>
    <w:p w:rsidR="00FA304E" w:rsidRPr="00FA304E" w:rsidP="00FA304E">
      <w:pPr>
        <w:bidi w:val="0"/>
        <w:ind w:firstLine="708"/>
        <w:jc w:val="both"/>
        <w:rPr>
          <w:rFonts w:ascii="Times New Roman" w:hAnsi="Times New Roman"/>
          <w:bCs/>
        </w:rPr>
      </w:pPr>
      <w:r w:rsidRPr="00FA304E">
        <w:rPr>
          <w:rFonts w:ascii="Times New Roman" w:hAnsi="Times New Roman"/>
          <w:bCs/>
        </w:rPr>
        <w:t>V čl. I 11. bod znie:</w:t>
      </w:r>
    </w:p>
    <w:p w:rsidR="00FA304E" w:rsidRPr="00FA304E" w:rsidP="00FA304E">
      <w:pPr>
        <w:bidi w:val="0"/>
        <w:ind w:left="708"/>
        <w:contextualSpacing/>
        <w:jc w:val="both"/>
        <w:rPr>
          <w:rFonts w:ascii="Times New Roman" w:hAnsi="Times New Roman"/>
          <w:bCs/>
        </w:rPr>
      </w:pPr>
      <w:r w:rsidRPr="00FA304E">
        <w:rPr>
          <w:rFonts w:ascii="Times New Roman" w:hAnsi="Times New Roman"/>
          <w:bCs/>
        </w:rPr>
        <w:t>„11. V § 41 ods. 11 úvodnej vete sa slová „obchodných dní, pričom táto lehota začína plynúť nasledujúci deň po dni,“ nahrádzajú slovami „obchodných dní odo dňa,“ a v písmene b) sa slová „je informovaná“ nahrádzajú slovom „dozvie“.“.</w:t>
      </w:r>
    </w:p>
    <w:p w:rsidR="00FA304E" w:rsidRPr="00FA304E" w:rsidP="00FA304E">
      <w:pPr>
        <w:bidi w:val="0"/>
        <w:ind w:left="2552"/>
        <w:contextualSpacing/>
        <w:jc w:val="both"/>
        <w:rPr>
          <w:rFonts w:ascii="Times New Roman" w:hAnsi="Times New Roman"/>
          <w:bCs/>
        </w:rPr>
      </w:pPr>
    </w:p>
    <w:p w:rsidR="00FA304E" w:rsidRPr="00FA304E" w:rsidP="00FA304E">
      <w:pPr>
        <w:bidi w:val="0"/>
        <w:ind w:left="2552"/>
        <w:contextualSpacing/>
        <w:jc w:val="both"/>
        <w:rPr>
          <w:rFonts w:ascii="Times New Roman" w:hAnsi="Times New Roman"/>
          <w:bCs/>
        </w:rPr>
      </w:pPr>
      <w:r w:rsidRPr="00FA304E">
        <w:rPr>
          <w:rFonts w:ascii="Times New Roman" w:hAnsi="Times New Roman"/>
          <w:bCs/>
        </w:rPr>
        <w:t>Ide o legislatívno-technickú úpravu v záujme významového zjednoznačnenia navrhovaného znenia § 41 ods. 11.</w:t>
      </w:r>
    </w:p>
    <w:p w:rsidR="00FA304E" w:rsidP="00FA304E">
      <w:pPr>
        <w:bidi w:val="0"/>
        <w:ind w:left="3540" w:hanging="988"/>
        <w:jc w:val="both"/>
        <w:rPr>
          <w:rFonts w:ascii="Times New Roman" w:hAnsi="Times New Roman"/>
          <w:b/>
        </w:rPr>
      </w:pPr>
    </w:p>
    <w:p w:rsidR="00AC5495" w:rsidP="00AC5495">
      <w:pPr>
        <w:bidi w:val="0"/>
        <w:ind w:left="3540" w:hanging="988"/>
        <w:jc w:val="both"/>
        <w:rPr>
          <w:rFonts w:ascii="Times New Roman" w:hAnsi="Times New Roman"/>
          <w:b/>
        </w:rPr>
      </w:pPr>
      <w:r w:rsidRPr="00BF14E2" w:rsidR="00FA304E">
        <w:rPr>
          <w:rFonts w:ascii="Times New Roman" w:hAnsi="Times New Roman"/>
          <w:b/>
        </w:rPr>
        <w:t xml:space="preserve">Výbor NR SR pre </w:t>
      </w:r>
      <w:r w:rsidR="00FA304E">
        <w:rPr>
          <w:rFonts w:ascii="Times New Roman" w:hAnsi="Times New Roman"/>
          <w:b/>
        </w:rPr>
        <w:t>financie a</w:t>
      </w:r>
      <w:r>
        <w:rPr>
          <w:rFonts w:ascii="Times New Roman" w:hAnsi="Times New Roman"/>
          <w:b/>
        </w:rPr>
        <w:t> </w:t>
      </w:r>
      <w:r w:rsidR="00FA304E">
        <w:rPr>
          <w:rFonts w:ascii="Times New Roman" w:hAnsi="Times New Roman"/>
          <w:b/>
        </w:rPr>
        <w:t>rozpočet</w:t>
      </w:r>
    </w:p>
    <w:p w:rsidR="00AC5495" w:rsidRPr="00DA564F" w:rsidP="00AC5495">
      <w:pPr>
        <w:bidi w:val="0"/>
        <w:ind w:left="3540" w:hanging="988"/>
        <w:jc w:val="both"/>
        <w:rPr>
          <w:rFonts w:ascii="Times New Roman" w:hAnsi="Times New Roman"/>
          <w:b/>
        </w:rPr>
      </w:pPr>
      <w:r w:rsidRPr="00DA564F">
        <w:rPr>
          <w:rFonts w:ascii="Times New Roman" w:hAnsi="Times New Roman"/>
          <w:b/>
        </w:rPr>
        <w:t>Ústavnoprávny výbor NR SR</w:t>
      </w:r>
    </w:p>
    <w:p w:rsidR="00FA304E" w:rsidP="00FA304E">
      <w:pPr>
        <w:bidi w:val="0"/>
        <w:ind w:left="1844" w:firstLine="708"/>
        <w:rPr>
          <w:rFonts w:ascii="Times New Roman" w:hAnsi="Times New Roman"/>
          <w:b/>
        </w:rPr>
      </w:pPr>
      <w:r w:rsidRPr="00BF14E2">
        <w:rPr>
          <w:rFonts w:ascii="Times New Roman" w:hAnsi="Times New Roman"/>
          <w:b/>
        </w:rPr>
        <w:t>Gestorský výbor odporúča schváliť.</w:t>
      </w:r>
    </w:p>
    <w:p w:rsidR="00FA304E" w:rsidP="00FA304E">
      <w:pPr>
        <w:bidi w:val="0"/>
        <w:ind w:left="2552"/>
        <w:contextualSpacing/>
        <w:jc w:val="both"/>
        <w:rPr>
          <w:rFonts w:ascii="Times New Roman" w:hAnsi="Times New Roman"/>
          <w:bCs/>
        </w:rPr>
      </w:pPr>
    </w:p>
    <w:p w:rsidR="00FA304E" w:rsidRPr="00FA304E" w:rsidP="00FA304E">
      <w:pPr>
        <w:numPr>
          <w:numId w:val="12"/>
        </w:numPr>
        <w:bidi w:val="0"/>
        <w:contextualSpacing/>
        <w:jc w:val="both"/>
        <w:rPr>
          <w:rFonts w:ascii="Times New Roman" w:hAnsi="Times New Roman"/>
          <w:b/>
        </w:rPr>
      </w:pPr>
      <w:r w:rsidRPr="00FA304E">
        <w:rPr>
          <w:rFonts w:ascii="Times New Roman" w:hAnsi="Times New Roman"/>
          <w:b/>
        </w:rPr>
        <w:t>K čl. I 15. bodu (§ 43 ods. 2)</w:t>
      </w:r>
    </w:p>
    <w:p w:rsidR="00FA304E" w:rsidRPr="00FA304E" w:rsidP="00FA304E">
      <w:pPr>
        <w:bidi w:val="0"/>
        <w:ind w:firstLine="708"/>
        <w:contextualSpacing/>
        <w:jc w:val="both"/>
        <w:rPr>
          <w:rFonts w:ascii="Times New Roman" w:hAnsi="Times New Roman"/>
          <w:bCs/>
        </w:rPr>
      </w:pPr>
      <w:r w:rsidRPr="00FA304E">
        <w:rPr>
          <w:rFonts w:ascii="Times New Roman" w:hAnsi="Times New Roman"/>
          <w:bCs/>
        </w:rPr>
        <w:t>V čl. I 15. bode v § 43 ods. 2 sa nad slová „osobitného predpisu“ vkladá odkaz 58a).</w:t>
      </w:r>
    </w:p>
    <w:p w:rsidR="00FA304E" w:rsidRPr="00FA304E" w:rsidP="00FA304E">
      <w:pPr>
        <w:bidi w:val="0"/>
        <w:ind w:left="2552"/>
        <w:contextualSpacing/>
        <w:jc w:val="both"/>
        <w:rPr>
          <w:rFonts w:ascii="Times New Roman" w:hAnsi="Times New Roman"/>
          <w:bCs/>
        </w:rPr>
      </w:pPr>
    </w:p>
    <w:p w:rsidR="00FA304E" w:rsidRPr="00FA304E" w:rsidP="00FA304E">
      <w:pPr>
        <w:bidi w:val="0"/>
        <w:ind w:left="2552"/>
        <w:contextualSpacing/>
        <w:jc w:val="both"/>
        <w:rPr>
          <w:rFonts w:ascii="Times New Roman" w:hAnsi="Times New Roman"/>
          <w:bCs/>
        </w:rPr>
      </w:pPr>
      <w:r w:rsidRPr="00FA304E">
        <w:rPr>
          <w:rFonts w:ascii="Times New Roman" w:hAnsi="Times New Roman"/>
          <w:bCs/>
        </w:rPr>
        <w:t>Ide o návrh, ktorý rešpektuje platné a účinné znenie § 43 ods. 2, v ktorom je potrebné ponechať odkaz na finančné nástroje podľa § 5 ods. 1 písm. a), d) až j) zákona č. 566/2001 Z. z. o cenných papieroch a investičných službách a o zmene a doplnení niektorých zákonov (zákon o cenných papieroch) v znení neskorších predpisov.</w:t>
      </w:r>
    </w:p>
    <w:p w:rsidR="00FA304E" w:rsidP="00FA304E">
      <w:pPr>
        <w:bidi w:val="0"/>
        <w:ind w:left="3540" w:hanging="988"/>
        <w:jc w:val="both"/>
        <w:rPr>
          <w:rFonts w:ascii="Times New Roman" w:hAnsi="Times New Roman"/>
          <w:b/>
        </w:rPr>
      </w:pPr>
    </w:p>
    <w:p w:rsidR="0060270E" w:rsidP="0060270E">
      <w:pPr>
        <w:bidi w:val="0"/>
        <w:ind w:left="3540" w:hanging="98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60270E" w:rsidRPr="00DA564F" w:rsidP="0060270E">
      <w:pPr>
        <w:bidi w:val="0"/>
        <w:ind w:left="3540" w:hanging="988"/>
        <w:jc w:val="both"/>
        <w:rPr>
          <w:rFonts w:ascii="Times New Roman" w:hAnsi="Times New Roman"/>
          <w:b/>
        </w:rPr>
      </w:pPr>
      <w:r w:rsidRPr="00DA564F">
        <w:rPr>
          <w:rFonts w:ascii="Times New Roman" w:hAnsi="Times New Roman"/>
          <w:b/>
        </w:rPr>
        <w:t>Ústavnoprávny výbor NR SR</w:t>
      </w:r>
    </w:p>
    <w:p w:rsidR="0060270E" w:rsidP="0060270E">
      <w:pPr>
        <w:bidi w:val="0"/>
        <w:ind w:left="1844" w:firstLine="708"/>
        <w:rPr>
          <w:rFonts w:ascii="Times New Roman" w:hAnsi="Times New Roman"/>
          <w:b/>
        </w:rPr>
      </w:pPr>
      <w:r w:rsidRPr="00BF14E2">
        <w:rPr>
          <w:rFonts w:ascii="Times New Roman" w:hAnsi="Times New Roman"/>
          <w:b/>
        </w:rPr>
        <w:t>Gestorský výbor odporúča schváliť.</w:t>
      </w:r>
    </w:p>
    <w:p w:rsidR="00FA304E" w:rsidP="00FA304E">
      <w:pPr>
        <w:bidi w:val="0"/>
        <w:ind w:left="2552"/>
        <w:contextualSpacing/>
        <w:jc w:val="both"/>
        <w:rPr>
          <w:rFonts w:ascii="Times New Roman" w:hAnsi="Times New Roman"/>
          <w:bCs/>
        </w:rPr>
      </w:pPr>
    </w:p>
    <w:p w:rsidR="00FA304E" w:rsidRPr="00FA304E" w:rsidP="00FA304E">
      <w:pPr>
        <w:numPr>
          <w:numId w:val="12"/>
        </w:numPr>
        <w:bidi w:val="0"/>
        <w:jc w:val="both"/>
        <w:rPr>
          <w:rFonts w:ascii="Times New Roman" w:hAnsi="Times New Roman"/>
          <w:b/>
          <w:bCs/>
        </w:rPr>
      </w:pPr>
      <w:r w:rsidRPr="00FA304E">
        <w:rPr>
          <w:rFonts w:ascii="Times New Roman" w:hAnsi="Times New Roman"/>
          <w:b/>
          <w:bCs/>
        </w:rPr>
        <w:t>K čl. I doterajší bod 23 (§ 60 ods. 8)</w:t>
      </w:r>
    </w:p>
    <w:p w:rsidR="00FA304E" w:rsidRPr="00FA304E" w:rsidP="00FA304E">
      <w:pPr>
        <w:bidi w:val="0"/>
        <w:ind w:left="720"/>
        <w:jc w:val="both"/>
        <w:rPr>
          <w:rFonts w:ascii="Times New Roman" w:hAnsi="Times New Roman"/>
          <w:bCs/>
        </w:rPr>
      </w:pPr>
      <w:r w:rsidRPr="00FA304E">
        <w:rPr>
          <w:rFonts w:ascii="Times New Roman" w:hAnsi="Times New Roman"/>
          <w:bCs/>
        </w:rPr>
        <w:t>V čl. I doterajšom bode 23 v § 60 ods. 8 sa vypúšťa čiarka za číslom „4“ a  slová „proti ktorým už nie je prípustný opravný prostriedok,“.</w:t>
      </w:r>
    </w:p>
    <w:p w:rsidR="00FA304E" w:rsidRPr="00FA304E" w:rsidP="00FA304E">
      <w:pPr>
        <w:bidi w:val="0"/>
        <w:jc w:val="both"/>
        <w:rPr>
          <w:rFonts w:ascii="Times New Roman" w:hAnsi="Times New Roman"/>
          <w:bCs/>
        </w:rPr>
      </w:pPr>
    </w:p>
    <w:p w:rsidR="00FA304E" w:rsidRPr="00FA304E" w:rsidP="00FA304E">
      <w:pPr>
        <w:bidi w:val="0"/>
        <w:ind w:left="2552"/>
        <w:jc w:val="both"/>
        <w:rPr>
          <w:rFonts w:ascii="Times New Roman" w:hAnsi="Times New Roman"/>
          <w:bCs/>
        </w:rPr>
      </w:pPr>
      <w:r w:rsidRPr="00FA304E">
        <w:rPr>
          <w:rFonts w:ascii="Times New Roman" w:hAnsi="Times New Roman"/>
          <w:bCs/>
        </w:rPr>
        <w:t xml:space="preserve">Ide o dôslednejšiu transpozíciu čl. I bodu 23 smernice č. 2013/50 /EÚ, pokiaľ ide o zverejňovanie rozhodnutí o udelení sankcie Národnou bankou Slovenska dohliadaným subjektom. Pôvodne navrhované znenie návrhu zákona rátalo len so zverejňovaním právoplatných rozhodnutí, proti ktorým už nie je opravný prostriedok. Smernica č. 2013/50/EÚ ráta aj so zverejňovaním neprávoplatných rozhodnutí. Úpravou sa reaguje na stanovisko v časti B. Kancelárie NR SR, Odboru legislatívy a aproximácie práva.  </w:t>
      </w:r>
    </w:p>
    <w:p w:rsidR="00FA304E" w:rsidRPr="00FA304E" w:rsidP="00FA304E">
      <w:pPr>
        <w:bidi w:val="0"/>
        <w:ind w:firstLine="708"/>
        <w:jc w:val="both"/>
        <w:rPr>
          <w:rFonts w:ascii="Times New Roman" w:hAnsi="Times New Roman"/>
        </w:rPr>
      </w:pPr>
    </w:p>
    <w:p w:rsidR="00FA304E" w:rsidRPr="00FA304E" w:rsidP="00FA304E">
      <w:pPr>
        <w:bidi w:val="0"/>
        <w:ind w:firstLine="708"/>
        <w:jc w:val="both"/>
        <w:rPr>
          <w:rFonts w:ascii="Times New Roman" w:hAnsi="Times New Roman"/>
        </w:rPr>
      </w:pPr>
      <w:r w:rsidRPr="00FA304E">
        <w:rPr>
          <w:rFonts w:ascii="Times New Roman" w:hAnsi="Times New Roman"/>
        </w:rPr>
        <w:t xml:space="preserve">Účinnosť sa navrhuje od 1. januára 2016. </w:t>
      </w:r>
    </w:p>
    <w:p w:rsidR="00FA304E" w:rsidP="00FA304E">
      <w:pPr>
        <w:bidi w:val="0"/>
        <w:ind w:left="3540" w:hanging="988"/>
        <w:jc w:val="both"/>
        <w:rPr>
          <w:rFonts w:ascii="Times New Roman" w:hAnsi="Times New Roman"/>
          <w:b/>
        </w:rPr>
      </w:pPr>
    </w:p>
    <w:p w:rsidR="00FA304E" w:rsidP="00FA304E">
      <w:pPr>
        <w:bidi w:val="0"/>
        <w:ind w:left="3540" w:hanging="98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FA304E" w:rsidP="00FA304E">
      <w:pPr>
        <w:bidi w:val="0"/>
        <w:ind w:left="1844" w:firstLine="708"/>
        <w:rPr>
          <w:rFonts w:ascii="Times New Roman" w:hAnsi="Times New Roman"/>
          <w:b/>
        </w:rPr>
      </w:pPr>
      <w:r w:rsidRPr="00BF14E2">
        <w:rPr>
          <w:rFonts w:ascii="Times New Roman" w:hAnsi="Times New Roman"/>
          <w:b/>
        </w:rPr>
        <w:t>Gestorský výbor odporúča schváliť.</w:t>
      </w:r>
    </w:p>
    <w:p w:rsidR="00FA304E" w:rsidRPr="00FA304E" w:rsidP="00FA304E">
      <w:pPr>
        <w:bidi w:val="0"/>
        <w:jc w:val="both"/>
        <w:rPr>
          <w:rFonts w:ascii="Times New Roman" w:hAnsi="Times New Roman"/>
          <w:bCs/>
        </w:rPr>
      </w:pPr>
    </w:p>
    <w:p w:rsidR="00FA304E" w:rsidRPr="00FA304E" w:rsidP="00FA304E">
      <w:pPr>
        <w:numPr>
          <w:numId w:val="12"/>
        </w:numPr>
        <w:bidi w:val="0"/>
        <w:jc w:val="both"/>
        <w:rPr>
          <w:rFonts w:ascii="Times New Roman" w:hAnsi="Times New Roman"/>
          <w:bCs/>
        </w:rPr>
      </w:pPr>
      <w:r w:rsidRPr="00FA304E">
        <w:rPr>
          <w:rFonts w:ascii="Times New Roman" w:hAnsi="Times New Roman"/>
          <w:b/>
          <w:bCs/>
        </w:rPr>
        <w:t>K čl. I doterajší bod 23</w:t>
      </w:r>
    </w:p>
    <w:p w:rsidR="00FA304E" w:rsidRPr="00FA304E" w:rsidP="00FA304E">
      <w:pPr>
        <w:bidi w:val="0"/>
        <w:ind w:left="720"/>
        <w:jc w:val="both"/>
        <w:rPr>
          <w:rFonts w:ascii="Times New Roman" w:hAnsi="Times New Roman"/>
          <w:bCs/>
        </w:rPr>
      </w:pPr>
      <w:r w:rsidRPr="00FA304E">
        <w:rPr>
          <w:rFonts w:ascii="Times New Roman" w:hAnsi="Times New Roman"/>
          <w:bCs/>
        </w:rPr>
        <w:t xml:space="preserve">V čl. I doterajšom  bode 23 uvádzacej vete sa slová „až 12“ nahrádzajú slovami „až 13“. </w:t>
      </w:r>
    </w:p>
    <w:p w:rsidR="00FA304E" w:rsidRPr="00FA304E" w:rsidP="00FA304E">
      <w:pPr>
        <w:bidi w:val="0"/>
        <w:jc w:val="both"/>
        <w:rPr>
          <w:rFonts w:ascii="Times New Roman" w:hAnsi="Times New Roman"/>
          <w:bCs/>
        </w:rPr>
      </w:pPr>
      <w:r w:rsidRPr="00FA304E">
        <w:rPr>
          <w:rFonts w:ascii="Times New Roman" w:hAnsi="Times New Roman"/>
          <w:bCs/>
        </w:rPr>
        <w:t xml:space="preserve">      </w:t>
        <w:tab/>
        <w:t xml:space="preserve">V čl. I doterajšom  bode 23 v § 60 sa za odsek 11 vkladá nový odsek 12, ktorý znie: </w:t>
      </w:r>
    </w:p>
    <w:p w:rsidR="00FA304E" w:rsidRPr="00FA304E" w:rsidP="00FA304E">
      <w:pPr>
        <w:bidi w:val="0"/>
        <w:ind w:left="708"/>
        <w:jc w:val="both"/>
        <w:rPr>
          <w:rFonts w:ascii="Times New Roman" w:hAnsi="Times New Roman"/>
          <w:bCs/>
        </w:rPr>
      </w:pPr>
      <w:r w:rsidRPr="00FA304E">
        <w:rPr>
          <w:rFonts w:ascii="Times New Roman" w:hAnsi="Times New Roman"/>
          <w:bCs/>
        </w:rPr>
        <w:t xml:space="preserve">„(12) Ak bol proti rozhodnutiu zverejnenému podľa odseku 8 podaný opravný prostriedok, Národná banka Slovenska uvedie túto informáciu súčasne so zverejnením podľa odseku 8 alebo bezodkladne po podaní opravného prostriedku, ak bol podaný po zverejnení podľa odseku 8.“. </w:t>
      </w:r>
    </w:p>
    <w:p w:rsidR="00FA304E" w:rsidRPr="00FA304E" w:rsidP="00FA304E">
      <w:pPr>
        <w:bidi w:val="0"/>
        <w:jc w:val="both"/>
        <w:rPr>
          <w:rFonts w:ascii="Times New Roman" w:hAnsi="Times New Roman"/>
          <w:bCs/>
        </w:rPr>
      </w:pPr>
    </w:p>
    <w:p w:rsidR="00FA304E" w:rsidRPr="00FA304E" w:rsidP="00FA304E">
      <w:pPr>
        <w:bidi w:val="0"/>
        <w:ind w:firstLine="708"/>
        <w:jc w:val="both"/>
        <w:rPr>
          <w:rFonts w:ascii="Times New Roman" w:hAnsi="Times New Roman"/>
          <w:bCs/>
        </w:rPr>
      </w:pPr>
      <w:r w:rsidRPr="00FA304E">
        <w:rPr>
          <w:rFonts w:ascii="Times New Roman" w:hAnsi="Times New Roman"/>
          <w:bCs/>
        </w:rPr>
        <w:t xml:space="preserve">Doterajší odsek 12 sa označuje ako odsek 13. </w:t>
      </w:r>
    </w:p>
    <w:p w:rsidR="00FA304E" w:rsidRPr="00FA304E" w:rsidP="00FA304E">
      <w:pPr>
        <w:bidi w:val="0"/>
        <w:jc w:val="both"/>
        <w:rPr>
          <w:rFonts w:ascii="Times New Roman" w:hAnsi="Times New Roman"/>
          <w:bCs/>
        </w:rPr>
      </w:pPr>
    </w:p>
    <w:p w:rsidR="00FA304E" w:rsidRPr="00FA304E" w:rsidP="00FA304E">
      <w:pPr>
        <w:bidi w:val="0"/>
        <w:ind w:left="2552"/>
        <w:jc w:val="both"/>
        <w:rPr>
          <w:rFonts w:ascii="Times New Roman" w:hAnsi="Times New Roman"/>
          <w:bCs/>
        </w:rPr>
      </w:pPr>
      <w:r w:rsidRPr="00FA304E">
        <w:rPr>
          <w:rFonts w:ascii="Times New Roman" w:hAnsi="Times New Roman"/>
          <w:bCs/>
        </w:rPr>
        <w:t xml:space="preserve">Ide o dôslednejšiu transpozíciu čl. I bodu 23 smernice č. 2013/50 /EÚ, pokiaľ ide o zverejňovanie rozhodnutí o udelení sankcie Národnou bankou Slovenska dohliadaným subjektom. Pôvodne navrhované znenie návrhu zákona rátalo len so zverejňovaním právoplatných rozhodnutí, proti ktorým už nie je opravný prostriedok. Smernica č. 2013/50/EÚ ráta aj so zverejňovaním neprávoplatných rozhodnutí. Úpravou sa reaguje na stanovisko v časti B. Kancelárie NR SR, Odboru legislatívy a aproximácie práva.  </w:t>
      </w:r>
    </w:p>
    <w:p w:rsidR="00FA304E" w:rsidRPr="00FA304E" w:rsidP="00FA304E">
      <w:pPr>
        <w:tabs>
          <w:tab w:val="left" w:pos="1572"/>
        </w:tabs>
        <w:bidi w:val="0"/>
        <w:jc w:val="both"/>
        <w:rPr>
          <w:rFonts w:ascii="Times New Roman" w:hAnsi="Times New Roman"/>
          <w:bCs/>
        </w:rPr>
      </w:pPr>
    </w:p>
    <w:p w:rsidR="00FA304E" w:rsidRPr="00FA304E" w:rsidP="00FA304E">
      <w:pPr>
        <w:bidi w:val="0"/>
        <w:ind w:firstLine="708"/>
        <w:jc w:val="both"/>
        <w:rPr>
          <w:rFonts w:ascii="Times New Roman" w:hAnsi="Times New Roman"/>
        </w:rPr>
      </w:pPr>
      <w:r w:rsidRPr="00FA304E">
        <w:rPr>
          <w:rFonts w:ascii="Times New Roman" w:hAnsi="Times New Roman"/>
        </w:rPr>
        <w:t xml:space="preserve">Účinnosť sa navrhuje od 1. januára 2016. </w:t>
      </w:r>
    </w:p>
    <w:p w:rsidR="00FA304E" w:rsidP="00FA304E">
      <w:pPr>
        <w:bidi w:val="0"/>
        <w:ind w:left="3540" w:hanging="988"/>
        <w:jc w:val="both"/>
        <w:rPr>
          <w:rFonts w:ascii="Times New Roman" w:hAnsi="Times New Roman"/>
          <w:b/>
        </w:rPr>
      </w:pPr>
    </w:p>
    <w:p w:rsidR="00FA304E" w:rsidP="00FA304E">
      <w:pPr>
        <w:bidi w:val="0"/>
        <w:ind w:left="3540" w:hanging="98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FA304E" w:rsidP="00FA304E">
      <w:pPr>
        <w:bidi w:val="0"/>
        <w:ind w:left="1844" w:firstLine="708"/>
        <w:rPr>
          <w:rFonts w:ascii="Times New Roman" w:hAnsi="Times New Roman"/>
          <w:b/>
        </w:rPr>
      </w:pPr>
      <w:r w:rsidRPr="00BF14E2">
        <w:rPr>
          <w:rFonts w:ascii="Times New Roman" w:hAnsi="Times New Roman"/>
          <w:b/>
        </w:rPr>
        <w:t>Gestorský výbor odporúča schváliť.</w:t>
      </w:r>
    </w:p>
    <w:p w:rsidR="00FA304E" w:rsidRPr="00FA304E" w:rsidP="00FA304E">
      <w:pPr>
        <w:tabs>
          <w:tab w:val="left" w:pos="1572"/>
        </w:tabs>
        <w:bidi w:val="0"/>
        <w:jc w:val="both"/>
        <w:rPr>
          <w:rFonts w:ascii="Times New Roman" w:hAnsi="Times New Roman"/>
          <w:bCs/>
        </w:rPr>
      </w:pPr>
    </w:p>
    <w:p w:rsidR="00FA304E" w:rsidRPr="00FA304E" w:rsidP="00FA304E">
      <w:pPr>
        <w:numPr>
          <w:numId w:val="12"/>
        </w:numPr>
        <w:bidi w:val="0"/>
        <w:contextualSpacing/>
        <w:jc w:val="both"/>
        <w:rPr>
          <w:rFonts w:ascii="Times New Roman" w:hAnsi="Times New Roman"/>
          <w:b/>
        </w:rPr>
      </w:pPr>
      <w:r w:rsidRPr="00FA304E">
        <w:rPr>
          <w:rFonts w:ascii="Times New Roman" w:hAnsi="Times New Roman"/>
          <w:b/>
        </w:rPr>
        <w:t>K čl. II</w:t>
      </w:r>
    </w:p>
    <w:p w:rsidR="00FA304E" w:rsidRPr="00FA304E" w:rsidP="00FA304E">
      <w:pPr>
        <w:tabs>
          <w:tab w:val="left" w:pos="709"/>
        </w:tabs>
        <w:bidi w:val="0"/>
        <w:ind w:left="720"/>
        <w:jc w:val="both"/>
        <w:rPr>
          <w:rFonts w:ascii="Times New Roman" w:hAnsi="Times New Roman"/>
          <w:bCs/>
        </w:rPr>
      </w:pPr>
      <w:r w:rsidRPr="00FA304E">
        <w:rPr>
          <w:rFonts w:ascii="Times New Roman" w:hAnsi="Times New Roman"/>
          <w:bCs/>
        </w:rPr>
        <w:t xml:space="preserve">Na začiatok článku II sa vkladajú body 1 a 2, ktoré znejú: </w:t>
      </w:r>
    </w:p>
    <w:p w:rsidR="00FA304E" w:rsidRPr="00FA304E" w:rsidP="00FA304E">
      <w:pPr>
        <w:bidi w:val="0"/>
        <w:jc w:val="both"/>
        <w:rPr>
          <w:rFonts w:ascii="Times New Roman" w:hAnsi="Times New Roman"/>
          <w:bCs/>
        </w:rPr>
      </w:pPr>
      <w:r w:rsidRPr="00FA304E">
        <w:rPr>
          <w:rFonts w:ascii="Times New Roman" w:hAnsi="Times New Roman"/>
          <w:bCs/>
        </w:rPr>
        <w:t xml:space="preserve">           </w:t>
      </w:r>
      <w:r w:rsidRPr="00FA304E">
        <w:rPr>
          <w:rFonts w:ascii="Times New Roman" w:hAnsi="Times New Roman"/>
          <w:b/>
          <w:bCs/>
        </w:rPr>
        <w:t>1.</w:t>
      </w:r>
      <w:r w:rsidRPr="00FA304E">
        <w:rPr>
          <w:rFonts w:ascii="Times New Roman" w:hAnsi="Times New Roman"/>
          <w:bCs/>
        </w:rPr>
        <w:t xml:space="preserve"> V § 105 ods. 3  druhej vete sa vypúšťajú slová „alebo centrálny depozitár“.</w:t>
      </w:r>
    </w:p>
    <w:p w:rsidR="00FA304E" w:rsidRPr="00FA304E" w:rsidP="00FA304E">
      <w:pPr>
        <w:bidi w:val="0"/>
        <w:jc w:val="both"/>
        <w:rPr>
          <w:rFonts w:ascii="Times New Roman" w:hAnsi="Times New Roman"/>
          <w:bCs/>
          <w:u w:val="single"/>
        </w:rPr>
      </w:pPr>
    </w:p>
    <w:p w:rsidR="00FA304E" w:rsidRPr="00FA304E" w:rsidP="00FA304E">
      <w:pPr>
        <w:bidi w:val="0"/>
        <w:ind w:left="2552"/>
        <w:jc w:val="both"/>
        <w:rPr>
          <w:rFonts w:ascii="Times New Roman" w:hAnsi="Times New Roman"/>
          <w:bCs/>
        </w:rPr>
      </w:pPr>
      <w:r w:rsidRPr="00FA304E">
        <w:rPr>
          <w:rFonts w:ascii="Times New Roman" w:hAnsi="Times New Roman"/>
          <w:bCs/>
        </w:rPr>
        <w:t>Navrhovanou zmenou právnej úpravy sa precizujú ustanovenia v súvislosti so zriaďovaním účtu majiteľa, a to konkrétne v prípade fyzických osôb. V zmysle navrhovanej zmeny sa úplne vylúči možnosť fyzických osôb zriadiť účet majiteľa v centrálnom depozitári, nakoľko podľa doterajšej úpravy má centrálny depozitár povinnosť zriadiť účet majiteľa aj fyzickým osobám v prípade, ak o zriadenie požiadali prostredníctvom vybraných osôb. Uvedenou úpravou sa podporuje sledovaný účel posilnenia členského princípu, kedy zámerom už predchádzajúcich zmien zákona bolo zúženie okruhu osôb, ktoré sú oprávnené otvoriť si účet priamo v centrálnom depozitári.</w:t>
      </w:r>
    </w:p>
    <w:p w:rsidR="00FA304E" w:rsidRPr="00FA304E" w:rsidP="00FA304E">
      <w:pPr>
        <w:bidi w:val="0"/>
        <w:ind w:left="1134"/>
        <w:jc w:val="both"/>
        <w:rPr>
          <w:rFonts w:ascii="Times New Roman" w:hAnsi="Times New Roman"/>
          <w:bCs/>
        </w:rPr>
      </w:pPr>
    </w:p>
    <w:p w:rsidR="00FA304E" w:rsidRPr="00FA304E" w:rsidP="00FA304E">
      <w:pPr>
        <w:bidi w:val="0"/>
        <w:contextualSpacing/>
        <w:rPr>
          <w:rFonts w:ascii="Times New Roman" w:hAnsi="Times New Roman"/>
        </w:rPr>
      </w:pPr>
      <w:r w:rsidRPr="00FA304E">
        <w:rPr>
          <w:rFonts w:ascii="Times New Roman" w:hAnsi="Times New Roman"/>
        </w:rPr>
        <w:t xml:space="preserve">        </w:t>
      </w:r>
      <w:r w:rsidRPr="00FA304E">
        <w:rPr>
          <w:rFonts w:ascii="Times New Roman" w:hAnsi="Times New Roman"/>
          <w:b/>
        </w:rPr>
        <w:t>2.</w:t>
      </w:r>
      <w:r w:rsidRPr="00FA304E">
        <w:rPr>
          <w:rFonts w:ascii="Times New Roman" w:hAnsi="Times New Roman"/>
        </w:rPr>
        <w:t xml:space="preserve">  Za § 105b sa vkladá § 105c, ktorý vrátane nadpisu znie:</w:t>
      </w:r>
    </w:p>
    <w:p w:rsidR="00FA304E" w:rsidRPr="00FA304E" w:rsidP="00FA304E">
      <w:pPr>
        <w:bidi w:val="0"/>
        <w:jc w:val="center"/>
        <w:rPr>
          <w:rFonts w:ascii="Times New Roman" w:hAnsi="Times New Roman"/>
          <w:bCs/>
          <w:color w:val="000000"/>
        </w:rPr>
      </w:pPr>
      <w:r w:rsidRPr="00FA304E">
        <w:rPr>
          <w:rFonts w:ascii="Times New Roman" w:hAnsi="Times New Roman"/>
          <w:bCs/>
          <w:color w:val="000000"/>
        </w:rPr>
        <w:t>„§ 105c</w:t>
      </w:r>
    </w:p>
    <w:p w:rsidR="00FA304E" w:rsidRPr="00FA304E" w:rsidP="00FA304E">
      <w:pPr>
        <w:bidi w:val="0"/>
        <w:jc w:val="center"/>
        <w:rPr>
          <w:rFonts w:ascii="Times New Roman" w:hAnsi="Times New Roman"/>
          <w:bCs/>
          <w:color w:val="000000"/>
        </w:rPr>
      </w:pPr>
      <w:r w:rsidRPr="00FA304E">
        <w:rPr>
          <w:rFonts w:ascii="Times New Roman" w:hAnsi="Times New Roman"/>
          <w:bCs/>
          <w:color w:val="000000"/>
        </w:rPr>
        <w:t>Prepojenie centrálnych depozitárov</w:t>
      </w:r>
    </w:p>
    <w:p w:rsidR="00FA304E" w:rsidRPr="00FA304E" w:rsidP="00FA304E">
      <w:pPr>
        <w:bidi w:val="0"/>
        <w:jc w:val="center"/>
        <w:rPr>
          <w:rFonts w:ascii="Times New Roman" w:hAnsi="Times New Roman"/>
          <w:bCs/>
          <w:color w:val="000000"/>
        </w:rPr>
      </w:pPr>
    </w:p>
    <w:p w:rsidR="00FA304E" w:rsidRPr="00FA304E" w:rsidP="00FA304E">
      <w:pPr>
        <w:bidi w:val="0"/>
        <w:ind w:firstLine="708"/>
        <w:jc w:val="both"/>
        <w:rPr>
          <w:rFonts w:ascii="Times New Roman" w:hAnsi="Times New Roman"/>
          <w:bCs/>
          <w:color w:val="000000"/>
        </w:rPr>
      </w:pPr>
      <w:r w:rsidRPr="00FA304E">
        <w:rPr>
          <w:rFonts w:ascii="Times New Roman" w:hAnsi="Times New Roman"/>
          <w:bCs/>
          <w:color w:val="000000"/>
        </w:rPr>
        <w:t>Účet majiteľa, klientsky účet alebo držiteľský účet, ktorý podľa § 105, 106 a 105a zriadil centrálny depozitár pre iného centrálneho depozitára sa považuje za štandardné prepojenie</w:t>
      </w:r>
      <w:r w:rsidRPr="00FA304E">
        <w:rPr>
          <w:rFonts w:ascii="Times New Roman" w:hAnsi="Times New Roman"/>
          <w:bCs/>
          <w:color w:val="000000"/>
          <w:vertAlign w:val="superscript"/>
        </w:rPr>
        <w:t>90ab)</w:t>
      </w:r>
      <w:r w:rsidRPr="00FA304E">
        <w:rPr>
          <w:rFonts w:ascii="Times New Roman" w:hAnsi="Times New Roman"/>
          <w:bCs/>
          <w:color w:val="000000"/>
        </w:rPr>
        <w:t xml:space="preserve"> medzi centrálnymi depozitármi. Ak je pre centrálny depozitár zriadený držiteľský účet, údaje o majiteľovi cenného papiera sú vedené v jeho evidencii vedenej podľa § 105, 105a, 105b a 106.“. </w:t>
      </w:r>
    </w:p>
    <w:p w:rsidR="00FA304E" w:rsidRPr="00FA304E" w:rsidP="00FA304E">
      <w:pPr>
        <w:bidi w:val="0"/>
        <w:ind w:firstLine="708"/>
        <w:jc w:val="both"/>
        <w:rPr>
          <w:rFonts w:ascii="Times New Roman" w:hAnsi="Times New Roman"/>
          <w:bCs/>
          <w:color w:val="000000"/>
        </w:rPr>
      </w:pPr>
    </w:p>
    <w:p w:rsidR="00FA304E" w:rsidRPr="00FA304E" w:rsidP="00FA304E">
      <w:pPr>
        <w:bidi w:val="0"/>
        <w:ind w:firstLine="708"/>
        <w:jc w:val="both"/>
        <w:rPr>
          <w:rFonts w:ascii="Times New Roman" w:hAnsi="Times New Roman"/>
          <w:bCs/>
          <w:color w:val="000000"/>
        </w:rPr>
      </w:pPr>
      <w:r w:rsidRPr="00FA304E">
        <w:rPr>
          <w:rFonts w:ascii="Times New Roman" w:hAnsi="Times New Roman"/>
          <w:bCs/>
          <w:color w:val="000000"/>
        </w:rPr>
        <w:t>Poznámka pod čiarou k odkazu 90ab znie:</w:t>
      </w:r>
    </w:p>
    <w:p w:rsidR="00FA304E" w:rsidRPr="00FA304E" w:rsidP="00FA304E">
      <w:pPr>
        <w:autoSpaceDE w:val="0"/>
        <w:autoSpaceDN w:val="0"/>
        <w:bidi w:val="0"/>
        <w:adjustRightInd w:val="0"/>
        <w:rPr>
          <w:rFonts w:ascii="Times New Roman" w:hAnsi="Times New Roman"/>
          <w:color w:val="000000"/>
        </w:rPr>
      </w:pPr>
      <w:r w:rsidRPr="00FA304E">
        <w:rPr>
          <w:rFonts w:ascii="Times New Roman" w:hAnsi="Times New Roman"/>
          <w:color w:val="000000"/>
        </w:rPr>
        <w:t xml:space="preserve">„90ab) Čl. 2 ods. 1 bod 30 </w:t>
      </w:r>
      <w:r w:rsidRPr="00FA304E">
        <w:rPr>
          <w:rFonts w:ascii="Times New Roman" w:hAnsi="Times New Roman"/>
          <w:bCs/>
          <w:color w:val="000000"/>
        </w:rPr>
        <w:t xml:space="preserve">nariadenia Európskeho parlamentu a Rady (EÚ) č. </w:t>
      </w:r>
      <w:r w:rsidRPr="00FA304E">
        <w:rPr>
          <w:rFonts w:ascii="Times New Roman" w:hAnsi="Times New Roman"/>
          <w:color w:val="000000"/>
        </w:rPr>
        <w:t xml:space="preserve"> 909/2014 </w:t>
      </w:r>
      <w:r w:rsidRPr="00FA304E">
        <w:rPr>
          <w:rFonts w:ascii="Times New Roman" w:hAnsi="Times New Roman"/>
          <w:bCs/>
          <w:color w:val="000000"/>
        </w:rPr>
        <w:t xml:space="preserve">z 23. Júla 2014 </w:t>
      </w:r>
      <w:r w:rsidRPr="00FA304E">
        <w:rPr>
          <w:rFonts w:ascii="Times New Roman" w:hAnsi="Times New Roman"/>
          <w:color w:val="000000"/>
        </w:rPr>
        <w:t xml:space="preserve"> o zlepšení vyrovnania transakcií s cennými papiermi v Európskej únii, centrálnych depozitároch cenných papierov a o zmene smerníc 98/26/ES a 2014/65/EÚ a nariadenia (EÚ) č. 236/2012 </w:t>
      </w:r>
      <w:r w:rsidRPr="00FA304E">
        <w:rPr>
          <w:rFonts w:ascii="Times New Roman" w:hAnsi="Times New Roman"/>
          <w:bCs/>
          <w:color w:val="000000"/>
        </w:rPr>
        <w:t xml:space="preserve"> (Ú. V. EÚ L 257, 28. 8. 2014).</w:t>
      </w:r>
      <w:r w:rsidRPr="00FA304E">
        <w:rPr>
          <w:rFonts w:ascii="Times New Roman" w:hAnsi="Times New Roman"/>
          <w:color w:val="000000"/>
        </w:rPr>
        <w:t xml:space="preserve"> “.</w:t>
      </w:r>
    </w:p>
    <w:p w:rsidR="00FA304E" w:rsidRPr="00FA304E" w:rsidP="00FA304E">
      <w:pPr>
        <w:bidi w:val="0"/>
        <w:jc w:val="both"/>
        <w:rPr>
          <w:rFonts w:ascii="Times New Roman" w:hAnsi="Times New Roman"/>
          <w:bCs/>
          <w:color w:val="000000"/>
        </w:rPr>
      </w:pPr>
    </w:p>
    <w:p w:rsidR="00FA304E" w:rsidRPr="00FA304E" w:rsidP="00FA304E">
      <w:pPr>
        <w:bidi w:val="0"/>
        <w:ind w:left="2552"/>
        <w:contextualSpacing/>
        <w:jc w:val="both"/>
        <w:rPr>
          <w:rFonts w:ascii="Times New Roman" w:hAnsi="Times New Roman"/>
        </w:rPr>
      </w:pPr>
      <w:r w:rsidRPr="00FA304E">
        <w:rPr>
          <w:rFonts w:ascii="Times New Roman" w:hAnsi="Times New Roman"/>
        </w:rPr>
        <w:t>Pre začiatok činnosti novo zriadeného centrálneho depozitára cenných papierov je nevyhnutné vytvorenie legislatívneho prostredia pre prepojenie evidencie na evidenciu už existujúceho centrálneho depozitára cenných papierov, a to najmä prostredníctvom inštitútu držiteľského účtu. V súčasnej legislatívnej úprave absentuje úprava vedenia evidencie pre prípad, že je držiteľský účet zriadený pre centrálneho depozitára cenných papierov. Zmenou sa dosiahne včlenenie evidencie zaknihovaných cenných papierov evidovaných v jednom centrálnom depozitári na účtoch majiteľov, držiteľských a klientskych účtoch pod evidenciu zaknihovaných cenných papierov vedených na držiteľskom účte vedenom v druhom centrálnom depozitári. Táto úprava umožní napríklad presunutie zaknihovaných cenných papierov z evidencie Centrálneho depozitára cenných papierov SR, a.s. do evidencie novozriadeného Národného centrálneho depozitára cenných papierov a.s., ak sa tak majiteľ cenných papierov rozhodne. Úprava je potrebná z dôvodu, že začiatkom roka 2016 sa predpokladá reálne začatie činnosti novozriadeného Národného centrálneho depozitára a.s.</w:t>
      </w:r>
    </w:p>
    <w:p w:rsidR="00FA304E" w:rsidRPr="00FA304E" w:rsidP="00FA304E">
      <w:pPr>
        <w:bidi w:val="0"/>
        <w:ind w:left="993"/>
        <w:contextualSpacing/>
        <w:jc w:val="both"/>
        <w:rPr>
          <w:rFonts w:ascii="Times New Roman" w:hAnsi="Times New Roman"/>
        </w:rPr>
      </w:pPr>
    </w:p>
    <w:p w:rsidR="00FA304E" w:rsidP="00FA304E">
      <w:pPr>
        <w:bidi w:val="0"/>
        <w:ind w:firstLine="284"/>
        <w:jc w:val="both"/>
        <w:rPr>
          <w:rFonts w:ascii="Times New Roman" w:hAnsi="Times New Roman"/>
        </w:rPr>
      </w:pPr>
      <w:r w:rsidRPr="00FA304E">
        <w:rPr>
          <w:rFonts w:ascii="Times New Roman" w:hAnsi="Times New Roman"/>
        </w:rPr>
        <w:t xml:space="preserve">Účinnosť sa navrhuje od 1. januára 2016. </w:t>
      </w:r>
    </w:p>
    <w:p w:rsidR="0060270E" w:rsidRPr="00FA304E" w:rsidP="00FA304E">
      <w:pPr>
        <w:bidi w:val="0"/>
        <w:ind w:firstLine="284"/>
        <w:jc w:val="both"/>
        <w:rPr>
          <w:rFonts w:ascii="Times New Roman" w:hAnsi="Times New Roman"/>
        </w:rPr>
      </w:pPr>
    </w:p>
    <w:p w:rsidR="00FA304E" w:rsidRPr="00FA304E" w:rsidP="00FA304E">
      <w:pPr>
        <w:bidi w:val="0"/>
        <w:ind w:left="284"/>
        <w:rPr>
          <w:rFonts w:ascii="Times New Roman" w:hAnsi="Times New Roman"/>
          <w:bCs/>
        </w:rPr>
      </w:pPr>
      <w:r w:rsidRPr="00FA304E">
        <w:rPr>
          <w:rFonts w:ascii="Times New Roman" w:hAnsi="Times New Roman"/>
          <w:bCs/>
        </w:rPr>
        <w:t>Doterajšie body 1, 2 a 3 sa označujú ako body 3, 4 a 5.</w:t>
      </w:r>
    </w:p>
    <w:p w:rsidR="00FA304E" w:rsidP="00FA304E">
      <w:pPr>
        <w:bidi w:val="0"/>
        <w:ind w:left="3540" w:hanging="988"/>
        <w:jc w:val="both"/>
        <w:rPr>
          <w:rFonts w:ascii="Times New Roman" w:hAnsi="Times New Roman"/>
          <w:b/>
        </w:rPr>
      </w:pPr>
    </w:p>
    <w:p w:rsidR="00FA304E" w:rsidP="00FA304E">
      <w:pPr>
        <w:bidi w:val="0"/>
        <w:ind w:left="3540" w:hanging="98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FA304E" w:rsidP="00FA304E">
      <w:pPr>
        <w:bidi w:val="0"/>
        <w:ind w:left="1844" w:firstLine="708"/>
        <w:rPr>
          <w:rFonts w:ascii="Times New Roman" w:hAnsi="Times New Roman"/>
          <w:b/>
        </w:rPr>
      </w:pPr>
      <w:r w:rsidRPr="00BF14E2">
        <w:rPr>
          <w:rFonts w:ascii="Times New Roman" w:hAnsi="Times New Roman"/>
          <w:b/>
        </w:rPr>
        <w:t>Gestorský výbor odporúča schváliť.</w:t>
      </w:r>
    </w:p>
    <w:p w:rsidR="00FA304E" w:rsidP="00FA304E">
      <w:pPr>
        <w:bidi w:val="0"/>
        <w:ind w:left="993"/>
        <w:rPr>
          <w:rFonts w:ascii="Times New Roman" w:hAnsi="Times New Roman"/>
          <w:bCs/>
        </w:rPr>
      </w:pPr>
    </w:p>
    <w:p w:rsidR="00FA304E" w:rsidRPr="00FA304E" w:rsidP="00FA304E">
      <w:pPr>
        <w:numPr>
          <w:numId w:val="12"/>
        </w:numPr>
        <w:bidi w:val="0"/>
        <w:contextualSpacing/>
        <w:jc w:val="both"/>
        <w:rPr>
          <w:rFonts w:ascii="Times New Roman" w:hAnsi="Times New Roman"/>
          <w:b/>
        </w:rPr>
      </w:pPr>
      <w:r w:rsidRPr="00FA304E">
        <w:rPr>
          <w:rFonts w:ascii="Times New Roman" w:hAnsi="Times New Roman"/>
          <w:b/>
        </w:rPr>
        <w:t>K čl. II</w:t>
      </w:r>
    </w:p>
    <w:p w:rsidR="00FA304E" w:rsidRPr="00FA304E" w:rsidP="00FA304E">
      <w:pPr>
        <w:bidi w:val="0"/>
        <w:ind w:firstLine="708"/>
        <w:contextualSpacing/>
        <w:jc w:val="both"/>
        <w:rPr>
          <w:rFonts w:ascii="Times New Roman" w:hAnsi="Times New Roman"/>
        </w:rPr>
      </w:pPr>
      <w:r w:rsidRPr="00FA304E">
        <w:rPr>
          <w:rFonts w:ascii="Times New Roman" w:hAnsi="Times New Roman"/>
        </w:rPr>
        <w:t>V čl. II sa za 3. bod vkladá nový 4. bod, ktorý znie:</w:t>
      </w:r>
    </w:p>
    <w:p w:rsidR="00FA304E" w:rsidRPr="00FA304E" w:rsidP="00FA304E">
      <w:pPr>
        <w:bidi w:val="0"/>
        <w:ind w:firstLine="708"/>
        <w:contextualSpacing/>
        <w:jc w:val="both"/>
        <w:rPr>
          <w:rFonts w:ascii="Times New Roman" w:hAnsi="Times New Roman"/>
        </w:rPr>
      </w:pPr>
      <w:r w:rsidRPr="00FA304E">
        <w:rPr>
          <w:rFonts w:ascii="Times New Roman" w:hAnsi="Times New Roman"/>
        </w:rPr>
        <w:t>„4. Príloha sa dopĺňa 29. bodom, ktorý znie:</w:t>
      </w:r>
    </w:p>
    <w:p w:rsidR="00FA304E" w:rsidRPr="00FA304E" w:rsidP="00FA304E">
      <w:pPr>
        <w:bidi w:val="0"/>
        <w:ind w:left="708"/>
        <w:contextualSpacing/>
        <w:jc w:val="both"/>
        <w:rPr>
          <w:rFonts w:ascii="Times New Roman" w:hAnsi="Times New Roman"/>
          <w:iCs/>
        </w:rPr>
      </w:pPr>
      <w:r w:rsidRPr="00FA304E">
        <w:rPr>
          <w:rFonts w:ascii="Times New Roman" w:hAnsi="Times New Roman"/>
        </w:rPr>
        <w:t>„29. Smernica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papieroch alebo ich prijatí na obchodovanie, a smernica Komisie 2007/14/ES, ktorou sa stanovujú podrobné pravidlá implementácie určitých ustanovení smernice 2004/109/ES (</w:t>
      </w:r>
      <w:r w:rsidRPr="00FA304E">
        <w:rPr>
          <w:rFonts w:ascii="Times New Roman" w:hAnsi="Times New Roman"/>
          <w:iCs/>
        </w:rPr>
        <w:t>Ú. v. EÚ L 294, 6.11.2013).“.“.</w:t>
      </w:r>
    </w:p>
    <w:p w:rsidR="00FA304E" w:rsidRPr="00FA304E" w:rsidP="00FA304E">
      <w:pPr>
        <w:bidi w:val="0"/>
        <w:ind w:left="2552"/>
        <w:contextualSpacing/>
        <w:jc w:val="both"/>
        <w:rPr>
          <w:rFonts w:ascii="Times New Roman" w:hAnsi="Times New Roman"/>
          <w:iCs/>
        </w:rPr>
      </w:pPr>
    </w:p>
    <w:p w:rsidR="00FA304E" w:rsidRPr="00FA304E" w:rsidP="00FA304E">
      <w:pPr>
        <w:bidi w:val="0"/>
        <w:ind w:left="2552"/>
        <w:contextualSpacing/>
        <w:jc w:val="both"/>
        <w:rPr>
          <w:rFonts w:ascii="Times New Roman" w:hAnsi="Times New Roman"/>
        </w:rPr>
      </w:pPr>
      <w:r w:rsidRPr="00FA304E">
        <w:rPr>
          <w:rFonts w:ascii="Times New Roman" w:hAnsi="Times New Roman"/>
          <w:iCs/>
        </w:rPr>
        <w:t xml:space="preserve">Ide o zosúladenie s </w:t>
      </w:r>
      <w:r w:rsidRPr="00FA304E">
        <w:rPr>
          <w:rFonts w:ascii="Times New Roman" w:hAnsi="Times New Roman"/>
        </w:rPr>
        <w:t>čl. 4 smernice 2013/50/EÚ doplnením preberanej smernice do zoznamu preberaných právne záväzných aktov EÚ.</w:t>
      </w:r>
    </w:p>
    <w:p w:rsidR="00FA304E" w:rsidP="00FA304E">
      <w:pPr>
        <w:bidi w:val="0"/>
        <w:ind w:left="3540" w:hanging="988"/>
        <w:jc w:val="both"/>
        <w:rPr>
          <w:rFonts w:ascii="Times New Roman" w:hAnsi="Times New Roman"/>
          <w:b/>
        </w:rPr>
      </w:pPr>
    </w:p>
    <w:p w:rsidR="0060270E" w:rsidP="0060270E">
      <w:pPr>
        <w:bidi w:val="0"/>
        <w:ind w:left="3540" w:hanging="98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60270E" w:rsidRPr="00DA564F" w:rsidP="0060270E">
      <w:pPr>
        <w:bidi w:val="0"/>
        <w:ind w:left="3540" w:hanging="988"/>
        <w:jc w:val="both"/>
        <w:rPr>
          <w:rFonts w:ascii="Times New Roman" w:hAnsi="Times New Roman"/>
          <w:b/>
        </w:rPr>
      </w:pPr>
      <w:r w:rsidRPr="00DA564F">
        <w:rPr>
          <w:rFonts w:ascii="Times New Roman" w:hAnsi="Times New Roman"/>
          <w:b/>
        </w:rPr>
        <w:t>Ústavnoprávny výbor NR SR</w:t>
      </w:r>
    </w:p>
    <w:p w:rsidR="0060270E" w:rsidP="0060270E">
      <w:pPr>
        <w:bidi w:val="0"/>
        <w:ind w:left="1844" w:firstLine="708"/>
        <w:rPr>
          <w:rFonts w:ascii="Times New Roman" w:hAnsi="Times New Roman"/>
          <w:b/>
        </w:rPr>
      </w:pPr>
      <w:r w:rsidRPr="00BF14E2">
        <w:rPr>
          <w:rFonts w:ascii="Times New Roman" w:hAnsi="Times New Roman"/>
          <w:b/>
        </w:rPr>
        <w:t>Gestorský výbor odporúča schváliť.</w:t>
      </w:r>
    </w:p>
    <w:p w:rsidR="00FA304E" w:rsidRPr="00FA304E" w:rsidP="00FA304E">
      <w:pPr>
        <w:bidi w:val="0"/>
        <w:contextualSpacing/>
        <w:jc w:val="both"/>
        <w:rPr>
          <w:rFonts w:ascii="Times New Roman" w:hAnsi="Times New Roman"/>
        </w:rPr>
      </w:pPr>
    </w:p>
    <w:p w:rsidR="00FA304E" w:rsidRPr="00FA304E" w:rsidP="00FA304E">
      <w:pPr>
        <w:numPr>
          <w:numId w:val="12"/>
        </w:numPr>
        <w:bidi w:val="0"/>
        <w:contextualSpacing/>
        <w:jc w:val="both"/>
        <w:rPr>
          <w:rFonts w:ascii="Times New Roman" w:hAnsi="Times New Roman"/>
          <w:b/>
        </w:rPr>
      </w:pPr>
      <w:r w:rsidRPr="00FA304E">
        <w:rPr>
          <w:rFonts w:ascii="Times New Roman" w:hAnsi="Times New Roman"/>
          <w:b/>
        </w:rPr>
        <w:t>K čl. II</w:t>
      </w:r>
    </w:p>
    <w:p w:rsidR="00FA304E" w:rsidRPr="00FA304E" w:rsidP="00FA304E">
      <w:pPr>
        <w:bidi w:val="0"/>
        <w:ind w:left="720"/>
        <w:contextualSpacing/>
        <w:rPr>
          <w:rFonts w:ascii="Times New Roman" w:hAnsi="Times New Roman"/>
        </w:rPr>
      </w:pPr>
      <w:r w:rsidRPr="00FA304E">
        <w:rPr>
          <w:rFonts w:ascii="Times New Roman" w:hAnsi="Times New Roman"/>
        </w:rPr>
        <w:t xml:space="preserve">Článok II sa dopĺňa bodom 6, ktorý znie: </w:t>
      </w:r>
    </w:p>
    <w:p w:rsidR="00FA304E" w:rsidP="00FA304E">
      <w:pPr>
        <w:bidi w:val="0"/>
        <w:contextualSpacing/>
        <w:rPr>
          <w:rFonts w:ascii="Times New Roman" w:hAnsi="Times New Roman"/>
        </w:rPr>
      </w:pPr>
      <w:r w:rsidRPr="00FA304E">
        <w:rPr>
          <w:rFonts w:ascii="Times New Roman" w:hAnsi="Times New Roman"/>
        </w:rPr>
        <w:t xml:space="preserve">            6.   Za § 173v sa vkladá § 173w, ktorý znie:</w:t>
      </w:r>
    </w:p>
    <w:p w:rsidR="0060270E" w:rsidRPr="00FA304E" w:rsidP="00FA304E">
      <w:pPr>
        <w:bidi w:val="0"/>
        <w:contextualSpacing/>
        <w:rPr>
          <w:rFonts w:ascii="Times New Roman" w:hAnsi="Times New Roman"/>
        </w:rPr>
      </w:pPr>
    </w:p>
    <w:p w:rsidR="00FA304E" w:rsidRPr="00FA304E" w:rsidP="00FA304E">
      <w:pPr>
        <w:autoSpaceDE w:val="0"/>
        <w:autoSpaceDN w:val="0"/>
        <w:bidi w:val="0"/>
        <w:jc w:val="center"/>
        <w:rPr>
          <w:rFonts w:ascii="Times New Roman" w:hAnsi="Times New Roman"/>
          <w:bCs/>
        </w:rPr>
      </w:pPr>
      <w:r w:rsidRPr="00FA304E">
        <w:rPr>
          <w:rFonts w:ascii="Times New Roman" w:hAnsi="Times New Roman"/>
          <w:bCs/>
        </w:rPr>
        <w:t xml:space="preserve"> „§ 173w</w:t>
      </w:r>
    </w:p>
    <w:p w:rsidR="00FA304E" w:rsidRPr="00FA304E" w:rsidP="00FA304E">
      <w:pPr>
        <w:bidi w:val="0"/>
        <w:ind w:left="708"/>
        <w:jc w:val="both"/>
        <w:rPr>
          <w:rFonts w:ascii="Times New Roman" w:hAnsi="Times New Roman"/>
          <w:bCs/>
        </w:rPr>
      </w:pPr>
      <w:r w:rsidRPr="00FA304E">
        <w:rPr>
          <w:rFonts w:ascii="Times New Roman" w:hAnsi="Times New Roman"/>
          <w:bCs/>
        </w:rPr>
        <w:t xml:space="preserve">Do doby, kým nie je vytvorený a uvedený do prevádzky systém pre technické spracovanie údajov na účely evidencie nezaradeného účtu podľa § 173v ods. 1, sa  ustanovenia § 173v ods. 1 druhej vety a ods. 2 až 4 neuplatňujú, a na nezaradený účet majiteľa sa vzťahujú ustanovenia o účte majiteľa.“.        </w:t>
        <w:tab/>
        <w:tab/>
        <w:tab/>
        <w:tab/>
      </w:r>
    </w:p>
    <w:p w:rsidR="00FA304E" w:rsidRPr="00FA304E" w:rsidP="00FA304E">
      <w:pPr>
        <w:bidi w:val="0"/>
        <w:ind w:left="2552"/>
        <w:jc w:val="both"/>
        <w:rPr>
          <w:rFonts w:ascii="Times New Roman" w:hAnsi="Times New Roman"/>
          <w:bCs/>
        </w:rPr>
      </w:pPr>
    </w:p>
    <w:p w:rsidR="00FA304E" w:rsidRPr="00FA304E" w:rsidP="00FA304E">
      <w:pPr>
        <w:bidi w:val="0"/>
        <w:ind w:left="2552"/>
        <w:jc w:val="both"/>
        <w:rPr>
          <w:rFonts w:ascii="Times New Roman" w:hAnsi="Times New Roman"/>
          <w:bCs/>
        </w:rPr>
      </w:pPr>
      <w:r w:rsidRPr="00FA304E">
        <w:rPr>
          <w:rFonts w:ascii="Times New Roman" w:hAnsi="Times New Roman"/>
          <w:bCs/>
        </w:rPr>
        <w:t>Právnou úpravou ustanovenia 173v sa zavádzal do právneho poriadku SR režim tzv. nezaradených účtov majiteľov cenných papierov, ktorý mal nadväzovať na ukončenie akcie bezodplatných prevodov na FNM SR a  zároveň mal zabezpečiť posilnenie členského princípu. Od 01.07.2015 sa však novelou zákona č. 92/1991 Zb. opätovne zaviedla možnosť bezodplatných prevodov  zaknihovaných cenných papierov na FNM SR, a to na obdobie od 01.07.2015 do 30.06.2016. Predmetné zmeny súvisiace so zavedením plného členského princípu je nutné implementovať do informačného systému Centrálneho depozitára cenných papierov SR, a.s. (CDCP), ktorý je pripravovaný v súlade s integračnými povinnosťami a záväzkami, ktoré vyplývajú pre CDCP, NBS a následne aj celý trh z pristúpenia k projektu ECP – T2S a zároveň do existujúceho informačného systému CDCP, ktorý bude využívaný do doby migrácie do T2S, t. j. do februára 2017. Prispôsobiť systém CDCP pre technické spracovanie údajov si však vyžaduje viac času než bolo ustanovené v § 173v, a preto je potrebné oddialiť aplikáciu ustanovenia § 173v až do času, kým nie je vytvorený a uvedený do prevádzky systém pre technické spracovanie údajov na účely evidencie nezaradeného účtu podľa § 173v ods. 1.</w:t>
      </w:r>
    </w:p>
    <w:p w:rsidR="00FA304E" w:rsidP="00FA304E">
      <w:pPr>
        <w:bidi w:val="0"/>
        <w:ind w:firstLine="708"/>
        <w:jc w:val="both"/>
        <w:rPr>
          <w:rFonts w:ascii="Times New Roman" w:hAnsi="Times New Roman"/>
        </w:rPr>
      </w:pPr>
    </w:p>
    <w:p w:rsidR="00FA304E" w:rsidRPr="00FA304E" w:rsidP="00FA304E">
      <w:pPr>
        <w:bidi w:val="0"/>
        <w:ind w:firstLine="708"/>
        <w:jc w:val="both"/>
        <w:rPr>
          <w:rFonts w:ascii="Times New Roman" w:hAnsi="Times New Roman"/>
          <w:b/>
          <w:bCs/>
          <w:iCs/>
        </w:rPr>
      </w:pPr>
      <w:r w:rsidRPr="00FA304E">
        <w:rPr>
          <w:rFonts w:ascii="Times New Roman" w:hAnsi="Times New Roman"/>
        </w:rPr>
        <w:t xml:space="preserve">Účinnosť sa navrhuje od 1. januára 2016. </w:t>
      </w:r>
    </w:p>
    <w:p w:rsidR="00A32B69" w:rsidP="00A666DE">
      <w:pPr>
        <w:bidi w:val="0"/>
        <w:jc w:val="both"/>
        <w:rPr>
          <w:rFonts w:ascii="Times New Roman" w:hAnsi="Times New Roman"/>
          <w:color w:val="FF0000"/>
          <w:lang w:eastAsia="en-US"/>
        </w:rPr>
      </w:pPr>
    </w:p>
    <w:p w:rsidR="00FA304E" w:rsidP="00FA304E">
      <w:pPr>
        <w:bidi w:val="0"/>
        <w:ind w:left="3540" w:hanging="98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FA304E" w:rsidP="00FA304E">
      <w:pPr>
        <w:bidi w:val="0"/>
        <w:ind w:left="1844" w:firstLine="708"/>
        <w:rPr>
          <w:rFonts w:ascii="Times New Roman" w:hAnsi="Times New Roman"/>
          <w:b/>
        </w:rPr>
      </w:pPr>
      <w:r w:rsidRPr="00BF14E2">
        <w:rPr>
          <w:rFonts w:ascii="Times New Roman" w:hAnsi="Times New Roman"/>
          <w:b/>
        </w:rPr>
        <w:t>Gestorský výbor odporúča schváliť.</w:t>
      </w:r>
    </w:p>
    <w:p w:rsidR="00FA304E" w:rsidP="00A666DE">
      <w:pPr>
        <w:bidi w:val="0"/>
        <w:jc w:val="both"/>
        <w:rPr>
          <w:rFonts w:ascii="Times New Roman" w:hAnsi="Times New Roman"/>
          <w:color w:val="FF0000"/>
          <w:lang w:eastAsia="en-US"/>
        </w:rPr>
      </w:pPr>
    </w:p>
    <w:p w:rsidR="0060270E" w:rsidP="0060270E">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60270E" w:rsidP="0060270E">
      <w:pPr>
        <w:pStyle w:val="BodyText2"/>
        <w:bidi w:val="0"/>
        <w:rPr>
          <w:rFonts w:ascii="Times New Roman" w:hAnsi="Times New Roman"/>
        </w:rPr>
      </w:pPr>
    </w:p>
    <w:p w:rsidR="0060270E" w:rsidRPr="002B0CB4" w:rsidP="0060270E">
      <w:pPr>
        <w:pStyle w:val="BodyText2"/>
        <w:bidi w:val="0"/>
        <w:ind w:firstLine="708"/>
        <w:rPr>
          <w:rFonts w:ascii="Times New Roman" w:hAnsi="Times New Roman"/>
        </w:rPr>
      </w:pPr>
      <w:r w:rsidRPr="002B0CB4">
        <w:rPr>
          <w:rFonts w:ascii="Times New Roman" w:hAnsi="Times New Roman"/>
        </w:rPr>
        <w:t xml:space="preserve">O bodoch spoločnej správy č. </w:t>
      </w:r>
      <w:r>
        <w:rPr>
          <w:rFonts w:ascii="Times New Roman" w:hAnsi="Times New Roman"/>
        </w:rPr>
        <w:t xml:space="preserve"> </w:t>
      </w:r>
      <w:r>
        <w:rPr>
          <w:rFonts w:ascii="Times New Roman" w:hAnsi="Times New Roman"/>
          <w:b/>
        </w:rPr>
        <w:t xml:space="preserve">1 až 7  </w:t>
      </w:r>
      <w:r w:rsidRPr="002B0CB4">
        <w:rPr>
          <w:rFonts w:ascii="Times New Roman" w:hAnsi="Times New Roman"/>
        </w:rPr>
        <w:t xml:space="preserve"> hlasovať spoločne s návrhom gestorského výboru </w:t>
      </w:r>
      <w:r w:rsidRPr="002B0CB4">
        <w:rPr>
          <w:rFonts w:ascii="Times New Roman" w:hAnsi="Times New Roman"/>
          <w:b/>
        </w:rPr>
        <w:t>schváliť</w:t>
      </w:r>
      <w:r w:rsidRPr="002B0CB4">
        <w:rPr>
          <w:rFonts w:ascii="Times New Roman" w:hAnsi="Times New Roman"/>
        </w:rPr>
        <w:t>.</w:t>
      </w:r>
    </w:p>
    <w:p w:rsidR="00BF14E2" w:rsidP="0060270E">
      <w:pPr>
        <w:tabs>
          <w:tab w:val="left" w:pos="-1985"/>
          <w:tab w:val="left" w:pos="709"/>
          <w:tab w:val="left" w:pos="1077"/>
        </w:tabs>
        <w:bidi w:val="0"/>
        <w:jc w:val="both"/>
        <w:rPr>
          <w:rFonts w:ascii="Times New Roman" w:hAnsi="Times New Roman"/>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531E47"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A666DE">
      <w:pPr>
        <w:bidi w:val="0"/>
        <w:jc w:val="both"/>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 xml:space="preserve">k </w:t>
      </w:r>
      <w:r w:rsidRPr="008B1B60" w:rsidR="008B1B60">
        <w:rPr>
          <w:rFonts w:ascii="Times New Roman" w:hAnsi="Times New Roman"/>
        </w:rPr>
        <w:t>v</w:t>
      </w:r>
      <w:r w:rsidRPr="008B1B60" w:rsidR="008B1B60">
        <w:rPr>
          <w:rFonts w:ascii="Times New Roman" w:hAnsi="Times New Roman"/>
          <w:bCs/>
          <w:iCs/>
        </w:rPr>
        <w:t>ládnemu návrhu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(tlač 1691)</w:t>
      </w:r>
      <w:r w:rsidR="008B1B60">
        <w:rPr>
          <w:rFonts w:ascii="Times New Roman" w:hAnsi="Times New Roman"/>
          <w:b/>
          <w:bCs/>
          <w:iCs/>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RPr="00F36DCE" w:rsidP="004E4DCD">
      <w:pPr>
        <w:bidi w:val="0"/>
        <w:spacing w:line="360" w:lineRule="auto"/>
        <w:jc w:val="both"/>
        <w:rPr>
          <w:rFonts w:ascii="Times New Roman" w:hAnsi="Times New Roman"/>
          <w:b/>
          <w:bCs/>
        </w:rPr>
      </w:pPr>
    </w:p>
    <w:p w:rsidR="004E4DCD" w:rsidRPr="00F36DCE" w:rsidP="00472536">
      <w:pPr>
        <w:bidi w:val="0"/>
        <w:ind w:firstLine="708"/>
        <w:jc w:val="both"/>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8B6299" w:rsidR="008B1B60">
        <w:rPr>
          <w:rFonts w:ascii="Times New Roman" w:hAnsi="Times New Roman"/>
        </w:rPr>
        <w:t>v</w:t>
      </w:r>
      <w:r w:rsidRPr="008B6299" w:rsidR="008B1B60">
        <w:rPr>
          <w:rFonts w:ascii="Times New Roman" w:hAnsi="Times New Roman"/>
          <w:bCs/>
          <w:iCs/>
        </w:rPr>
        <w:t>ládneho návrhu zákona, 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(tlač 1691</w:t>
      </w:r>
      <w:r w:rsidR="008B6299">
        <w:rPr>
          <w:rFonts w:ascii="Times New Roman" w:hAnsi="Times New Roman"/>
          <w:bCs/>
          <w:iCs/>
        </w:rPr>
        <w:t>a</w:t>
      </w:r>
      <w:r w:rsidRPr="008B6299" w:rsidR="008B1B60">
        <w:rPr>
          <w:rFonts w:ascii="Times New Roman" w:hAnsi="Times New Roman"/>
          <w:bCs/>
          <w:iCs/>
        </w:rPr>
        <w:t>)</w:t>
      </w:r>
      <w:r w:rsidR="008B6299">
        <w:rPr>
          <w:rFonts w:ascii="Times New Roman" w:hAnsi="Times New Roman"/>
          <w:bCs/>
          <w:iCs/>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F36DCE" w:rsidR="00436E42">
        <w:rPr>
          <w:rFonts w:ascii="Times New Roman" w:hAnsi="Times New Roman"/>
          <w:bCs/>
        </w:rPr>
        <w:t>č.</w:t>
      </w:r>
      <w:r w:rsidR="00095A32">
        <w:rPr>
          <w:rFonts w:ascii="Times New Roman" w:hAnsi="Times New Roman"/>
          <w:bCs/>
        </w:rPr>
        <w:t xml:space="preserve"> </w:t>
      </w:r>
      <w:r w:rsidR="00606F46">
        <w:rPr>
          <w:rFonts w:ascii="Times New Roman" w:hAnsi="Times New Roman"/>
          <w:bCs/>
        </w:rPr>
        <w:t>519</w:t>
      </w:r>
      <w:r w:rsidR="004C0A10">
        <w:rPr>
          <w:rFonts w:ascii="Times New Roman" w:hAnsi="Times New Roman"/>
          <w:bCs/>
        </w:rPr>
        <w:t xml:space="preserve"> </w:t>
      </w:r>
      <w:r w:rsidRPr="00F36DCE" w:rsidR="00AA7E5B">
        <w:rPr>
          <w:rFonts w:ascii="Times New Roman" w:hAnsi="Times New Roman"/>
          <w:bCs/>
        </w:rPr>
        <w:t>z</w:t>
      </w:r>
      <w:r w:rsidR="00252DDA">
        <w:rPr>
          <w:rFonts w:ascii="Times New Roman" w:hAnsi="Times New Roman"/>
          <w:bCs/>
        </w:rPr>
        <w:t>o</w:t>
      </w:r>
      <w:r w:rsidR="00BE7DA9">
        <w:rPr>
          <w:rFonts w:ascii="Times New Roman" w:hAnsi="Times New Roman"/>
          <w:bCs/>
        </w:rPr>
        <w:t> </w:t>
      </w:r>
      <w:r w:rsidR="00252DDA">
        <w:rPr>
          <w:rFonts w:ascii="Times New Roman" w:hAnsi="Times New Roman"/>
          <w:bCs/>
        </w:rPr>
        <w:t>6</w:t>
      </w:r>
      <w:r w:rsidRPr="00F36DCE" w:rsidR="00FC4AEC">
        <w:rPr>
          <w:rFonts w:ascii="Times New Roman" w:hAnsi="Times New Roman"/>
          <w:bCs/>
        </w:rPr>
        <w:t>.</w:t>
      </w:r>
      <w:r w:rsidRPr="00F36DCE" w:rsidR="004903E5">
        <w:rPr>
          <w:rFonts w:ascii="Times New Roman" w:hAnsi="Times New Roman"/>
          <w:bCs/>
        </w:rPr>
        <w:t xml:space="preserve"> </w:t>
      </w:r>
      <w:r w:rsidR="00252DDA">
        <w:rPr>
          <w:rFonts w:ascii="Times New Roman" w:hAnsi="Times New Roman"/>
          <w:bCs/>
        </w:rPr>
        <w:t>novembra</w:t>
      </w:r>
      <w:r w:rsidRPr="00F36DCE" w:rsidR="004903E5">
        <w:rPr>
          <w:rFonts w:ascii="Times New Roman" w:hAnsi="Times New Roman"/>
          <w:bCs/>
        </w:rPr>
        <w:t xml:space="preserve"> </w:t>
      </w:r>
      <w:r w:rsidRPr="00F36DCE" w:rsidR="00AA7E5B">
        <w:rPr>
          <w:rFonts w:ascii="Times New Roman" w:hAnsi="Times New Roman"/>
          <w:bCs/>
        </w:rPr>
        <w:t>201</w:t>
      </w:r>
      <w:r w:rsidRPr="00F36DCE" w:rsidR="004903E5">
        <w:rPr>
          <w:rFonts w:ascii="Times New Roman" w:hAnsi="Times New Roman"/>
          <w:bCs/>
        </w:rPr>
        <w:t>5</w:t>
      </w:r>
      <w:r w:rsidRPr="00F36DCE" w:rsidR="00436E42">
        <w:rPr>
          <w:rFonts w:ascii="Times New Roman" w:hAnsi="Times New Roman"/>
          <w:bCs/>
        </w:rPr>
        <w:t>.</w:t>
      </w:r>
      <w:r w:rsidRPr="00F36DCE" w:rsidR="00AA7E5B">
        <w:rPr>
          <w:rFonts w:ascii="Times New Roman" w:hAnsi="Times New Roman"/>
          <w:bCs/>
        </w:rPr>
        <w:t xml:space="preserve"> </w:t>
      </w:r>
    </w:p>
    <w:p w:rsidR="00094E4C" w:rsidRPr="00F36DCE" w:rsidP="0043479C">
      <w:pPr>
        <w:bidi w:val="0"/>
        <w:spacing w:line="360" w:lineRule="auto"/>
        <w:ind w:firstLine="708"/>
        <w:jc w:val="both"/>
        <w:rPr>
          <w:rFonts w:ascii="Times New Roman" w:hAnsi="Times New Roman"/>
        </w:rPr>
      </w:pPr>
    </w:p>
    <w:p w:rsidR="004903E5" w:rsidP="00472536">
      <w:pPr>
        <w:bidi w:val="0"/>
        <w:ind w:firstLine="708"/>
        <w:jc w:val="both"/>
        <w:rPr>
          <w:rFonts w:ascii="Times New Roman" w:hAnsi="Times New Roman"/>
          <w:bCs/>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14586D">
        <w:rPr>
          <w:rFonts w:ascii="Times New Roman" w:hAnsi="Times New Roman"/>
          <w:bCs/>
        </w:rPr>
        <w:t>ého</w:t>
      </w:r>
      <w:r w:rsidRPr="00F36DCE" w:rsidR="00894BC4">
        <w:rPr>
          <w:rFonts w:ascii="Times New Roman" w:hAnsi="Times New Roman"/>
          <w:bCs/>
        </w:rPr>
        <w:t xml:space="preserve"> spravodaj</w:t>
      </w:r>
      <w:r w:rsidR="0014586D">
        <w:rPr>
          <w:rFonts w:ascii="Times New Roman" w:hAnsi="Times New Roman"/>
          <w:bCs/>
        </w:rPr>
        <w:t>c</w:t>
      </w:r>
      <w:r w:rsidRPr="00F36DCE" w:rsidR="00894BC4">
        <w:rPr>
          <w:rFonts w:ascii="Times New Roman" w:hAnsi="Times New Roman"/>
          <w:bCs/>
        </w:rPr>
        <w:t xml:space="preserve">u </w:t>
      </w:r>
      <w:r w:rsidR="00C31E18">
        <w:rPr>
          <w:rFonts w:ascii="Times New Roman" w:hAnsi="Times New Roman"/>
          <w:b/>
          <w:bCs/>
        </w:rPr>
        <w:t>Štefana Hrehu</w:t>
      </w:r>
      <w:r w:rsidRPr="00F36DCE" w:rsidR="00400586">
        <w:rPr>
          <w:rFonts w:ascii="Times New Roman" w:hAnsi="Times New Roman"/>
          <w:b/>
          <w:bCs/>
        </w:rPr>
        <w:t>,</w:t>
      </w:r>
      <w:r w:rsidRPr="00F36DCE" w:rsidR="000A0E9C">
        <w:rPr>
          <w:rFonts w:ascii="Times New Roman" w:hAnsi="Times New Roman"/>
          <w:bCs/>
        </w:rPr>
        <w:t xml:space="preserve"> </w:t>
      </w:r>
      <w:r w:rsidRPr="00F36DCE" w:rsidR="00812DA5">
        <w:rPr>
          <w:rFonts w:ascii="Times New Roman" w:hAnsi="Times New Roman"/>
          <w:bCs/>
        </w:rPr>
        <w:t>aby na schôdzi Národnej rady Slov</w:t>
      </w:r>
      <w:r w:rsidRPr="00F36DCE" w:rsidR="00215316">
        <w:rPr>
          <w:rFonts w:ascii="Times New Roman" w:hAnsi="Times New Roman"/>
          <w:bCs/>
        </w:rPr>
        <w:t>enskej republiky pri rokovaní o </w:t>
      </w:r>
      <w:r w:rsidRPr="00F36DCE" w:rsidR="00812DA5">
        <w:rPr>
          <w:rFonts w:ascii="Times New Roman" w:hAnsi="Times New Roman"/>
          <w:bCs/>
        </w:rPr>
        <w:t>pre</w:t>
      </w:r>
      <w:r w:rsidRPr="00F36DCE" w:rsidR="00400586">
        <w:rPr>
          <w:rFonts w:ascii="Times New Roman" w:hAnsi="Times New Roman"/>
          <w:bCs/>
        </w:rPr>
        <w:t xml:space="preserve">dmetnom </w:t>
      </w:r>
      <w:r w:rsidRPr="00F36DCE" w:rsidR="00B34967">
        <w:rPr>
          <w:rFonts w:ascii="Times New Roman" w:hAnsi="Times New Roman"/>
          <w:bCs/>
        </w:rPr>
        <w:t>vládno</w:t>
      </w:r>
      <w:r w:rsidR="0038421A">
        <w:rPr>
          <w:rFonts w:ascii="Times New Roman" w:hAnsi="Times New Roman"/>
          <w:bCs/>
        </w:rPr>
        <w:t>m</w:t>
      </w:r>
      <w:r w:rsidRPr="00F36DCE" w:rsidR="00B34967">
        <w:rPr>
          <w:rFonts w:ascii="Times New Roman" w:hAnsi="Times New Roman"/>
          <w:bCs/>
        </w:rPr>
        <w:t xml:space="preserve"> </w:t>
      </w:r>
      <w:r w:rsidRPr="00F36DCE" w:rsidR="00400586">
        <w:rPr>
          <w:rFonts w:ascii="Times New Roman" w:hAnsi="Times New Roman"/>
          <w:bCs/>
        </w:rPr>
        <w:t>návrhu zákona predkladal</w:t>
      </w:r>
      <w:r w:rsidRPr="00F36DCE" w:rsidR="00812DA5">
        <w:rPr>
          <w:rFonts w:ascii="Times New Roman" w:hAnsi="Times New Roman"/>
          <w:bCs/>
        </w:rPr>
        <w:t xml:space="preserve"> návrhy v zmysle prí</w:t>
      </w:r>
      <w:r w:rsidRPr="00F36DCE" w:rsidR="00215316">
        <w:rPr>
          <w:rFonts w:ascii="Times New Roman" w:hAnsi="Times New Roman"/>
          <w:bCs/>
        </w:rPr>
        <w:t>slušných ustanovení zákona o </w:t>
      </w:r>
      <w:r w:rsidRPr="00F36DCE" w:rsidR="00812DA5">
        <w:rPr>
          <w:rFonts w:ascii="Times New Roman" w:hAnsi="Times New Roman"/>
          <w:bCs/>
        </w:rPr>
        <w:t>rokovacom poriadku Nár</w:t>
      </w:r>
      <w:r w:rsidRPr="00F36DCE" w:rsidR="00066BF7">
        <w:rPr>
          <w:rFonts w:ascii="Times New Roman" w:hAnsi="Times New Roman"/>
          <w:bCs/>
        </w:rPr>
        <w:t>o</w:t>
      </w:r>
      <w:r w:rsidR="00406B95">
        <w:rPr>
          <w:rFonts w:ascii="Times New Roman" w:hAnsi="Times New Roman"/>
          <w:bCs/>
        </w:rPr>
        <w:t>dnej rady Slovenskej republiky.</w:t>
      </w:r>
    </w:p>
    <w:p w:rsidR="0060270E" w:rsidP="00472536">
      <w:pPr>
        <w:pStyle w:val="BodyText3"/>
        <w:bidi w:val="0"/>
        <w:ind w:left="720"/>
        <w:rPr>
          <w:rFonts w:ascii="Times New Roman" w:hAnsi="Times New Roman"/>
        </w:rPr>
      </w:pPr>
      <w:r w:rsidRPr="00F36DCE" w:rsidR="00AA7E5B">
        <w:rPr>
          <w:rFonts w:ascii="Times New Roman" w:hAnsi="Times New Roman"/>
        </w:rPr>
        <w:tab/>
        <w:tab/>
      </w:r>
    </w:p>
    <w:p w:rsidR="0060270E" w:rsidP="00472536">
      <w:pPr>
        <w:pStyle w:val="BodyText3"/>
        <w:bidi w:val="0"/>
        <w:ind w:left="720"/>
        <w:rPr>
          <w:rFonts w:ascii="Times New Roman" w:hAnsi="Times New Roman"/>
        </w:rPr>
      </w:pP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tab/>
      </w: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6. </w:t>
      </w:r>
      <w:r>
        <w:rPr>
          <w:rFonts w:ascii="Times New Roman" w:hAnsi="Times New Roman"/>
          <w:szCs w:val="20"/>
        </w:rPr>
        <w:t>novembra</w:t>
      </w:r>
      <w:r w:rsidRPr="00252DDA">
        <w:rPr>
          <w:rFonts w:ascii="Times New Roman" w:hAnsi="Times New Roman"/>
          <w:szCs w:val="20"/>
        </w:rPr>
        <w:t xml:space="preserve"> 2015</w:t>
      </w:r>
    </w:p>
    <w:p w:rsidR="00252DDA" w:rsidRPr="00252DDA" w:rsidP="00472536">
      <w:pPr>
        <w:bidi w:val="0"/>
        <w:jc w:val="both"/>
        <w:rPr>
          <w:rFonts w:ascii="Times New Roman" w:hAnsi="Times New Roman"/>
          <w:szCs w:val="20"/>
        </w:rPr>
      </w:pPr>
    </w:p>
    <w:p w:rsidR="00252DDA" w:rsidP="00472536">
      <w:pPr>
        <w:bidi w:val="0"/>
        <w:jc w:val="both"/>
        <w:rPr>
          <w:rFonts w:ascii="Times New Roman" w:hAnsi="Times New Roman"/>
          <w:szCs w:val="20"/>
        </w:rPr>
      </w:pPr>
    </w:p>
    <w:p w:rsidR="00252DDA" w:rsidRPr="00252DDA" w:rsidP="00472536">
      <w:pPr>
        <w:bidi w:val="0"/>
        <w:jc w:val="both"/>
        <w:rPr>
          <w:rFonts w:ascii="Times New Roman" w:hAnsi="Times New Roman"/>
          <w:szCs w:val="20"/>
        </w:rPr>
      </w:pPr>
    </w:p>
    <w:p w:rsidR="00252DDA" w:rsidRPr="00252DDA" w:rsidP="00472536">
      <w:pPr>
        <w:bidi w:val="0"/>
        <w:jc w:val="both"/>
        <w:rPr>
          <w:rFonts w:ascii="Times New Roman" w:hAnsi="Times New Roman"/>
          <w:szCs w:val="20"/>
        </w:rPr>
      </w:pP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Daniel  D u c h o</w:t>
      </w:r>
      <w:r>
        <w:rPr>
          <w:rFonts w:ascii="Times New Roman" w:hAnsi="Times New Roman"/>
          <w:b/>
          <w:bCs/>
          <w:szCs w:val="20"/>
        </w:rPr>
        <w:t> </w:t>
      </w:r>
      <w:r w:rsidRPr="00252DDA">
        <w:rPr>
          <w:rFonts w:ascii="Times New Roman" w:hAnsi="Times New Roman"/>
          <w:b/>
          <w:bCs/>
          <w:szCs w:val="20"/>
        </w:rPr>
        <w:t>ň</w:t>
      </w:r>
      <w:r>
        <w:rPr>
          <w:rFonts w:ascii="Times New Roman" w:hAnsi="Times New Roman"/>
          <w:b/>
          <w:bCs/>
          <w:szCs w:val="20"/>
        </w:rPr>
        <w:t>, v.r.</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252DDA" w:rsidRPr="00252DDA" w:rsidP="00472536">
      <w:pPr>
        <w:bidi w:val="0"/>
        <w:ind w:left="1416" w:firstLine="708"/>
        <w:rPr>
          <w:rFonts w:ascii="Times New Roman" w:hAnsi="Times New Roman"/>
        </w:rPr>
      </w:pPr>
      <w:r w:rsidRPr="00252DDA">
        <w:rPr>
          <w:rFonts w:ascii="Times New Roman" w:hAnsi="Times New Roman"/>
          <w:b/>
          <w:bCs/>
        </w:rPr>
        <w:t xml:space="preserve">            Výboru NR SR pre financie a rozpočet </w:t>
      </w:r>
    </w:p>
    <w:p w:rsidR="004903E5" w:rsidRPr="00F36DCE" w:rsidP="00472536">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p>
    <w:p w:rsidR="00D02F29" w:rsidP="00472536">
      <w:pPr>
        <w:tabs>
          <w:tab w:val="left" w:pos="-1985"/>
          <w:tab w:val="left" w:pos="709"/>
          <w:tab w:val="left" w:pos="1077"/>
        </w:tabs>
        <w:bidi w:val="0"/>
        <w:jc w:val="both"/>
        <w:rPr>
          <w:rFonts w:ascii="Times New Roman" w:hAnsi="Times New Roman"/>
        </w:rPr>
      </w:pPr>
    </w:p>
    <w:sectPr w:rsidSect="004840F4">
      <w:footerReference w:type="even" r:id="rId5"/>
      <w:footerReference w:type="default" r:id="rId6"/>
      <w:pgSz w:w="11906" w:h="16838"/>
      <w:pgMar w:top="851"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06F46">
      <w:rPr>
        <w:rFonts w:ascii="Times New Roman" w:hAnsi="Times New Roman"/>
        <w:noProof/>
      </w:rPr>
      <w:t>6</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C6820F8"/>
    <w:multiLevelType w:val="hybridMultilevel"/>
    <w:tmpl w:val="ECA2C336"/>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FCF1F7C"/>
    <w:multiLevelType w:val="hybridMultilevel"/>
    <w:tmpl w:val="1B0284E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1">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lvlOverride w:ilvl="0"/>
  </w:num>
  <w:num w:numId="11">
    <w:abstractNumId w:val="0"/>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1456E"/>
    <w:rsid w:val="00014B42"/>
    <w:rsid w:val="00015197"/>
    <w:rsid w:val="000165F6"/>
    <w:rsid w:val="00016FA1"/>
    <w:rsid w:val="00022261"/>
    <w:rsid w:val="0002667B"/>
    <w:rsid w:val="000321CE"/>
    <w:rsid w:val="00033B70"/>
    <w:rsid w:val="000346FE"/>
    <w:rsid w:val="0003686F"/>
    <w:rsid w:val="00037D5F"/>
    <w:rsid w:val="00042A43"/>
    <w:rsid w:val="00042D1D"/>
    <w:rsid w:val="000434BC"/>
    <w:rsid w:val="0004493D"/>
    <w:rsid w:val="00053BE0"/>
    <w:rsid w:val="00055C9D"/>
    <w:rsid w:val="00055E22"/>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3569"/>
    <w:rsid w:val="000A3770"/>
    <w:rsid w:val="000A52C3"/>
    <w:rsid w:val="000B2DFC"/>
    <w:rsid w:val="000B30D5"/>
    <w:rsid w:val="000B727A"/>
    <w:rsid w:val="000B736A"/>
    <w:rsid w:val="000C54F6"/>
    <w:rsid w:val="000D77FB"/>
    <w:rsid w:val="000D7FFE"/>
    <w:rsid w:val="000E1A7F"/>
    <w:rsid w:val="000E43A5"/>
    <w:rsid w:val="000E4C51"/>
    <w:rsid w:val="000E7B01"/>
    <w:rsid w:val="000F0182"/>
    <w:rsid w:val="000F1D67"/>
    <w:rsid w:val="000F3B1A"/>
    <w:rsid w:val="000F5211"/>
    <w:rsid w:val="000F6F24"/>
    <w:rsid w:val="00101620"/>
    <w:rsid w:val="00101BB0"/>
    <w:rsid w:val="00103242"/>
    <w:rsid w:val="001078EB"/>
    <w:rsid w:val="00111F2C"/>
    <w:rsid w:val="00122F08"/>
    <w:rsid w:val="00131F8C"/>
    <w:rsid w:val="00132CD1"/>
    <w:rsid w:val="0013356F"/>
    <w:rsid w:val="00137721"/>
    <w:rsid w:val="00137964"/>
    <w:rsid w:val="001420F5"/>
    <w:rsid w:val="001447DD"/>
    <w:rsid w:val="0014586D"/>
    <w:rsid w:val="00147D4A"/>
    <w:rsid w:val="00147F6A"/>
    <w:rsid w:val="00150303"/>
    <w:rsid w:val="00152669"/>
    <w:rsid w:val="00152A47"/>
    <w:rsid w:val="00157B37"/>
    <w:rsid w:val="00161B82"/>
    <w:rsid w:val="001712C4"/>
    <w:rsid w:val="00175456"/>
    <w:rsid w:val="00176CC3"/>
    <w:rsid w:val="001773E3"/>
    <w:rsid w:val="00182351"/>
    <w:rsid w:val="00182A8C"/>
    <w:rsid w:val="001873B1"/>
    <w:rsid w:val="001875EC"/>
    <w:rsid w:val="00187D05"/>
    <w:rsid w:val="001955ED"/>
    <w:rsid w:val="001A2BBD"/>
    <w:rsid w:val="001A39C3"/>
    <w:rsid w:val="001B1448"/>
    <w:rsid w:val="001B3463"/>
    <w:rsid w:val="001B3D60"/>
    <w:rsid w:val="001B4E8A"/>
    <w:rsid w:val="001C48CF"/>
    <w:rsid w:val="001D129D"/>
    <w:rsid w:val="001D7527"/>
    <w:rsid w:val="001D7935"/>
    <w:rsid w:val="001E00FE"/>
    <w:rsid w:val="001E5703"/>
    <w:rsid w:val="001E5BBB"/>
    <w:rsid w:val="001F3714"/>
    <w:rsid w:val="001F49EA"/>
    <w:rsid w:val="001F53E1"/>
    <w:rsid w:val="001F7A38"/>
    <w:rsid w:val="00203E62"/>
    <w:rsid w:val="0020722A"/>
    <w:rsid w:val="002114A2"/>
    <w:rsid w:val="00211680"/>
    <w:rsid w:val="00213043"/>
    <w:rsid w:val="00215316"/>
    <w:rsid w:val="00215931"/>
    <w:rsid w:val="002202FF"/>
    <w:rsid w:val="002224EE"/>
    <w:rsid w:val="0022456B"/>
    <w:rsid w:val="00224FBF"/>
    <w:rsid w:val="00230C9E"/>
    <w:rsid w:val="00252DDA"/>
    <w:rsid w:val="002538F7"/>
    <w:rsid w:val="00253E76"/>
    <w:rsid w:val="00253EC8"/>
    <w:rsid w:val="0026127D"/>
    <w:rsid w:val="00261BDF"/>
    <w:rsid w:val="00272845"/>
    <w:rsid w:val="00272D6D"/>
    <w:rsid w:val="00273BCF"/>
    <w:rsid w:val="00277678"/>
    <w:rsid w:val="00281447"/>
    <w:rsid w:val="0028184A"/>
    <w:rsid w:val="002870B7"/>
    <w:rsid w:val="00287C47"/>
    <w:rsid w:val="00292A65"/>
    <w:rsid w:val="00292FE5"/>
    <w:rsid w:val="0029726B"/>
    <w:rsid w:val="002A35C6"/>
    <w:rsid w:val="002A366B"/>
    <w:rsid w:val="002A4081"/>
    <w:rsid w:val="002B0A29"/>
    <w:rsid w:val="002B0CB4"/>
    <w:rsid w:val="002B2C5C"/>
    <w:rsid w:val="002B3087"/>
    <w:rsid w:val="002B3EB3"/>
    <w:rsid w:val="002C5844"/>
    <w:rsid w:val="002C5FA5"/>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63CA"/>
    <w:rsid w:val="003268A9"/>
    <w:rsid w:val="00330F5A"/>
    <w:rsid w:val="0034118F"/>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10222"/>
    <w:rsid w:val="0041026E"/>
    <w:rsid w:val="00412BCE"/>
    <w:rsid w:val="0041310A"/>
    <w:rsid w:val="00413244"/>
    <w:rsid w:val="004159E6"/>
    <w:rsid w:val="00417F18"/>
    <w:rsid w:val="00421057"/>
    <w:rsid w:val="00421B64"/>
    <w:rsid w:val="00422722"/>
    <w:rsid w:val="00424E70"/>
    <w:rsid w:val="00425785"/>
    <w:rsid w:val="00432A3E"/>
    <w:rsid w:val="004338F0"/>
    <w:rsid w:val="004343FE"/>
    <w:rsid w:val="0043479C"/>
    <w:rsid w:val="00436E42"/>
    <w:rsid w:val="00441404"/>
    <w:rsid w:val="00441C2C"/>
    <w:rsid w:val="00442855"/>
    <w:rsid w:val="00443879"/>
    <w:rsid w:val="004438E6"/>
    <w:rsid w:val="004452C7"/>
    <w:rsid w:val="004466AC"/>
    <w:rsid w:val="00447F16"/>
    <w:rsid w:val="00453DBC"/>
    <w:rsid w:val="004631DA"/>
    <w:rsid w:val="004648FD"/>
    <w:rsid w:val="00470C28"/>
    <w:rsid w:val="0047206F"/>
    <w:rsid w:val="00472536"/>
    <w:rsid w:val="00472E12"/>
    <w:rsid w:val="004739A6"/>
    <w:rsid w:val="0047652C"/>
    <w:rsid w:val="004837AE"/>
    <w:rsid w:val="004840F4"/>
    <w:rsid w:val="00484336"/>
    <w:rsid w:val="0048531C"/>
    <w:rsid w:val="0048615B"/>
    <w:rsid w:val="0048620A"/>
    <w:rsid w:val="004903E5"/>
    <w:rsid w:val="0049102C"/>
    <w:rsid w:val="004A2565"/>
    <w:rsid w:val="004A2B6A"/>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4DCD"/>
    <w:rsid w:val="004E5E15"/>
    <w:rsid w:val="004E63F8"/>
    <w:rsid w:val="004E652B"/>
    <w:rsid w:val="004E72AC"/>
    <w:rsid w:val="004F0289"/>
    <w:rsid w:val="004F221F"/>
    <w:rsid w:val="004F2823"/>
    <w:rsid w:val="00502134"/>
    <w:rsid w:val="00502CDE"/>
    <w:rsid w:val="00503550"/>
    <w:rsid w:val="00506162"/>
    <w:rsid w:val="00506D8C"/>
    <w:rsid w:val="00513BED"/>
    <w:rsid w:val="00516EAB"/>
    <w:rsid w:val="00523682"/>
    <w:rsid w:val="00531E47"/>
    <w:rsid w:val="005334B7"/>
    <w:rsid w:val="0054160D"/>
    <w:rsid w:val="00544052"/>
    <w:rsid w:val="00545887"/>
    <w:rsid w:val="00546D94"/>
    <w:rsid w:val="005471E5"/>
    <w:rsid w:val="005509C2"/>
    <w:rsid w:val="00550DBE"/>
    <w:rsid w:val="00551848"/>
    <w:rsid w:val="00553303"/>
    <w:rsid w:val="00555BB5"/>
    <w:rsid w:val="0056087A"/>
    <w:rsid w:val="00561599"/>
    <w:rsid w:val="00561AB6"/>
    <w:rsid w:val="00562FA8"/>
    <w:rsid w:val="005650E0"/>
    <w:rsid w:val="0057420B"/>
    <w:rsid w:val="00575639"/>
    <w:rsid w:val="005758B7"/>
    <w:rsid w:val="00576376"/>
    <w:rsid w:val="005778A1"/>
    <w:rsid w:val="005806C4"/>
    <w:rsid w:val="00582577"/>
    <w:rsid w:val="00582FF3"/>
    <w:rsid w:val="00591B43"/>
    <w:rsid w:val="00595625"/>
    <w:rsid w:val="00595C2C"/>
    <w:rsid w:val="00597493"/>
    <w:rsid w:val="005A03F2"/>
    <w:rsid w:val="005A0E79"/>
    <w:rsid w:val="005A2BFB"/>
    <w:rsid w:val="005A3644"/>
    <w:rsid w:val="005A71DF"/>
    <w:rsid w:val="005B02BD"/>
    <w:rsid w:val="005B1565"/>
    <w:rsid w:val="005B475F"/>
    <w:rsid w:val="005C00EF"/>
    <w:rsid w:val="005C1C6D"/>
    <w:rsid w:val="005C3BF1"/>
    <w:rsid w:val="005C3D5F"/>
    <w:rsid w:val="005C41B3"/>
    <w:rsid w:val="005C4675"/>
    <w:rsid w:val="005C55CC"/>
    <w:rsid w:val="005C778A"/>
    <w:rsid w:val="005D2F8A"/>
    <w:rsid w:val="005E1F5F"/>
    <w:rsid w:val="005F78C6"/>
    <w:rsid w:val="00600940"/>
    <w:rsid w:val="0060270E"/>
    <w:rsid w:val="00603921"/>
    <w:rsid w:val="00606F46"/>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490B"/>
    <w:rsid w:val="0067570E"/>
    <w:rsid w:val="006802CF"/>
    <w:rsid w:val="006839EB"/>
    <w:rsid w:val="006849D7"/>
    <w:rsid w:val="00690613"/>
    <w:rsid w:val="0069211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16B7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72EA"/>
    <w:rsid w:val="00791A58"/>
    <w:rsid w:val="00795328"/>
    <w:rsid w:val="00795D4C"/>
    <w:rsid w:val="007A0766"/>
    <w:rsid w:val="007A0815"/>
    <w:rsid w:val="007A0CD1"/>
    <w:rsid w:val="007A1668"/>
    <w:rsid w:val="007B4C04"/>
    <w:rsid w:val="007B60BE"/>
    <w:rsid w:val="007B63AE"/>
    <w:rsid w:val="007C3665"/>
    <w:rsid w:val="007C49FA"/>
    <w:rsid w:val="007D3D65"/>
    <w:rsid w:val="007D45B8"/>
    <w:rsid w:val="007D52F0"/>
    <w:rsid w:val="007D730B"/>
    <w:rsid w:val="007D7DE9"/>
    <w:rsid w:val="007E233A"/>
    <w:rsid w:val="007E32AE"/>
    <w:rsid w:val="007F2411"/>
    <w:rsid w:val="007F36AB"/>
    <w:rsid w:val="00800E9F"/>
    <w:rsid w:val="008069C2"/>
    <w:rsid w:val="00812DA5"/>
    <w:rsid w:val="00816027"/>
    <w:rsid w:val="008200BB"/>
    <w:rsid w:val="008207FF"/>
    <w:rsid w:val="0082235F"/>
    <w:rsid w:val="008229C1"/>
    <w:rsid w:val="008233AA"/>
    <w:rsid w:val="00830E39"/>
    <w:rsid w:val="00831F13"/>
    <w:rsid w:val="00832161"/>
    <w:rsid w:val="00835A91"/>
    <w:rsid w:val="00845C6A"/>
    <w:rsid w:val="0084777F"/>
    <w:rsid w:val="008527ED"/>
    <w:rsid w:val="008530E6"/>
    <w:rsid w:val="00853325"/>
    <w:rsid w:val="008578CE"/>
    <w:rsid w:val="00857C9B"/>
    <w:rsid w:val="0086255E"/>
    <w:rsid w:val="00862914"/>
    <w:rsid w:val="00863D09"/>
    <w:rsid w:val="0086439B"/>
    <w:rsid w:val="00864643"/>
    <w:rsid w:val="00864BAE"/>
    <w:rsid w:val="008676D5"/>
    <w:rsid w:val="00870242"/>
    <w:rsid w:val="0087558F"/>
    <w:rsid w:val="008757C5"/>
    <w:rsid w:val="00876FF0"/>
    <w:rsid w:val="008826ED"/>
    <w:rsid w:val="00885246"/>
    <w:rsid w:val="00885BCD"/>
    <w:rsid w:val="00885FD1"/>
    <w:rsid w:val="00886B15"/>
    <w:rsid w:val="0089005F"/>
    <w:rsid w:val="00894BC4"/>
    <w:rsid w:val="008977D3"/>
    <w:rsid w:val="00897FFB"/>
    <w:rsid w:val="008A0104"/>
    <w:rsid w:val="008A0BBF"/>
    <w:rsid w:val="008A3EA1"/>
    <w:rsid w:val="008A7946"/>
    <w:rsid w:val="008B00C3"/>
    <w:rsid w:val="008B1518"/>
    <w:rsid w:val="008B1B60"/>
    <w:rsid w:val="008B3E2B"/>
    <w:rsid w:val="008B4615"/>
    <w:rsid w:val="008B6299"/>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10A72"/>
    <w:rsid w:val="00915CE5"/>
    <w:rsid w:val="00916319"/>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B5FEF"/>
    <w:rsid w:val="009B7F00"/>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A02698"/>
    <w:rsid w:val="00A07E89"/>
    <w:rsid w:val="00A07F5C"/>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41904"/>
    <w:rsid w:val="00A428FC"/>
    <w:rsid w:val="00A42BEF"/>
    <w:rsid w:val="00A43C97"/>
    <w:rsid w:val="00A440FC"/>
    <w:rsid w:val="00A45B77"/>
    <w:rsid w:val="00A47E04"/>
    <w:rsid w:val="00A51658"/>
    <w:rsid w:val="00A526ED"/>
    <w:rsid w:val="00A55A28"/>
    <w:rsid w:val="00A56A53"/>
    <w:rsid w:val="00A64157"/>
    <w:rsid w:val="00A666DE"/>
    <w:rsid w:val="00A66F8B"/>
    <w:rsid w:val="00A734DB"/>
    <w:rsid w:val="00A7437B"/>
    <w:rsid w:val="00A74CF5"/>
    <w:rsid w:val="00A7530E"/>
    <w:rsid w:val="00A83017"/>
    <w:rsid w:val="00A9330F"/>
    <w:rsid w:val="00A95DF9"/>
    <w:rsid w:val="00AA09EE"/>
    <w:rsid w:val="00AA1602"/>
    <w:rsid w:val="00AA3D05"/>
    <w:rsid w:val="00AA7E5B"/>
    <w:rsid w:val="00AA7EEB"/>
    <w:rsid w:val="00AB028F"/>
    <w:rsid w:val="00AB799F"/>
    <w:rsid w:val="00AC08E2"/>
    <w:rsid w:val="00AC4DD5"/>
    <w:rsid w:val="00AC50DA"/>
    <w:rsid w:val="00AC5495"/>
    <w:rsid w:val="00AC75C3"/>
    <w:rsid w:val="00AC7F32"/>
    <w:rsid w:val="00AD4543"/>
    <w:rsid w:val="00AD6ECA"/>
    <w:rsid w:val="00AD71B2"/>
    <w:rsid w:val="00AE0104"/>
    <w:rsid w:val="00AE254E"/>
    <w:rsid w:val="00AE427B"/>
    <w:rsid w:val="00AE4C1A"/>
    <w:rsid w:val="00AE5880"/>
    <w:rsid w:val="00AE7DD3"/>
    <w:rsid w:val="00AF0FF8"/>
    <w:rsid w:val="00B00F64"/>
    <w:rsid w:val="00B010CC"/>
    <w:rsid w:val="00B02AA0"/>
    <w:rsid w:val="00B03257"/>
    <w:rsid w:val="00B05862"/>
    <w:rsid w:val="00B059B4"/>
    <w:rsid w:val="00B06413"/>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6431"/>
    <w:rsid w:val="00B522E0"/>
    <w:rsid w:val="00B54303"/>
    <w:rsid w:val="00B70ECB"/>
    <w:rsid w:val="00B71A65"/>
    <w:rsid w:val="00B75492"/>
    <w:rsid w:val="00B80661"/>
    <w:rsid w:val="00B83BB1"/>
    <w:rsid w:val="00B85AC2"/>
    <w:rsid w:val="00B90681"/>
    <w:rsid w:val="00BA0BD1"/>
    <w:rsid w:val="00BA57A7"/>
    <w:rsid w:val="00BA5B59"/>
    <w:rsid w:val="00BB6B82"/>
    <w:rsid w:val="00BC3327"/>
    <w:rsid w:val="00BC5B08"/>
    <w:rsid w:val="00BC5D71"/>
    <w:rsid w:val="00BC6810"/>
    <w:rsid w:val="00BD3AC5"/>
    <w:rsid w:val="00BD5F9B"/>
    <w:rsid w:val="00BE0560"/>
    <w:rsid w:val="00BE275A"/>
    <w:rsid w:val="00BE36C0"/>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1E18"/>
    <w:rsid w:val="00C324A5"/>
    <w:rsid w:val="00C35226"/>
    <w:rsid w:val="00C352D0"/>
    <w:rsid w:val="00C45404"/>
    <w:rsid w:val="00C461D0"/>
    <w:rsid w:val="00C4736A"/>
    <w:rsid w:val="00C5151A"/>
    <w:rsid w:val="00C51AB6"/>
    <w:rsid w:val="00C6169B"/>
    <w:rsid w:val="00C61D9B"/>
    <w:rsid w:val="00C63FFE"/>
    <w:rsid w:val="00C64850"/>
    <w:rsid w:val="00C71DB3"/>
    <w:rsid w:val="00C726B2"/>
    <w:rsid w:val="00C76C68"/>
    <w:rsid w:val="00C821E2"/>
    <w:rsid w:val="00C865E5"/>
    <w:rsid w:val="00C87B83"/>
    <w:rsid w:val="00C91BA8"/>
    <w:rsid w:val="00C92DED"/>
    <w:rsid w:val="00CA4596"/>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F4A31"/>
    <w:rsid w:val="00CF62A2"/>
    <w:rsid w:val="00D018D2"/>
    <w:rsid w:val="00D02F29"/>
    <w:rsid w:val="00D07174"/>
    <w:rsid w:val="00D159CC"/>
    <w:rsid w:val="00D15C6D"/>
    <w:rsid w:val="00D21B1E"/>
    <w:rsid w:val="00D21BF2"/>
    <w:rsid w:val="00D23881"/>
    <w:rsid w:val="00D31BCE"/>
    <w:rsid w:val="00D352D6"/>
    <w:rsid w:val="00D42F41"/>
    <w:rsid w:val="00D44F85"/>
    <w:rsid w:val="00D54C86"/>
    <w:rsid w:val="00D624A5"/>
    <w:rsid w:val="00D67C0C"/>
    <w:rsid w:val="00D8757A"/>
    <w:rsid w:val="00D91F68"/>
    <w:rsid w:val="00D92411"/>
    <w:rsid w:val="00DA2D42"/>
    <w:rsid w:val="00DA4865"/>
    <w:rsid w:val="00DA564F"/>
    <w:rsid w:val="00DB491A"/>
    <w:rsid w:val="00DC31F2"/>
    <w:rsid w:val="00DD27CB"/>
    <w:rsid w:val="00DD3169"/>
    <w:rsid w:val="00DD7A8C"/>
    <w:rsid w:val="00DE45A1"/>
    <w:rsid w:val="00DE5C53"/>
    <w:rsid w:val="00DF2126"/>
    <w:rsid w:val="00DF3A85"/>
    <w:rsid w:val="00DF513F"/>
    <w:rsid w:val="00E068AC"/>
    <w:rsid w:val="00E07B95"/>
    <w:rsid w:val="00E105A0"/>
    <w:rsid w:val="00E112F6"/>
    <w:rsid w:val="00E15CBF"/>
    <w:rsid w:val="00E209BA"/>
    <w:rsid w:val="00E21885"/>
    <w:rsid w:val="00E21C21"/>
    <w:rsid w:val="00E25A91"/>
    <w:rsid w:val="00E33075"/>
    <w:rsid w:val="00E37D49"/>
    <w:rsid w:val="00E40761"/>
    <w:rsid w:val="00E41238"/>
    <w:rsid w:val="00E462E4"/>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61B1"/>
    <w:rsid w:val="00EB15B1"/>
    <w:rsid w:val="00EB61CF"/>
    <w:rsid w:val="00EC088D"/>
    <w:rsid w:val="00EC3DD3"/>
    <w:rsid w:val="00EC6A1B"/>
    <w:rsid w:val="00EC6B60"/>
    <w:rsid w:val="00EC7011"/>
    <w:rsid w:val="00EC74D9"/>
    <w:rsid w:val="00ED3EC6"/>
    <w:rsid w:val="00ED4365"/>
    <w:rsid w:val="00ED46C7"/>
    <w:rsid w:val="00ED4B90"/>
    <w:rsid w:val="00EE2114"/>
    <w:rsid w:val="00EE633C"/>
    <w:rsid w:val="00EF10E3"/>
    <w:rsid w:val="00EF2065"/>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50281"/>
    <w:rsid w:val="00F51401"/>
    <w:rsid w:val="00F63091"/>
    <w:rsid w:val="00F6446A"/>
    <w:rsid w:val="00F67BB8"/>
    <w:rsid w:val="00F73FC1"/>
    <w:rsid w:val="00F74CEC"/>
    <w:rsid w:val="00F768C4"/>
    <w:rsid w:val="00F77206"/>
    <w:rsid w:val="00F82FFC"/>
    <w:rsid w:val="00F85163"/>
    <w:rsid w:val="00F8563D"/>
    <w:rsid w:val="00F869DD"/>
    <w:rsid w:val="00F9138B"/>
    <w:rsid w:val="00F95D00"/>
    <w:rsid w:val="00FA304E"/>
    <w:rsid w:val="00FA4659"/>
    <w:rsid w:val="00FA4AFE"/>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F3F7-8ADE-4952-B4F8-6C01ECC6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206</TotalTime>
  <Pages>6</Pages>
  <Words>1928</Words>
  <Characters>10995</Characters>
  <Application>Microsoft Office Word</Application>
  <DocSecurity>0</DocSecurity>
  <Lines>0</Lines>
  <Paragraphs>0</Paragraphs>
  <ScaleCrop>false</ScaleCrop>
  <Company>Kancelaria NR SR</Company>
  <LinksUpToDate>false</LinksUpToDate>
  <CharactersWithSpaces>12898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Holubová, Petra</cp:lastModifiedBy>
  <cp:revision>118</cp:revision>
  <cp:lastPrinted>2015-05-06T17:18:00Z</cp:lastPrinted>
  <dcterms:created xsi:type="dcterms:W3CDTF">2015-03-09T15:36:00Z</dcterms:created>
  <dcterms:modified xsi:type="dcterms:W3CDTF">2015-11-06T11:39:00Z</dcterms:modified>
</cp:coreProperties>
</file>