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4840F4">
        <w:rPr>
          <w:rFonts w:ascii="Times New Roman" w:hAnsi="Times New Roman"/>
          <w:bCs/>
        </w:rPr>
        <w:t>Číslo: 1391</w:t>
      </w:r>
      <w:r w:rsidRPr="00F36DCE" w:rsidR="00092E2E">
        <w:rPr>
          <w:rFonts w:ascii="Times New Roman" w:hAnsi="Times New Roman"/>
          <w:bCs/>
        </w:rPr>
        <w:t>/201</w:t>
      </w:r>
      <w:r w:rsidR="004840F4">
        <w:rPr>
          <w:rFonts w:ascii="Times New Roman" w:hAnsi="Times New Roman"/>
          <w:bCs/>
        </w:rPr>
        <w:t>5</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Pr="004840F4" w:rsidR="004840F4">
        <w:rPr>
          <w:rFonts w:ascii="Times New Roman" w:hAnsi="Times New Roman"/>
          <w:b/>
          <w:sz w:val="32"/>
          <w:szCs w:val="32"/>
        </w:rPr>
        <w:t>1633</w:t>
      </w:r>
      <w:r w:rsidRPr="004840F4">
        <w:rPr>
          <w:rFonts w:ascii="Times New Roman" w:hAnsi="Times New Roman"/>
          <w:b/>
          <w:sz w:val="32"/>
          <w:szCs w:val="32"/>
        </w:rPr>
        <w:t>a</w:t>
      </w:r>
    </w:p>
    <w:p w:rsidR="00AA7E5B" w:rsidP="00A666DE">
      <w:pPr>
        <w:pStyle w:val="Heading3"/>
        <w:bidi w:val="0"/>
        <w:rPr>
          <w:rFonts w:ascii="Times New Roman" w:hAnsi="Times New Roman"/>
          <w:bCs/>
          <w:szCs w:val="28"/>
          <w:lang w:val="sk-SK"/>
        </w:rPr>
      </w:pP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4840F4" w:rsidP="00A666DE">
      <w:pPr>
        <w:bidi w:val="0"/>
        <w:jc w:val="both"/>
        <w:rPr>
          <w:rFonts w:ascii="Times New Roman" w:hAnsi="Times New Roman"/>
          <w:b/>
        </w:rPr>
      </w:pPr>
      <w:r w:rsidRPr="00F36DCE" w:rsidR="00AA7E5B">
        <w:rPr>
          <w:rFonts w:ascii="Times New Roman" w:hAnsi="Times New Roman"/>
          <w:b/>
        </w:rPr>
        <w:t xml:space="preserve">výborov Národnej rady Slovenskej republiky o prerokovaní </w:t>
      </w:r>
      <w:r w:rsidRPr="004840F4">
        <w:rPr>
          <w:rFonts w:ascii="Times New Roman" w:hAnsi="Times New Roman"/>
          <w:b/>
        </w:rPr>
        <w:t>v</w:t>
      </w:r>
      <w:r w:rsidRPr="004840F4">
        <w:rPr>
          <w:rFonts w:ascii="Times New Roman" w:hAnsi="Times New Roman"/>
          <w:b/>
          <w:bCs/>
          <w:iCs/>
        </w:rPr>
        <w:t>ládneho návrhu zákona, ktorým sa dopĺňa zákon Národnej rady Slovenskej republiky č. 120/1993 Z. z. o platových pomeroch niektorých ústavných činiteľov Slovenskej republiky v znení neskorších predpisov a ktorým sa dopĺňajú niektoré zákony (tlač 1633)</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A666DE">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9B5FEF">
        <w:rPr>
          <w:rFonts w:ascii="Times New Roman" w:hAnsi="Times New Roman"/>
        </w:rPr>
        <w:t>1898</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Pr="00A32B69" w:rsidR="00FC35D1">
        <w:rPr>
          <w:rFonts w:ascii="Times New Roman" w:hAnsi="Times New Roman"/>
        </w:rPr>
        <w:t xml:space="preserve"> </w:t>
      </w:r>
      <w:r w:rsidR="009B5FEF">
        <w:rPr>
          <w:rFonts w:ascii="Times New Roman" w:hAnsi="Times New Roman"/>
        </w:rPr>
        <w:t>18</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Pr="00A32B69" w:rsidR="004E652B">
        <w:rPr>
          <w:rFonts w:ascii="Times New Roman" w:hAnsi="Times New Roman"/>
        </w:rPr>
        <w:t xml:space="preserve"> </w:t>
      </w:r>
      <w:r w:rsidRPr="00A32B69" w:rsidR="00A32B69">
        <w:rPr>
          <w:rFonts w:ascii="Times New Roman" w:hAnsi="Times New Roman"/>
        </w:rPr>
        <w:t>v</w:t>
      </w:r>
      <w:r w:rsidRPr="00A32B69" w:rsidR="00A32B69">
        <w:rPr>
          <w:rFonts w:ascii="Times New Roman" w:hAnsi="Times New Roman"/>
          <w:bCs/>
          <w:iCs/>
        </w:rPr>
        <w:t xml:space="preserve">ládny návrh zákona, ktorým sa dopĺňa zákon Národnej rady Slovenskej republiky č. 120/1993 Z. z. o platových pomeroch niektorých ústavných činiteľov Slovenskej republiky v znení neskorších predpisov a ktorým sa dopĺňajú niektoré zákony (tlač 1633) </w:t>
      </w:r>
      <w:r w:rsidRPr="00A32B69" w:rsidR="004E652B">
        <w:rPr>
          <w:rFonts w:ascii="Times New Roman" w:hAnsi="Times New Roman"/>
        </w:rPr>
        <w:t>na  prerokovanie týmto výborom:</w:t>
      </w:r>
    </w:p>
    <w:p w:rsidR="001E00FE" w:rsidRPr="001E00FE" w:rsidP="00A666DE">
      <w:pPr>
        <w:bidi w:val="0"/>
        <w:ind w:firstLine="709"/>
        <w:jc w:val="both"/>
        <w:rPr>
          <w:rFonts w:ascii="Times New Roman" w:hAnsi="Times New Roman"/>
        </w:rPr>
      </w:pPr>
    </w:p>
    <w:p w:rsidR="0053248E" w:rsidP="0053248E">
      <w:pPr>
        <w:pStyle w:val="ListParagraph"/>
        <w:numPr>
          <w:numId w:val="13"/>
        </w:numPr>
        <w:bidi w:val="0"/>
        <w:spacing w:after="0" w:line="240" w:lineRule="auto"/>
        <w:ind w:left="1066" w:hanging="357"/>
        <w:jc w:val="both"/>
        <w:rPr>
          <w:rFonts w:ascii="Times New Roman" w:hAnsi="Times New Roman"/>
          <w:sz w:val="24"/>
          <w:szCs w:val="24"/>
        </w:rPr>
      </w:pPr>
      <w:r w:rsidRPr="00131932">
        <w:rPr>
          <w:rFonts w:ascii="Times New Roman" w:hAnsi="Times New Roman"/>
          <w:sz w:val="24"/>
          <w:szCs w:val="24"/>
        </w:rPr>
        <w:t xml:space="preserve">Ústavnoprávnemu výboru Národnej rady Slovenskej republiky,  </w:t>
      </w:r>
    </w:p>
    <w:p w:rsidR="0057420B" w:rsidRPr="0053248E" w:rsidP="0053248E">
      <w:pPr>
        <w:pStyle w:val="ListParagraph"/>
        <w:numPr>
          <w:numId w:val="13"/>
        </w:numPr>
        <w:bidi w:val="0"/>
        <w:spacing w:after="0" w:line="240" w:lineRule="auto"/>
        <w:ind w:left="1066" w:hanging="357"/>
        <w:jc w:val="both"/>
        <w:rPr>
          <w:rFonts w:ascii="Times New Roman" w:hAnsi="Times New Roman"/>
          <w:sz w:val="24"/>
          <w:szCs w:val="24"/>
        </w:rPr>
      </w:pPr>
      <w:r w:rsidRPr="00131932" w:rsidR="0053248E">
        <w:rPr>
          <w:rFonts w:ascii="Times New Roman" w:hAnsi="Times New Roman"/>
          <w:sz w:val="24"/>
          <w:szCs w:val="24"/>
        </w:rPr>
        <w:t>Výboru Národnej rady Slovenskej republiky pre financie a rozpočet</w:t>
      </w:r>
      <w:r w:rsidR="00BD665E">
        <w:t>.</w:t>
      </w:r>
    </w:p>
    <w:p w:rsidR="00A32B69"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A666DE"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jc w:val="left"/>
        <w:rPr>
          <w:rFonts w:ascii="Times New Roman" w:hAnsi="Times New Roman"/>
          <w:bCs/>
          <w:szCs w:val="24"/>
        </w:rPr>
      </w:pPr>
    </w:p>
    <w:p w:rsidR="00A32B69"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E7368C">
        <w:rPr>
          <w:rFonts w:ascii="Times New Roman" w:hAnsi="Times New Roman"/>
          <w:szCs w:val="20"/>
        </w:rPr>
        <w:t>496</w:t>
      </w:r>
      <w:r>
        <w:rPr>
          <w:rFonts w:ascii="Times New Roman" w:hAnsi="Times New Roman"/>
          <w:szCs w:val="20"/>
        </w:rPr>
        <w:t xml:space="preserve"> zo dňa 3. novembra</w:t>
      </w:r>
      <w:r w:rsidRPr="00A32B69">
        <w:rPr>
          <w:rFonts w:ascii="Times New Roman" w:hAnsi="Times New Roman"/>
          <w:szCs w:val="20"/>
        </w:rPr>
        <w:t xml:space="preserve"> 2015)</w:t>
      </w:r>
    </w:p>
    <w:p w:rsidR="00A32B69" w:rsidRPr="00A32B69" w:rsidP="00A666DE">
      <w:pPr>
        <w:bidi w:val="0"/>
        <w:ind w:left="1065"/>
        <w:jc w:val="both"/>
        <w:rPr>
          <w:rFonts w:ascii="Times New Roman" w:hAnsi="Times New Roman"/>
          <w:szCs w:val="20"/>
        </w:rPr>
      </w:pPr>
    </w:p>
    <w:p w:rsidR="00A32B69" w:rsidRPr="00E26775" w:rsidP="00A666DE">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w:t>
      </w:r>
      <w:r w:rsidRPr="00E26775">
        <w:rPr>
          <w:rFonts w:ascii="Times New Roman" w:hAnsi="Times New Roman"/>
          <w:szCs w:val="20"/>
        </w:rPr>
        <w:t xml:space="preserve">(uzn. č. </w:t>
      </w:r>
      <w:r w:rsidRPr="00E26775" w:rsidR="00E26775">
        <w:rPr>
          <w:rFonts w:ascii="Times New Roman" w:hAnsi="Times New Roman"/>
          <w:szCs w:val="20"/>
        </w:rPr>
        <w:t>712</w:t>
      </w:r>
      <w:r w:rsidRPr="00E26775">
        <w:rPr>
          <w:rFonts w:ascii="Times New Roman" w:hAnsi="Times New Roman"/>
          <w:szCs w:val="20"/>
        </w:rPr>
        <w:t xml:space="preserve"> zo dňa </w:t>
      </w:r>
      <w:r w:rsidRPr="00E26775" w:rsidR="006638F8">
        <w:rPr>
          <w:rFonts w:ascii="Times New Roman" w:hAnsi="Times New Roman"/>
          <w:szCs w:val="20"/>
        </w:rPr>
        <w:t>4</w:t>
      </w:r>
      <w:r w:rsidRPr="00E26775">
        <w:rPr>
          <w:rFonts w:ascii="Times New Roman" w:hAnsi="Times New Roman"/>
          <w:szCs w:val="20"/>
        </w:rPr>
        <w:t>. novembra 2015)</w:t>
      </w:r>
    </w:p>
    <w:p w:rsidR="00A32B69" w:rsidRPr="00A32B69" w:rsidP="00A666DE">
      <w:pPr>
        <w:bidi w:val="0"/>
        <w:jc w:val="both"/>
        <w:rPr>
          <w:rFonts w:ascii="Times New Roman" w:hAnsi="Times New Roman"/>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679AD" w:rsidP="00A666DE">
      <w:pPr>
        <w:bidi w:val="0"/>
        <w:jc w:val="both"/>
        <w:rPr>
          <w:rFonts w:ascii="Times New Roman" w:hAnsi="Times New Roman"/>
          <w:color w:val="FF0000"/>
          <w:lang w:eastAsia="en-US"/>
        </w:rPr>
      </w:pPr>
    </w:p>
    <w:p w:rsidR="00E7368C" w:rsidRPr="00E7368C" w:rsidP="00E7368C">
      <w:pPr>
        <w:numPr>
          <w:numId w:val="12"/>
        </w:numPr>
        <w:bidi w:val="0"/>
        <w:rPr>
          <w:rFonts w:ascii="Times New Roman" w:hAnsi="Times New Roman"/>
          <w:bCs/>
        </w:rPr>
      </w:pPr>
      <w:r w:rsidRPr="00E7368C">
        <w:rPr>
          <w:rFonts w:ascii="Times New Roman" w:hAnsi="Times New Roman"/>
          <w:b/>
          <w:bCs/>
        </w:rPr>
        <w:t>V čl. I sa pred doterajší text vkladá nový bod 1</w:t>
      </w:r>
      <w:r w:rsidRPr="00E7368C">
        <w:rPr>
          <w:rFonts w:ascii="Times New Roman" w:hAnsi="Times New Roman"/>
          <w:bCs/>
        </w:rPr>
        <w:t>, ktorý znie:</w:t>
      </w:r>
    </w:p>
    <w:p w:rsidR="00E7368C" w:rsidRPr="00E7368C" w:rsidP="00E7368C">
      <w:pPr>
        <w:bidi w:val="0"/>
        <w:ind w:firstLine="708"/>
        <w:rPr>
          <w:rFonts w:ascii="Times New Roman" w:hAnsi="Times New Roman"/>
          <w:bCs/>
        </w:rPr>
      </w:pPr>
      <w:r w:rsidRPr="00E7368C">
        <w:rPr>
          <w:rFonts w:ascii="Times New Roman" w:hAnsi="Times New Roman"/>
          <w:bCs/>
        </w:rPr>
        <w:t>„1.V § 4a ods. 2 sa na konci pripájajú tieto slová:</w:t>
      </w:r>
    </w:p>
    <w:p w:rsidR="00E7368C" w:rsidRPr="00E7368C" w:rsidP="00E7368C">
      <w:pPr>
        <w:bidi w:val="0"/>
        <w:ind w:left="708"/>
        <w:jc w:val="both"/>
        <w:rPr>
          <w:rFonts w:ascii="Times New Roman" w:hAnsi="Times New Roman"/>
          <w:bCs/>
        </w:rPr>
      </w:pPr>
      <w:r w:rsidRPr="00E7368C">
        <w:rPr>
          <w:rFonts w:ascii="Times New Roman" w:hAnsi="Times New Roman"/>
          <w:bCs/>
        </w:rPr>
        <w:t>Predpokladom na výkon funkcie asistenta poslanca je minimálne ukončené  úplné stredné všeobecné vzdelanie alebo úplné stredné odborné vzdelanie.</w:t>
      </w:r>
      <w:r w:rsidRPr="00E7368C">
        <w:rPr>
          <w:rFonts w:ascii="Times New Roman" w:hAnsi="Times New Roman"/>
          <w:bCs/>
          <w:vertAlign w:val="superscript"/>
        </w:rPr>
        <w:t>1ba</w:t>
      </w:r>
      <w:r w:rsidRPr="00E7368C">
        <w:rPr>
          <w:rFonts w:ascii="Times New Roman" w:hAnsi="Times New Roman"/>
          <w:bCs/>
        </w:rPr>
        <w:t xml:space="preserve">) Poslanec môže mať najviac troch asistentov. Odmena pre asistentov poslanca a výdavky na prevádzku poslaneckej kancelárie nesmú presiahnuť sumu ustanovenú v odseku 3. Asistent môže vykonávať funkciu len pre jedného poslanca.“.  </w:t>
      </w:r>
    </w:p>
    <w:p w:rsidR="00E7368C" w:rsidRPr="00E7368C" w:rsidP="00E7368C">
      <w:pPr>
        <w:bidi w:val="0"/>
        <w:jc w:val="both"/>
        <w:rPr>
          <w:rFonts w:ascii="Times New Roman" w:hAnsi="Times New Roman"/>
          <w:bCs/>
        </w:rPr>
      </w:pPr>
    </w:p>
    <w:p w:rsidR="00E7368C" w:rsidRPr="00E7368C" w:rsidP="00E7368C">
      <w:pPr>
        <w:bidi w:val="0"/>
        <w:ind w:firstLine="708"/>
        <w:jc w:val="both"/>
        <w:rPr>
          <w:rFonts w:ascii="Times New Roman" w:hAnsi="Times New Roman"/>
          <w:bCs/>
        </w:rPr>
      </w:pPr>
      <w:r w:rsidRPr="00E7368C">
        <w:rPr>
          <w:rFonts w:ascii="Times New Roman" w:hAnsi="Times New Roman"/>
          <w:bCs/>
        </w:rPr>
        <w:t>Poznámka pod čiarou k odkazu 1ba znie:</w:t>
      </w:r>
    </w:p>
    <w:p w:rsidR="00E7368C" w:rsidRPr="00E7368C" w:rsidP="00E7368C">
      <w:pPr>
        <w:bidi w:val="0"/>
        <w:ind w:left="708"/>
        <w:jc w:val="both"/>
        <w:rPr>
          <w:rFonts w:ascii="Times New Roman" w:hAnsi="Times New Roman"/>
          <w:bCs/>
        </w:rPr>
      </w:pPr>
      <w:r w:rsidRPr="00E7368C">
        <w:rPr>
          <w:rFonts w:ascii="Times New Roman" w:hAnsi="Times New Roman"/>
          <w:bCs/>
          <w:vertAlign w:val="superscript"/>
        </w:rPr>
        <w:t>1ba</w:t>
      </w:r>
      <w:r w:rsidRPr="00E7368C">
        <w:rPr>
          <w:rFonts w:ascii="Times New Roman" w:hAnsi="Times New Roman"/>
          <w:bCs/>
        </w:rPr>
        <w:t xml:space="preserve">) § 16 ods. 4 písm. c) a d) zákona č. 245/2008  Z. z. o výchove a vzdelávaní (školský zákon) a o zmene a doplnení niektorých zákonov v znení neskorších predpisov. </w:t>
      </w:r>
    </w:p>
    <w:p w:rsidR="00E7368C" w:rsidRPr="00E7368C" w:rsidP="00E7368C">
      <w:pPr>
        <w:bidi w:val="0"/>
        <w:jc w:val="both"/>
        <w:rPr>
          <w:rFonts w:ascii="Times New Roman" w:hAnsi="Times New Roman"/>
          <w:bCs/>
        </w:rPr>
      </w:pPr>
    </w:p>
    <w:p w:rsidR="00E7368C" w:rsidRPr="00E7368C" w:rsidP="00E7368C">
      <w:pPr>
        <w:bidi w:val="0"/>
        <w:ind w:firstLine="708"/>
        <w:jc w:val="both"/>
        <w:rPr>
          <w:rFonts w:ascii="Times New Roman" w:hAnsi="Times New Roman"/>
          <w:bCs/>
        </w:rPr>
      </w:pPr>
      <w:r w:rsidRPr="00E7368C">
        <w:rPr>
          <w:rFonts w:ascii="Times New Roman" w:hAnsi="Times New Roman"/>
          <w:bCs/>
        </w:rPr>
        <w:t xml:space="preserve">Navrhovaná zmena sa premietne aj v názve zákona.  </w:t>
      </w:r>
    </w:p>
    <w:p w:rsidR="00E7368C" w:rsidRPr="00E7368C" w:rsidP="00E7368C">
      <w:pPr>
        <w:bidi w:val="0"/>
        <w:jc w:val="both"/>
        <w:rPr>
          <w:rFonts w:ascii="Times New Roman" w:hAnsi="Times New Roman"/>
          <w:bCs/>
        </w:rPr>
      </w:pPr>
    </w:p>
    <w:p w:rsidR="00E7368C" w:rsidRPr="00E7368C" w:rsidP="00E7368C">
      <w:pPr>
        <w:bidi w:val="0"/>
        <w:ind w:left="708"/>
        <w:jc w:val="both"/>
        <w:rPr>
          <w:rFonts w:ascii="Times New Roman" w:hAnsi="Times New Roman"/>
          <w:bCs/>
        </w:rPr>
      </w:pPr>
      <w:r w:rsidRPr="00E7368C">
        <w:rPr>
          <w:rFonts w:ascii="Times New Roman" w:hAnsi="Times New Roman"/>
          <w:bCs/>
        </w:rPr>
        <w:t xml:space="preserve">Tento bod nadobúda účinnosť dňom uskutočnenia volieb do Národnej rady Slovenskej republiky v roku 2016, čo sa premietne do ustanovenia o účinnosti. </w:t>
      </w:r>
    </w:p>
    <w:p w:rsidR="00E7368C" w:rsidRPr="00E7368C" w:rsidP="00E7368C">
      <w:pPr>
        <w:bidi w:val="0"/>
        <w:jc w:val="both"/>
        <w:rPr>
          <w:rFonts w:ascii="Times New Roman" w:hAnsi="Times New Roman"/>
          <w:bCs/>
        </w:rPr>
      </w:pPr>
    </w:p>
    <w:p w:rsidR="00E7368C" w:rsidRPr="00E7368C" w:rsidP="00E7368C">
      <w:pPr>
        <w:bidi w:val="0"/>
        <w:ind w:firstLine="708"/>
        <w:jc w:val="both"/>
        <w:rPr>
          <w:rFonts w:ascii="Times New Roman" w:hAnsi="Times New Roman"/>
          <w:bCs/>
        </w:rPr>
      </w:pPr>
      <w:r w:rsidRPr="00E7368C">
        <w:rPr>
          <w:rFonts w:ascii="Times New Roman" w:hAnsi="Times New Roman"/>
          <w:bCs/>
        </w:rPr>
        <w:t xml:space="preserve">Doterajší text v čl. I  sa označuje ako bod 2. </w:t>
      </w:r>
    </w:p>
    <w:p w:rsidR="00E7368C" w:rsidRPr="00E7368C" w:rsidP="00E7368C">
      <w:pPr>
        <w:bidi w:val="0"/>
        <w:ind w:left="2832" w:firstLine="708"/>
        <w:jc w:val="both"/>
        <w:rPr>
          <w:rFonts w:ascii="Times New Roman" w:hAnsi="Times New Roman"/>
          <w:bCs/>
        </w:rPr>
      </w:pPr>
    </w:p>
    <w:p w:rsidR="00E7368C" w:rsidRPr="00E7368C" w:rsidP="00E7368C">
      <w:pPr>
        <w:bidi w:val="0"/>
        <w:ind w:left="2124"/>
        <w:jc w:val="both"/>
        <w:rPr>
          <w:rFonts w:ascii="Times New Roman" w:hAnsi="Times New Roman"/>
          <w:bCs/>
        </w:rPr>
      </w:pPr>
      <w:r w:rsidRPr="00E7368C">
        <w:rPr>
          <w:rFonts w:ascii="Times New Roman" w:hAnsi="Times New Roman"/>
          <w:bCs/>
        </w:rPr>
        <w:t xml:space="preserve">V súčasnosti je pre výkon funkcie asistenta poslanca v prílohe k uzneseniu NR SR z 15. decembra 2010 č. 267 určená podmienka minimálne ukončeného stredoškolského vzdelania. Navrhuje sa túto podmienku ustanoviť zákonom s tým, že sa uplatní terminológia obsiahnutá v zákone č. 245/2008 Z. z. o výchove a vzdelávaní (školský zákona)  a o zmene a doplnení  niektorých zákonov znení neskorších predpisov. Navrhovaná požiadavka je determinovaná  charakterom a obsahom odborných služieb, ktoré má asistent poslanca vykonávať v zmysle čl. 3 zmluvy o zabezpečení služieb asistenta poslanca NR SR uzavretej v zmysle § 269 ods. 2 Obchodného zákonníka. </w:t>
      </w:r>
    </w:p>
    <w:p w:rsidR="00E7368C" w:rsidRPr="00E7368C" w:rsidP="00E7368C">
      <w:pPr>
        <w:bidi w:val="0"/>
        <w:ind w:left="2124"/>
        <w:jc w:val="both"/>
        <w:rPr>
          <w:rFonts w:ascii="Times New Roman" w:hAnsi="Times New Roman"/>
          <w:bCs/>
        </w:rPr>
      </w:pPr>
      <w:r w:rsidRPr="00E7368C">
        <w:rPr>
          <w:rFonts w:ascii="Times New Roman" w:hAnsi="Times New Roman"/>
          <w:bCs/>
        </w:rPr>
        <w:t xml:space="preserve">Zároveň sa navrhuje limitovať počet asistentov vykonávajúcich odborné služby pre poslanca. Navrhuje sa ustanoviť maximálny počet troch asistentov pre jedného poslanca z dôvodu, aby nedochádzalo k požiadavkám na uzavretie zmlúv s minimálnou sumou (napr. 2 eurá). Ak bude mať poslanec maximálne troch asistentov, odmena za výkon ich funkcie nemôže presiahnuť sumu ustanovenú v § 4a ods. 3 (obdobne ako je to v súčasnosti – príloha k uzneseniu NR SR z 15. decembra 2010 č. 267 bod 4).  </w:t>
      </w:r>
    </w:p>
    <w:p w:rsidR="00E7368C" w:rsidRPr="00E7368C" w:rsidP="00E7368C">
      <w:pPr>
        <w:bidi w:val="0"/>
        <w:ind w:left="2124"/>
        <w:jc w:val="both"/>
        <w:rPr>
          <w:rFonts w:ascii="Times New Roman" w:hAnsi="Times New Roman"/>
          <w:bCs/>
        </w:rPr>
      </w:pPr>
      <w:r w:rsidRPr="00E7368C">
        <w:rPr>
          <w:rFonts w:ascii="Times New Roman" w:hAnsi="Times New Roman"/>
          <w:bCs/>
        </w:rPr>
        <w:t>Ďalej v záujme toho, aby nedochádzalo ku kumulácií činností pre viacerých poslancov, sa navrhuje obmedziť pôsobenie asistentov tak, že budú môcť vykonávať funkciu len pre jedného poslanca. Účinnosť tohto ustanovenia sa navrhuje dňom uskutočnenia  najbližších volieb do Národnej rady Slovenskej republiky.</w:t>
      </w:r>
    </w:p>
    <w:p w:rsidR="00E7368C" w:rsidP="00E7368C">
      <w:pPr>
        <w:bidi w:val="0"/>
        <w:ind w:left="3540" w:hanging="1413"/>
        <w:jc w:val="both"/>
        <w:rPr>
          <w:rFonts w:ascii="Times New Roman" w:hAnsi="Times New Roman"/>
          <w:b/>
        </w:rPr>
      </w:pPr>
    </w:p>
    <w:p w:rsidR="00E7368C" w:rsidP="00E7368C">
      <w:pPr>
        <w:bidi w:val="0"/>
        <w:ind w:left="3540" w:hanging="1413"/>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E7368C" w:rsidP="00E7368C">
      <w:pPr>
        <w:bidi w:val="0"/>
        <w:ind w:left="1416" w:firstLine="708"/>
        <w:rPr>
          <w:rFonts w:ascii="Times New Roman" w:hAnsi="Times New Roman"/>
          <w:b/>
        </w:rPr>
      </w:pPr>
      <w:r w:rsidRPr="00BF14E2">
        <w:rPr>
          <w:rFonts w:ascii="Times New Roman" w:hAnsi="Times New Roman"/>
          <w:b/>
        </w:rPr>
        <w:t>Gestorský výbor odporúča schváliť.</w:t>
      </w:r>
    </w:p>
    <w:p w:rsidR="00E7368C" w:rsidRPr="00E7368C" w:rsidP="00E7368C">
      <w:pPr>
        <w:bidi w:val="0"/>
        <w:rPr>
          <w:rFonts w:ascii="Times New Roman" w:hAnsi="Times New Roman"/>
          <w:bCs/>
        </w:rPr>
      </w:pPr>
    </w:p>
    <w:p w:rsidR="00E7368C" w:rsidRPr="00E7368C" w:rsidP="00E7368C">
      <w:pPr>
        <w:numPr>
          <w:numId w:val="12"/>
        </w:numPr>
        <w:bidi w:val="0"/>
        <w:contextualSpacing/>
        <w:jc w:val="both"/>
        <w:rPr>
          <w:rFonts w:ascii="Times New Roman" w:hAnsi="Times New Roman"/>
        </w:rPr>
      </w:pPr>
      <w:r w:rsidRPr="00E7368C">
        <w:rPr>
          <w:rFonts w:ascii="Times New Roman" w:hAnsi="Times New Roman"/>
          <w:b/>
        </w:rPr>
        <w:t>V čl. III sa pod § 84d vkladá nadpis</w:t>
      </w:r>
      <w:r w:rsidRPr="00E7368C">
        <w:rPr>
          <w:rFonts w:ascii="Times New Roman" w:hAnsi="Times New Roman"/>
        </w:rPr>
        <w:t>, ktorý znie:</w:t>
      </w:r>
    </w:p>
    <w:p w:rsidR="00E7368C" w:rsidRPr="00E7368C" w:rsidP="00E7368C">
      <w:pPr>
        <w:bidi w:val="0"/>
        <w:ind w:firstLine="708"/>
        <w:jc w:val="both"/>
        <w:rPr>
          <w:rFonts w:ascii="Times New Roman" w:hAnsi="Times New Roman"/>
          <w:bCs/>
        </w:rPr>
      </w:pPr>
      <w:r w:rsidRPr="00E7368C">
        <w:rPr>
          <w:rFonts w:ascii="Times New Roman" w:hAnsi="Times New Roman"/>
          <w:bCs/>
        </w:rPr>
        <w:t>„Prechodné ustanovenie účinné od 1. januára 2016“.</w:t>
      </w:r>
    </w:p>
    <w:p w:rsidR="00E7368C" w:rsidRPr="00E7368C" w:rsidP="00E7368C">
      <w:pPr>
        <w:bidi w:val="0"/>
        <w:jc w:val="both"/>
        <w:rPr>
          <w:rFonts w:ascii="Times New Roman" w:hAnsi="Times New Roman"/>
          <w:bCs/>
        </w:rPr>
      </w:pPr>
    </w:p>
    <w:p w:rsidR="00E7368C" w:rsidRPr="00E7368C" w:rsidP="00E7368C">
      <w:pPr>
        <w:bidi w:val="0"/>
        <w:ind w:left="2124"/>
        <w:jc w:val="both"/>
        <w:rPr>
          <w:rFonts w:ascii="Times New Roman" w:hAnsi="Times New Roman"/>
          <w:bCs/>
        </w:rPr>
      </w:pPr>
      <w:r w:rsidRPr="00E7368C">
        <w:rPr>
          <w:rFonts w:ascii="Times New Roman" w:hAnsi="Times New Roman"/>
          <w:bCs/>
        </w:rPr>
        <w:t>Ide o zosúladenie legislatívnej techniky s platnou právnou úpravou (§ 84c platného zákona).</w:t>
      </w:r>
    </w:p>
    <w:p w:rsidR="00E7368C" w:rsidP="00E7368C">
      <w:pPr>
        <w:bidi w:val="0"/>
        <w:ind w:left="3540" w:hanging="1413"/>
        <w:jc w:val="both"/>
        <w:rPr>
          <w:rFonts w:ascii="Times New Roman" w:hAnsi="Times New Roman"/>
          <w:b/>
        </w:rPr>
      </w:pPr>
    </w:p>
    <w:p w:rsidR="00E7368C" w:rsidP="00E7368C">
      <w:pPr>
        <w:bidi w:val="0"/>
        <w:ind w:left="3540" w:hanging="1413"/>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085F3B">
        <w:rPr>
          <w:rFonts w:ascii="Times New Roman" w:hAnsi="Times New Roman"/>
          <w:b/>
        </w:rPr>
        <w:t> </w:t>
      </w:r>
      <w:r>
        <w:rPr>
          <w:rFonts w:ascii="Times New Roman" w:hAnsi="Times New Roman"/>
          <w:b/>
        </w:rPr>
        <w:t>rozpočet</w:t>
      </w:r>
    </w:p>
    <w:p w:rsidR="00085F3B" w:rsidRPr="00E26775" w:rsidP="00085F3B">
      <w:pPr>
        <w:bidi w:val="0"/>
        <w:ind w:left="1416" w:firstLine="708"/>
        <w:jc w:val="both"/>
        <w:rPr>
          <w:rFonts w:ascii="Times New Roman" w:hAnsi="Times New Roman"/>
          <w:b/>
        </w:rPr>
      </w:pPr>
      <w:r w:rsidRPr="00E26775">
        <w:rPr>
          <w:rFonts w:ascii="Times New Roman" w:hAnsi="Times New Roman"/>
          <w:b/>
        </w:rPr>
        <w:t>Ústavnoprávny výbor NR SR</w:t>
      </w:r>
    </w:p>
    <w:p w:rsidR="00E7368C" w:rsidP="00E7368C">
      <w:pPr>
        <w:bidi w:val="0"/>
        <w:ind w:left="1416" w:firstLine="708"/>
        <w:rPr>
          <w:rFonts w:ascii="Times New Roman" w:hAnsi="Times New Roman"/>
          <w:b/>
        </w:rPr>
      </w:pPr>
      <w:r w:rsidRPr="00BF14E2">
        <w:rPr>
          <w:rFonts w:ascii="Times New Roman" w:hAnsi="Times New Roman"/>
          <w:b/>
        </w:rPr>
        <w:t>Gestorský výbor odporúča schváliť.</w:t>
      </w:r>
    </w:p>
    <w:p w:rsidR="00E7368C" w:rsidRPr="00E7368C" w:rsidP="00E7368C">
      <w:pPr>
        <w:bidi w:val="0"/>
        <w:jc w:val="both"/>
        <w:rPr>
          <w:rFonts w:ascii="Times New Roman" w:hAnsi="Times New Roman"/>
          <w:bCs/>
        </w:rPr>
      </w:pPr>
    </w:p>
    <w:p w:rsidR="00E7368C" w:rsidRPr="00E7368C" w:rsidP="00E7368C">
      <w:pPr>
        <w:numPr>
          <w:numId w:val="12"/>
        </w:numPr>
        <w:bidi w:val="0"/>
        <w:jc w:val="both"/>
        <w:rPr>
          <w:rFonts w:ascii="Times New Roman" w:hAnsi="Times New Roman"/>
          <w:bCs/>
        </w:rPr>
      </w:pPr>
      <w:r w:rsidRPr="00E7368C">
        <w:rPr>
          <w:rFonts w:ascii="Times New Roman" w:hAnsi="Times New Roman"/>
          <w:b/>
          <w:bCs/>
        </w:rPr>
        <w:t>V čl. V v nadpise pod § 31</w:t>
      </w:r>
      <w:r w:rsidRPr="00E7368C">
        <w:rPr>
          <w:rFonts w:ascii="Times New Roman" w:hAnsi="Times New Roman"/>
          <w:bCs/>
        </w:rPr>
        <w:t xml:space="preserve"> sa slová „k úpravám účinným“ nahrádzajú slovom „účinné“.</w:t>
      </w:r>
    </w:p>
    <w:p w:rsidR="00E7368C" w:rsidRPr="00E7368C" w:rsidP="00E7368C">
      <w:pPr>
        <w:bidi w:val="0"/>
        <w:jc w:val="both"/>
        <w:rPr>
          <w:rFonts w:ascii="Times New Roman" w:hAnsi="Times New Roman"/>
          <w:bCs/>
        </w:rPr>
      </w:pPr>
    </w:p>
    <w:p w:rsidR="00E7368C" w:rsidRPr="00E7368C" w:rsidP="00E7368C">
      <w:pPr>
        <w:bidi w:val="0"/>
        <w:ind w:left="1416" w:firstLine="708"/>
        <w:jc w:val="both"/>
        <w:rPr>
          <w:rFonts w:ascii="Times New Roman" w:hAnsi="Times New Roman"/>
          <w:bCs/>
        </w:rPr>
      </w:pPr>
      <w:r w:rsidRPr="00E7368C">
        <w:rPr>
          <w:rFonts w:ascii="Times New Roman" w:hAnsi="Times New Roman"/>
          <w:bCs/>
        </w:rPr>
        <w:t>Ide o legislatívno-technickú úpravu.</w:t>
      </w:r>
    </w:p>
    <w:p w:rsidR="00E7368C" w:rsidRPr="00E7368C" w:rsidP="00E7368C">
      <w:pPr>
        <w:bidi w:val="0"/>
        <w:contextualSpacing/>
        <w:jc w:val="both"/>
        <w:rPr>
          <w:rFonts w:ascii="Times New Roman" w:hAnsi="Times New Roman"/>
          <w:b/>
          <w:iCs/>
        </w:rPr>
      </w:pPr>
    </w:p>
    <w:p w:rsidR="00085F3B" w:rsidP="00085F3B">
      <w:pPr>
        <w:bidi w:val="0"/>
        <w:ind w:left="3540" w:hanging="1413"/>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085F3B" w:rsidRPr="00E26775" w:rsidP="00085F3B">
      <w:pPr>
        <w:bidi w:val="0"/>
        <w:ind w:left="1416" w:firstLine="708"/>
        <w:jc w:val="both"/>
        <w:rPr>
          <w:rFonts w:ascii="Times New Roman" w:hAnsi="Times New Roman"/>
          <w:b/>
        </w:rPr>
      </w:pPr>
      <w:r w:rsidRPr="00E26775">
        <w:rPr>
          <w:rFonts w:ascii="Times New Roman" w:hAnsi="Times New Roman"/>
          <w:b/>
        </w:rPr>
        <w:t>Ústavnoprávny výbor NR SR</w:t>
      </w:r>
    </w:p>
    <w:p w:rsidR="00085F3B" w:rsidP="00085F3B">
      <w:pPr>
        <w:bidi w:val="0"/>
        <w:ind w:left="1416" w:firstLine="708"/>
        <w:rPr>
          <w:rFonts w:ascii="Times New Roman" w:hAnsi="Times New Roman"/>
          <w:b/>
        </w:rPr>
      </w:pPr>
      <w:r w:rsidRPr="00BF14E2">
        <w:rPr>
          <w:rFonts w:ascii="Times New Roman" w:hAnsi="Times New Roman"/>
          <w:b/>
        </w:rPr>
        <w:t>Gestorský výbor odporúča schváliť.</w:t>
      </w:r>
    </w:p>
    <w:p w:rsidR="00E7368C" w:rsidRPr="00E7368C" w:rsidP="00E7368C">
      <w:pPr>
        <w:bidi w:val="0"/>
        <w:contextualSpacing/>
        <w:jc w:val="both"/>
        <w:rPr>
          <w:rFonts w:ascii="Times New Roman" w:hAnsi="Times New Roman"/>
          <w:b/>
          <w:iCs/>
        </w:rPr>
      </w:pPr>
    </w:p>
    <w:p w:rsidR="00F3225B" w:rsidRPr="0032038B" w:rsidP="00A666DE">
      <w:pPr>
        <w:bidi w:val="0"/>
        <w:ind w:firstLine="4500"/>
        <w:jc w:val="both"/>
        <w:rPr>
          <w:rFonts w:ascii="Times New Roman" w:hAnsi="Times New Roman"/>
        </w:rPr>
      </w:pPr>
    </w:p>
    <w:p w:rsidR="00085F3B" w:rsidP="00085F3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085F3B" w:rsidP="00085F3B">
      <w:pPr>
        <w:pStyle w:val="BodyText2"/>
        <w:bidi w:val="0"/>
        <w:rPr>
          <w:rFonts w:ascii="Times New Roman" w:hAnsi="Times New Roman"/>
        </w:rPr>
      </w:pPr>
    </w:p>
    <w:p w:rsidR="00085F3B" w:rsidRPr="002B0CB4" w:rsidP="00085F3B">
      <w:pPr>
        <w:pStyle w:val="BodyText2"/>
        <w:bidi w:val="0"/>
        <w:ind w:firstLine="708"/>
        <w:rPr>
          <w:rFonts w:ascii="Times New Roman" w:hAnsi="Times New Roman"/>
        </w:rPr>
      </w:pPr>
      <w:r w:rsidRPr="002B0CB4">
        <w:rPr>
          <w:rFonts w:ascii="Times New Roman" w:hAnsi="Times New Roman"/>
        </w:rPr>
        <w:t xml:space="preserve">O bodoch spoločnej správy č. </w:t>
      </w:r>
      <w:r>
        <w:rPr>
          <w:rFonts w:ascii="Times New Roman" w:hAnsi="Times New Roman"/>
          <w:b/>
        </w:rPr>
        <w:t>1, 2, 3</w:t>
      </w:r>
      <w:r w:rsidRPr="002B0CB4">
        <w:rPr>
          <w:rFonts w:ascii="Times New Roman" w:hAnsi="Times New Roman"/>
        </w:rPr>
        <w:t xml:space="preserve"> hlasovať spoločne s návrhom gestorského výboru </w:t>
      </w:r>
      <w:r w:rsidRPr="002B0CB4">
        <w:rPr>
          <w:rFonts w:ascii="Times New Roman" w:hAnsi="Times New Roman"/>
          <w:b/>
        </w:rPr>
        <w:t>schváliť</w:t>
      </w:r>
      <w:r w:rsidRPr="002B0CB4">
        <w:rPr>
          <w:rFonts w:ascii="Times New Roman" w:hAnsi="Times New Roman"/>
        </w:rPr>
        <w:t>.</w:t>
      </w:r>
    </w:p>
    <w:p w:rsidR="00085F3B" w:rsidRPr="0032038B" w:rsidP="00085F3B">
      <w:pPr>
        <w:tabs>
          <w:tab w:val="left" w:pos="-1985"/>
          <w:tab w:val="left" w:pos="709"/>
          <w:tab w:val="left" w:pos="1077"/>
        </w:tabs>
        <w:bidi w:val="0"/>
        <w:jc w:val="both"/>
        <w:rPr>
          <w:rFonts w:ascii="Times New Roman" w:hAnsi="Times New Roman"/>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531E47"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A666DE">
      <w:pPr>
        <w:bidi w:val="0"/>
        <w:jc w:val="both"/>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A32B69" w:rsidR="00252DDA">
        <w:rPr>
          <w:rFonts w:ascii="Times New Roman" w:hAnsi="Times New Roman"/>
        </w:rPr>
        <w:t>v</w:t>
      </w:r>
      <w:r w:rsidRPr="00A32B69" w:rsidR="00252DDA">
        <w:rPr>
          <w:rFonts w:ascii="Times New Roman" w:hAnsi="Times New Roman"/>
          <w:bCs/>
          <w:iCs/>
        </w:rPr>
        <w:t>ládn</w:t>
      </w:r>
      <w:r w:rsidR="00252DDA">
        <w:rPr>
          <w:rFonts w:ascii="Times New Roman" w:hAnsi="Times New Roman"/>
          <w:bCs/>
          <w:iCs/>
        </w:rPr>
        <w:t>emu</w:t>
      </w:r>
      <w:r w:rsidRPr="00A32B69" w:rsidR="00252DDA">
        <w:rPr>
          <w:rFonts w:ascii="Times New Roman" w:hAnsi="Times New Roman"/>
          <w:bCs/>
          <w:iCs/>
        </w:rPr>
        <w:t xml:space="preserve"> návrh</w:t>
      </w:r>
      <w:r w:rsidR="00252DDA">
        <w:rPr>
          <w:rFonts w:ascii="Times New Roman" w:hAnsi="Times New Roman"/>
          <w:bCs/>
          <w:iCs/>
        </w:rPr>
        <w:t>u</w:t>
      </w:r>
      <w:r w:rsidRPr="00A32B69" w:rsidR="00252DDA">
        <w:rPr>
          <w:rFonts w:ascii="Times New Roman" w:hAnsi="Times New Roman"/>
          <w:bCs/>
          <w:iCs/>
        </w:rPr>
        <w:t xml:space="preserve"> zákona, ktorým sa dopĺňa zákon Národnej rady Slovenskej republiky č. 120/1993 Z. z. o platových pomeroch niektorých ústavných činiteľov Slovenskej republiky v znení neskorších predpisov a ktorým sa dopĺňajú niektoré zákony (tlač 1633)</w:t>
      </w:r>
      <w:r w:rsidR="00252DDA">
        <w:rPr>
          <w:rFonts w:ascii="Times New Roman" w:hAnsi="Times New Roman"/>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P="004E4DCD">
      <w:pPr>
        <w:bidi w:val="0"/>
        <w:spacing w:line="360" w:lineRule="auto"/>
        <w:jc w:val="both"/>
        <w:rPr>
          <w:rFonts w:ascii="Times New Roman" w:hAnsi="Times New Roman"/>
          <w:b/>
          <w:bCs/>
        </w:rPr>
      </w:pPr>
    </w:p>
    <w:p w:rsidR="00E7368C" w:rsidP="004E4DCD">
      <w:pPr>
        <w:bidi w:val="0"/>
        <w:spacing w:line="360" w:lineRule="auto"/>
        <w:jc w:val="both"/>
        <w:rPr>
          <w:rFonts w:ascii="Times New Roman" w:hAnsi="Times New Roman"/>
          <w:b/>
          <w:bCs/>
        </w:rPr>
      </w:pPr>
    </w:p>
    <w:p w:rsidR="00E7368C" w:rsidP="004E4DCD">
      <w:pPr>
        <w:bidi w:val="0"/>
        <w:spacing w:line="360" w:lineRule="auto"/>
        <w:jc w:val="both"/>
        <w:rPr>
          <w:rFonts w:ascii="Times New Roman" w:hAnsi="Times New Roman"/>
          <w:b/>
          <w:bCs/>
        </w:rPr>
      </w:pPr>
    </w:p>
    <w:p w:rsidR="00D26800" w:rsidP="004E4DCD">
      <w:pPr>
        <w:bidi w:val="0"/>
        <w:spacing w:line="360" w:lineRule="auto"/>
        <w:jc w:val="both"/>
        <w:rPr>
          <w:rFonts w:ascii="Times New Roman" w:hAnsi="Times New Roman"/>
          <w:b/>
          <w:bCs/>
        </w:rPr>
      </w:pPr>
    </w:p>
    <w:p w:rsidR="00D26800" w:rsidP="004E4DCD">
      <w:pPr>
        <w:bidi w:val="0"/>
        <w:spacing w:line="360" w:lineRule="auto"/>
        <w:jc w:val="both"/>
        <w:rPr>
          <w:rFonts w:ascii="Times New Roman" w:hAnsi="Times New Roman"/>
          <w:b/>
          <w:bCs/>
        </w:rPr>
      </w:pPr>
    </w:p>
    <w:p w:rsidR="00E7368C" w:rsidP="004E4DCD">
      <w:pPr>
        <w:bidi w:val="0"/>
        <w:spacing w:line="360" w:lineRule="auto"/>
        <w:jc w:val="both"/>
        <w:rPr>
          <w:rFonts w:ascii="Times New Roman" w:hAnsi="Times New Roman"/>
          <w:b/>
          <w:bCs/>
        </w:rPr>
      </w:pPr>
    </w:p>
    <w:p w:rsidR="004E4DCD" w:rsidRPr="00F36DCE" w:rsidP="00472536">
      <w:pPr>
        <w:bidi w:val="0"/>
        <w:ind w:firstLine="708"/>
        <w:jc w:val="both"/>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A32B69" w:rsidR="00252DDA">
        <w:rPr>
          <w:rFonts w:ascii="Times New Roman" w:hAnsi="Times New Roman"/>
        </w:rPr>
        <w:t>v</w:t>
      </w:r>
      <w:r w:rsidRPr="00A32B69" w:rsidR="00252DDA">
        <w:rPr>
          <w:rFonts w:ascii="Times New Roman" w:hAnsi="Times New Roman"/>
          <w:bCs/>
          <w:iCs/>
        </w:rPr>
        <w:t>ládn</w:t>
      </w:r>
      <w:r w:rsidR="00252DDA">
        <w:rPr>
          <w:rFonts w:ascii="Times New Roman" w:hAnsi="Times New Roman"/>
          <w:bCs/>
          <w:iCs/>
        </w:rPr>
        <w:t>eho</w:t>
      </w:r>
      <w:r w:rsidRPr="00A32B69" w:rsidR="00252DDA">
        <w:rPr>
          <w:rFonts w:ascii="Times New Roman" w:hAnsi="Times New Roman"/>
          <w:bCs/>
          <w:iCs/>
        </w:rPr>
        <w:t xml:space="preserve"> návrh</w:t>
      </w:r>
      <w:r w:rsidR="00252DDA">
        <w:rPr>
          <w:rFonts w:ascii="Times New Roman" w:hAnsi="Times New Roman"/>
          <w:bCs/>
          <w:iCs/>
        </w:rPr>
        <w:t>u</w:t>
      </w:r>
      <w:r w:rsidRPr="00A32B69" w:rsidR="00252DDA">
        <w:rPr>
          <w:rFonts w:ascii="Times New Roman" w:hAnsi="Times New Roman"/>
          <w:bCs/>
          <w:iCs/>
        </w:rPr>
        <w:t xml:space="preserve"> zákona, ktorým sa dopĺňa zákon Národnej rady Slovenskej republiky č. 120/1993 Z. z. o platových pomeroch niektorých ústavných činiteľov Slovenskej republiky v znení neskorších predpisov a ktorým sa dopĺňajú niektoré zákony (tlač 1633</w:t>
      </w:r>
      <w:r w:rsidR="00252DDA">
        <w:rPr>
          <w:rFonts w:ascii="Times New Roman" w:hAnsi="Times New Roman"/>
          <w:bCs/>
          <w:iCs/>
        </w:rPr>
        <w:t>a</w:t>
      </w:r>
      <w:r w:rsidRPr="00A32B69" w:rsidR="00252DDA">
        <w:rPr>
          <w:rFonts w:ascii="Times New Roman" w:hAnsi="Times New Roman"/>
          <w:bCs/>
          <w:iCs/>
        </w:rPr>
        <w:t>)</w:t>
      </w:r>
      <w:r w:rsidR="00252DDA">
        <w:rPr>
          <w:rFonts w:ascii="Times New Roman" w:hAnsi="Times New Roman"/>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D26800">
        <w:rPr>
          <w:rFonts w:ascii="Times New Roman" w:hAnsi="Times New Roman"/>
          <w:bCs/>
        </w:rPr>
        <w:t>515</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RPr="00F36DCE" w:rsidP="0043479C">
      <w:pPr>
        <w:bidi w:val="0"/>
        <w:spacing w:line="360" w:lineRule="auto"/>
        <w:ind w:firstLine="708"/>
        <w:jc w:val="both"/>
        <w:rPr>
          <w:rFonts w:ascii="Times New Roman" w:hAnsi="Times New Roman"/>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00301034">
        <w:rPr>
          <w:rFonts w:ascii="Times New Roman" w:hAnsi="Times New Roman"/>
          <w:b/>
          <w:bCs/>
        </w:rPr>
        <w:t>Jaroslava Demiana</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E7368C" w:rsidP="00472536">
      <w:pPr>
        <w:pStyle w:val="BodyText3"/>
        <w:bidi w:val="0"/>
        <w:ind w:left="720"/>
        <w:rPr>
          <w:rFonts w:ascii="Times New Roman" w:hAnsi="Times New Roman"/>
        </w:rPr>
      </w:pPr>
      <w:r w:rsidRPr="00F36DCE" w:rsidR="00AA7E5B">
        <w:rPr>
          <w:rFonts w:ascii="Times New Roman" w:hAnsi="Times New Roman"/>
        </w:rPr>
        <w:tab/>
        <w:tab/>
        <w:tab/>
        <w:tab/>
      </w:r>
    </w:p>
    <w:p w:rsidR="00E7368C"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4903E5" w:rsidRPr="00F36DCE" w:rsidP="004725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D02F29" w:rsidP="00472536">
      <w:pPr>
        <w:tabs>
          <w:tab w:val="left" w:pos="-1985"/>
          <w:tab w:val="left" w:pos="709"/>
          <w:tab w:val="left" w:pos="1077"/>
        </w:tabs>
        <w:bidi w:val="0"/>
        <w:jc w:val="both"/>
        <w:rPr>
          <w:rFonts w:ascii="Times New Roman" w:hAnsi="Times New Roman"/>
        </w:rPr>
      </w:pP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91470">
      <w:rPr>
        <w:rFonts w:ascii="Times New Roman" w:hAnsi="Times New Roman"/>
        <w:noProof/>
      </w:rPr>
      <w:t>4</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328F5C87"/>
    <w:multiLevelType w:val="hybridMultilevel"/>
    <w:tmpl w:val="AEE4EB74"/>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748D184C"/>
    <w:multiLevelType w:val="hybridMultilevel"/>
    <w:tmpl w:val="FD2AD3C4"/>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lvlOverride w:ilvl="0"/>
  </w:num>
  <w:num w:numId="11">
    <w:abstractNumId w:val="0"/>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85F3B"/>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101620"/>
    <w:rsid w:val="00101BB0"/>
    <w:rsid w:val="00103242"/>
    <w:rsid w:val="001078EB"/>
    <w:rsid w:val="00111F2C"/>
    <w:rsid w:val="00122F08"/>
    <w:rsid w:val="00131932"/>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0207"/>
    <w:rsid w:val="00191470"/>
    <w:rsid w:val="001955ED"/>
    <w:rsid w:val="001A2BBD"/>
    <w:rsid w:val="001A39C3"/>
    <w:rsid w:val="001B1448"/>
    <w:rsid w:val="001B3463"/>
    <w:rsid w:val="001B3D60"/>
    <w:rsid w:val="001B4E8A"/>
    <w:rsid w:val="001C48CF"/>
    <w:rsid w:val="001D129D"/>
    <w:rsid w:val="001D7527"/>
    <w:rsid w:val="001D7935"/>
    <w:rsid w:val="001E00FE"/>
    <w:rsid w:val="001E5703"/>
    <w:rsid w:val="001E5BBB"/>
    <w:rsid w:val="001F3714"/>
    <w:rsid w:val="001F49EA"/>
    <w:rsid w:val="001F53E1"/>
    <w:rsid w:val="001F7A38"/>
    <w:rsid w:val="00203E62"/>
    <w:rsid w:val="0020722A"/>
    <w:rsid w:val="002114A2"/>
    <w:rsid w:val="00211680"/>
    <w:rsid w:val="00211ACA"/>
    <w:rsid w:val="00213043"/>
    <w:rsid w:val="00215316"/>
    <w:rsid w:val="00215931"/>
    <w:rsid w:val="002202FF"/>
    <w:rsid w:val="002224EE"/>
    <w:rsid w:val="0022456B"/>
    <w:rsid w:val="00224FBF"/>
    <w:rsid w:val="00230C9E"/>
    <w:rsid w:val="00252DDA"/>
    <w:rsid w:val="002538F7"/>
    <w:rsid w:val="00253E76"/>
    <w:rsid w:val="00253EC8"/>
    <w:rsid w:val="0026127D"/>
    <w:rsid w:val="00261BDF"/>
    <w:rsid w:val="00272845"/>
    <w:rsid w:val="00272D6D"/>
    <w:rsid w:val="00273BCF"/>
    <w:rsid w:val="00277678"/>
    <w:rsid w:val="00281447"/>
    <w:rsid w:val="0028184A"/>
    <w:rsid w:val="002856CD"/>
    <w:rsid w:val="002870B7"/>
    <w:rsid w:val="00287C47"/>
    <w:rsid w:val="00292A65"/>
    <w:rsid w:val="00292FE5"/>
    <w:rsid w:val="0029726B"/>
    <w:rsid w:val="002A35C6"/>
    <w:rsid w:val="002A366B"/>
    <w:rsid w:val="002A4081"/>
    <w:rsid w:val="002B0A29"/>
    <w:rsid w:val="002B0CB4"/>
    <w:rsid w:val="002B2C5C"/>
    <w:rsid w:val="002B3087"/>
    <w:rsid w:val="002B3EB3"/>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1034"/>
    <w:rsid w:val="003029AD"/>
    <w:rsid w:val="00305890"/>
    <w:rsid w:val="00305DD0"/>
    <w:rsid w:val="00306889"/>
    <w:rsid w:val="00307F3F"/>
    <w:rsid w:val="0031301C"/>
    <w:rsid w:val="00314AFC"/>
    <w:rsid w:val="00316993"/>
    <w:rsid w:val="0032038B"/>
    <w:rsid w:val="003263CA"/>
    <w:rsid w:val="003268A9"/>
    <w:rsid w:val="00330F5A"/>
    <w:rsid w:val="0033209C"/>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2888"/>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502134"/>
    <w:rsid w:val="00502CDE"/>
    <w:rsid w:val="00503550"/>
    <w:rsid w:val="00506162"/>
    <w:rsid w:val="00506D8C"/>
    <w:rsid w:val="00513BED"/>
    <w:rsid w:val="00516EAB"/>
    <w:rsid w:val="00523682"/>
    <w:rsid w:val="00531E47"/>
    <w:rsid w:val="0053248E"/>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DBC"/>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638F8"/>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C7E60"/>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17E61"/>
    <w:rsid w:val="008200BB"/>
    <w:rsid w:val="008207FF"/>
    <w:rsid w:val="0082235F"/>
    <w:rsid w:val="008229C1"/>
    <w:rsid w:val="008233AA"/>
    <w:rsid w:val="00830E39"/>
    <w:rsid w:val="00832161"/>
    <w:rsid w:val="00835A9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B5F"/>
    <w:rsid w:val="008C5D00"/>
    <w:rsid w:val="008D1FAF"/>
    <w:rsid w:val="008D485B"/>
    <w:rsid w:val="008D4D80"/>
    <w:rsid w:val="008D6173"/>
    <w:rsid w:val="008E6F37"/>
    <w:rsid w:val="008E7D18"/>
    <w:rsid w:val="008F124B"/>
    <w:rsid w:val="008F215F"/>
    <w:rsid w:val="008F2932"/>
    <w:rsid w:val="008F2AA6"/>
    <w:rsid w:val="008F77C3"/>
    <w:rsid w:val="0090098C"/>
    <w:rsid w:val="009015EE"/>
    <w:rsid w:val="00903817"/>
    <w:rsid w:val="009039A7"/>
    <w:rsid w:val="00903E4E"/>
    <w:rsid w:val="00910A72"/>
    <w:rsid w:val="00915A6B"/>
    <w:rsid w:val="00915CE5"/>
    <w:rsid w:val="00916319"/>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0183"/>
    <w:rsid w:val="009B5FEF"/>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4543"/>
    <w:rsid w:val="00AD6ECA"/>
    <w:rsid w:val="00AD71B2"/>
    <w:rsid w:val="00AE0104"/>
    <w:rsid w:val="00AE254E"/>
    <w:rsid w:val="00AE427B"/>
    <w:rsid w:val="00AE4C1A"/>
    <w:rsid w:val="00AE5880"/>
    <w:rsid w:val="00AE7DD3"/>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D665E"/>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26800"/>
    <w:rsid w:val="00D31BCE"/>
    <w:rsid w:val="00D352D6"/>
    <w:rsid w:val="00D42F41"/>
    <w:rsid w:val="00D44F85"/>
    <w:rsid w:val="00D54C86"/>
    <w:rsid w:val="00D624A5"/>
    <w:rsid w:val="00D67C0C"/>
    <w:rsid w:val="00D8757A"/>
    <w:rsid w:val="00D91F68"/>
    <w:rsid w:val="00D92411"/>
    <w:rsid w:val="00DA2D42"/>
    <w:rsid w:val="00DA4865"/>
    <w:rsid w:val="00DA5E34"/>
    <w:rsid w:val="00DB491A"/>
    <w:rsid w:val="00DC31F2"/>
    <w:rsid w:val="00DD27CB"/>
    <w:rsid w:val="00DD3169"/>
    <w:rsid w:val="00DD7A8C"/>
    <w:rsid w:val="00DE45A1"/>
    <w:rsid w:val="00DE5C53"/>
    <w:rsid w:val="00DF2126"/>
    <w:rsid w:val="00DF3A85"/>
    <w:rsid w:val="00E068AC"/>
    <w:rsid w:val="00E07B95"/>
    <w:rsid w:val="00E105A0"/>
    <w:rsid w:val="00E112F6"/>
    <w:rsid w:val="00E15CBF"/>
    <w:rsid w:val="00E209BA"/>
    <w:rsid w:val="00E21885"/>
    <w:rsid w:val="00E21C21"/>
    <w:rsid w:val="00E25A91"/>
    <w:rsid w:val="00E26775"/>
    <w:rsid w:val="00E33075"/>
    <w:rsid w:val="00E37D49"/>
    <w:rsid w:val="00E40761"/>
    <w:rsid w:val="00E41238"/>
    <w:rsid w:val="00E462E4"/>
    <w:rsid w:val="00E63890"/>
    <w:rsid w:val="00E6614F"/>
    <w:rsid w:val="00E73339"/>
    <w:rsid w:val="00E7368C"/>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4365"/>
    <w:rsid w:val="00ED46C7"/>
    <w:rsid w:val="00ED4B90"/>
    <w:rsid w:val="00ED7FBC"/>
    <w:rsid w:val="00EE2114"/>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BBAE-2FD5-4DAC-B35B-193D99B9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195</TotalTime>
  <Pages>4</Pages>
  <Words>1040</Words>
  <Characters>5934</Characters>
  <Application>Microsoft Office Word</Application>
  <DocSecurity>0</DocSecurity>
  <Lines>0</Lines>
  <Paragraphs>0</Paragraphs>
  <ScaleCrop>false</ScaleCrop>
  <Company>Kancelaria NR SR</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118</cp:revision>
  <cp:lastPrinted>2015-11-06T11:34:00Z</cp:lastPrinted>
  <dcterms:created xsi:type="dcterms:W3CDTF">2015-03-09T15:36:00Z</dcterms:created>
  <dcterms:modified xsi:type="dcterms:W3CDTF">2015-11-06T11:34:00Z</dcterms:modified>
</cp:coreProperties>
</file>