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904011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1760C3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2E41D4">
        <w:rPr>
          <w:rFonts w:ascii="Times New Roman" w:hAnsi="Times New Roman"/>
        </w:rPr>
        <w:t xml:space="preserve"> </w:t>
      </w:r>
      <w:r w:rsidR="008B2370">
        <w:rPr>
          <w:rFonts w:ascii="Times New Roman" w:hAnsi="Times New Roman"/>
        </w:rPr>
        <w:t>CRD-</w:t>
      </w:r>
      <w:r w:rsidR="00AB6E36">
        <w:rPr>
          <w:rFonts w:ascii="Times New Roman" w:hAnsi="Times New Roman"/>
        </w:rPr>
        <w:t>1645</w:t>
      </w:r>
      <w:r w:rsidR="005146FF">
        <w:rPr>
          <w:rFonts w:ascii="Times New Roman" w:hAnsi="Times New Roman"/>
        </w:rPr>
        <w:t>/2015</w:t>
      </w:r>
    </w:p>
    <w:p w:rsidR="00692B86" w:rsidP="00FC2785">
      <w:pPr>
        <w:bidi w:val="0"/>
        <w:ind w:left="5592" w:hanging="12"/>
        <w:rPr>
          <w:rFonts w:ascii="Times New Roman" w:hAnsi="Times New Roman"/>
        </w:rPr>
      </w:pPr>
    </w:p>
    <w:p w:rsidR="00734829" w:rsidRPr="00A25BE2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A25BE2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A25BE2" w:rsidR="00A25BE2">
        <w:rPr>
          <w:rFonts w:ascii="Times New Roman" w:hAnsi="Times New Roman"/>
          <w:sz w:val="36"/>
        </w:rPr>
        <w:t>691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ED02C5">
        <w:rPr>
          <w:rFonts w:ascii="Times New Roman" w:hAnsi="Times New Roman"/>
          <w:b/>
        </w:rPr>
        <w:t>3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9E5986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440A85" w:rsidRPr="00654129" w:rsidP="00937E90">
      <w:pPr>
        <w:pStyle w:val="BodyText"/>
        <w:bidi w:val="0"/>
        <w:rPr>
          <w:rFonts w:ascii="Times New Roman" w:hAnsi="Times New Roman"/>
        </w:rPr>
      </w:pPr>
    </w:p>
    <w:p w:rsidR="00416071" w:rsidRPr="00151A37" w:rsidP="00416071">
      <w:pPr>
        <w:bidi w:val="0"/>
        <w:jc w:val="both"/>
        <w:rPr>
          <w:rFonts w:ascii="Times New Roman" w:hAnsi="Times New Roman"/>
        </w:rPr>
      </w:pPr>
      <w:r w:rsidRPr="00151A37" w:rsidR="00556936">
        <w:rPr>
          <w:rFonts w:ascii="Times New Roman" w:hAnsi="Times New Roman" w:cs="Arial"/>
          <w:noProof/>
          <w:sz w:val="22"/>
        </w:rPr>
        <w:t xml:space="preserve">k </w:t>
      </w:r>
      <w:r w:rsidRPr="00151A37" w:rsidR="001760C3">
        <w:rPr>
          <w:rFonts w:ascii="Times New Roman" w:hAnsi="Times New Roman"/>
        </w:rPr>
        <w:t>vládnemu návrhu</w:t>
      </w:r>
      <w:r w:rsidRPr="00151A37" w:rsidR="007F29F8">
        <w:rPr>
          <w:rFonts w:ascii="Times New Roman" w:hAnsi="Times New Roman"/>
        </w:rPr>
        <w:t xml:space="preserve"> zákona</w:t>
      </w:r>
      <w:hyperlink r:id="rId5" w:history="1">
        <w:r w:rsidRPr="00151A37">
          <w:rPr>
            <w:rFonts w:ascii="Times New Roman" w:hAnsi="Times New Roman"/>
          </w:rPr>
          <w:t xml:space="preserve"> o uznávaní dokladov o vzdelaní a</w:t>
        </w:r>
        <w:r w:rsidR="00032BC5">
          <w:rPr>
            <w:rFonts w:ascii="Times New Roman" w:hAnsi="Times New Roman"/>
          </w:rPr>
          <w:t xml:space="preserve"> o </w:t>
        </w:r>
        <w:r w:rsidRPr="00151A37">
          <w:rPr>
            <w:rFonts w:ascii="Times New Roman" w:hAnsi="Times New Roman"/>
          </w:rPr>
          <w:t>uznávaní odborných kvalifikácií a o zmene a doplnení niektorých zákonov</w:t>
        </w:r>
      </w:hyperlink>
      <w:r w:rsidRPr="00151A37">
        <w:rPr>
          <w:rFonts w:ascii="Times New Roman" w:hAnsi="Times New Roman"/>
        </w:rPr>
        <w:t xml:space="preserve"> (tlač </w:t>
      </w:r>
      <w:r w:rsidR="00032BC5">
        <w:rPr>
          <w:rFonts w:ascii="Times New Roman" w:hAnsi="Times New Roman"/>
        </w:rPr>
        <w:t>1722</w:t>
      </w:r>
      <w:r w:rsidRPr="00151A37">
        <w:rPr>
          <w:rFonts w:ascii="Times New Roman" w:hAnsi="Times New Roman"/>
        </w:rPr>
        <w:t>)</w:t>
      </w:r>
    </w:p>
    <w:p w:rsidR="00416071" w:rsidRPr="00151A37" w:rsidP="00992D57">
      <w:pPr>
        <w:bidi w:val="0"/>
        <w:jc w:val="both"/>
        <w:rPr>
          <w:rFonts w:ascii="Times New Roman" w:hAnsi="Times New Roman"/>
        </w:rPr>
      </w:pPr>
    </w:p>
    <w:p w:rsidR="00440A85" w:rsidRPr="00440A85" w:rsidP="00440A85">
      <w:pPr>
        <w:bidi w:val="0"/>
        <w:rPr>
          <w:rFonts w:ascii="Times New Roman" w:hAnsi="Times New Roman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</w:t>
      </w:r>
      <w:r w:rsidRPr="002E0F39">
        <w:rPr>
          <w:rFonts w:ascii="Times New Roman" w:hAnsi="Times New Roman" w:hint="default"/>
          <w:color w:val="auto"/>
        </w:rPr>
        <w:t>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7F29F8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151A37" w:rsidRPr="00151A37" w:rsidP="00151A37">
      <w:pPr>
        <w:bidi w:val="0"/>
        <w:ind w:firstLine="1134"/>
        <w:jc w:val="both"/>
        <w:rPr>
          <w:rFonts w:ascii="Times New Roman" w:hAnsi="Times New Roman"/>
        </w:rPr>
      </w:pPr>
      <w:r w:rsidRPr="00992D57" w:rsidR="00397B4E">
        <w:rPr>
          <w:rFonts w:ascii="Times New Roman" w:hAnsi="Times New Roman"/>
        </w:rPr>
        <w:t>s</w:t>
      </w:r>
      <w:r w:rsidRPr="00992D57" w:rsidR="00C516A7">
        <w:rPr>
          <w:rFonts w:ascii="Times New Roman" w:hAnsi="Times New Roman"/>
        </w:rPr>
        <w:t> </w:t>
      </w:r>
      <w:r w:rsidRPr="007F29F8" w:rsidR="001760C3">
        <w:rPr>
          <w:rFonts w:ascii="Times New Roman" w:hAnsi="Times New Roman"/>
        </w:rPr>
        <w:t>vládnym návrhom zákona</w:t>
      </w:r>
      <w:hyperlink r:id="rId5" w:history="1">
        <w:r w:rsidRPr="00151A37">
          <w:rPr>
            <w:rFonts w:ascii="Times New Roman" w:hAnsi="Times New Roman"/>
          </w:rPr>
          <w:t xml:space="preserve"> o uznávaní dokladov o vzdelaní a</w:t>
        </w:r>
        <w:r w:rsidR="00032BC5">
          <w:rPr>
            <w:rFonts w:ascii="Times New Roman" w:hAnsi="Times New Roman"/>
          </w:rPr>
          <w:t> o</w:t>
        </w:r>
        <w:r w:rsidRPr="00151A37">
          <w:rPr>
            <w:rFonts w:ascii="Times New Roman" w:hAnsi="Times New Roman"/>
          </w:rPr>
          <w:t> uznávaní odborných kvalifikácií a o zmene a doplnení niektorých zákonov</w:t>
        </w:r>
      </w:hyperlink>
      <w:r w:rsidRPr="00151A37">
        <w:rPr>
          <w:rFonts w:ascii="Times New Roman" w:hAnsi="Times New Roman"/>
        </w:rPr>
        <w:t xml:space="preserve"> (tlač</w:t>
      </w:r>
      <w:r w:rsidR="00032BC5">
        <w:rPr>
          <w:rFonts w:ascii="Times New Roman" w:hAnsi="Times New Roman"/>
        </w:rPr>
        <w:t xml:space="preserve"> 1722</w:t>
      </w:r>
      <w:r w:rsidRPr="00151A37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2B0D80" w:rsidP="00440A85">
      <w:pPr>
        <w:bidi w:val="0"/>
        <w:jc w:val="both"/>
        <w:rPr>
          <w:rFonts w:ascii="Times New Roman" w:hAnsi="Times New Roman"/>
        </w:rPr>
      </w:pP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5427A3" w:rsidRPr="00151A37" w:rsidP="00151A37">
      <w:pPr>
        <w:bidi w:val="0"/>
        <w:ind w:firstLine="1134"/>
        <w:jc w:val="both"/>
        <w:rPr>
          <w:rFonts w:ascii="Times New Roman" w:hAnsi="Times New Roman"/>
        </w:rPr>
      </w:pPr>
      <w:r w:rsidRPr="00252BED" w:rsidR="001760C3">
        <w:rPr>
          <w:rFonts w:ascii="Times New Roman" w:hAnsi="Times New Roman"/>
        </w:rPr>
        <w:t>vládny návrh zákona</w:t>
      </w:r>
      <w:r w:rsidR="00151A37">
        <w:rPr>
          <w:rFonts w:ascii="Times New Roman" w:hAnsi="Times New Roman"/>
        </w:rPr>
        <w:t xml:space="preserve"> </w:t>
      </w:r>
      <w:hyperlink r:id="rId5" w:history="1">
        <w:r w:rsidRPr="00151A37" w:rsidR="00151A37">
          <w:rPr>
            <w:rFonts w:ascii="Times New Roman" w:hAnsi="Times New Roman"/>
          </w:rPr>
          <w:t xml:space="preserve"> o uznávaní dokladov o vzdelaní a</w:t>
        </w:r>
        <w:r w:rsidR="00FC0F0D">
          <w:rPr>
            <w:rFonts w:ascii="Times New Roman" w:hAnsi="Times New Roman"/>
          </w:rPr>
          <w:t xml:space="preserve"> o </w:t>
        </w:r>
        <w:r w:rsidRPr="00151A37" w:rsidR="00151A37">
          <w:rPr>
            <w:rFonts w:ascii="Times New Roman" w:hAnsi="Times New Roman"/>
          </w:rPr>
          <w:t>uznávaní odborných kvalifikácií a o zmene a doplnení niektorých zákonov</w:t>
        </w:r>
      </w:hyperlink>
      <w:r w:rsidRPr="00151A37" w:rsidR="00151A37">
        <w:rPr>
          <w:rFonts w:ascii="Times New Roman" w:hAnsi="Times New Roman"/>
        </w:rPr>
        <w:t xml:space="preserve"> (tlač</w:t>
      </w:r>
      <w:r w:rsidR="00FC0F0D">
        <w:rPr>
          <w:rFonts w:ascii="Times New Roman" w:hAnsi="Times New Roman"/>
        </w:rPr>
        <w:t xml:space="preserve"> 1722</w:t>
      </w:r>
      <w:r w:rsidRPr="00151A37" w:rsidR="00151A37">
        <w:rPr>
          <w:rFonts w:ascii="Times New Roman" w:hAnsi="Times New Roman"/>
        </w:rPr>
        <w:t>)</w:t>
      </w:r>
      <w:hyperlink r:id="rId6" w:history="1"/>
      <w:r w:rsidR="00992D57">
        <w:rPr>
          <w:rFonts w:ascii="Times New Roman" w:hAnsi="Times New Roman"/>
        </w:rPr>
        <w:t xml:space="preserve"> </w:t>
      </w:r>
      <w:r w:rsidR="002E41D4">
        <w:rPr>
          <w:rFonts w:ascii="Times New Roman" w:hAnsi="Times New Roman"/>
          <w:b/>
        </w:rPr>
        <w:t xml:space="preserve">schváliť </w:t>
      </w:r>
      <w:r w:rsidR="00CF31C9">
        <w:rPr>
          <w:rFonts w:ascii="Times New Roman" w:hAnsi="Times New Roman"/>
        </w:rPr>
        <w:t>so </w:t>
      </w:r>
      <w:r w:rsidR="002E41D4">
        <w:rPr>
          <w:rFonts w:ascii="Times New Roman" w:hAnsi="Times New Roman"/>
        </w:rPr>
        <w:t xml:space="preserve">zmenami </w:t>
      </w:r>
      <w:r w:rsidRPr="002E0F39">
        <w:rPr>
          <w:rFonts w:ascii="Times New Roman" w:hAnsi="Times New Roman"/>
        </w:rPr>
        <w:t xml:space="preserve"> a doplnkami uvedenými v prílohe tohto uznesenia;  </w:t>
      </w:r>
    </w:p>
    <w:p w:rsidR="00CF31C9" w:rsidRPr="00040412" w:rsidP="00440A85">
      <w:pPr>
        <w:bidi w:val="0"/>
        <w:jc w:val="both"/>
        <w:rPr>
          <w:rFonts w:ascii="Times New Roman" w:hAnsi="Times New Roman"/>
        </w:rPr>
      </w:pPr>
    </w:p>
    <w:p w:rsidR="00CF31C9" w:rsidRPr="00040412" w:rsidP="00CF31C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CF31C9" w:rsidRPr="00040412" w:rsidP="00CF31C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CF31C9" w:rsidRPr="00F17EC7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>predsedu vý</w:t>
      </w:r>
      <w:r w:rsidR="00440A85">
        <w:rPr>
          <w:rFonts w:ascii="Times New Roman" w:hAnsi="Times New Roman"/>
        </w:rPr>
        <w:t xml:space="preserve">boru </w:t>
      </w:r>
      <w:r w:rsidRPr="00040412">
        <w:rPr>
          <w:rFonts w:ascii="Times New Roman" w:hAnsi="Times New Roman"/>
        </w:rPr>
        <w:t xml:space="preserve">predložiť stanovisko výboru k uvedenému návrhu zákona predsedovi gestorského </w:t>
      </w:r>
      <w:r w:rsidRPr="00F17EC7">
        <w:rPr>
          <w:rFonts w:ascii="Times New Roman" w:hAnsi="Times New Roman"/>
        </w:rPr>
        <w:t xml:space="preserve">Výboru Národnej rady Slovenskej republiky pre </w:t>
      </w:r>
      <w:r w:rsidRPr="00F17EC7" w:rsidR="00151A37">
        <w:rPr>
          <w:rFonts w:ascii="Times New Roman" w:hAnsi="Times New Roman"/>
        </w:rPr>
        <w:t xml:space="preserve">vzdelávanie, vedu, mládež a šport. </w:t>
      </w:r>
    </w:p>
    <w:p w:rsidR="00151A37" w:rsidP="00CF31C9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151A37" w:rsidP="00CF31C9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440A85" w:rsidP="00CF31C9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440A85" w:rsidRPr="00040412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36D69" w:rsidRPr="002E0F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927F05" w:rsidP="00927F05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E26E4E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E26E4E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E26E4E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440A85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2E0F39" w:rsidRPr="002E0F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A25BE2">
        <w:rPr>
          <w:rFonts w:ascii="Times New Roman" w:hAnsi="Times New Roman"/>
          <w:b/>
        </w:rPr>
        <w:t>691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ED02C5">
        <w:rPr>
          <w:rFonts w:ascii="Times New Roman" w:hAnsi="Times New Roman"/>
          <w:b/>
        </w:rPr>
        <w:t>3</w:t>
      </w:r>
      <w:r w:rsidR="00FF0745">
        <w:rPr>
          <w:rFonts w:ascii="Times New Roman" w:hAnsi="Times New Roman"/>
          <w:b/>
        </w:rPr>
        <w:t xml:space="preserve">. </w:t>
      </w:r>
      <w:r w:rsidR="009E5986">
        <w:rPr>
          <w:rFonts w:ascii="Times New Roman" w:hAnsi="Times New Roman"/>
          <w:b/>
        </w:rPr>
        <w:t>novembra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724D5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151A37" w:rsidRPr="00151A37" w:rsidP="00151A37">
      <w:pPr>
        <w:pStyle w:val="BodyText"/>
        <w:tabs>
          <w:tab w:val="left" w:pos="1134"/>
        </w:tabs>
        <w:bidi w:val="0"/>
        <w:rPr>
          <w:rFonts w:ascii="Times New Roman" w:hAnsi="Times New Roman"/>
          <w:b/>
        </w:rPr>
      </w:pPr>
      <w:r w:rsidRPr="00151A37" w:rsidR="0011659C">
        <w:rPr>
          <w:rFonts w:ascii="Times New Roman" w:hAnsi="Times New Roman"/>
          <w:b/>
        </w:rPr>
        <w:t>k</w:t>
      </w:r>
      <w:r w:rsidRPr="00151A37" w:rsidR="00413C8B">
        <w:rPr>
          <w:rFonts w:ascii="Times New Roman" w:hAnsi="Times New Roman"/>
          <w:b/>
        </w:rPr>
        <w:t> </w:t>
      </w:r>
      <w:r w:rsidRPr="00151A37" w:rsidR="001760C3">
        <w:rPr>
          <w:rFonts w:ascii="Times New Roman" w:hAnsi="Times New Roman"/>
          <w:b/>
        </w:rPr>
        <w:t>vládnemu návrhu zákona</w:t>
      </w:r>
      <w:hyperlink r:id="rId5" w:history="1">
        <w:r w:rsidRPr="00151A37">
          <w:rPr>
            <w:rFonts w:ascii="Times New Roman" w:hAnsi="Times New Roman"/>
            <w:b/>
          </w:rPr>
          <w:t xml:space="preserve"> o uznávaní dokladov o vzdelaní a</w:t>
        </w:r>
        <w:r w:rsidR="009D76A1">
          <w:rPr>
            <w:rFonts w:ascii="Times New Roman" w:hAnsi="Times New Roman"/>
            <w:b/>
          </w:rPr>
          <w:t xml:space="preserve"> o </w:t>
        </w:r>
        <w:r w:rsidRPr="00151A37">
          <w:rPr>
            <w:rFonts w:ascii="Times New Roman" w:hAnsi="Times New Roman"/>
            <w:b/>
          </w:rPr>
          <w:t>uznávaní odborných kvalifikácií a o zmene a doplnení niektorých zákonov</w:t>
        </w:r>
      </w:hyperlink>
      <w:r w:rsidRPr="00151A37">
        <w:rPr>
          <w:rFonts w:ascii="Times New Roman" w:hAnsi="Times New Roman"/>
          <w:b/>
        </w:rPr>
        <w:t xml:space="preserve"> (tlač </w:t>
      </w:r>
      <w:r w:rsidR="009D76A1">
        <w:rPr>
          <w:rFonts w:ascii="Times New Roman" w:hAnsi="Times New Roman"/>
          <w:b/>
        </w:rPr>
        <w:t>1722</w:t>
      </w:r>
      <w:r w:rsidRPr="00151A37">
        <w:rPr>
          <w:rFonts w:ascii="Times New Roman" w:hAnsi="Times New Roman"/>
          <w:b/>
        </w:rPr>
        <w:t>)</w:t>
      </w:r>
    </w:p>
    <w:p w:rsidR="00A937C3" w:rsidRPr="008D233D" w:rsidP="00992D57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="00962FCD">
        <w:rPr>
          <w:rFonts w:ascii="Times New Roman" w:hAnsi="Times New Roman"/>
          <w:b/>
        </w:rPr>
        <w:t>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</w:t>
      </w:r>
      <w:r w:rsidRPr="008D233D" w:rsidR="004E35F9">
        <w:rPr>
          <w:rFonts w:ascii="Times New Roman" w:eastAsia="Arial Unicode MS" w:hAnsi="Times New Roman"/>
          <w:b/>
          <w:bCs/>
          <w:lang w:eastAsia="en-US"/>
        </w:rPr>
        <w:t>___</w:t>
      </w:r>
    </w:p>
    <w:p w:rsidR="00E9276A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C91046" w:rsidP="00C91046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§ 4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§ 4 ods. 2 sa text „</w:t>
      </w:r>
      <w:r w:rsidRPr="008D2ADA">
        <w:rPr>
          <w:rFonts w:ascii="Times New Roman" w:hAnsi="Times New Roman"/>
        </w:rPr>
        <w:t>vysokoškolské vzdelanie tretieho stupňa absolvovaním študijného programu tretieho stupňa, ktorého štandardná dĺžka štúdia je najmenej tri roky</w:t>
      </w:r>
      <w:r>
        <w:rPr>
          <w:rFonts w:ascii="Times New Roman" w:hAnsi="Times New Roman"/>
        </w:rPr>
        <w:t>“ označuje ako písmeno d). Zároveň sa zrušuje označenie tohto textu ako tretieho bodu v písmene c).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8D2ADA">
        <w:rPr>
          <w:rFonts w:ascii="Times New Roman" w:hAnsi="Times New Roman"/>
        </w:rPr>
        <w:t xml:space="preserve">Legislatívno-technická pripomienka. Odstraňuje sa chyba v označení textu ako </w:t>
      </w:r>
      <w:r>
        <w:rPr>
          <w:rFonts w:ascii="Times New Roman" w:hAnsi="Times New Roman"/>
        </w:rPr>
        <w:t>písm. c) tretí bod</w:t>
      </w:r>
      <w:r w:rsidRPr="008D2ADA">
        <w:rPr>
          <w:rFonts w:ascii="Times New Roman" w:hAnsi="Times New Roman"/>
        </w:rPr>
        <w:t xml:space="preserve"> namie</w:t>
      </w:r>
      <w:r>
        <w:rPr>
          <w:rFonts w:ascii="Times New Roman" w:hAnsi="Times New Roman"/>
        </w:rPr>
        <w:t>sto jeho označenia ako písmena d</w:t>
      </w:r>
      <w:r w:rsidRPr="008D2ADA">
        <w:rPr>
          <w:rFonts w:ascii="Times New Roman" w:hAnsi="Times New Roman"/>
        </w:rPr>
        <w:t>).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§ 23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9B1751">
        <w:rPr>
          <w:rFonts w:ascii="Times New Roman" w:hAnsi="Times New Roman"/>
        </w:rPr>
        <w:t xml:space="preserve"> § 23 ods. 4 písm. a)</w:t>
      </w:r>
      <w:r>
        <w:rPr>
          <w:rFonts w:ascii="Times New Roman" w:hAnsi="Times New Roman"/>
        </w:rPr>
        <w:t xml:space="preserve"> sa za slová „ktorý získal“ vkladá slovo „v“.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Dopĺňa sa chýbajúca predložka.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32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32 ods. 5 sa slová „odseku 2 písm. c) a e) tohto ustanovenia“ nahrádzajú slovami „§ 31 ods. 2 písm. c) a e)“.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vnútorného odkazu. Náležitosti žiadosti sú uvedené v § 31 ods. 2, nie v § 32 ods. 2.</w:t>
      </w:r>
    </w:p>
    <w:p w:rsidR="00C91046" w:rsidP="00C91046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§ 35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§ 35 ods. 2 písm. a) sa za slová „preukazuje dokladom“ vkladá slovo „o“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RPr="000F347B" w:rsidP="00C91046">
      <w:pPr>
        <w:pStyle w:val="ListParagraph"/>
        <w:bidi w:val="0"/>
        <w:ind w:left="4253"/>
        <w:rPr>
          <w:rFonts w:ascii="Times New Roman" w:hAnsi="Times New Roman"/>
        </w:rPr>
      </w:pPr>
      <w:r w:rsidRPr="000F347B">
        <w:rPr>
          <w:rFonts w:ascii="Times New Roman" w:hAnsi="Times New Roman"/>
        </w:rPr>
        <w:t>Dopĺňa sa chýbajúca predložka.</w:t>
      </w: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38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§ 38 ods. 4 sa slovo „absolvent“ nahrádza slovom „žiadateľ“.</w:t>
      </w:r>
    </w:p>
    <w:p w:rsidR="00C91046" w:rsidP="00C91046">
      <w:pPr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Zabezpečuje sa dodržiavanie jednotnej terminológie návrhu zákona.</w:t>
      </w:r>
    </w:p>
    <w:p w:rsidR="00C91046" w:rsidP="00C91046">
      <w:pPr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39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39 ods. 2 úvodnej vete sa slová „Konanie o uznávanie“ nahrádzajú slovami „Konanie o uznaní“.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Jazykovo-štylistická pripomienka. Zjednocuje sa terminológia návrhu zákona – pri ostatných konaniach sa používa spojenie „konanie o uznaní“, ktoré z jazykového hľadiska lepšie vystihuje podstatu konania, ktorým je rozhodovanie o uznaní, nie o uznávaní dokladu.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42 ods. 2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42 ods. 2 sa vypúšťajú slová „poskytovateľovi služieb“.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RPr="00DF08AF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Vypúšťajú sa nadbytočné slová nesúvisiace s ostatným textom ustanovenia.</w:t>
      </w:r>
    </w:p>
    <w:p w:rsidR="00C91046" w:rsidP="00C91046">
      <w:pPr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42 ods. 5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42 ods. 5 sa slová „odseku 3“ nahrádzajú slovami „odseku 4“.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Opravuje sa nesprávny vnútorný odkaz. Lehota na doplnenie chýbajúcich dokladov alebo odstránenie nedostatkov je upravená v § 42 ods. 4.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45 ods. 1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45 ods. 1 sa nad slovom „predpisu“ odkaz „</w:t>
      </w:r>
      <w:r w:rsidRPr="00416DDD"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>)“ nahrádza odkazom „</w:t>
      </w:r>
      <w:r w:rsidRPr="00416DDD"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)“.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Opravuje sa nesprávny odkaz na poznámku pod čiarou. Doklady, ktoré žiadateľ prikladá k žiadosti, sú uvedené vo vykonávacom nariadení Komisie (EÚ) č. 2015/983, ktoré je uvedené v poznámke pod čiarou k odkazu 6.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45 ods. 4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45 ods. 4 sa vypúšťajú slová „členského štátu“.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Vypúšťajú sa nadbytočné slová. Právny predpis Slovenskej republiky môže upravovať iba konanie príslušných orgánov Slovenskej republiky, nie iných členských štátov.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46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46 ods. 1 písm. d) sa slovo „režim“ nahrádza slovom „obdobie“.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súvislosti s časovým obmedzením platnosti odbornej kvalifikácie je vhodnejšie použiť spojenie „obdobie platnosti“ ako „režim platnosti“.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53 ods. 3 písm. a)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53 ods. 3 písm. a) sa slová „spoločnom rámci odbornej prípravy“ nahrádzajú slovami „spoločnom rámci pre odbornú prípravu“.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Zabezpečuje sa dodržiavanie jednotnej terminológie. V § 53 ods. 1 je zadefinovaný spoločný rámec pre odbornú prípravu.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53 ods. 3 písm. c)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53 ods. 3 písm. c) sa slová „spoločným rámcom odbornej prípravy“ nahrádzajú slovami „spoločným rámcom pre odbornú prípravu“.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B0288B">
        <w:rPr>
          <w:rFonts w:ascii="Times New Roman" w:hAnsi="Times New Roman"/>
        </w:rPr>
        <w:t>Zabezpečuje sa dodržiavanie jednotnej terminológie. V § 53 ods. 1 je zadefinovaný spoločný rámec pre odbornú prípravu.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56 ods. 2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56 ods. 2 a 5 sa slovo „mu“ nahrádza slovom „jej“.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Nahrádza sa nesprávne použité zámeno, keďže sa viaže k slovám „fyzická osoba“.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58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§ 58 ods. 5 sa slová „poistení zo zodpovednosti“ nahrádzajú slovami „poistení zodpovednosti“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Jazykovo-štylistická pripomienka.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60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60 sa slová „až 36“ nahrádzajú slovami „až 35“.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vnútorného odkazu – uznávanie dokladov o vysokoškolskom vzdelaní upravujú § 33 až 35.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 bod 13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bode 13 § 16 ods. 8 sa vypúšťajú slová „čiarka a“.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názve Ministerstva dopravy, výstavby a regionálneho rozvoja Slovenskej republiky nie je čiarka medzi slovami „Ministerstvo“ a „dopravy“, a preto ju tam nie je potrebné vkladať.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 body 16 a 17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novelizačný bod 17 označuje ako bod 16 a novelizačný bod 16 sa označuje ako bod 17.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Mení sa poradie novelizačných bodov vzhľadom na postupnosť zmien v § 16c ods. 2 v týchto novelizačných bodoch.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 bod 18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bode 18 § 16c ods. 7 sa za slovo „platforma“ vkladá čiarka a slovo „ktorú“ a za slovo „prípravy“ sa vkladá čiarka a slovo „ktoré“.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nahradenie slov je potrebné upraviť aj tvar príslušného zámena.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III bod 1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 bode 1 v úvodnej vete k poznámke pod čiarou sa slová „odkazu 28ab“ nahrádzajú slovami „odkazu 28b“.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Opravuje sa nesprávne označenie nového odkazu v úvodnej vete k poznámke pod čiarou.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IV bod 2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 bode 2 sa za slová „§ 31 až 34“ vkladajú slová „vrátane nadpisu nad § 31“.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vypustenie všetkých ustanovení upravujúcich u</w:t>
      </w:r>
      <w:r w:rsidRPr="00617CF8">
        <w:rPr>
          <w:rFonts w:ascii="Times New Roman" w:hAnsi="Times New Roman"/>
        </w:rPr>
        <w:t>znávanie rovnocennosti dokladov o vzdelaní vydaných zahraničnými školami</w:t>
      </w:r>
      <w:r>
        <w:rPr>
          <w:rFonts w:ascii="Times New Roman" w:hAnsi="Times New Roman"/>
        </w:rPr>
        <w:t xml:space="preserve"> sa navrhuje vypustiť aj súvisiaci nadpis.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 bod 2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 bode 2 v poznámke pod čiarou k odkazu 18 sa slová „§ 52“ nahrádzajú slovami „§ 51“, v poznámke pod čiarou k odkazu 19 sa slová „§ 44 a 52“ nahrádzajú slovami „§ 43 a 51“, v poznámke pod čiarou k odkazu 20 sa slová „§ 57“ nahrádzajú slovami „§ 56“ a v poznámke pod čiarou k odkazu 21 sa slová „§ 56“ nahrádzajú slovami „§ 55“.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Opravujú sa nesprávne odkazy v poznámkach pod čiarou.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 bod 1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 bode 1 v poznámkach pod čiarou k odkazom 52aab a 52aac sa slová „§ 3 písm. l)“ nahrádzajú slovami „§ 3 ods. 2 písm. f)“ a v poznámke pod čiarou k odkazu 52aaj sa slová „§ 56“ nahrádzajú slovami „§ 55“.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Opravujú sa nesprávne odkazy v poznámkach pod čiarou. 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VII bod 1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bode 1 v § 30 ods. 7 sa slová „písm. c)“ nahrádzajú slovami „písm. d)“.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Opravuje sa nesprávny vnútorný odkaz. Ustanovenia § 30 ods. 7 až 9 sa týkajú posudzovania dokladov uvedených v § 30 ods. 3 písm. d).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VII bod 2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bode 2 v poznámke pod čiarou k odkazu 24e sa slová „§ 56“ nahrádzajú slovami „§ 55“.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Opravuje sa nesprávny odkaz. Ovládanie štátneho jazyka sa upravuje v § 55 návrhu zákona.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VII bod 3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bode 3 v § 35 ods. 4 sa vypúšťa slovo „vydané“.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pripomienka. Odseky 2 a 3 neupravujú vydávanie príslušných dokumentov, nie je preto vhodné odkazovať na tieto dokumenty ako na vydané podľa uvedených odsekov.</w:t>
      </w:r>
    </w:p>
    <w:p w:rsidR="00C91046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91046" w:rsidP="00C91046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prílohe</w:t>
      </w:r>
    </w:p>
    <w:p w:rsidR="00C91046" w:rsidP="00C9104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823588">
        <w:rPr>
          <w:rFonts w:ascii="Times New Roman" w:hAnsi="Times New Roman"/>
        </w:rPr>
        <w:t>V prílohe k návrhu zákona, v Zozname preberaných právne záväzných aktov Európskej únie,  sa v bode 1 za slovami „1137/2008“ vkladajú slová „ z 22. októbra 2008“</w:t>
      </w:r>
      <w:r>
        <w:rPr>
          <w:rFonts w:ascii="Times New Roman" w:hAnsi="Times New Roman"/>
        </w:rPr>
        <w:t>.</w:t>
      </w:r>
    </w:p>
    <w:p w:rsidR="00C91046" w:rsidRPr="0068278A" w:rsidP="00C91046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823588">
        <w:rPr>
          <w:rFonts w:ascii="Times New Roman" w:hAnsi="Times New Roman"/>
        </w:rPr>
        <w:t>Ide o legislatívno-technickú úpravu týkajúcu sa zaužívaného spôsobu citácie právne záväzných aktov EÚ.</w:t>
      </w:r>
    </w:p>
    <w:p w:rsidR="00C91046" w:rsidP="00C91046">
      <w:pPr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C91046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2BC5"/>
    <w:rsid w:val="00036E37"/>
    <w:rsid w:val="00040412"/>
    <w:rsid w:val="000458B9"/>
    <w:rsid w:val="0005344A"/>
    <w:rsid w:val="00080BDB"/>
    <w:rsid w:val="000A27DF"/>
    <w:rsid w:val="000A7CD6"/>
    <w:rsid w:val="000B26BD"/>
    <w:rsid w:val="000B57E9"/>
    <w:rsid w:val="000C238A"/>
    <w:rsid w:val="000D11D5"/>
    <w:rsid w:val="000F347B"/>
    <w:rsid w:val="000F4A21"/>
    <w:rsid w:val="000F6BF6"/>
    <w:rsid w:val="00106E7E"/>
    <w:rsid w:val="00115D3B"/>
    <w:rsid w:val="0011659C"/>
    <w:rsid w:val="00117C6E"/>
    <w:rsid w:val="00125000"/>
    <w:rsid w:val="001319BF"/>
    <w:rsid w:val="00142F27"/>
    <w:rsid w:val="00144A91"/>
    <w:rsid w:val="00151A37"/>
    <w:rsid w:val="0015407E"/>
    <w:rsid w:val="00157ABA"/>
    <w:rsid w:val="00172646"/>
    <w:rsid w:val="00172E7C"/>
    <w:rsid w:val="00174702"/>
    <w:rsid w:val="00174955"/>
    <w:rsid w:val="00174E85"/>
    <w:rsid w:val="001760C3"/>
    <w:rsid w:val="00186B52"/>
    <w:rsid w:val="00186F61"/>
    <w:rsid w:val="00190B49"/>
    <w:rsid w:val="00195B23"/>
    <w:rsid w:val="001B19FF"/>
    <w:rsid w:val="001B2FB3"/>
    <w:rsid w:val="001B42EF"/>
    <w:rsid w:val="001C1444"/>
    <w:rsid w:val="001D1D7B"/>
    <w:rsid w:val="001D7465"/>
    <w:rsid w:val="001E06A2"/>
    <w:rsid w:val="001E2499"/>
    <w:rsid w:val="001E70BD"/>
    <w:rsid w:val="001E77B1"/>
    <w:rsid w:val="00221398"/>
    <w:rsid w:val="00224704"/>
    <w:rsid w:val="00224F3D"/>
    <w:rsid w:val="002271A1"/>
    <w:rsid w:val="0023079A"/>
    <w:rsid w:val="00236746"/>
    <w:rsid w:val="00236D69"/>
    <w:rsid w:val="00252908"/>
    <w:rsid w:val="00252BED"/>
    <w:rsid w:val="00277CA4"/>
    <w:rsid w:val="002918F5"/>
    <w:rsid w:val="00293328"/>
    <w:rsid w:val="00296777"/>
    <w:rsid w:val="002B0D80"/>
    <w:rsid w:val="002B6D17"/>
    <w:rsid w:val="002C0061"/>
    <w:rsid w:val="002C748C"/>
    <w:rsid w:val="002D47BE"/>
    <w:rsid w:val="002D7999"/>
    <w:rsid w:val="002E0F39"/>
    <w:rsid w:val="002E41D4"/>
    <w:rsid w:val="002F58C9"/>
    <w:rsid w:val="002F611C"/>
    <w:rsid w:val="00303279"/>
    <w:rsid w:val="0031160C"/>
    <w:rsid w:val="00327612"/>
    <w:rsid w:val="00344F97"/>
    <w:rsid w:val="003514F3"/>
    <w:rsid w:val="0037354B"/>
    <w:rsid w:val="003760D3"/>
    <w:rsid w:val="00386D14"/>
    <w:rsid w:val="00386D6A"/>
    <w:rsid w:val="0039460E"/>
    <w:rsid w:val="00396B2B"/>
    <w:rsid w:val="0039792F"/>
    <w:rsid w:val="00397B4E"/>
    <w:rsid w:val="003B0D15"/>
    <w:rsid w:val="003C0908"/>
    <w:rsid w:val="003D2166"/>
    <w:rsid w:val="003E0311"/>
    <w:rsid w:val="003F22CE"/>
    <w:rsid w:val="003F7533"/>
    <w:rsid w:val="0040462B"/>
    <w:rsid w:val="00413C8B"/>
    <w:rsid w:val="00416071"/>
    <w:rsid w:val="00416DDD"/>
    <w:rsid w:val="0042443B"/>
    <w:rsid w:val="00432A04"/>
    <w:rsid w:val="004400E6"/>
    <w:rsid w:val="00440A85"/>
    <w:rsid w:val="00453FB8"/>
    <w:rsid w:val="00455EBD"/>
    <w:rsid w:val="00456DA2"/>
    <w:rsid w:val="0046544E"/>
    <w:rsid w:val="00475F91"/>
    <w:rsid w:val="00477087"/>
    <w:rsid w:val="00484CF8"/>
    <w:rsid w:val="004855FD"/>
    <w:rsid w:val="00485E0A"/>
    <w:rsid w:val="004877F9"/>
    <w:rsid w:val="004918E5"/>
    <w:rsid w:val="00494790"/>
    <w:rsid w:val="004A2E3F"/>
    <w:rsid w:val="004C7786"/>
    <w:rsid w:val="004D3DB8"/>
    <w:rsid w:val="004D7C1D"/>
    <w:rsid w:val="004E35F9"/>
    <w:rsid w:val="004E6ADD"/>
    <w:rsid w:val="00502405"/>
    <w:rsid w:val="005146FF"/>
    <w:rsid w:val="0052255B"/>
    <w:rsid w:val="00531BEF"/>
    <w:rsid w:val="00531C61"/>
    <w:rsid w:val="0053517A"/>
    <w:rsid w:val="00541A50"/>
    <w:rsid w:val="00541F26"/>
    <w:rsid w:val="005427A3"/>
    <w:rsid w:val="00544B1A"/>
    <w:rsid w:val="00545A46"/>
    <w:rsid w:val="00556936"/>
    <w:rsid w:val="005757E5"/>
    <w:rsid w:val="005838F0"/>
    <w:rsid w:val="005A094E"/>
    <w:rsid w:val="005A4239"/>
    <w:rsid w:val="005B1E91"/>
    <w:rsid w:val="005E1310"/>
    <w:rsid w:val="005E1EA8"/>
    <w:rsid w:val="005E2843"/>
    <w:rsid w:val="005F1F0F"/>
    <w:rsid w:val="005F6D60"/>
    <w:rsid w:val="00617CF8"/>
    <w:rsid w:val="00625A09"/>
    <w:rsid w:val="006423F7"/>
    <w:rsid w:val="00647CA5"/>
    <w:rsid w:val="00654129"/>
    <w:rsid w:val="00654497"/>
    <w:rsid w:val="006622BA"/>
    <w:rsid w:val="006709E5"/>
    <w:rsid w:val="0068156B"/>
    <w:rsid w:val="006820ED"/>
    <w:rsid w:val="0068278A"/>
    <w:rsid w:val="00692B86"/>
    <w:rsid w:val="006C7E01"/>
    <w:rsid w:val="006D4392"/>
    <w:rsid w:val="006E10D6"/>
    <w:rsid w:val="006E4115"/>
    <w:rsid w:val="007160BB"/>
    <w:rsid w:val="00716200"/>
    <w:rsid w:val="00721A4B"/>
    <w:rsid w:val="00721DFB"/>
    <w:rsid w:val="00734829"/>
    <w:rsid w:val="00741BD4"/>
    <w:rsid w:val="007533AF"/>
    <w:rsid w:val="00756CDB"/>
    <w:rsid w:val="007629EA"/>
    <w:rsid w:val="00780216"/>
    <w:rsid w:val="007B3E77"/>
    <w:rsid w:val="007B6BB9"/>
    <w:rsid w:val="007C14C9"/>
    <w:rsid w:val="007F0517"/>
    <w:rsid w:val="007F29F8"/>
    <w:rsid w:val="007F3316"/>
    <w:rsid w:val="00802CCB"/>
    <w:rsid w:val="00815F81"/>
    <w:rsid w:val="00816924"/>
    <w:rsid w:val="0082154D"/>
    <w:rsid w:val="00823588"/>
    <w:rsid w:val="00826955"/>
    <w:rsid w:val="00833478"/>
    <w:rsid w:val="00833C5D"/>
    <w:rsid w:val="0084672F"/>
    <w:rsid w:val="008549D2"/>
    <w:rsid w:val="00866249"/>
    <w:rsid w:val="00867155"/>
    <w:rsid w:val="00881487"/>
    <w:rsid w:val="00886538"/>
    <w:rsid w:val="00886B0B"/>
    <w:rsid w:val="008A1C48"/>
    <w:rsid w:val="008A450D"/>
    <w:rsid w:val="008A64DB"/>
    <w:rsid w:val="008B0DE0"/>
    <w:rsid w:val="008B2370"/>
    <w:rsid w:val="008B3B48"/>
    <w:rsid w:val="008C5B0D"/>
    <w:rsid w:val="008C74B6"/>
    <w:rsid w:val="008C74F2"/>
    <w:rsid w:val="008D03F7"/>
    <w:rsid w:val="008D233D"/>
    <w:rsid w:val="008D2ADA"/>
    <w:rsid w:val="008D6220"/>
    <w:rsid w:val="008D68E8"/>
    <w:rsid w:val="008E1F93"/>
    <w:rsid w:val="008E676A"/>
    <w:rsid w:val="008F11D0"/>
    <w:rsid w:val="008F69AD"/>
    <w:rsid w:val="008F7250"/>
    <w:rsid w:val="009032CB"/>
    <w:rsid w:val="00904011"/>
    <w:rsid w:val="00906642"/>
    <w:rsid w:val="00914060"/>
    <w:rsid w:val="00927F05"/>
    <w:rsid w:val="009327B3"/>
    <w:rsid w:val="00934A1E"/>
    <w:rsid w:val="00937E90"/>
    <w:rsid w:val="0095167C"/>
    <w:rsid w:val="00955C93"/>
    <w:rsid w:val="00960084"/>
    <w:rsid w:val="00962FCD"/>
    <w:rsid w:val="009707B1"/>
    <w:rsid w:val="00977032"/>
    <w:rsid w:val="00985F91"/>
    <w:rsid w:val="00992D57"/>
    <w:rsid w:val="0099334A"/>
    <w:rsid w:val="009A7AB4"/>
    <w:rsid w:val="009B1751"/>
    <w:rsid w:val="009B6E47"/>
    <w:rsid w:val="009C01B7"/>
    <w:rsid w:val="009D18CC"/>
    <w:rsid w:val="009D34CE"/>
    <w:rsid w:val="009D76A1"/>
    <w:rsid w:val="009E5986"/>
    <w:rsid w:val="009E76B3"/>
    <w:rsid w:val="00A04227"/>
    <w:rsid w:val="00A2253A"/>
    <w:rsid w:val="00A24AF2"/>
    <w:rsid w:val="00A25BE2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B6E36"/>
    <w:rsid w:val="00AD570A"/>
    <w:rsid w:val="00AF2BCB"/>
    <w:rsid w:val="00AF3C7D"/>
    <w:rsid w:val="00B0288B"/>
    <w:rsid w:val="00B02B4F"/>
    <w:rsid w:val="00B14682"/>
    <w:rsid w:val="00B1565D"/>
    <w:rsid w:val="00B15F4B"/>
    <w:rsid w:val="00B20BF3"/>
    <w:rsid w:val="00B20FAC"/>
    <w:rsid w:val="00B216BB"/>
    <w:rsid w:val="00B252E1"/>
    <w:rsid w:val="00B27EB6"/>
    <w:rsid w:val="00B401F3"/>
    <w:rsid w:val="00B5613D"/>
    <w:rsid w:val="00B64950"/>
    <w:rsid w:val="00B7137E"/>
    <w:rsid w:val="00B73900"/>
    <w:rsid w:val="00B76C54"/>
    <w:rsid w:val="00B84A94"/>
    <w:rsid w:val="00B947A5"/>
    <w:rsid w:val="00B96FE8"/>
    <w:rsid w:val="00B97DD9"/>
    <w:rsid w:val="00BB6C56"/>
    <w:rsid w:val="00BC7941"/>
    <w:rsid w:val="00BD73AB"/>
    <w:rsid w:val="00BE2A9D"/>
    <w:rsid w:val="00BF23D2"/>
    <w:rsid w:val="00BF5636"/>
    <w:rsid w:val="00C14623"/>
    <w:rsid w:val="00C34375"/>
    <w:rsid w:val="00C352F8"/>
    <w:rsid w:val="00C516A7"/>
    <w:rsid w:val="00C5317B"/>
    <w:rsid w:val="00C70EA9"/>
    <w:rsid w:val="00C8601E"/>
    <w:rsid w:val="00C91046"/>
    <w:rsid w:val="00C97D6B"/>
    <w:rsid w:val="00CA5557"/>
    <w:rsid w:val="00CA61B5"/>
    <w:rsid w:val="00CB3D6B"/>
    <w:rsid w:val="00CB548A"/>
    <w:rsid w:val="00CE06F8"/>
    <w:rsid w:val="00CE0D0C"/>
    <w:rsid w:val="00CE2E18"/>
    <w:rsid w:val="00CF31C9"/>
    <w:rsid w:val="00D016A2"/>
    <w:rsid w:val="00D1764E"/>
    <w:rsid w:val="00D214CA"/>
    <w:rsid w:val="00D21E16"/>
    <w:rsid w:val="00D24C01"/>
    <w:rsid w:val="00D259F2"/>
    <w:rsid w:val="00D418FD"/>
    <w:rsid w:val="00D5079D"/>
    <w:rsid w:val="00D57BD6"/>
    <w:rsid w:val="00D6007A"/>
    <w:rsid w:val="00D724D5"/>
    <w:rsid w:val="00D73B41"/>
    <w:rsid w:val="00D908DD"/>
    <w:rsid w:val="00D92232"/>
    <w:rsid w:val="00DC2F88"/>
    <w:rsid w:val="00DC4441"/>
    <w:rsid w:val="00DD1A2C"/>
    <w:rsid w:val="00DD463F"/>
    <w:rsid w:val="00DE1017"/>
    <w:rsid w:val="00DE4C38"/>
    <w:rsid w:val="00DE7FC9"/>
    <w:rsid w:val="00DF08AF"/>
    <w:rsid w:val="00E04F5E"/>
    <w:rsid w:val="00E15F04"/>
    <w:rsid w:val="00E17959"/>
    <w:rsid w:val="00E22371"/>
    <w:rsid w:val="00E26E4E"/>
    <w:rsid w:val="00E34690"/>
    <w:rsid w:val="00E37EA3"/>
    <w:rsid w:val="00E4006E"/>
    <w:rsid w:val="00E43FC5"/>
    <w:rsid w:val="00E5361E"/>
    <w:rsid w:val="00E66789"/>
    <w:rsid w:val="00E75559"/>
    <w:rsid w:val="00E7579C"/>
    <w:rsid w:val="00E917CF"/>
    <w:rsid w:val="00E9276A"/>
    <w:rsid w:val="00EA3DF0"/>
    <w:rsid w:val="00ED02C5"/>
    <w:rsid w:val="00ED2916"/>
    <w:rsid w:val="00ED7414"/>
    <w:rsid w:val="00EE706F"/>
    <w:rsid w:val="00EE709D"/>
    <w:rsid w:val="00EF5242"/>
    <w:rsid w:val="00F01C7D"/>
    <w:rsid w:val="00F02EE6"/>
    <w:rsid w:val="00F06130"/>
    <w:rsid w:val="00F17EC7"/>
    <w:rsid w:val="00F230DD"/>
    <w:rsid w:val="00F30243"/>
    <w:rsid w:val="00F35942"/>
    <w:rsid w:val="00F555DC"/>
    <w:rsid w:val="00F570EA"/>
    <w:rsid w:val="00F84D47"/>
    <w:rsid w:val="00F92E4C"/>
    <w:rsid w:val="00F950A3"/>
    <w:rsid w:val="00FA2008"/>
    <w:rsid w:val="00FA2A22"/>
    <w:rsid w:val="00FA36C9"/>
    <w:rsid w:val="00FC0ABB"/>
    <w:rsid w:val="00FC0F0D"/>
    <w:rsid w:val="00FC2785"/>
    <w:rsid w:val="00FC4DC4"/>
    <w:rsid w:val="00FE2A8D"/>
    <w:rsid w:val="00FE4076"/>
    <w:rsid w:val="00FE4FA1"/>
    <w:rsid w:val="00FF0745"/>
    <w:rsid w:val="00FF50C8"/>
    <w:rsid w:val="00FF51CF"/>
    <w:rsid w:val="00FF68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92722015-/" TargetMode="External" /><Relationship Id="rId6" Type="http://schemas.openxmlformats.org/officeDocument/2006/relationships/hyperlink" Target="http://lrv.rokovania.sk/287752015-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A87B-9925-43A3-A4E5-7A05E99B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7</Pages>
  <Words>1241</Words>
  <Characters>7077</Characters>
  <Application>Microsoft Office Word</Application>
  <DocSecurity>0</DocSecurity>
  <Lines>0</Lines>
  <Paragraphs>0</Paragraphs>
  <ScaleCrop>false</ScaleCrop>
  <Company>Kancelaria NR SR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84</cp:revision>
  <cp:lastPrinted>2015-10-26T11:18:00Z</cp:lastPrinted>
  <dcterms:created xsi:type="dcterms:W3CDTF">2014-12-12T11:16:00Z</dcterms:created>
  <dcterms:modified xsi:type="dcterms:W3CDTF">2015-10-28T11:05:00Z</dcterms:modified>
</cp:coreProperties>
</file>