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450C55">
      <w:pPr>
        <w:pStyle w:val="Heading4"/>
        <w:widowControl w:val="0"/>
        <w:rPr>
          <w:rFonts w:ascii="AT*Zurich Calligraphic" w:hAnsi="AT*Zurich Calligraphic"/>
        </w:rPr>
      </w:pPr>
    </w:p>
    <w:p w:rsidR="00EC5F3F">
      <w:pPr>
        <w:pStyle w:val="Heading4"/>
        <w:widowControl w:val="0"/>
        <w:rPr>
          <w:rFonts w:ascii="AT*Zurich Calligraphic" w:hAnsi="AT*Zurich Calligraphic"/>
        </w:rPr>
      </w:pPr>
      <w:r>
        <w:rPr>
          <w:rFonts w:ascii="AT*Zurich Calligraphic" w:hAnsi="AT*Zurich Calligraphic"/>
        </w:rPr>
        <w:t>Výbor Národnej rady Slovenskej republiky</w:t>
      </w:r>
    </w:p>
    <w:p w:rsidR="00EC5F3F">
      <w:pPr>
        <w:rPr>
          <w:rFonts w:ascii="AT*Zurich Calligraphic" w:hAnsi="AT*Zurich Calligraphic"/>
          <w:b/>
        </w:rPr>
      </w:pPr>
      <w:r>
        <w:rPr>
          <w:rFonts w:ascii="AT*Zurich Calligraphic" w:hAnsi="AT*Zurich Calligraphic"/>
          <w:b/>
        </w:rPr>
        <w:t xml:space="preserve">       </w:t>
      </w:r>
      <w:r w:rsidR="003371B9">
        <w:rPr>
          <w:rFonts w:ascii="AT*Zurich Calligraphic" w:hAnsi="AT*Zurich Calligraphic"/>
          <w:b/>
        </w:rPr>
        <w:t xml:space="preserve">       </w:t>
      </w:r>
      <w:r>
        <w:rPr>
          <w:rFonts w:ascii="AT*Zurich Calligraphic" w:hAnsi="AT*Zurich Calligraphic"/>
          <w:b/>
        </w:rPr>
        <w:t>pre financie</w:t>
      </w:r>
      <w:r w:rsidR="003371B9">
        <w:rPr>
          <w:rFonts w:ascii="AT*Zurich Calligraphic" w:hAnsi="AT*Zurich Calligraphic"/>
          <w:b/>
        </w:rPr>
        <w:t xml:space="preserve"> a</w:t>
      </w:r>
      <w:r>
        <w:rPr>
          <w:rFonts w:ascii="AT*Zurich Calligraphic" w:hAnsi="AT*Zurich Calligraphic"/>
          <w:b/>
        </w:rPr>
        <w:t xml:space="preserve"> rozpočet </w:t>
      </w:r>
    </w:p>
    <w:p w:rsidR="009B024D">
      <w:pPr>
        <w:ind w:left="4248"/>
        <w:jc w:val="right"/>
        <w:rPr>
          <w:sz w:val="28"/>
        </w:rPr>
      </w:pPr>
    </w:p>
    <w:p w:rsidR="009B024D">
      <w:pPr>
        <w:ind w:left="4248"/>
        <w:jc w:val="right"/>
        <w:rPr>
          <w:sz w:val="28"/>
        </w:rPr>
      </w:pPr>
    </w:p>
    <w:p w:rsidR="00EC5F3F" w:rsidRPr="008349BA">
      <w:pPr>
        <w:ind w:left="4248"/>
        <w:jc w:val="right"/>
      </w:pPr>
      <w:r w:rsidRPr="008349BA">
        <w:t xml:space="preserve">                                        </w:t>
      </w:r>
      <w:r w:rsidR="00AB1512">
        <w:t>8</w:t>
      </w:r>
      <w:r w:rsidR="00611458">
        <w:t>8</w:t>
      </w:r>
      <w:r w:rsidRPr="008349BA" w:rsidR="00985280">
        <w:t>.</w:t>
      </w:r>
      <w:r w:rsidRPr="008349BA">
        <w:t xml:space="preserve"> schôdza</w:t>
      </w:r>
    </w:p>
    <w:p w:rsidR="00E20A99" w:rsidRPr="00500C97" w:rsidP="00500C97">
      <w:pPr>
        <w:ind w:left="3540" w:firstLine="708"/>
        <w:jc w:val="right"/>
      </w:pPr>
      <w:r w:rsidR="002B6101">
        <w:rPr>
          <w:b/>
        </w:rPr>
        <w:t xml:space="preserve">        </w:t>
      </w:r>
      <w:r w:rsidR="001852E1">
        <w:rPr>
          <w:b/>
        </w:rPr>
        <w:t xml:space="preserve">         </w:t>
      </w:r>
      <w:r w:rsidR="00CF7721">
        <w:rPr>
          <w:b/>
        </w:rPr>
        <w:tab/>
        <w:tab/>
        <w:tab/>
        <w:tab/>
      </w:r>
      <w:r w:rsidR="008C0201">
        <w:t>1</w:t>
      </w:r>
      <w:r w:rsidR="00782C11">
        <w:t>6</w:t>
      </w:r>
      <w:r w:rsidR="003F27B9">
        <w:t>19</w:t>
      </w:r>
      <w:r w:rsidRPr="00053FB9" w:rsidR="003371B9">
        <w:t>/</w:t>
      </w:r>
      <w:r w:rsidR="00053FB9">
        <w:t>201</w:t>
      </w:r>
      <w:r w:rsidR="008349BA">
        <w:t>5</w:t>
      </w:r>
    </w:p>
    <w:p w:rsidR="0004001B" w:rsidP="00067F0B">
      <w:pPr>
        <w:ind w:left="3540" w:firstLine="708"/>
        <w:rPr>
          <w:b/>
        </w:rPr>
      </w:pPr>
    </w:p>
    <w:p w:rsidR="00576DE1" w:rsidP="00067F0B">
      <w:pPr>
        <w:ind w:left="3540" w:firstLine="708"/>
        <w:rPr>
          <w:b/>
        </w:rPr>
      </w:pPr>
    </w:p>
    <w:p w:rsidR="009B024D" w:rsidP="00067F0B">
      <w:pPr>
        <w:ind w:left="3540" w:firstLine="708"/>
        <w:rPr>
          <w:b/>
        </w:rPr>
      </w:pPr>
      <w:r w:rsidR="0011101B">
        <w:rPr>
          <w:b/>
        </w:rPr>
        <w:t xml:space="preserve">        </w:t>
      </w:r>
      <w:r w:rsidR="00306624">
        <w:rPr>
          <w:b/>
        </w:rPr>
        <w:t xml:space="preserve"> 508</w:t>
      </w:r>
    </w:p>
    <w:p w:rsidR="00EC5F3F" w:rsidP="00FA5B31">
      <w:pPr>
        <w:ind w:left="3540" w:firstLine="708"/>
        <w:rPr>
          <w:b/>
        </w:rPr>
      </w:pPr>
      <w:r>
        <w:rPr>
          <w:b/>
        </w:rPr>
        <w:t>U z n e s e n i e</w:t>
      </w:r>
    </w:p>
    <w:p w:rsidR="00EC5F3F" w:rsidP="00FA5B31">
      <w:pPr>
        <w:ind w:right="-567"/>
        <w:jc w:val="center"/>
        <w:rPr>
          <w:b/>
        </w:rPr>
      </w:pPr>
      <w:r>
        <w:rPr>
          <w:b/>
        </w:rPr>
        <w:t>Výboru Národnej rady Slovenskej republiky</w:t>
      </w:r>
    </w:p>
    <w:p w:rsidR="00EC5F3F" w:rsidP="00FA5B31">
      <w:pPr>
        <w:ind w:right="-567"/>
        <w:jc w:val="center"/>
        <w:rPr>
          <w:b/>
        </w:rPr>
      </w:pPr>
      <w:r>
        <w:rPr>
          <w:b/>
        </w:rPr>
        <w:t>pre financie</w:t>
      </w:r>
      <w:r w:rsidR="003371B9">
        <w:rPr>
          <w:b/>
        </w:rPr>
        <w:t xml:space="preserve"> a</w:t>
      </w:r>
      <w:r>
        <w:rPr>
          <w:b/>
        </w:rPr>
        <w:t xml:space="preserve"> rozpočet</w:t>
      </w:r>
    </w:p>
    <w:p w:rsidR="00EC5F3F" w:rsidP="00FA5B31">
      <w:pPr>
        <w:ind w:right="-567"/>
        <w:jc w:val="center"/>
        <w:rPr>
          <w:b/>
        </w:rPr>
      </w:pPr>
    </w:p>
    <w:p w:rsidR="008458BA" w:rsidP="00FA5B31">
      <w:pPr>
        <w:ind w:right="-567"/>
        <w:jc w:val="center"/>
        <w:rPr>
          <w:b/>
        </w:rPr>
      </w:pPr>
      <w:r w:rsidR="00BD37D8">
        <w:rPr>
          <w:b/>
        </w:rPr>
        <w:t>z</w:t>
      </w:r>
      <w:r w:rsidR="00272FA8">
        <w:rPr>
          <w:b/>
        </w:rPr>
        <w:t xml:space="preserve"> </w:t>
      </w:r>
      <w:r w:rsidR="008349BA">
        <w:rPr>
          <w:b/>
        </w:rPr>
        <w:t>3</w:t>
      </w:r>
      <w:r w:rsidR="00C72FBD">
        <w:rPr>
          <w:b/>
        </w:rPr>
        <w:t xml:space="preserve">. </w:t>
      </w:r>
      <w:r w:rsidR="005D0B03">
        <w:rPr>
          <w:b/>
        </w:rPr>
        <w:t>novembra</w:t>
      </w:r>
      <w:r w:rsidR="00830899">
        <w:rPr>
          <w:b/>
        </w:rPr>
        <w:t xml:space="preserve"> 201</w:t>
      </w:r>
      <w:r w:rsidR="008349BA">
        <w:rPr>
          <w:b/>
        </w:rPr>
        <w:t>5</w:t>
      </w:r>
    </w:p>
    <w:p w:rsidR="00576DE1" w:rsidP="00576DE1">
      <w:pPr>
        <w:pStyle w:val="BodyText"/>
        <w:spacing w:after="0"/>
        <w:jc w:val="both"/>
        <w:rPr>
          <w:b/>
        </w:rPr>
      </w:pPr>
    </w:p>
    <w:p w:rsidR="00EC5F3F" w:rsidRPr="005D2E69" w:rsidP="008349BA">
      <w:pPr>
        <w:keepNext/>
        <w:shd w:val="clear" w:color="auto" w:fill="FFFFFF"/>
        <w:jc w:val="both"/>
        <w:outlineLvl w:val="1"/>
      </w:pPr>
      <w:r w:rsidRPr="005D2E69">
        <w:t>Výbor Národnej rady Sl</w:t>
      </w:r>
      <w:r w:rsidRPr="005D2E69" w:rsidR="003371B9">
        <w:t>ovenskej republiky pre financie a</w:t>
      </w:r>
      <w:r w:rsidRPr="005D2E69">
        <w:t xml:space="preserve"> rozpočet </w:t>
      </w:r>
      <w:r w:rsidRPr="005D2E69" w:rsidR="00F966EF">
        <w:t>prerokoval</w:t>
      </w:r>
      <w:r w:rsidRPr="00D1527C" w:rsidR="00D1527C">
        <w:rPr>
          <w:b/>
          <w:iCs/>
          <w:color w:val="000000"/>
        </w:rPr>
        <w:t xml:space="preserve"> </w:t>
      </w:r>
      <w:r w:rsidRPr="003F27B9" w:rsidR="003F27B9">
        <w:rPr>
          <w:iCs/>
          <w:color w:val="000000"/>
        </w:rPr>
        <w:t>v</w:t>
      </w:r>
      <w:r w:rsidRPr="003F27B9" w:rsidR="003F27B9">
        <w:rPr>
          <w:iCs/>
        </w:rPr>
        <w:t>ládny návrh zákona, ktorým sa mení a dopĺňa zákon č. 429/2002 Z. z. o burze cenných papierov v znení neskorších predpisov a ktorým sa mení a dopĺňa zákon č. 566/2001 Z. z. o cenných papieroch a investičných službách a o zmene a doplnení niektorých zákonov (zákon o cenných papieroch) v znení neskorších predpisov (tlač 1691)</w:t>
      </w:r>
      <w:r w:rsidR="003F27B9">
        <w:rPr>
          <w:iCs/>
        </w:rPr>
        <w:t xml:space="preserve"> </w:t>
      </w:r>
      <w:r w:rsidRPr="00777CFA" w:rsidR="00450C55">
        <w:rPr>
          <w:b/>
        </w:rPr>
        <w:t>a</w:t>
      </w:r>
      <w:r w:rsidRPr="005D2E69" w:rsidR="00ED3C5E">
        <w:t xml:space="preserve"> </w:t>
      </w:r>
      <w:r w:rsidRPr="005D2E69" w:rsidR="008458BA">
        <w:t xml:space="preserve"> </w:t>
      </w:r>
    </w:p>
    <w:p w:rsidR="00BD7172" w:rsidP="00BD7172"/>
    <w:p w:rsidR="00AC2960" w:rsidP="00BD7172"/>
    <w:p w:rsidR="00EC5F3F" w:rsidP="009B024D">
      <w:pPr>
        <w:numPr>
          <w:ilvl w:val="0"/>
          <w:numId w:val="1"/>
        </w:numPr>
        <w:tabs>
          <w:tab w:val="num" w:pos="567"/>
          <w:tab w:val="clear" w:pos="1440"/>
        </w:tabs>
        <w:ind w:hanging="1440"/>
        <w:jc w:val="both"/>
        <w:rPr>
          <w:b/>
        </w:rPr>
      </w:pPr>
      <w:r w:rsidR="00777CFA">
        <w:rPr>
          <w:b/>
        </w:rPr>
        <w:t>s</w:t>
      </w:r>
      <w:r>
        <w:rPr>
          <w:b/>
        </w:rPr>
        <w:t>úhlasí</w:t>
      </w:r>
    </w:p>
    <w:p w:rsidR="009B024D" w:rsidP="009B024D">
      <w:pPr>
        <w:pStyle w:val="BodyText"/>
        <w:spacing w:after="0"/>
        <w:jc w:val="both"/>
      </w:pPr>
    </w:p>
    <w:p w:rsidR="004D397F" w:rsidRPr="00D64717" w:rsidP="009B024D">
      <w:pPr>
        <w:pStyle w:val="BodyText"/>
        <w:spacing w:after="0"/>
        <w:ind w:firstLine="567"/>
        <w:jc w:val="both"/>
      </w:pPr>
      <w:r w:rsidR="00321A20">
        <w:t>s</w:t>
      </w:r>
      <w:r w:rsidRPr="00A73ECD" w:rsidR="00B614DE">
        <w:t> </w:t>
      </w:r>
      <w:r w:rsidRPr="005458EF" w:rsidR="00843997">
        <w:t xml:space="preserve"> </w:t>
      </w:r>
      <w:r w:rsidRPr="003F27B9" w:rsidR="003F27B9">
        <w:rPr>
          <w:iCs/>
          <w:color w:val="000000"/>
        </w:rPr>
        <w:t>v</w:t>
      </w:r>
      <w:r w:rsidRPr="003F27B9" w:rsidR="003F27B9">
        <w:rPr>
          <w:iCs/>
        </w:rPr>
        <w:t>ládny</w:t>
      </w:r>
      <w:r w:rsidR="003F27B9">
        <w:rPr>
          <w:iCs/>
        </w:rPr>
        <w:t>m</w:t>
      </w:r>
      <w:r w:rsidRPr="003F27B9" w:rsidR="003F27B9">
        <w:rPr>
          <w:iCs/>
        </w:rPr>
        <w:t xml:space="preserve"> návrh</w:t>
      </w:r>
      <w:r w:rsidR="003F27B9">
        <w:rPr>
          <w:iCs/>
        </w:rPr>
        <w:t>om</w:t>
      </w:r>
      <w:r w:rsidRPr="003F27B9" w:rsidR="003F27B9">
        <w:rPr>
          <w:iCs/>
        </w:rPr>
        <w:t xml:space="preserve"> zákona, ktorým sa mení a dopĺňa zákon č. 429/2002 Z. z. o burze cenných papierov v znení neskorších predpisov a ktorým sa mení a dopĺňa zákon č. 566/2001 Z. z. o cenných papieroch a investičných službách a o zmene a doplnení niektorých zákonov (zákon o cenných papieroch) v znení neskorších predpisov (tlač 1691)</w:t>
      </w:r>
    </w:p>
    <w:p w:rsidR="00777CFA" w:rsidP="00E20A99">
      <w:pPr>
        <w:pStyle w:val="BodyText"/>
        <w:spacing w:after="0"/>
        <w:ind w:left="1416" w:firstLine="708"/>
        <w:jc w:val="both"/>
        <w:rPr>
          <w:color w:val="000000"/>
        </w:rPr>
      </w:pPr>
    </w:p>
    <w:p w:rsidR="00AC2960" w:rsidRPr="00370DA7" w:rsidP="00E20A99">
      <w:pPr>
        <w:pStyle w:val="BodyText"/>
        <w:spacing w:after="0"/>
        <w:ind w:left="1416" w:firstLine="708"/>
        <w:jc w:val="both"/>
        <w:rPr>
          <w:color w:val="000000"/>
        </w:rPr>
      </w:pPr>
    </w:p>
    <w:p w:rsidR="00067F0B" w:rsidRPr="00067F0B" w:rsidP="009B024D">
      <w:pPr>
        <w:pStyle w:val="Heading7"/>
        <w:widowControl/>
        <w:numPr>
          <w:ilvl w:val="0"/>
          <w:numId w:val="1"/>
        </w:numPr>
        <w:tabs>
          <w:tab w:val="num" w:pos="567"/>
          <w:tab w:val="clear" w:pos="1440"/>
        </w:tabs>
        <w:ind w:hanging="1440"/>
        <w:rPr>
          <w:bCs/>
          <w:lang w:val="sk-SK"/>
        </w:rPr>
      </w:pPr>
      <w:r w:rsidRPr="00067F0B" w:rsidR="00EC5F3F">
        <w:rPr>
          <w:lang w:val="sk-SK"/>
        </w:rPr>
        <w:t>odporúča</w:t>
      </w:r>
      <w:r w:rsidRPr="00067F0B" w:rsidR="00EC5F3F">
        <w:rPr>
          <w:bCs/>
          <w:lang w:val="sk-SK"/>
        </w:rPr>
        <w:t xml:space="preserve"> </w:t>
      </w:r>
    </w:p>
    <w:p w:rsidR="00EC5F3F" w:rsidP="009B024D">
      <w:pPr>
        <w:pStyle w:val="Heading7"/>
        <w:widowControl/>
        <w:ind w:left="0" w:firstLine="567"/>
        <w:rPr>
          <w:lang w:val="sk-SK"/>
        </w:rPr>
      </w:pPr>
      <w:r w:rsidRPr="00067F0B">
        <w:rPr>
          <w:lang w:val="sk-SK"/>
        </w:rPr>
        <w:t>Národnej rade Slovenskej republiky</w:t>
      </w:r>
    </w:p>
    <w:p w:rsidR="00777CFA" w:rsidP="005B36AB">
      <w:pPr>
        <w:pStyle w:val="Heading1"/>
        <w:ind w:left="1416" w:firstLine="708"/>
        <w:jc w:val="both"/>
      </w:pPr>
    </w:p>
    <w:p w:rsidR="00EC5F3F" w:rsidRPr="00E20A99" w:rsidP="009B024D">
      <w:pPr>
        <w:pStyle w:val="Heading1"/>
        <w:ind w:left="0" w:firstLine="567"/>
        <w:jc w:val="both"/>
      </w:pPr>
      <w:r w:rsidRPr="003F27B9" w:rsidR="003F27B9">
        <w:rPr>
          <w:b w:val="0"/>
          <w:iCs/>
          <w:color w:val="000000"/>
        </w:rPr>
        <w:t>v</w:t>
      </w:r>
      <w:r w:rsidRPr="003F27B9" w:rsidR="003F27B9">
        <w:rPr>
          <w:b w:val="0"/>
          <w:iCs/>
        </w:rPr>
        <w:t>ládny návrh zákona, ktorým sa mení a dopĺňa zákon č. 429/2002 Z. z. o burze cenných papierov v znení neskorších predpisov a ktorým sa mení a dopĺňa zákon č. 566/2001 Z. z. o cenných papieroch a investičných službách a o zmene a doplnení niektorých zákonov (zákon o cenných papieroch) v znení neskorších predpisov (tlač 1691)</w:t>
      </w:r>
      <w:r w:rsidR="003F27B9">
        <w:rPr>
          <w:iCs/>
        </w:rPr>
        <w:t xml:space="preserve"> </w:t>
      </w:r>
      <w:r w:rsidRPr="00E20A99" w:rsidR="00F33022">
        <w:t xml:space="preserve">schváliť </w:t>
      </w:r>
      <w:r w:rsidR="00F33022">
        <w:t xml:space="preserve">s pozmeňujúcimi a doplňujúcimi </w:t>
      </w:r>
      <w:r w:rsidRPr="00E20A99" w:rsidR="00F33022">
        <w:t>návrhm</w:t>
      </w:r>
      <w:r w:rsidR="00F33022">
        <w:t>i</w:t>
      </w:r>
      <w:r w:rsidRPr="00E20A99" w:rsidR="00F33022">
        <w:t xml:space="preserve"> tak, ako </w:t>
      </w:r>
      <w:r w:rsidR="00F33022">
        <w:t xml:space="preserve">sú uvedené </w:t>
      </w:r>
      <w:r w:rsidRPr="00E20A99" w:rsidR="00F33022">
        <w:t>v prílohe tohto uznesenia</w:t>
      </w:r>
      <w:r w:rsidR="00FA5B31">
        <w:t>;</w:t>
      </w:r>
    </w:p>
    <w:p w:rsidR="00E13467" w:rsidP="000139BA">
      <w:pPr>
        <w:ind w:left="1416"/>
        <w:jc w:val="both"/>
        <w:rPr>
          <w:b/>
        </w:rPr>
      </w:pPr>
      <w:r>
        <w:rPr>
          <w:b/>
        </w:rPr>
        <w:tab/>
      </w:r>
    </w:p>
    <w:p w:rsidR="00777CFA" w:rsidP="000139BA">
      <w:pPr>
        <w:ind w:left="1416"/>
        <w:jc w:val="both"/>
        <w:rPr>
          <w:b/>
        </w:rPr>
      </w:pPr>
    </w:p>
    <w:p w:rsidR="00067F0B" w:rsidP="009B024D">
      <w:pPr>
        <w:pStyle w:val="Heading5"/>
        <w:numPr>
          <w:ilvl w:val="0"/>
          <w:numId w:val="1"/>
        </w:numPr>
        <w:tabs>
          <w:tab w:val="num" w:pos="567"/>
          <w:tab w:val="clear" w:pos="1440"/>
        </w:tabs>
        <w:ind w:hanging="1440"/>
      </w:pPr>
      <w:r w:rsidR="00EC5F3F">
        <w:t>ukladá</w:t>
      </w:r>
    </w:p>
    <w:p w:rsidR="00EC5F3F" w:rsidP="009B024D">
      <w:pPr>
        <w:pStyle w:val="Heading5"/>
        <w:ind w:firstLine="567"/>
      </w:pPr>
      <w:r>
        <w:t>predsedovi výboru</w:t>
      </w:r>
    </w:p>
    <w:p w:rsidR="00777CFA" w:rsidP="00117627">
      <w:r w:rsidR="00BD7172">
        <w:t xml:space="preserve"> </w:t>
      </w:r>
      <w:r w:rsidR="00E20A99">
        <w:t xml:space="preserve"> </w:t>
      </w:r>
      <w:r w:rsidR="00117627">
        <w:tab/>
        <w:tab/>
      </w:r>
      <w:r w:rsidR="00117627">
        <w:tab/>
      </w:r>
    </w:p>
    <w:p w:rsidR="005919F9" w:rsidP="004E43BB">
      <w:pPr>
        <w:ind w:firstLine="567"/>
        <w:jc w:val="both"/>
      </w:pPr>
      <w:r w:rsidRPr="00B1559A" w:rsidR="004D0847">
        <w:t>informovať predsedu Národnej</w:t>
      </w:r>
      <w:r w:rsidR="004D0847">
        <w:t xml:space="preserve"> </w:t>
      </w:r>
      <w:r w:rsidRPr="00B1559A" w:rsidR="004D0847">
        <w:t>rady Slovenskej republiky o výsledku prerokovania uvedeného</w:t>
      </w:r>
      <w:r w:rsidR="004D0847">
        <w:t xml:space="preserve"> </w:t>
      </w:r>
      <w:r w:rsidR="008349BA">
        <w:t xml:space="preserve">vládneho </w:t>
      </w:r>
      <w:r w:rsidRPr="00B1559A" w:rsidR="004D0847">
        <w:t>návrhu vo výbore</w:t>
      </w:r>
      <w:r w:rsidR="004D0847">
        <w:t>.</w:t>
      </w:r>
    </w:p>
    <w:p w:rsidR="0052115B" w:rsidP="00C739C2">
      <w:r w:rsidR="00E20A99">
        <w:t xml:space="preserve">                                                              </w:t>
      </w:r>
    </w:p>
    <w:p w:rsidR="008349BA" w:rsidP="00C739C2"/>
    <w:p w:rsidR="008349BA" w:rsidP="00C739C2"/>
    <w:p w:rsidR="0052115B">
      <w:pPr>
        <w:ind w:left="5664" w:firstLine="708"/>
        <w:rPr>
          <w:b/>
          <w:bCs w:val="0"/>
        </w:rPr>
      </w:pPr>
    </w:p>
    <w:p w:rsidR="00EC5F3F" w:rsidRPr="003371B9">
      <w:pPr>
        <w:ind w:left="5664" w:firstLine="708"/>
        <w:rPr>
          <w:b/>
        </w:rPr>
      </w:pPr>
      <w:r w:rsidR="00E20A99">
        <w:rPr>
          <w:b/>
          <w:bCs w:val="0"/>
        </w:rPr>
        <w:t xml:space="preserve">              </w:t>
      </w:r>
      <w:r>
        <w:rPr>
          <w:b/>
          <w:bCs w:val="0"/>
        </w:rPr>
        <w:t xml:space="preserve"> </w:t>
      </w:r>
      <w:r w:rsidR="004D397F">
        <w:rPr>
          <w:b/>
          <w:bCs w:val="0"/>
        </w:rPr>
        <w:t>Daniel  D u c h o ň</w:t>
      </w:r>
    </w:p>
    <w:p w:rsidR="00EC5F3F" w:rsidP="0052115B">
      <w:pPr>
        <w:ind w:left="5664" w:firstLine="708"/>
      </w:pPr>
      <w:r w:rsidR="0052115B">
        <w:t xml:space="preserve">  </w:t>
      </w:r>
      <w:r w:rsidRPr="003371B9" w:rsidR="00E20A99">
        <w:t xml:space="preserve">          </w:t>
      </w:r>
      <w:r w:rsidRPr="003371B9">
        <w:t xml:space="preserve"> </w:t>
      </w:r>
      <w:r w:rsidRPr="003371B9" w:rsidR="00E20A99">
        <w:t xml:space="preserve">  </w:t>
      </w:r>
      <w:r w:rsidR="004D397F">
        <w:t xml:space="preserve">   </w:t>
      </w:r>
      <w:r w:rsidRPr="003371B9">
        <w:t>predseda výboru</w:t>
      </w:r>
    </w:p>
    <w:p w:rsidR="00200775" w:rsidP="0052115B">
      <w:pPr>
        <w:ind w:left="5664" w:firstLine="708"/>
      </w:pPr>
    </w:p>
    <w:p w:rsidR="00595842" w:rsidP="00595842">
      <w:pPr>
        <w:jc w:val="both"/>
        <w:rPr>
          <w:b/>
        </w:rPr>
      </w:pPr>
      <w:r w:rsidR="00C37D3C">
        <w:rPr>
          <w:b/>
        </w:rPr>
        <w:t xml:space="preserve">  </w:t>
      </w:r>
      <w:r w:rsidR="00C37D3C">
        <w:rPr>
          <w:b/>
        </w:rPr>
        <w:t xml:space="preserve"> </w:t>
      </w:r>
      <w:r w:rsidR="004D397F">
        <w:rPr>
          <w:b/>
        </w:rPr>
        <w:t xml:space="preserve">  Milan Mojš</w:t>
      </w:r>
    </w:p>
    <w:p w:rsidR="00200775" w:rsidRPr="00BD7172" w:rsidP="00595842">
      <w:pPr>
        <w:jc w:val="both"/>
        <w:rPr>
          <w:b/>
        </w:rPr>
      </w:pPr>
      <w:r>
        <w:rPr>
          <w:b/>
        </w:rPr>
        <w:t xml:space="preserve">     Ivan Švejna</w:t>
      </w:r>
    </w:p>
    <w:p w:rsidR="00A45E0F">
      <w:r w:rsidR="00595842">
        <w:t xml:space="preserve">  </w:t>
      </w:r>
      <w:r w:rsidR="00EC5F3F">
        <w:t>overovateľ výboru</w:t>
      </w:r>
    </w:p>
    <w:p w:rsidR="00A45E0F"/>
    <w:p w:rsidR="000D14F9" w:rsidP="000D14F9">
      <w:pPr>
        <w:pStyle w:val="Heading4"/>
        <w:widowControl w:val="0"/>
        <w:rPr>
          <w:rFonts w:ascii="AT*Zurich Calligraphic" w:hAnsi="AT*Zurich Calligraphic"/>
        </w:rPr>
      </w:pPr>
      <w:r>
        <w:rPr>
          <w:rFonts w:ascii="AT*Zurich Calligraphic" w:hAnsi="AT*Zurich Calligraphic"/>
        </w:rPr>
        <w:t>Výbor Národnej rady  Slovenskej republiky</w:t>
      </w:r>
    </w:p>
    <w:p w:rsidR="000D14F9" w:rsidP="000D14F9">
      <w:pPr>
        <w:rPr>
          <w:rFonts w:ascii="AT*Zurich Calligraphic" w:hAnsi="AT*Zurich Calligraphic"/>
          <w:b/>
        </w:rPr>
      </w:pPr>
      <w:r>
        <w:rPr>
          <w:rFonts w:ascii="AT*Zurich Calligraphic" w:hAnsi="AT*Zurich Calligraphic"/>
          <w:b/>
        </w:rPr>
        <w:t xml:space="preserve">            pre financie</w:t>
      </w:r>
      <w:r w:rsidR="003371B9">
        <w:rPr>
          <w:rFonts w:ascii="AT*Zurich Calligraphic" w:hAnsi="AT*Zurich Calligraphic"/>
          <w:b/>
        </w:rPr>
        <w:t xml:space="preserve"> a</w:t>
      </w:r>
      <w:r>
        <w:rPr>
          <w:rFonts w:ascii="AT*Zurich Calligraphic" w:hAnsi="AT*Zurich Calligraphic"/>
          <w:b/>
        </w:rPr>
        <w:t xml:space="preserve"> rozpočet </w:t>
      </w:r>
    </w:p>
    <w:p w:rsidR="000D14F9" w:rsidP="000D14F9">
      <w:pPr>
        <w:jc w:val="right"/>
        <w:rPr>
          <w:sz w:val="28"/>
        </w:rPr>
      </w:pPr>
      <w:r>
        <w:rPr>
          <w:sz w:val="28"/>
        </w:rPr>
        <w:t xml:space="preserve">                                       </w:t>
      </w:r>
    </w:p>
    <w:p w:rsidR="000D14F9" w:rsidP="000D14F9">
      <w:pPr>
        <w:jc w:val="right"/>
        <w:rPr>
          <w:b/>
        </w:rPr>
      </w:pPr>
      <w:r>
        <w:t xml:space="preserve">Príloha k uzn. </w:t>
      </w:r>
      <w:r w:rsidRPr="006C72E6">
        <w:rPr>
          <w:b/>
        </w:rPr>
        <w:t>č.</w:t>
      </w:r>
      <w:r w:rsidR="0065532A">
        <w:rPr>
          <w:b/>
        </w:rPr>
        <w:t xml:space="preserve"> </w:t>
      </w:r>
      <w:r w:rsidR="00306624">
        <w:rPr>
          <w:b/>
        </w:rPr>
        <w:t>508</w:t>
      </w:r>
    </w:p>
    <w:p w:rsidR="000D14F9" w:rsidRPr="003371B9" w:rsidP="000D14F9">
      <w:pPr>
        <w:jc w:val="right"/>
      </w:pPr>
      <w:r w:rsidR="008349BA">
        <w:rPr>
          <w:bCs w:val="0"/>
        </w:rPr>
        <w:t>8</w:t>
      </w:r>
      <w:r w:rsidR="00611458">
        <w:rPr>
          <w:bCs w:val="0"/>
        </w:rPr>
        <w:t>8</w:t>
      </w:r>
      <w:r w:rsidRPr="003371B9">
        <w:rPr>
          <w:bCs w:val="0"/>
        </w:rPr>
        <w:t xml:space="preserve">. </w:t>
      </w:r>
      <w:r w:rsidRPr="003371B9">
        <w:t>schôdza</w:t>
      </w:r>
    </w:p>
    <w:p w:rsidR="000D14F9" w:rsidP="000D14F9">
      <w:pPr>
        <w:jc w:val="center"/>
        <w:rPr>
          <w:b/>
        </w:rPr>
      </w:pPr>
    </w:p>
    <w:p w:rsidR="000D14F9" w:rsidRPr="00067F0B" w:rsidP="000D14F9">
      <w:pPr>
        <w:jc w:val="center"/>
        <w:rPr>
          <w:b/>
          <w:bCs w:val="0"/>
        </w:rPr>
      </w:pPr>
      <w:r w:rsidRPr="00067F0B">
        <w:rPr>
          <w:b/>
          <w:bCs w:val="0"/>
        </w:rPr>
        <w:t>Pozmeňujúc</w:t>
      </w:r>
      <w:r w:rsidR="00A45E0F">
        <w:rPr>
          <w:b/>
          <w:bCs w:val="0"/>
        </w:rPr>
        <w:t>e</w:t>
      </w:r>
      <w:r w:rsidRPr="00067F0B">
        <w:rPr>
          <w:b/>
          <w:bCs w:val="0"/>
        </w:rPr>
        <w:t xml:space="preserve"> </w:t>
      </w:r>
      <w:r w:rsidR="00A45E0F">
        <w:rPr>
          <w:b/>
          <w:bCs w:val="0"/>
        </w:rPr>
        <w:t xml:space="preserve"> a doplňujúce </w:t>
      </w:r>
      <w:r w:rsidR="0063617C">
        <w:rPr>
          <w:b/>
          <w:bCs w:val="0"/>
        </w:rPr>
        <w:t>návrh</w:t>
      </w:r>
      <w:r w:rsidR="00A45E0F">
        <w:rPr>
          <w:b/>
          <w:bCs w:val="0"/>
        </w:rPr>
        <w:t>y</w:t>
      </w:r>
    </w:p>
    <w:p w:rsidR="007562FB" w:rsidP="00C739C2">
      <w:pPr>
        <w:pStyle w:val="Heading1"/>
        <w:ind w:left="360"/>
        <w:jc w:val="center"/>
        <w:rPr>
          <w:iCs/>
        </w:rPr>
      </w:pPr>
      <w:r w:rsidR="00117627">
        <w:t>k</w:t>
      </w:r>
      <w:r w:rsidR="00AC2960">
        <w:t> </w:t>
      </w:r>
      <w:r w:rsidRPr="005458EF" w:rsidR="00843997">
        <w:t xml:space="preserve"> </w:t>
      </w:r>
      <w:r w:rsidRPr="003F27B9" w:rsidR="003F27B9">
        <w:rPr>
          <w:iCs/>
          <w:color w:val="000000"/>
        </w:rPr>
        <w:t>v</w:t>
      </w:r>
      <w:r w:rsidR="003F27B9">
        <w:rPr>
          <w:iCs/>
        </w:rPr>
        <w:t>ládnemu</w:t>
      </w:r>
      <w:r w:rsidRPr="003F27B9" w:rsidR="003F27B9">
        <w:rPr>
          <w:iCs/>
        </w:rPr>
        <w:t xml:space="preserve"> návrh</w:t>
      </w:r>
      <w:r w:rsidR="003F27B9">
        <w:rPr>
          <w:iCs/>
        </w:rPr>
        <w:t>u</w:t>
      </w:r>
      <w:r w:rsidRPr="003F27B9" w:rsidR="003F27B9">
        <w:rPr>
          <w:iCs/>
        </w:rPr>
        <w:t xml:space="preserve"> zákona, ktorým sa mení a dopĺňa zákon č. 429/2002 Z. z. o burze cenných papierov v znení neskorších predpisov a ktorým sa mení a dopĺňa zákon č. 566/2001 Z. z. o cenných papieroch a investičných službách a o zmene a doplnení niektorých zákonov (zákon o c</w:t>
      </w:r>
      <w:r w:rsidRPr="003F27B9" w:rsidR="003F27B9">
        <w:rPr>
          <w:iCs/>
        </w:rPr>
        <w:t xml:space="preserve">enných papieroch) v znení neskorších predpisov </w:t>
      </w:r>
    </w:p>
    <w:p w:rsidR="003371B9" w:rsidP="00C739C2">
      <w:pPr>
        <w:pStyle w:val="Heading1"/>
        <w:ind w:left="360"/>
        <w:jc w:val="center"/>
      </w:pPr>
      <w:r w:rsidRPr="003F27B9" w:rsidR="003F27B9">
        <w:rPr>
          <w:iCs/>
        </w:rPr>
        <w:t>(tlač 1691)</w:t>
      </w:r>
    </w:p>
    <w:p w:rsidR="000D14F9" w:rsidP="000D14F9">
      <w:pPr>
        <w:rPr>
          <w:b/>
          <w:bCs w:val="0"/>
        </w:rPr>
      </w:pPr>
      <w:r>
        <w:rPr>
          <w:b/>
          <w:bCs w:val="0"/>
        </w:rPr>
        <w:t xml:space="preserve">––––––––––––––––––––––––––––––––––––––––––––––––––––––––––––––––––––––––––––––  </w:t>
      </w:r>
    </w:p>
    <w:p w:rsidR="00306624" w:rsidRPr="001B27D2" w:rsidP="00306624">
      <w:pPr>
        <w:pStyle w:val="ListParagraph"/>
        <w:numPr>
          <w:ilvl w:val="0"/>
          <w:numId w:val="46"/>
        </w:numPr>
        <w:spacing w:after="0" w:line="240" w:lineRule="auto"/>
        <w:jc w:val="both"/>
        <w:rPr>
          <w:rFonts w:ascii="Times New Roman" w:hAnsi="Times New Roman"/>
          <w:b/>
          <w:sz w:val="24"/>
          <w:szCs w:val="24"/>
        </w:rPr>
      </w:pPr>
      <w:r w:rsidRPr="001B27D2">
        <w:rPr>
          <w:rFonts w:ascii="Times New Roman" w:hAnsi="Times New Roman"/>
          <w:b/>
          <w:sz w:val="24"/>
          <w:szCs w:val="24"/>
        </w:rPr>
        <w:t>K čl. I 11.</w:t>
      </w:r>
      <w:r>
        <w:rPr>
          <w:rFonts w:ascii="Times New Roman" w:hAnsi="Times New Roman"/>
          <w:b/>
          <w:sz w:val="24"/>
          <w:szCs w:val="24"/>
        </w:rPr>
        <w:t xml:space="preserve"> </w:t>
      </w:r>
      <w:r w:rsidRPr="001B27D2">
        <w:rPr>
          <w:rFonts w:ascii="Times New Roman" w:hAnsi="Times New Roman"/>
          <w:b/>
          <w:sz w:val="24"/>
          <w:szCs w:val="24"/>
        </w:rPr>
        <w:t>bodu (§ 41 ods. 1</w:t>
      </w:r>
      <w:r>
        <w:rPr>
          <w:rFonts w:ascii="Times New Roman" w:hAnsi="Times New Roman"/>
          <w:b/>
          <w:sz w:val="24"/>
          <w:szCs w:val="24"/>
        </w:rPr>
        <w:t>1</w:t>
      </w:r>
      <w:r w:rsidRPr="001B27D2">
        <w:rPr>
          <w:rFonts w:ascii="Times New Roman" w:hAnsi="Times New Roman"/>
          <w:b/>
          <w:sz w:val="24"/>
          <w:szCs w:val="24"/>
        </w:rPr>
        <w:t>)</w:t>
      </w:r>
    </w:p>
    <w:p w:rsidR="00306624" w:rsidP="00306624">
      <w:pPr>
        <w:ind w:firstLine="708"/>
        <w:jc w:val="both"/>
      </w:pPr>
      <w:r>
        <w:t>V čl. I 11. bod znie:</w:t>
      </w:r>
    </w:p>
    <w:p w:rsidR="00306624" w:rsidP="00306624">
      <w:pPr>
        <w:ind w:left="708"/>
        <w:contextualSpacing/>
        <w:jc w:val="both"/>
      </w:pPr>
      <w:r>
        <w:t xml:space="preserve">„11. </w:t>
      </w:r>
      <w:r w:rsidRPr="00AE7FD5">
        <w:t xml:space="preserve">V § 41 ods. 11 </w:t>
      </w:r>
      <w:r>
        <w:t>úvodnej</w:t>
      </w:r>
      <w:r w:rsidRPr="00AE7FD5">
        <w:t xml:space="preserve"> vete sa slová „</w:t>
      </w:r>
      <w:r>
        <w:t xml:space="preserve">obchodných dní, </w:t>
      </w:r>
      <w:r w:rsidRPr="00AE7FD5">
        <w:t>pričom táto lehota začína plynúť nasledujúci deň po dni,“ nahrádzajú slovami „</w:t>
      </w:r>
      <w:r>
        <w:t xml:space="preserve">obchodných dní </w:t>
      </w:r>
      <w:r w:rsidRPr="00AE7FD5">
        <w:t>odo dňa</w:t>
      </w:r>
      <w:r>
        <w:t>,</w:t>
      </w:r>
      <w:r w:rsidRPr="00AE7FD5">
        <w:t>“ a v písmene b) sa slová „je informovaná“ nahrádzajú slovom „dozvie“.</w:t>
      </w:r>
      <w:r>
        <w:t>“.</w:t>
      </w:r>
    </w:p>
    <w:p w:rsidR="00306624" w:rsidP="00306624">
      <w:pPr>
        <w:ind w:left="2552"/>
        <w:contextualSpacing/>
        <w:jc w:val="both"/>
      </w:pPr>
    </w:p>
    <w:p w:rsidR="00306624" w:rsidP="00306624">
      <w:pPr>
        <w:ind w:left="2552"/>
        <w:contextualSpacing/>
        <w:jc w:val="both"/>
      </w:pPr>
      <w:r>
        <w:t>Ide o legislatívno-technickú úpravu v záujme významového zjednoznačnenia navrhované</w:t>
      </w:r>
      <w:r>
        <w:t>ho znenia § 41 ods. 11.</w:t>
      </w:r>
    </w:p>
    <w:p w:rsidR="00306624" w:rsidP="00306624">
      <w:pPr>
        <w:ind w:left="2552"/>
        <w:contextualSpacing/>
        <w:jc w:val="both"/>
      </w:pPr>
    </w:p>
    <w:p w:rsidR="00306624" w:rsidRPr="001B27D2" w:rsidP="00306624">
      <w:pPr>
        <w:pStyle w:val="ListParagraph"/>
        <w:numPr>
          <w:ilvl w:val="0"/>
          <w:numId w:val="46"/>
        </w:numPr>
        <w:spacing w:after="0" w:line="240" w:lineRule="auto"/>
        <w:jc w:val="both"/>
        <w:rPr>
          <w:rFonts w:ascii="Times New Roman" w:hAnsi="Times New Roman"/>
          <w:b/>
          <w:sz w:val="24"/>
          <w:szCs w:val="24"/>
        </w:rPr>
      </w:pPr>
      <w:r w:rsidRPr="001B27D2">
        <w:rPr>
          <w:rFonts w:ascii="Times New Roman" w:hAnsi="Times New Roman"/>
          <w:b/>
          <w:sz w:val="24"/>
          <w:szCs w:val="24"/>
        </w:rPr>
        <w:t>K čl. I 15. bodu (§ 43 ods. 2)</w:t>
      </w:r>
    </w:p>
    <w:p w:rsidR="00306624" w:rsidP="00306624">
      <w:pPr>
        <w:ind w:firstLine="708"/>
        <w:contextualSpacing/>
        <w:jc w:val="both"/>
      </w:pPr>
      <w:r>
        <w:t>V čl. I 15. bode v § 43 ods. 2 sa nad slová „osobitného predpisu“ vkladá odkaz 58a).</w:t>
      </w:r>
    </w:p>
    <w:p w:rsidR="00306624" w:rsidP="00306624">
      <w:pPr>
        <w:ind w:left="2552"/>
        <w:contextualSpacing/>
        <w:jc w:val="both"/>
      </w:pPr>
    </w:p>
    <w:p w:rsidR="00306624" w:rsidP="00306624">
      <w:pPr>
        <w:ind w:left="2552"/>
        <w:contextualSpacing/>
        <w:jc w:val="both"/>
      </w:pPr>
      <w:r>
        <w:t>Ide o návrh, ktorý rešpektuje platné a účinné znenie § 43 ods. 2, v ktorom je potrebné ponechať odkaz na finančné nástroje podľa § 5 ods. 1 p</w:t>
      </w:r>
      <w:r w:rsidRPr="00067FFC">
        <w:t>ísm. a), d) až j) zákona č. 566/2001 Z.</w:t>
      </w:r>
      <w:r>
        <w:t xml:space="preserve"> </w:t>
      </w:r>
      <w:r w:rsidRPr="00067FFC">
        <w:t>z. o cenných papieroch a investičných službách a o zmene a doplnení niektorých zákonov (zákon o cenných papieroch)</w:t>
      </w:r>
      <w:r>
        <w:t xml:space="preserve"> </w:t>
      </w:r>
      <w:r w:rsidRPr="00067FFC">
        <w:t>v znení neskorších predpisov.</w:t>
      </w:r>
    </w:p>
    <w:p w:rsidR="00306624" w:rsidP="00306624">
      <w:pPr>
        <w:ind w:left="2552"/>
        <w:contextualSpacing/>
        <w:jc w:val="both"/>
      </w:pPr>
    </w:p>
    <w:p w:rsidR="00306624" w:rsidRPr="00306624" w:rsidP="00306624">
      <w:pPr>
        <w:numPr>
          <w:ilvl w:val="0"/>
          <w:numId w:val="46"/>
        </w:numPr>
        <w:jc w:val="both"/>
        <w:rPr>
          <w:b/>
        </w:rPr>
      </w:pPr>
      <w:r w:rsidRPr="00306624">
        <w:rPr>
          <w:b/>
        </w:rPr>
        <w:t>K čl. I doterajší bod 23 (§ 60 ods. 8)</w:t>
      </w:r>
    </w:p>
    <w:p w:rsidR="00306624" w:rsidRPr="00315E73" w:rsidP="00306624">
      <w:pPr>
        <w:ind w:left="720"/>
        <w:jc w:val="both"/>
      </w:pPr>
      <w:r w:rsidRPr="00306624">
        <w:t>V čl</w:t>
      </w:r>
      <w:r w:rsidRPr="00306624">
        <w:t>. I doterajšom bode 23</w:t>
      </w:r>
      <w:r w:rsidRPr="00315E73">
        <w:t xml:space="preserve"> v § 60 ods. 8 sa vypúšťa čiarka za číslom „4“ a  slová „proti ktorým už nie je prípustný opravný prostriedok,“.</w:t>
      </w:r>
    </w:p>
    <w:p w:rsidR="00306624" w:rsidP="00306624">
      <w:pPr>
        <w:jc w:val="both"/>
      </w:pPr>
    </w:p>
    <w:p w:rsidR="00306624" w:rsidRPr="00B82BFC" w:rsidP="00306624">
      <w:pPr>
        <w:ind w:left="2552"/>
        <w:jc w:val="both"/>
      </w:pPr>
      <w:r w:rsidRPr="00B82BFC">
        <w:t xml:space="preserve">Ide o dôslednejšiu transpozíciu čl. I bodu 23 smernice č. 2013/50 /EÚ, pokiaľ ide o zverejňovanie rozhodnutí o udelení sankcie Národnou bankou Slovenska dohliadaným subjektom. Pôvodne navrhované znenie návrhu zákona rátalo len so zverejňovaním právoplatných rozhodnutí, proti ktorým už nie je opravný prostriedok. Smernica č. 2013/50/EÚ ráta aj so zverejňovaním neprávoplatných rozhodnutí. Úpravou sa reaguje na stanovisko v časti B. Kancelárie NR SR, Odboru legislatívy a aproximácie práva.  </w:t>
      </w:r>
    </w:p>
    <w:p w:rsidR="00560D21" w:rsidP="00560D21">
      <w:pPr>
        <w:ind w:firstLine="708"/>
        <w:jc w:val="both"/>
        <w:rPr>
          <w:bCs w:val="0"/>
        </w:rPr>
      </w:pPr>
    </w:p>
    <w:p w:rsidR="00560D21" w:rsidRPr="00731209" w:rsidP="00560D21">
      <w:pPr>
        <w:ind w:firstLine="708"/>
        <w:jc w:val="both"/>
        <w:rPr>
          <w:bCs w:val="0"/>
        </w:rPr>
      </w:pPr>
      <w:r w:rsidRPr="00731209">
        <w:rPr>
          <w:bCs w:val="0"/>
        </w:rPr>
        <w:t xml:space="preserve">Účinnosť sa navrhuje od 1. januára 2016. </w:t>
      </w:r>
    </w:p>
    <w:p w:rsidR="00306624" w:rsidP="00306624">
      <w:pPr>
        <w:jc w:val="both"/>
      </w:pPr>
    </w:p>
    <w:p w:rsidR="00306624" w:rsidRPr="00306624" w:rsidP="00306624">
      <w:pPr>
        <w:numPr>
          <w:ilvl w:val="0"/>
          <w:numId w:val="46"/>
        </w:numPr>
        <w:jc w:val="both"/>
      </w:pPr>
      <w:r>
        <w:rPr>
          <w:b/>
        </w:rPr>
        <w:t>K</w:t>
      </w:r>
      <w:r w:rsidRPr="00306624">
        <w:rPr>
          <w:b/>
        </w:rPr>
        <w:t xml:space="preserve"> čl. I doterajš</w:t>
      </w:r>
      <w:r>
        <w:rPr>
          <w:b/>
        </w:rPr>
        <w:t>í</w:t>
      </w:r>
      <w:r w:rsidRPr="00306624">
        <w:rPr>
          <w:b/>
        </w:rPr>
        <w:t xml:space="preserve"> bod 23</w:t>
      </w:r>
    </w:p>
    <w:p w:rsidR="00306624" w:rsidRPr="00315E73" w:rsidP="00306624">
      <w:pPr>
        <w:ind w:left="720"/>
        <w:jc w:val="both"/>
      </w:pPr>
      <w:r w:rsidRPr="00306624">
        <w:t>V čl. I doterajšom  bode 23</w:t>
      </w:r>
      <w:r w:rsidRPr="00315E73">
        <w:t xml:space="preserve"> uvádzacej vete sa slová „až 12“ nahrádzajú slovami „až 13“. </w:t>
      </w:r>
    </w:p>
    <w:p w:rsidR="00306624" w:rsidRPr="00315E73" w:rsidP="00306624">
      <w:pPr>
        <w:jc w:val="both"/>
      </w:pPr>
      <w:r w:rsidRPr="00315E73">
        <w:t xml:space="preserve">      </w:t>
      </w:r>
      <w:r>
        <w:tab/>
      </w:r>
      <w:r w:rsidRPr="00315E73">
        <w:t xml:space="preserve">V čl. I doterajšom  bode 23 v § 60 sa za odsek 11 vkladá nový odsek 12, ktorý znie: </w:t>
      </w:r>
    </w:p>
    <w:p w:rsidR="00306624" w:rsidRPr="00315E73" w:rsidP="00306624">
      <w:pPr>
        <w:ind w:left="708"/>
        <w:jc w:val="both"/>
      </w:pPr>
      <w:r w:rsidRPr="00315E73">
        <w:t xml:space="preserve">„(12) Ak bol proti rozhodnutiu zverejnenému podľa odseku </w:t>
      </w:r>
      <w:r>
        <w:t>8 podaný opravný prostriedok, Ná</w:t>
      </w:r>
      <w:r w:rsidRPr="00315E73">
        <w:t>rodná banka Slovenska uvedie túto informáciu súčasne so zverejnením podľa odseku 8 alebo bezodkladne po podaní opravného prostr</w:t>
      </w:r>
      <w:r>
        <w:t>i</w:t>
      </w:r>
      <w:r w:rsidRPr="00315E73">
        <w:t xml:space="preserve">edku, ak bol podaný po zverejnení podľa odseku 8.“. </w:t>
      </w:r>
    </w:p>
    <w:p w:rsidR="00306624" w:rsidRPr="00315E73" w:rsidP="00306624">
      <w:pPr>
        <w:jc w:val="both"/>
      </w:pPr>
    </w:p>
    <w:p w:rsidR="00306624" w:rsidRPr="00315E73" w:rsidP="00306624">
      <w:pPr>
        <w:ind w:firstLine="708"/>
        <w:jc w:val="both"/>
      </w:pPr>
      <w:r w:rsidRPr="00315E73">
        <w:t>Doterajší odsek 12 sa označuje ako odsek 13</w:t>
      </w:r>
      <w:r w:rsidR="00B82BFC">
        <w:t>.</w:t>
      </w:r>
      <w:r w:rsidRPr="00315E73">
        <w:t xml:space="preserve"> </w:t>
      </w:r>
    </w:p>
    <w:p w:rsidR="00306624" w:rsidRPr="00315E73" w:rsidP="00306624">
      <w:pPr>
        <w:jc w:val="both"/>
      </w:pPr>
    </w:p>
    <w:p w:rsidR="00306624" w:rsidRPr="00315E73" w:rsidP="00306624">
      <w:pPr>
        <w:ind w:left="2552"/>
        <w:jc w:val="both"/>
      </w:pPr>
      <w:r w:rsidRPr="00315E73">
        <w:t xml:space="preserve">Ide o dôslednejšiu transpozíciu čl. I bodu 23 smernice č. 2013/50 /EÚ, pokiaľ ide o zverejňovanie rozhodnutí o udelení sankcie Národnou bankou Slovenska dohliadaným subjektom. Pôvodne navrhované znenie návrhu zákona rátalo len so zverejňovaním právoplatných rozhodnutí, proti ktorým už nie je opravný prostriedok. Smernica č. 2013/50/EÚ ráta aj so zverejňovaním neprávoplatných rozhodnutí. Úpravou sa reaguje na stanovisko v časti B. Kancelárie NR SR, Odboru legislatívy a aproximácie práva.  </w:t>
      </w:r>
    </w:p>
    <w:p w:rsidR="00306624" w:rsidP="00306624">
      <w:pPr>
        <w:tabs>
          <w:tab w:val="left" w:pos="1572"/>
        </w:tabs>
        <w:jc w:val="both"/>
      </w:pPr>
    </w:p>
    <w:p w:rsidR="00560D21" w:rsidRPr="00731209" w:rsidP="00560D21">
      <w:pPr>
        <w:ind w:firstLine="708"/>
        <w:jc w:val="both"/>
        <w:rPr>
          <w:bCs w:val="0"/>
        </w:rPr>
      </w:pPr>
      <w:r w:rsidRPr="00731209">
        <w:rPr>
          <w:bCs w:val="0"/>
        </w:rPr>
        <w:t xml:space="preserve">Účinnosť sa navrhuje od 1. januára 2016. </w:t>
      </w:r>
    </w:p>
    <w:p w:rsidR="00560D21" w:rsidP="00306624">
      <w:pPr>
        <w:tabs>
          <w:tab w:val="left" w:pos="1572"/>
        </w:tabs>
        <w:jc w:val="both"/>
      </w:pPr>
    </w:p>
    <w:p w:rsidR="00E62DC7" w:rsidRPr="0099272D" w:rsidP="00E62DC7">
      <w:pPr>
        <w:pStyle w:val="ListParagraph"/>
        <w:numPr>
          <w:ilvl w:val="0"/>
          <w:numId w:val="46"/>
        </w:numPr>
        <w:spacing w:after="0" w:line="240" w:lineRule="auto"/>
        <w:jc w:val="both"/>
        <w:rPr>
          <w:rFonts w:ascii="Times New Roman" w:hAnsi="Times New Roman"/>
          <w:b/>
          <w:sz w:val="24"/>
          <w:szCs w:val="24"/>
        </w:rPr>
      </w:pPr>
      <w:r w:rsidRPr="0099272D">
        <w:rPr>
          <w:rFonts w:ascii="Times New Roman" w:hAnsi="Times New Roman"/>
          <w:b/>
          <w:sz w:val="24"/>
          <w:szCs w:val="24"/>
        </w:rPr>
        <w:t>K čl. II</w:t>
      </w:r>
    </w:p>
    <w:p w:rsidR="00306624" w:rsidRPr="00315E73" w:rsidP="00E62DC7">
      <w:pPr>
        <w:tabs>
          <w:tab w:val="left" w:pos="709"/>
        </w:tabs>
        <w:ind w:left="720"/>
        <w:jc w:val="both"/>
      </w:pPr>
      <w:r w:rsidRPr="00E62DC7">
        <w:t>Na začiatok článku II</w:t>
      </w:r>
      <w:r w:rsidRPr="00315E73">
        <w:t xml:space="preserve"> sa vkladajú body 1 a 2, k</w:t>
      </w:r>
      <w:r w:rsidRPr="00315E73">
        <w:t xml:space="preserve">toré znejú: </w:t>
      </w:r>
    </w:p>
    <w:p w:rsidR="00306624" w:rsidRPr="00315E73" w:rsidP="00306624">
      <w:pPr>
        <w:jc w:val="both"/>
      </w:pPr>
      <w:r w:rsidRPr="00315E73">
        <w:t xml:space="preserve">      </w:t>
      </w:r>
      <w:r>
        <w:t xml:space="preserve">     </w:t>
      </w:r>
      <w:r w:rsidRPr="00306624">
        <w:rPr>
          <w:b/>
        </w:rPr>
        <w:t>1.</w:t>
      </w:r>
      <w:r w:rsidRPr="00315E73">
        <w:t xml:space="preserve"> V § 105 ods. 3  druhej vete sa vypúšťajú slová „alebo centrálny depozitár“.</w:t>
      </w:r>
    </w:p>
    <w:p w:rsidR="00306624" w:rsidRPr="00315E73" w:rsidP="00306624">
      <w:pPr>
        <w:jc w:val="both"/>
        <w:rPr>
          <w:u w:val="single"/>
        </w:rPr>
      </w:pPr>
    </w:p>
    <w:p w:rsidR="00306624" w:rsidRPr="00315E73" w:rsidP="00306624">
      <w:pPr>
        <w:ind w:left="2552"/>
        <w:jc w:val="both"/>
      </w:pPr>
      <w:r w:rsidRPr="00315E73">
        <w:t>Navrhovanou zmenou právnej úpravy sa precizujú ustanovenia v súvislosti so zriaďovaním účtu majiteľa, a to konkrétne v prípade fyzických osôb. V zmysle navrhovanej zmeny sa úplne vylúči možnosť fyzických osôb zriadiť účet majiteľa v centrálnom depozitári, nakoľko podľa doterajšej úpravy má centrálny depozitár povinnosť zriadiť účet majiteľa aj fyzickým osobám v prípade, ak o zriadenie požiadali prostredníctvom vybraných osôb. Uvedenou úpravou sa podporuje sledovaný účel posilnenia členského princípu, kedy zámerom už predchádzajúcich zmien zákona bolo zúženie okruhu osôb, ktoré sú oprávnené otvoriť si účet priamo v centrálnom depozitári.</w:t>
      </w:r>
    </w:p>
    <w:p w:rsidR="00306624" w:rsidRPr="00315E73" w:rsidP="00306624">
      <w:pPr>
        <w:ind w:left="1134"/>
        <w:jc w:val="both"/>
      </w:pPr>
    </w:p>
    <w:p w:rsidR="00306624" w:rsidRPr="00315E73" w:rsidP="00306624">
      <w:pPr>
        <w:pStyle w:val="ListParagraph"/>
        <w:spacing w:after="0" w:line="240" w:lineRule="auto"/>
        <w:ind w:left="0"/>
        <w:rPr>
          <w:rFonts w:ascii="Times New Roman" w:hAnsi="Times New Roman"/>
          <w:sz w:val="24"/>
          <w:szCs w:val="24"/>
        </w:rPr>
      </w:pPr>
      <w:r w:rsidRPr="00315E73">
        <w:rPr>
          <w:rFonts w:ascii="Times New Roman" w:hAnsi="Times New Roman"/>
          <w:sz w:val="24"/>
          <w:szCs w:val="24"/>
        </w:rPr>
        <w:t xml:space="preserve">        </w:t>
      </w:r>
      <w:r w:rsidRPr="00306624">
        <w:rPr>
          <w:rFonts w:ascii="Times New Roman" w:hAnsi="Times New Roman"/>
          <w:b/>
          <w:sz w:val="24"/>
          <w:szCs w:val="24"/>
        </w:rPr>
        <w:t>2.</w:t>
      </w:r>
      <w:r w:rsidRPr="00315E73">
        <w:rPr>
          <w:rFonts w:ascii="Times New Roman" w:hAnsi="Times New Roman"/>
          <w:sz w:val="24"/>
          <w:szCs w:val="24"/>
        </w:rPr>
        <w:t xml:space="preserve">  Za § 105b sa vkladá § 105c, ktorý vrátane nadpisu znie:</w:t>
      </w:r>
    </w:p>
    <w:p w:rsidR="00306624" w:rsidRPr="00315E73" w:rsidP="00306624">
      <w:pPr>
        <w:jc w:val="center"/>
        <w:rPr>
          <w:color w:val="000000"/>
        </w:rPr>
      </w:pPr>
      <w:r w:rsidRPr="00315E73">
        <w:rPr>
          <w:color w:val="000000"/>
        </w:rPr>
        <w:t>„§ 105c</w:t>
      </w:r>
    </w:p>
    <w:p w:rsidR="00306624" w:rsidRPr="00315E73" w:rsidP="00306624">
      <w:pPr>
        <w:jc w:val="center"/>
        <w:rPr>
          <w:color w:val="000000"/>
        </w:rPr>
      </w:pPr>
      <w:r w:rsidRPr="00315E73">
        <w:rPr>
          <w:color w:val="000000"/>
        </w:rPr>
        <w:t>Prepojenie centrálnych depozitárov</w:t>
      </w:r>
    </w:p>
    <w:p w:rsidR="00306624" w:rsidRPr="00315E73" w:rsidP="00306624">
      <w:pPr>
        <w:jc w:val="center"/>
        <w:rPr>
          <w:color w:val="000000"/>
        </w:rPr>
      </w:pPr>
    </w:p>
    <w:p w:rsidR="00306624" w:rsidRPr="00315E73" w:rsidP="00306624">
      <w:pPr>
        <w:ind w:firstLine="708"/>
        <w:jc w:val="both"/>
        <w:rPr>
          <w:color w:val="000000"/>
        </w:rPr>
      </w:pPr>
      <w:r w:rsidRPr="00315E73">
        <w:rPr>
          <w:color w:val="000000"/>
        </w:rPr>
        <w:t>Účet majiteľa, klientsky účet alebo držiteľský účet, ktorý podľa § 105, 106 a 105a zriadil centrálny depozitár pre iného centrálneho depozitára sa považuje za štandardné prepojenie</w:t>
      </w:r>
      <w:r w:rsidRPr="00315E73">
        <w:rPr>
          <w:color w:val="000000"/>
          <w:vertAlign w:val="superscript"/>
        </w:rPr>
        <w:t>90ab)</w:t>
      </w:r>
      <w:r w:rsidRPr="00315E73">
        <w:rPr>
          <w:color w:val="000000"/>
        </w:rPr>
        <w:t xml:space="preserve"> medzi centrálnymi depozitármi. Ak je pre centrálny depozitár zriadený držiteľský účet, údaje o majiteľovi cenného papiera sú vedené v jeho evidencii vedenej podľa § 105, 105a, 105b a 106.“. </w:t>
      </w:r>
    </w:p>
    <w:p w:rsidR="00306624" w:rsidRPr="00315E73" w:rsidP="00306624">
      <w:pPr>
        <w:ind w:firstLine="708"/>
        <w:jc w:val="both"/>
        <w:rPr>
          <w:color w:val="000000"/>
        </w:rPr>
      </w:pPr>
    </w:p>
    <w:p w:rsidR="00306624" w:rsidRPr="00315E73" w:rsidP="00306624">
      <w:pPr>
        <w:ind w:firstLine="708"/>
        <w:jc w:val="both"/>
        <w:rPr>
          <w:color w:val="000000"/>
        </w:rPr>
      </w:pPr>
      <w:r w:rsidRPr="00315E73">
        <w:rPr>
          <w:color w:val="000000"/>
        </w:rPr>
        <w:t>Poznámka pod čiarou k odkazu 90ab znie:</w:t>
      </w:r>
    </w:p>
    <w:p w:rsidR="00306624" w:rsidRPr="00315E73" w:rsidP="00306624">
      <w:pPr>
        <w:pStyle w:val="Default"/>
        <w:rPr>
          <w:rFonts w:ascii="Times New Roman" w:hAnsi="Times New Roman" w:cs="Times New Roman"/>
        </w:rPr>
      </w:pPr>
      <w:r w:rsidRPr="00315E73">
        <w:rPr>
          <w:rFonts w:ascii="Times New Roman" w:hAnsi="Times New Roman" w:cs="Times New Roman"/>
        </w:rPr>
        <w:t xml:space="preserve">„90ab) Čl. 2 ods. 1 bod 30 </w:t>
      </w:r>
      <w:r w:rsidRPr="00315E73">
        <w:rPr>
          <w:rFonts w:ascii="Times New Roman" w:hAnsi="Times New Roman" w:cs="Times New Roman"/>
          <w:bCs/>
        </w:rPr>
        <w:t xml:space="preserve">nariadenia Európskeho parlamentu a Rady (EÚ) č. </w:t>
      </w:r>
      <w:r w:rsidRPr="00315E73">
        <w:rPr>
          <w:rFonts w:ascii="Times New Roman" w:hAnsi="Times New Roman" w:cs="Times New Roman"/>
        </w:rPr>
        <w:t xml:space="preserve"> 909/2014 </w:t>
      </w:r>
      <w:r w:rsidRPr="00315E73">
        <w:rPr>
          <w:rFonts w:ascii="Times New Roman" w:hAnsi="Times New Roman" w:cs="Times New Roman"/>
          <w:bCs/>
        </w:rPr>
        <w:t xml:space="preserve">z 23. Júla 2014 </w:t>
      </w:r>
      <w:r w:rsidRPr="00315E73">
        <w:rPr>
          <w:rFonts w:ascii="Times New Roman" w:hAnsi="Times New Roman" w:cs="Times New Roman"/>
        </w:rPr>
        <w:t xml:space="preserve"> o zlepšení vyrovnania transakcií s cennými papiermi v Európskej únii, centrálnych depozitároch cenných papierov a o zmene smerníc 98/26/ES a 2014/65/EÚ a nariadenia (EÚ) č. 236/2012 </w:t>
      </w:r>
      <w:r w:rsidRPr="00315E73">
        <w:rPr>
          <w:rFonts w:ascii="Times New Roman" w:hAnsi="Times New Roman" w:cs="Times New Roman"/>
          <w:bCs/>
        </w:rPr>
        <w:t xml:space="preserve"> (Ú. V. EÚ L 257, 28. 8. 2014).</w:t>
      </w:r>
      <w:r w:rsidRPr="00315E73">
        <w:rPr>
          <w:rFonts w:ascii="Times New Roman" w:hAnsi="Times New Roman" w:cs="Times New Roman"/>
        </w:rPr>
        <w:t xml:space="preserve"> “.</w:t>
      </w:r>
    </w:p>
    <w:p w:rsidR="00306624" w:rsidRPr="00315E73" w:rsidP="00306624">
      <w:pPr>
        <w:jc w:val="both"/>
        <w:rPr>
          <w:color w:val="000000"/>
        </w:rPr>
      </w:pPr>
    </w:p>
    <w:p w:rsidR="00306624" w:rsidP="00306624">
      <w:pPr>
        <w:pStyle w:val="ListParagraph"/>
        <w:spacing w:after="0" w:line="240" w:lineRule="auto"/>
        <w:ind w:left="2552"/>
        <w:jc w:val="both"/>
        <w:rPr>
          <w:rFonts w:ascii="Times New Roman" w:hAnsi="Times New Roman"/>
          <w:sz w:val="24"/>
          <w:szCs w:val="24"/>
        </w:rPr>
      </w:pPr>
      <w:r w:rsidRPr="00315E73">
        <w:rPr>
          <w:rFonts w:ascii="Times New Roman" w:hAnsi="Times New Roman"/>
          <w:sz w:val="24"/>
          <w:szCs w:val="24"/>
        </w:rPr>
        <w:t xml:space="preserve">Pre začiatok činnosti novo zriadeného centrálneho depozitára cenných papierov je nevyhnutné vytvorenie legislatívneho prostredia pre prepojenie evidencie na evidenciu </w:t>
      </w:r>
      <w:r>
        <w:rPr>
          <w:rFonts w:ascii="Times New Roman" w:hAnsi="Times New Roman"/>
          <w:sz w:val="24"/>
          <w:szCs w:val="24"/>
        </w:rPr>
        <w:t>už existujúceho cen</w:t>
      </w:r>
      <w:r w:rsidRPr="00315E73">
        <w:rPr>
          <w:rFonts w:ascii="Times New Roman" w:hAnsi="Times New Roman"/>
          <w:sz w:val="24"/>
          <w:szCs w:val="24"/>
        </w:rPr>
        <w:t>trálneho depozitára cenných papierov, a to najmä prostredníctvom inštitútu držiteľského účtu. V súčasnej legislatívnej úprave absentuje úprava vedenia evidencie pre prípad, že je držiteľský účet zriadený pre centrálneho depozitára cenných papierov. Zmenou sa dosiahne včlenenie evidencie zaknihovaných cenných papierov evidovaných v jednom centrálnom depozitári na účtoch majiteľov, držiteľských a klientskych účtoch pod evidenciu zaknihovaných cenných papierov vedených na držiteľskom účte vedenom v druhom centrálnom depozitári. Táto úprava umožní napríklad presunutie zaknihovaných cenných papierov z evidencie Centrálneho depozitára cenných papierov SR, a.s. do evidencie novozriadeného Národného centrálneho depozitára cenných papierov a.s., ak sa tak majiteľ cenných papierov rozhodne. Úprava je potrebná z dôvodu, že začiatkom roka 2016 sa predpokladá r</w:t>
      </w:r>
      <w:r>
        <w:rPr>
          <w:rFonts w:ascii="Times New Roman" w:hAnsi="Times New Roman"/>
          <w:sz w:val="24"/>
          <w:szCs w:val="24"/>
        </w:rPr>
        <w:t>eálne zač</w:t>
      </w:r>
      <w:r w:rsidRPr="00315E73">
        <w:rPr>
          <w:rFonts w:ascii="Times New Roman" w:hAnsi="Times New Roman"/>
          <w:sz w:val="24"/>
          <w:szCs w:val="24"/>
        </w:rPr>
        <w:t>atie činnosti novozriadeného Národného centrálneho depozitára a.s.</w:t>
      </w:r>
    </w:p>
    <w:p w:rsidR="00306624" w:rsidP="00306624">
      <w:pPr>
        <w:pStyle w:val="ListParagraph"/>
        <w:spacing w:after="0" w:line="240" w:lineRule="auto"/>
        <w:ind w:left="993"/>
        <w:jc w:val="both"/>
        <w:rPr>
          <w:rFonts w:ascii="Times New Roman" w:hAnsi="Times New Roman"/>
          <w:sz w:val="24"/>
          <w:szCs w:val="24"/>
        </w:rPr>
      </w:pPr>
    </w:p>
    <w:p w:rsidR="00560D21" w:rsidRPr="00731209" w:rsidP="00560D21">
      <w:pPr>
        <w:ind w:firstLine="284"/>
        <w:jc w:val="both"/>
        <w:rPr>
          <w:bCs w:val="0"/>
        </w:rPr>
      </w:pPr>
      <w:r w:rsidRPr="00731209">
        <w:rPr>
          <w:bCs w:val="0"/>
        </w:rPr>
        <w:t xml:space="preserve">Účinnosť sa navrhuje od 1. januára 2016. </w:t>
      </w:r>
    </w:p>
    <w:p w:rsidR="00306624" w:rsidRPr="00315E73" w:rsidP="00306624">
      <w:pPr>
        <w:ind w:left="284"/>
      </w:pPr>
      <w:r w:rsidRPr="00315E73">
        <w:t>Doterajšie body 1, 2 a 3 sa označujú ako body 3,</w:t>
      </w:r>
      <w:r w:rsidR="00CD01D3">
        <w:t xml:space="preserve"> </w:t>
      </w:r>
      <w:r w:rsidRPr="00315E73">
        <w:t>4 a 5.</w:t>
      </w:r>
    </w:p>
    <w:p w:rsidR="00306624" w:rsidP="00306624">
      <w:pPr>
        <w:ind w:left="993"/>
      </w:pPr>
    </w:p>
    <w:p w:rsidR="00306624" w:rsidRPr="0099272D" w:rsidP="00306624">
      <w:pPr>
        <w:pStyle w:val="ListParagraph"/>
        <w:numPr>
          <w:ilvl w:val="0"/>
          <w:numId w:val="46"/>
        </w:numPr>
        <w:spacing w:after="0" w:line="240" w:lineRule="auto"/>
        <w:jc w:val="both"/>
        <w:rPr>
          <w:rFonts w:ascii="Times New Roman" w:hAnsi="Times New Roman"/>
          <w:b/>
          <w:sz w:val="24"/>
          <w:szCs w:val="24"/>
        </w:rPr>
      </w:pPr>
      <w:r w:rsidRPr="0099272D">
        <w:rPr>
          <w:rFonts w:ascii="Times New Roman" w:hAnsi="Times New Roman"/>
          <w:b/>
          <w:sz w:val="24"/>
          <w:szCs w:val="24"/>
        </w:rPr>
        <w:t>K čl. II</w:t>
      </w:r>
    </w:p>
    <w:p w:rsidR="00306624" w:rsidP="00306624">
      <w:pPr>
        <w:pStyle w:val="ListParagraph"/>
        <w:spacing w:after="0" w:line="240" w:lineRule="auto"/>
        <w:ind w:left="0" w:firstLine="708"/>
        <w:jc w:val="both"/>
        <w:rPr>
          <w:rFonts w:ascii="Times New Roman" w:hAnsi="Times New Roman"/>
          <w:sz w:val="24"/>
          <w:szCs w:val="24"/>
        </w:rPr>
      </w:pPr>
      <w:r>
        <w:rPr>
          <w:rFonts w:ascii="Times New Roman" w:hAnsi="Times New Roman"/>
          <w:sz w:val="24"/>
          <w:szCs w:val="24"/>
        </w:rPr>
        <w:t>V čl. II sa za 3. bod vkladá nový 4. bod, ktorý znie:</w:t>
      </w:r>
    </w:p>
    <w:p w:rsidR="00306624" w:rsidP="00306624">
      <w:pPr>
        <w:pStyle w:val="ListParagraph"/>
        <w:spacing w:after="0" w:line="240" w:lineRule="auto"/>
        <w:ind w:left="0" w:firstLine="708"/>
        <w:jc w:val="both"/>
        <w:rPr>
          <w:rFonts w:ascii="Times New Roman" w:hAnsi="Times New Roman"/>
          <w:sz w:val="24"/>
          <w:szCs w:val="24"/>
        </w:rPr>
      </w:pPr>
      <w:r>
        <w:rPr>
          <w:rFonts w:ascii="Times New Roman" w:hAnsi="Times New Roman"/>
          <w:sz w:val="24"/>
          <w:szCs w:val="24"/>
        </w:rPr>
        <w:t>„4. Príloha sa dopĺňa 29. bodom, ktorý znie:</w:t>
      </w:r>
    </w:p>
    <w:p w:rsidR="00306624" w:rsidP="00306624">
      <w:pPr>
        <w:pStyle w:val="ListParagraph"/>
        <w:spacing w:after="0" w:line="240" w:lineRule="auto"/>
        <w:ind w:left="708"/>
        <w:jc w:val="both"/>
        <w:rPr>
          <w:rFonts w:ascii="Times New Roman" w:hAnsi="Times New Roman"/>
          <w:iCs/>
          <w:sz w:val="24"/>
          <w:szCs w:val="24"/>
        </w:rPr>
      </w:pPr>
      <w:r>
        <w:rPr>
          <w:rFonts w:ascii="Times New Roman" w:hAnsi="Times New Roman"/>
          <w:sz w:val="24"/>
          <w:szCs w:val="24"/>
        </w:rPr>
        <w:t xml:space="preserve">„29. </w:t>
      </w:r>
      <w:r w:rsidRPr="001A048F">
        <w:rPr>
          <w:rFonts w:ascii="Times New Roman" w:hAnsi="Times New Roman"/>
          <w:sz w:val="24"/>
          <w:szCs w:val="24"/>
        </w:rPr>
        <w:t>Smernica Európskeho parlamentu a Rady 2013/50/EÚ z 22. októbra 2013, ktorou sa mení smernica Európskeho parlamentu a Rady 2004/109/ES o harmonizácii požiadaviek na transparentnosť v súvislosti s informáciami o emitentoch, ktorých cenné papiere sú prijaté na obchodovanie na regulovanom trhu, smernica Európskeho parlamentu a Rady 2003/71/ES o prospekte, ktorý sa zverejňuje pri verejnej ponuke cenných papieroch alebo ich prijatí na obchodovanie, a smernica Komisie 2007/14/ES, ktorou sa stanovujú podrobné pravidlá implementácie určitých ustanovení smernice 2004/109/ES (</w:t>
      </w:r>
      <w:r w:rsidRPr="001A048F">
        <w:rPr>
          <w:rFonts w:ascii="Times New Roman" w:hAnsi="Times New Roman"/>
          <w:iCs/>
          <w:sz w:val="24"/>
          <w:szCs w:val="24"/>
        </w:rPr>
        <w:t>Ú. v. EÚ L 294, 6.11.2013).</w:t>
      </w:r>
      <w:r>
        <w:rPr>
          <w:rFonts w:ascii="Times New Roman" w:hAnsi="Times New Roman"/>
          <w:iCs/>
          <w:sz w:val="24"/>
          <w:szCs w:val="24"/>
        </w:rPr>
        <w:t>“.“.</w:t>
      </w:r>
    </w:p>
    <w:p w:rsidR="00306624" w:rsidP="00306624">
      <w:pPr>
        <w:pStyle w:val="ListParagraph"/>
        <w:spacing w:after="0" w:line="240" w:lineRule="auto"/>
        <w:ind w:left="2552"/>
        <w:jc w:val="both"/>
        <w:rPr>
          <w:rFonts w:ascii="Times New Roman" w:hAnsi="Times New Roman"/>
          <w:iCs/>
          <w:sz w:val="24"/>
          <w:szCs w:val="24"/>
        </w:rPr>
      </w:pPr>
    </w:p>
    <w:p w:rsidR="00306624" w:rsidP="00306624">
      <w:pPr>
        <w:pStyle w:val="ListParagraph"/>
        <w:spacing w:after="0" w:line="240" w:lineRule="auto"/>
        <w:ind w:left="2552"/>
        <w:jc w:val="both"/>
        <w:rPr>
          <w:rFonts w:ascii="Times New Roman" w:hAnsi="Times New Roman"/>
          <w:sz w:val="24"/>
          <w:szCs w:val="24"/>
        </w:rPr>
      </w:pPr>
      <w:r>
        <w:rPr>
          <w:rFonts w:ascii="Times New Roman" w:hAnsi="Times New Roman"/>
          <w:iCs/>
          <w:sz w:val="24"/>
          <w:szCs w:val="24"/>
        </w:rPr>
        <w:t xml:space="preserve">Ide o zosúladenie s </w:t>
      </w:r>
      <w:r>
        <w:rPr>
          <w:rFonts w:ascii="Times New Roman" w:hAnsi="Times New Roman"/>
          <w:sz w:val="24"/>
          <w:szCs w:val="24"/>
        </w:rPr>
        <w:t>čl. 4 smernice 2013/50/EÚ doplnením preberanej smernice do zoznamu preberaných právne záväzných aktov EÚ.</w:t>
      </w:r>
    </w:p>
    <w:p w:rsidR="00306624" w:rsidP="00306624">
      <w:pPr>
        <w:pStyle w:val="ListParagraph"/>
        <w:spacing w:after="0" w:line="240" w:lineRule="auto"/>
        <w:ind w:left="0"/>
        <w:jc w:val="both"/>
        <w:rPr>
          <w:rFonts w:ascii="Times New Roman" w:hAnsi="Times New Roman"/>
          <w:sz w:val="24"/>
          <w:szCs w:val="24"/>
        </w:rPr>
      </w:pPr>
    </w:p>
    <w:p w:rsidR="00E62DC7" w:rsidRPr="0099272D" w:rsidP="00E62DC7">
      <w:pPr>
        <w:pStyle w:val="ListParagraph"/>
        <w:numPr>
          <w:ilvl w:val="0"/>
          <w:numId w:val="46"/>
        </w:numPr>
        <w:spacing w:after="0" w:line="240" w:lineRule="auto"/>
        <w:jc w:val="both"/>
        <w:rPr>
          <w:rFonts w:ascii="Times New Roman" w:hAnsi="Times New Roman"/>
          <w:b/>
          <w:sz w:val="24"/>
          <w:szCs w:val="24"/>
        </w:rPr>
      </w:pPr>
      <w:r w:rsidRPr="0099272D">
        <w:rPr>
          <w:rFonts w:ascii="Times New Roman" w:hAnsi="Times New Roman"/>
          <w:b/>
          <w:sz w:val="24"/>
          <w:szCs w:val="24"/>
        </w:rPr>
        <w:t>K čl. II</w:t>
      </w:r>
    </w:p>
    <w:p w:rsidR="00306624" w:rsidRPr="00315E73" w:rsidP="00E62DC7">
      <w:pPr>
        <w:pStyle w:val="ListParagraph"/>
        <w:spacing w:after="0" w:line="240" w:lineRule="auto"/>
        <w:rPr>
          <w:rFonts w:ascii="Times New Roman" w:hAnsi="Times New Roman"/>
          <w:sz w:val="24"/>
          <w:szCs w:val="24"/>
        </w:rPr>
      </w:pPr>
      <w:r w:rsidRPr="00E62DC7">
        <w:rPr>
          <w:rFonts w:ascii="Times New Roman" w:hAnsi="Times New Roman"/>
          <w:sz w:val="24"/>
          <w:szCs w:val="24"/>
        </w:rPr>
        <w:t>Článok II sa dopĺňa bodom 6</w:t>
      </w:r>
      <w:r w:rsidRPr="00315E73">
        <w:rPr>
          <w:rFonts w:ascii="Times New Roman" w:hAnsi="Times New Roman"/>
          <w:sz w:val="24"/>
          <w:szCs w:val="24"/>
        </w:rPr>
        <w:t xml:space="preserve">, ktorý znie: </w:t>
      </w:r>
    </w:p>
    <w:p w:rsidR="00306624" w:rsidRPr="00315E73" w:rsidP="00306624">
      <w:pPr>
        <w:pStyle w:val="ListParagraph"/>
        <w:spacing w:after="0" w:line="240" w:lineRule="auto"/>
        <w:ind w:left="0"/>
        <w:rPr>
          <w:rFonts w:ascii="Times New Roman" w:hAnsi="Times New Roman"/>
          <w:sz w:val="24"/>
          <w:szCs w:val="24"/>
        </w:rPr>
      </w:pPr>
      <w:r w:rsidRPr="00315E73">
        <w:rPr>
          <w:rFonts w:ascii="Times New Roman" w:hAnsi="Times New Roman"/>
          <w:sz w:val="24"/>
          <w:szCs w:val="24"/>
        </w:rPr>
        <w:t xml:space="preserve">            6.   Za § 173v sa vkladá § 173w, ktorý znie:</w:t>
      </w:r>
    </w:p>
    <w:p w:rsidR="00306624" w:rsidRPr="00315E73" w:rsidP="00306624">
      <w:pPr>
        <w:autoSpaceDE w:val="0"/>
        <w:autoSpaceDN w:val="0"/>
        <w:jc w:val="center"/>
      </w:pPr>
      <w:r w:rsidRPr="00315E73">
        <w:t xml:space="preserve"> „§ 173w</w:t>
      </w:r>
    </w:p>
    <w:p w:rsidR="00306624" w:rsidP="00560D21">
      <w:pPr>
        <w:ind w:left="708"/>
        <w:jc w:val="both"/>
      </w:pPr>
      <w:r w:rsidRPr="00315E73">
        <w:t xml:space="preserve">Do doby, kým nie je vytvorený a uvedený do prevádzky systém pre technické spracovanie údajov na účely evidencie nezaradeného účtu podľa § 173v ods. 1, sa  ustanovenia § 173v ods. 1 druhej vety a ods. 2 až 4 neuplatňujú, a na nezaradený účet majiteľa sa vzťahujú ustanovenia o účte majiteľa.“.        </w:t>
      </w:r>
      <w:r>
        <w:tab/>
        <w:tab/>
        <w:tab/>
        <w:tab/>
      </w:r>
    </w:p>
    <w:p w:rsidR="00560D21" w:rsidP="00306624">
      <w:pPr>
        <w:ind w:left="2552"/>
        <w:jc w:val="both"/>
      </w:pPr>
    </w:p>
    <w:p w:rsidR="00306624" w:rsidRPr="00315E73" w:rsidP="00306624">
      <w:pPr>
        <w:ind w:left="2552"/>
        <w:jc w:val="both"/>
      </w:pPr>
      <w:r w:rsidRPr="00315E73">
        <w:t>Právnou úpravou ustanovenia 173v sa zavádzal do právneho poriadku SR režim tzv. nezaradených účtov majiteľov cenných papierov, ktorý mal nadväzovať na ukončenie akcie bezodplatných prevodov na FNM SR a  zároveň mal zabezpečiť posilnenie členského princípu. Od 01.07.2015 sa však novelou zákona č. 92/1991 Zb. opätovne zaviedla možnosť bezodplatných prevodov  zaknihovaných cenných papierov na FNM SR, a to na obdobie od 01.07.2015 do 30.06.2016. Predmetné zmeny súvisiace so zavedením plného členského princípu je nutné implementovať do informačného systému Centrálneho depozitára cenných papierov SR, a.s. (CDCP), ktorý je pripravovaný v súlade s integračnými povinnosťami a záväzkami, ktoré vyplývajú pre CDCP, NBS a následne aj celý trh z pristúpenia k projektu ECP – T2S a zároveň do existujúceho informačného systému CDCP, ktorý bude využívaný do doby migrácie do T2S, t. j. do februára 2017. Prispôsobiť systém CDCP pre technické spracovanie údajov si však vyžaduje viac času než bolo ustanovené v § 173v, a preto je potrebné oddialiť aplikáciu ustanovenia § 173v až do času, kým nie je vytvorený a uvedený do prevádzky systém pre technické spracovanie údajov na účely evidencie nezaradeného účtu podľa § 173v ods. 1.</w:t>
      </w:r>
    </w:p>
    <w:p w:rsidR="00E62DC7" w:rsidP="00560D21">
      <w:pPr>
        <w:ind w:firstLine="708"/>
        <w:jc w:val="both"/>
        <w:rPr>
          <w:rStyle w:val="Emphasis"/>
          <w:rFonts w:eastAsia="Calibri"/>
          <w:b/>
          <w:i w:val="0"/>
        </w:rPr>
      </w:pPr>
      <w:r w:rsidRPr="00731209" w:rsidR="00560D21">
        <w:rPr>
          <w:bCs w:val="0"/>
        </w:rPr>
        <w:t xml:space="preserve">Účinnosť sa navrhuje od 1. januára 2016. </w:t>
      </w:r>
    </w:p>
    <w:sectPr w:rsidSect="004D397F">
      <w:footerReference w:type="even" r:id="rId5"/>
      <w:footerReference w:type="default" r:id="rId6"/>
      <w:pgSz w:w="11906" w:h="16838"/>
      <w:pgMar w:top="539" w:right="1106" w:bottom="426" w:left="1417" w:header="708" w:footer="708"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AT*Zurich Calligraphic">
    <w:altName w:val="Times New Roman"/>
    <w:panose1 w:val="00000000000000000000"/>
    <w:charset w:val="00"/>
    <w:family w:val="auto"/>
    <w:pitch w:val="variable"/>
    <w:sig w:usb0="00000007" w:usb1="00000000" w:usb2="00000000" w:usb3="00000000" w:csb0="00000013"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Math">
    <w:panose1 w:val="02040503050406030204"/>
    <w:charset w:val="EE"/>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4BB3" w:rsidP="00A8165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D14BB3" w:rsidP="00A8165F">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4BB3" w:rsidP="00A8165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60D21">
      <w:rPr>
        <w:rStyle w:val="PageNumber"/>
        <w:noProof/>
      </w:rPr>
      <w:t>4</w:t>
    </w:r>
    <w:r>
      <w:rPr>
        <w:rStyle w:val="PageNumber"/>
      </w:rPr>
      <w:fldChar w:fldCharType="end"/>
    </w:r>
  </w:p>
  <w:p w:rsidR="00D14BB3" w:rsidP="00A8165F">
    <w:pPr>
      <w:pStyle w:val="Footer"/>
      <w:ind w:right="36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3582A"/>
    <w:multiLevelType w:val="hybridMultilevel"/>
    <w:tmpl w:val="2916A4A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65C2CA5"/>
    <w:multiLevelType w:val="hybridMultilevel"/>
    <w:tmpl w:val="4F724662"/>
    <w:lvl w:ilvl="0">
      <w:start w:val="1"/>
      <w:numFmt w:val="decimal"/>
      <w:lvlText w:val="%1."/>
      <w:lvlJc w:val="left"/>
      <w:pPr>
        <w:tabs>
          <w:tab w:val="num" w:pos="901"/>
        </w:tabs>
        <w:ind w:left="901" w:hanging="360"/>
      </w:pPr>
    </w:lvl>
    <w:lvl w:ilvl="1" w:tentative="1">
      <w:start w:val="1"/>
      <w:numFmt w:val="lowerLetter"/>
      <w:lvlText w:val="%2."/>
      <w:lvlJc w:val="left"/>
      <w:pPr>
        <w:tabs>
          <w:tab w:val="num" w:pos="1621"/>
        </w:tabs>
        <w:ind w:left="1621" w:hanging="360"/>
      </w:pPr>
    </w:lvl>
    <w:lvl w:ilvl="2" w:tentative="1">
      <w:start w:val="1"/>
      <w:numFmt w:val="lowerRoman"/>
      <w:lvlText w:val="%3."/>
      <w:lvlJc w:val="right"/>
      <w:pPr>
        <w:tabs>
          <w:tab w:val="num" w:pos="2341"/>
        </w:tabs>
        <w:ind w:left="2341" w:hanging="180"/>
      </w:pPr>
    </w:lvl>
    <w:lvl w:ilvl="3" w:tentative="1">
      <w:start w:val="1"/>
      <w:numFmt w:val="decimal"/>
      <w:lvlText w:val="%4."/>
      <w:lvlJc w:val="left"/>
      <w:pPr>
        <w:tabs>
          <w:tab w:val="num" w:pos="3061"/>
        </w:tabs>
        <w:ind w:left="3061" w:hanging="360"/>
      </w:pPr>
    </w:lvl>
    <w:lvl w:ilvl="4" w:tentative="1">
      <w:start w:val="1"/>
      <w:numFmt w:val="lowerLetter"/>
      <w:lvlText w:val="%5."/>
      <w:lvlJc w:val="left"/>
      <w:pPr>
        <w:tabs>
          <w:tab w:val="num" w:pos="3781"/>
        </w:tabs>
        <w:ind w:left="3781" w:hanging="360"/>
      </w:pPr>
    </w:lvl>
    <w:lvl w:ilvl="5" w:tentative="1">
      <w:start w:val="1"/>
      <w:numFmt w:val="lowerRoman"/>
      <w:lvlText w:val="%6."/>
      <w:lvlJc w:val="right"/>
      <w:pPr>
        <w:tabs>
          <w:tab w:val="num" w:pos="4501"/>
        </w:tabs>
        <w:ind w:left="4501" w:hanging="180"/>
      </w:pPr>
    </w:lvl>
    <w:lvl w:ilvl="6" w:tentative="1">
      <w:start w:val="1"/>
      <w:numFmt w:val="decimal"/>
      <w:lvlText w:val="%7."/>
      <w:lvlJc w:val="left"/>
      <w:pPr>
        <w:tabs>
          <w:tab w:val="num" w:pos="5221"/>
        </w:tabs>
        <w:ind w:left="5221" w:hanging="360"/>
      </w:pPr>
    </w:lvl>
    <w:lvl w:ilvl="7" w:tentative="1">
      <w:start w:val="1"/>
      <w:numFmt w:val="lowerLetter"/>
      <w:lvlText w:val="%8."/>
      <w:lvlJc w:val="left"/>
      <w:pPr>
        <w:tabs>
          <w:tab w:val="num" w:pos="5941"/>
        </w:tabs>
        <w:ind w:left="5941" w:hanging="360"/>
      </w:pPr>
    </w:lvl>
    <w:lvl w:ilvl="8" w:tentative="1">
      <w:start w:val="1"/>
      <w:numFmt w:val="lowerRoman"/>
      <w:lvlText w:val="%9."/>
      <w:lvlJc w:val="right"/>
      <w:pPr>
        <w:tabs>
          <w:tab w:val="num" w:pos="6661"/>
        </w:tabs>
        <w:ind w:left="6661" w:hanging="180"/>
      </w:pPr>
    </w:lvl>
  </w:abstractNum>
  <w:abstractNum w:abstractNumId="2">
    <w:nsid w:val="0ECF40AB"/>
    <w:multiLevelType w:val="hybridMultilevel"/>
    <w:tmpl w:val="D97877CC"/>
    <w:lvl w:ilvl="0">
      <w:start w:val="1"/>
      <w:numFmt w:val="decimal"/>
      <w:lvlText w:val="%1."/>
      <w:lvlJc w:val="left"/>
      <w:pPr>
        <w:tabs>
          <w:tab w:val="num" w:pos="720"/>
        </w:tabs>
        <w:ind w:left="720" w:hanging="360"/>
      </w:pPr>
      <w:rPr>
        <w:b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14605616"/>
    <w:multiLevelType w:val="hybridMultilevel"/>
    <w:tmpl w:val="2324A4CE"/>
    <w:lvl w:ilvl="0">
      <w:start w:val="1"/>
      <w:numFmt w:val="decimal"/>
      <w:lvlText w:val="%1."/>
      <w:lvlJc w:val="left"/>
      <w:pPr>
        <w:tabs>
          <w:tab w:val="num" w:pos="578"/>
        </w:tabs>
        <w:ind w:left="578" w:hanging="360"/>
      </w:pPr>
      <w:rPr>
        <w:b/>
      </w:rPr>
    </w:lvl>
    <w:lvl w:ilvl="1" w:tentative="1">
      <w:start w:val="1"/>
      <w:numFmt w:val="lowerLetter"/>
      <w:lvlText w:val="%2."/>
      <w:lvlJc w:val="left"/>
      <w:pPr>
        <w:tabs>
          <w:tab w:val="num" w:pos="1298"/>
        </w:tabs>
        <w:ind w:left="1298" w:hanging="360"/>
      </w:pPr>
    </w:lvl>
    <w:lvl w:ilvl="2" w:tentative="1">
      <w:start w:val="1"/>
      <w:numFmt w:val="lowerRoman"/>
      <w:lvlText w:val="%3."/>
      <w:lvlJc w:val="right"/>
      <w:pPr>
        <w:tabs>
          <w:tab w:val="num" w:pos="2018"/>
        </w:tabs>
        <w:ind w:left="2018" w:hanging="180"/>
      </w:pPr>
    </w:lvl>
    <w:lvl w:ilvl="3" w:tentative="1">
      <w:start w:val="1"/>
      <w:numFmt w:val="decimal"/>
      <w:lvlText w:val="%4."/>
      <w:lvlJc w:val="left"/>
      <w:pPr>
        <w:tabs>
          <w:tab w:val="num" w:pos="2738"/>
        </w:tabs>
        <w:ind w:left="2738" w:hanging="360"/>
      </w:pPr>
    </w:lvl>
    <w:lvl w:ilvl="4" w:tentative="1">
      <w:start w:val="1"/>
      <w:numFmt w:val="lowerLetter"/>
      <w:lvlText w:val="%5."/>
      <w:lvlJc w:val="left"/>
      <w:pPr>
        <w:tabs>
          <w:tab w:val="num" w:pos="3458"/>
        </w:tabs>
        <w:ind w:left="3458" w:hanging="360"/>
      </w:pPr>
    </w:lvl>
    <w:lvl w:ilvl="5" w:tentative="1">
      <w:start w:val="1"/>
      <w:numFmt w:val="lowerRoman"/>
      <w:lvlText w:val="%6."/>
      <w:lvlJc w:val="right"/>
      <w:pPr>
        <w:tabs>
          <w:tab w:val="num" w:pos="4178"/>
        </w:tabs>
        <w:ind w:left="4178" w:hanging="180"/>
      </w:pPr>
    </w:lvl>
    <w:lvl w:ilvl="6" w:tentative="1">
      <w:start w:val="1"/>
      <w:numFmt w:val="decimal"/>
      <w:lvlText w:val="%7."/>
      <w:lvlJc w:val="left"/>
      <w:pPr>
        <w:tabs>
          <w:tab w:val="num" w:pos="4898"/>
        </w:tabs>
        <w:ind w:left="4898" w:hanging="360"/>
      </w:pPr>
    </w:lvl>
    <w:lvl w:ilvl="7" w:tentative="1">
      <w:start w:val="1"/>
      <w:numFmt w:val="lowerLetter"/>
      <w:lvlText w:val="%8."/>
      <w:lvlJc w:val="left"/>
      <w:pPr>
        <w:tabs>
          <w:tab w:val="num" w:pos="5618"/>
        </w:tabs>
        <w:ind w:left="5618" w:hanging="360"/>
      </w:pPr>
    </w:lvl>
    <w:lvl w:ilvl="8" w:tentative="1">
      <w:start w:val="1"/>
      <w:numFmt w:val="lowerRoman"/>
      <w:lvlText w:val="%9."/>
      <w:lvlJc w:val="right"/>
      <w:pPr>
        <w:tabs>
          <w:tab w:val="num" w:pos="6338"/>
        </w:tabs>
        <w:ind w:left="6338" w:hanging="180"/>
      </w:pPr>
    </w:lvl>
  </w:abstractNum>
  <w:abstractNum w:abstractNumId="4">
    <w:nsid w:val="14D0302C"/>
    <w:multiLevelType w:val="hybridMultilevel"/>
    <w:tmpl w:val="0DA4BFAE"/>
    <w:lvl w:ilvl="0">
      <w:start w:val="1"/>
      <w:numFmt w:val="decimal"/>
      <w:lvlText w:val="%1."/>
      <w:lvlJc w:val="left"/>
      <w:pPr>
        <w:tabs>
          <w:tab w:val="num" w:pos="720"/>
        </w:tabs>
        <w:ind w:left="720" w:hanging="360"/>
      </w:pPr>
      <w:rPr>
        <w:b w:val="0"/>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b w:val="0"/>
        <w:i w:val="0"/>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18B57DB7"/>
    <w:multiLevelType w:val="hybridMultilevel"/>
    <w:tmpl w:val="73B685D0"/>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6">
    <w:nsid w:val="1A211376"/>
    <w:multiLevelType w:val="hybridMultilevel"/>
    <w:tmpl w:val="B908D94A"/>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1B75142B"/>
    <w:multiLevelType w:val="hybridMultilevel"/>
    <w:tmpl w:val="615EBEE4"/>
    <w:lvl w:ilvl="0">
      <w:start w:val="6"/>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200D40E4"/>
    <w:multiLevelType w:val="hybridMultilevel"/>
    <w:tmpl w:val="1BDAF7EE"/>
    <w:lvl w:ilvl="0">
      <w:start w:val="1"/>
      <w:numFmt w:val="decimal"/>
      <w:lvlText w:val="%1."/>
      <w:lvlJc w:val="left"/>
      <w:pPr>
        <w:tabs>
          <w:tab w:val="num" w:pos="720"/>
        </w:tabs>
        <w:ind w:left="720" w:hanging="360"/>
      </w:pPr>
      <w:rPr>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21154FD0"/>
    <w:multiLevelType w:val="hybridMultilevel"/>
    <w:tmpl w:val="E73ED412"/>
    <w:lvl w:ilvl="0">
      <w:start w:val="1"/>
      <w:numFmt w:val="decimal"/>
      <w:lvlText w:val="%1."/>
      <w:lvlJc w:val="left"/>
      <w:pPr>
        <w:ind w:left="1482" w:hanging="360"/>
      </w:pPr>
    </w:lvl>
    <w:lvl w:ilvl="1" w:tentative="1">
      <w:start w:val="1"/>
      <w:numFmt w:val="lowerLetter"/>
      <w:lvlText w:val="%2."/>
      <w:lvlJc w:val="left"/>
      <w:pPr>
        <w:ind w:left="2202" w:hanging="360"/>
      </w:pPr>
    </w:lvl>
    <w:lvl w:ilvl="2" w:tentative="1">
      <w:start w:val="1"/>
      <w:numFmt w:val="lowerRoman"/>
      <w:lvlText w:val="%3."/>
      <w:lvlJc w:val="right"/>
      <w:pPr>
        <w:ind w:left="2922" w:hanging="180"/>
      </w:pPr>
    </w:lvl>
    <w:lvl w:ilvl="3" w:tentative="1">
      <w:start w:val="1"/>
      <w:numFmt w:val="decimal"/>
      <w:lvlText w:val="%4."/>
      <w:lvlJc w:val="left"/>
      <w:pPr>
        <w:ind w:left="3642" w:hanging="360"/>
      </w:pPr>
    </w:lvl>
    <w:lvl w:ilvl="4" w:tentative="1">
      <w:start w:val="1"/>
      <w:numFmt w:val="lowerLetter"/>
      <w:lvlText w:val="%5."/>
      <w:lvlJc w:val="left"/>
      <w:pPr>
        <w:ind w:left="4362" w:hanging="360"/>
      </w:pPr>
    </w:lvl>
    <w:lvl w:ilvl="5" w:tentative="1">
      <w:start w:val="1"/>
      <w:numFmt w:val="lowerRoman"/>
      <w:lvlText w:val="%6."/>
      <w:lvlJc w:val="right"/>
      <w:pPr>
        <w:ind w:left="5082" w:hanging="180"/>
      </w:pPr>
    </w:lvl>
    <w:lvl w:ilvl="6" w:tentative="1">
      <w:start w:val="1"/>
      <w:numFmt w:val="decimal"/>
      <w:lvlText w:val="%7."/>
      <w:lvlJc w:val="left"/>
      <w:pPr>
        <w:ind w:left="5802" w:hanging="360"/>
      </w:pPr>
    </w:lvl>
    <w:lvl w:ilvl="7" w:tentative="1">
      <w:start w:val="1"/>
      <w:numFmt w:val="lowerLetter"/>
      <w:lvlText w:val="%8."/>
      <w:lvlJc w:val="left"/>
      <w:pPr>
        <w:ind w:left="6522" w:hanging="360"/>
      </w:pPr>
    </w:lvl>
    <w:lvl w:ilvl="8" w:tentative="1">
      <w:start w:val="1"/>
      <w:numFmt w:val="lowerRoman"/>
      <w:lvlText w:val="%9."/>
      <w:lvlJc w:val="right"/>
      <w:pPr>
        <w:ind w:left="7242" w:hanging="180"/>
      </w:pPr>
    </w:lvl>
  </w:abstractNum>
  <w:abstractNum w:abstractNumId="10">
    <w:nsid w:val="23576973"/>
    <w:multiLevelType w:val="hybridMultilevel"/>
    <w:tmpl w:val="0F58E2A6"/>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24440F99"/>
    <w:multiLevelType w:val="hybridMultilevel"/>
    <w:tmpl w:val="C4161004"/>
    <w:lvl w:ilvl="0">
      <w:start w:val="1"/>
      <w:numFmt w:val="decimal"/>
      <w:lvlText w:val="%1."/>
      <w:lvlJc w:val="left"/>
      <w:pPr>
        <w:tabs>
          <w:tab w:val="num" w:pos="720"/>
        </w:tabs>
        <w:ind w:left="720" w:hanging="360"/>
      </w:pPr>
      <w:rPr>
        <w:b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25EE436A"/>
    <w:multiLevelType w:val="hybridMultilevel"/>
    <w:tmpl w:val="69F661D4"/>
    <w:lvl w:ilvl="0">
      <w:start w:val="1"/>
      <w:numFmt w:val="upperLetter"/>
      <w:lvlText w:val="%1."/>
      <w:lvlJc w:val="left"/>
      <w:pPr>
        <w:tabs>
          <w:tab w:val="num" w:pos="1440"/>
        </w:tabs>
        <w:ind w:left="1440" w:hanging="360"/>
      </w:pPr>
    </w:lvl>
    <w:lvl w:ilvl="1">
      <w:start w:val="1"/>
      <w:numFmt w:val="decimal"/>
      <w:lvlText w:val="%2."/>
      <w:lvlJc w:val="left"/>
      <w:pPr>
        <w:tabs>
          <w:tab w:val="num" w:pos="390"/>
        </w:tabs>
        <w:ind w:left="390" w:hanging="360"/>
      </w:pPr>
    </w:lvl>
    <w:lvl w:ilvl="2">
      <w:start w:val="1"/>
      <w:numFmt w:val="decimal"/>
      <w:lvlText w:val="%3."/>
      <w:lvlJc w:val="left"/>
      <w:pPr>
        <w:tabs>
          <w:tab w:val="num" w:pos="1110"/>
        </w:tabs>
        <w:ind w:left="1110" w:hanging="360"/>
      </w:pPr>
    </w:lvl>
    <w:lvl w:ilvl="3">
      <w:start w:val="1"/>
      <w:numFmt w:val="decimal"/>
      <w:lvlText w:val="%4."/>
      <w:lvlJc w:val="left"/>
      <w:pPr>
        <w:tabs>
          <w:tab w:val="num" w:pos="1830"/>
        </w:tabs>
        <w:ind w:left="1830" w:hanging="360"/>
      </w:pPr>
    </w:lvl>
    <w:lvl w:ilvl="4">
      <w:start w:val="1"/>
      <w:numFmt w:val="decimal"/>
      <w:lvlText w:val="%5."/>
      <w:lvlJc w:val="left"/>
      <w:pPr>
        <w:tabs>
          <w:tab w:val="num" w:pos="2550"/>
        </w:tabs>
        <w:ind w:left="2550" w:hanging="360"/>
      </w:pPr>
    </w:lvl>
    <w:lvl w:ilvl="5">
      <w:start w:val="1"/>
      <w:numFmt w:val="decimal"/>
      <w:lvlText w:val="%6."/>
      <w:lvlJc w:val="left"/>
      <w:pPr>
        <w:tabs>
          <w:tab w:val="num" w:pos="3270"/>
        </w:tabs>
        <w:ind w:left="3270" w:hanging="360"/>
      </w:pPr>
    </w:lvl>
    <w:lvl w:ilvl="6">
      <w:start w:val="1"/>
      <w:numFmt w:val="decimal"/>
      <w:lvlText w:val="%7."/>
      <w:lvlJc w:val="left"/>
      <w:pPr>
        <w:tabs>
          <w:tab w:val="num" w:pos="3990"/>
        </w:tabs>
        <w:ind w:left="3990" w:hanging="360"/>
      </w:pPr>
    </w:lvl>
    <w:lvl w:ilvl="7">
      <w:start w:val="1"/>
      <w:numFmt w:val="decimal"/>
      <w:lvlText w:val="%8."/>
      <w:lvlJc w:val="left"/>
      <w:pPr>
        <w:tabs>
          <w:tab w:val="num" w:pos="4710"/>
        </w:tabs>
        <w:ind w:left="4710" w:hanging="360"/>
      </w:pPr>
    </w:lvl>
    <w:lvl w:ilvl="8">
      <w:start w:val="1"/>
      <w:numFmt w:val="decimal"/>
      <w:lvlText w:val="%9."/>
      <w:lvlJc w:val="left"/>
      <w:pPr>
        <w:tabs>
          <w:tab w:val="num" w:pos="5430"/>
        </w:tabs>
        <w:ind w:left="5430" w:hanging="360"/>
      </w:pPr>
    </w:lvl>
  </w:abstractNum>
  <w:abstractNum w:abstractNumId="13">
    <w:nsid w:val="260967DF"/>
    <w:multiLevelType w:val="hybridMultilevel"/>
    <w:tmpl w:val="03760816"/>
    <w:lvl w:ilvl="0">
      <w:start w:val="1"/>
      <w:numFmt w:val="decimal"/>
      <w:lvlText w:val="%1."/>
      <w:lvlJc w:val="left"/>
      <w:pPr>
        <w:ind w:left="720" w:hanging="360"/>
      </w:pPr>
      <w:rPr>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8B019FA"/>
    <w:multiLevelType w:val="hybridMultilevel"/>
    <w:tmpl w:val="CCAC745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AD91230"/>
    <w:multiLevelType w:val="hybridMultilevel"/>
    <w:tmpl w:val="7386565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6">
    <w:nsid w:val="2D5973CA"/>
    <w:multiLevelType w:val="hybridMultilevel"/>
    <w:tmpl w:val="522492F8"/>
    <w:lvl w:ilvl="0">
      <w:start w:val="3"/>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301F4DD7"/>
    <w:multiLevelType w:val="hybridMultilevel"/>
    <w:tmpl w:val="0F9AD086"/>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39F70901"/>
    <w:multiLevelType w:val="hybridMultilevel"/>
    <w:tmpl w:val="E0CEF6CC"/>
    <w:lvl w:ilvl="0">
      <w:start w:val="1"/>
      <w:numFmt w:val="decimal"/>
      <w:lvlText w:val="%1."/>
      <w:lvlJc w:val="left"/>
      <w:pPr>
        <w:ind w:left="360" w:hanging="360"/>
      </w:pPr>
      <w:rPr>
        <w:rFonts w:cs="Times New Roman"/>
        <w:b/>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19">
    <w:nsid w:val="3D1A5120"/>
    <w:multiLevelType w:val="hybridMultilevel"/>
    <w:tmpl w:val="87BA6B12"/>
    <w:lvl w:ilvl="0">
      <w:start w:val="1"/>
      <w:numFmt w:val="decimal"/>
      <w:lvlText w:val="%1."/>
      <w:lvlJc w:val="left"/>
      <w:pPr>
        <w:tabs>
          <w:tab w:val="num" w:pos="6598"/>
        </w:tabs>
        <w:ind w:left="1531" w:hanging="737"/>
      </w:pPr>
      <w:rPr>
        <w:rFonts w:hint="default"/>
        <w:b w:val="0"/>
      </w:rPr>
    </w:lvl>
    <w:lvl w:ilvl="1" w:tentative="1">
      <w:start w:val="1"/>
      <w:numFmt w:val="lowerLetter"/>
      <w:lvlText w:val="%2."/>
      <w:lvlJc w:val="left"/>
      <w:pPr>
        <w:tabs>
          <w:tab w:val="num" w:pos="7318"/>
        </w:tabs>
        <w:ind w:left="7318" w:hanging="360"/>
      </w:pPr>
    </w:lvl>
    <w:lvl w:ilvl="2" w:tentative="1">
      <w:start w:val="1"/>
      <w:numFmt w:val="lowerRoman"/>
      <w:lvlText w:val="%3."/>
      <w:lvlJc w:val="right"/>
      <w:pPr>
        <w:tabs>
          <w:tab w:val="num" w:pos="8038"/>
        </w:tabs>
        <w:ind w:left="8038" w:hanging="180"/>
      </w:pPr>
    </w:lvl>
    <w:lvl w:ilvl="3" w:tentative="1">
      <w:start w:val="1"/>
      <w:numFmt w:val="decimal"/>
      <w:lvlText w:val="%4."/>
      <w:lvlJc w:val="left"/>
      <w:pPr>
        <w:tabs>
          <w:tab w:val="num" w:pos="8758"/>
        </w:tabs>
        <w:ind w:left="8758" w:hanging="360"/>
      </w:pPr>
    </w:lvl>
    <w:lvl w:ilvl="4" w:tentative="1">
      <w:start w:val="1"/>
      <w:numFmt w:val="lowerLetter"/>
      <w:lvlText w:val="%5."/>
      <w:lvlJc w:val="left"/>
      <w:pPr>
        <w:tabs>
          <w:tab w:val="num" w:pos="9478"/>
        </w:tabs>
        <w:ind w:left="9478" w:hanging="360"/>
      </w:pPr>
    </w:lvl>
    <w:lvl w:ilvl="5" w:tentative="1">
      <w:start w:val="1"/>
      <w:numFmt w:val="lowerRoman"/>
      <w:lvlText w:val="%6."/>
      <w:lvlJc w:val="right"/>
      <w:pPr>
        <w:tabs>
          <w:tab w:val="num" w:pos="10198"/>
        </w:tabs>
        <w:ind w:left="10198" w:hanging="180"/>
      </w:pPr>
    </w:lvl>
    <w:lvl w:ilvl="6" w:tentative="1">
      <w:start w:val="1"/>
      <w:numFmt w:val="decimal"/>
      <w:lvlText w:val="%7."/>
      <w:lvlJc w:val="left"/>
      <w:pPr>
        <w:tabs>
          <w:tab w:val="num" w:pos="10918"/>
        </w:tabs>
        <w:ind w:left="10918" w:hanging="360"/>
      </w:pPr>
    </w:lvl>
    <w:lvl w:ilvl="7" w:tentative="1">
      <w:start w:val="1"/>
      <w:numFmt w:val="lowerLetter"/>
      <w:lvlText w:val="%8."/>
      <w:lvlJc w:val="left"/>
      <w:pPr>
        <w:tabs>
          <w:tab w:val="num" w:pos="11638"/>
        </w:tabs>
        <w:ind w:left="11638" w:hanging="360"/>
      </w:pPr>
    </w:lvl>
    <w:lvl w:ilvl="8" w:tentative="1">
      <w:start w:val="1"/>
      <w:numFmt w:val="lowerRoman"/>
      <w:lvlText w:val="%9."/>
      <w:lvlJc w:val="right"/>
      <w:pPr>
        <w:tabs>
          <w:tab w:val="num" w:pos="12358"/>
        </w:tabs>
        <w:ind w:left="12358" w:hanging="180"/>
      </w:pPr>
    </w:lvl>
  </w:abstractNum>
  <w:abstractNum w:abstractNumId="20">
    <w:nsid w:val="3ED94F03"/>
    <w:multiLevelType w:val="hybridMultilevel"/>
    <w:tmpl w:val="BFEEA140"/>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nsid w:val="3FCF1F7C"/>
    <w:multiLevelType w:val="hybridMultilevel"/>
    <w:tmpl w:val="1B0284EC"/>
    <w:lvl w:ilvl="0">
      <w:start w:val="1"/>
      <w:numFmt w:val="decimal"/>
      <w:lvlText w:val="%1."/>
      <w:lvlJc w:val="left"/>
      <w:pPr>
        <w:ind w:left="720" w:hanging="360"/>
      </w:pPr>
      <w:rPr>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42894C03"/>
    <w:multiLevelType w:val="hybridMultilevel"/>
    <w:tmpl w:val="9C749D54"/>
    <w:lvl w:ilvl="0">
      <w:start w:val="1"/>
      <w:numFmt w:val="decimal"/>
      <w:lvlText w:val="%1."/>
      <w:lvlJc w:val="left"/>
      <w:pPr>
        <w:ind w:left="720" w:hanging="360"/>
      </w:pPr>
      <w:rPr>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43920681"/>
    <w:multiLevelType w:val="hybridMultilevel"/>
    <w:tmpl w:val="6540E938"/>
    <w:lvl w:ilvl="0">
      <w:start w:val="1"/>
      <w:numFmt w:val="decimal"/>
      <w:lvlText w:val="%1."/>
      <w:lvlJc w:val="left"/>
      <w:pPr>
        <w:ind w:left="1068" w:hanging="360"/>
      </w:pPr>
      <w:rPr>
        <w:rFonts w:hint="default"/>
      </w:rPr>
    </w:lvl>
    <w:lvl w:ilvl="1" w:tentative="1">
      <w:start w:val="1"/>
      <w:numFmt w:val="lowerLetter"/>
      <w:lvlText w:val="%2."/>
      <w:lvlJc w:val="left"/>
      <w:pPr>
        <w:ind w:left="1788" w:hanging="360"/>
      </w:pPr>
    </w:lvl>
    <w:lvl w:ilvl="2" w:tentative="1">
      <w:start w:val="1"/>
      <w:numFmt w:val="lowerRoman"/>
      <w:lvlText w:val="%3."/>
      <w:lvlJc w:val="right"/>
      <w:pPr>
        <w:ind w:left="2508" w:hanging="180"/>
      </w:pPr>
    </w:lvl>
    <w:lvl w:ilvl="3" w:tentative="1">
      <w:start w:val="1"/>
      <w:numFmt w:val="decimal"/>
      <w:lvlText w:val="%4."/>
      <w:lvlJc w:val="left"/>
      <w:pPr>
        <w:ind w:left="3228" w:hanging="360"/>
      </w:pPr>
    </w:lvl>
    <w:lvl w:ilvl="4" w:tentative="1">
      <w:start w:val="1"/>
      <w:numFmt w:val="lowerLetter"/>
      <w:lvlText w:val="%5."/>
      <w:lvlJc w:val="left"/>
      <w:pPr>
        <w:ind w:left="3948" w:hanging="360"/>
      </w:pPr>
    </w:lvl>
    <w:lvl w:ilvl="5" w:tentative="1">
      <w:start w:val="1"/>
      <w:numFmt w:val="lowerRoman"/>
      <w:lvlText w:val="%6."/>
      <w:lvlJc w:val="right"/>
      <w:pPr>
        <w:ind w:left="4668" w:hanging="180"/>
      </w:pPr>
    </w:lvl>
    <w:lvl w:ilvl="6" w:tentative="1">
      <w:start w:val="1"/>
      <w:numFmt w:val="decimal"/>
      <w:lvlText w:val="%7."/>
      <w:lvlJc w:val="left"/>
      <w:pPr>
        <w:ind w:left="5388" w:hanging="360"/>
      </w:pPr>
    </w:lvl>
    <w:lvl w:ilvl="7" w:tentative="1">
      <w:start w:val="1"/>
      <w:numFmt w:val="lowerLetter"/>
      <w:lvlText w:val="%8."/>
      <w:lvlJc w:val="left"/>
      <w:pPr>
        <w:ind w:left="6108" w:hanging="360"/>
      </w:pPr>
    </w:lvl>
    <w:lvl w:ilvl="8" w:tentative="1">
      <w:start w:val="1"/>
      <w:numFmt w:val="lowerRoman"/>
      <w:lvlText w:val="%9."/>
      <w:lvlJc w:val="right"/>
      <w:pPr>
        <w:ind w:left="6828" w:hanging="180"/>
      </w:pPr>
    </w:lvl>
  </w:abstractNum>
  <w:abstractNum w:abstractNumId="24">
    <w:nsid w:val="44AB056F"/>
    <w:multiLevelType w:val="hybridMultilevel"/>
    <w:tmpl w:val="FB5EC890"/>
    <w:lvl w:ilvl="0">
      <w:start w:val="1"/>
      <w:numFmt w:val="decimal"/>
      <w:lvlText w:val="%1."/>
      <w:lvlJc w:val="left"/>
      <w:pPr>
        <w:ind w:left="720" w:hanging="360"/>
      </w:pPr>
      <w:rPr>
        <w:rFonts w:cs="Arial" w:hint="default"/>
        <w:b w:val="0"/>
        <w:sz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4C7C0216"/>
    <w:multiLevelType w:val="hybridMultilevel"/>
    <w:tmpl w:val="740E9DC0"/>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nsid w:val="56997125"/>
    <w:multiLevelType w:val="hybridMultilevel"/>
    <w:tmpl w:val="DB2014A2"/>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nsid w:val="577B5AB6"/>
    <w:multiLevelType w:val="hybridMultilevel"/>
    <w:tmpl w:val="8250D3D4"/>
    <w:lvl w:ilvl="0">
      <w:start w:val="1"/>
      <w:numFmt w:val="decimal"/>
      <w:lvlText w:val="%1."/>
      <w:lvlJc w:val="left"/>
      <w:pPr>
        <w:ind w:left="720" w:hanging="360"/>
      </w:pPr>
      <w:rPr>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5B0F1C8D"/>
    <w:multiLevelType w:val="hybridMultilevel"/>
    <w:tmpl w:val="3814A1F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5B9363AC"/>
    <w:multiLevelType w:val="hybridMultilevel"/>
    <w:tmpl w:val="2CDE8C28"/>
    <w:lvl w:ilvl="0">
      <w:start w:val="1"/>
      <w:numFmt w:val="decimal"/>
      <w:lvlText w:val="%1."/>
      <w:lvlJc w:val="left"/>
      <w:pPr>
        <w:ind w:left="72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30">
    <w:nsid w:val="5B9D68EE"/>
    <w:multiLevelType w:val="hybridMultilevel"/>
    <w:tmpl w:val="ED92BBDC"/>
    <w:lvl w:ilvl="0">
      <w:start w:val="1"/>
      <w:numFmt w:val="decimal"/>
      <w:lvlText w:val="%1."/>
      <w:lvlJc w:val="left"/>
      <w:pPr>
        <w:tabs>
          <w:tab w:val="num" w:pos="720"/>
        </w:tabs>
        <w:ind w:left="720" w:hanging="360"/>
      </w:pPr>
      <w:rPr>
        <w:b w:val="0"/>
      </w:rPr>
    </w:lvl>
    <w:lvl w:ilvl="1">
      <w:start w:val="1"/>
      <w:numFmt w:val="decimal"/>
      <w:lvlText w:val="%2."/>
      <w:lvlJc w:val="left"/>
      <w:pPr>
        <w:tabs>
          <w:tab w:val="num" w:pos="1440"/>
        </w:tabs>
        <w:ind w:left="1440" w:hanging="360"/>
      </w:pPr>
      <w:rPr>
        <w:b w:val="0"/>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nsid w:val="5C8811BC"/>
    <w:multiLevelType w:val="hybridMultilevel"/>
    <w:tmpl w:val="F6247936"/>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2">
    <w:nsid w:val="627A224D"/>
    <w:multiLevelType w:val="hybridMultilevel"/>
    <w:tmpl w:val="B39E32A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nsid w:val="64234EC3"/>
    <w:multiLevelType w:val="hybridMultilevel"/>
    <w:tmpl w:val="A1D294DC"/>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4">
    <w:nsid w:val="69C87000"/>
    <w:multiLevelType w:val="hybridMultilevel"/>
    <w:tmpl w:val="02908AE0"/>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5">
    <w:nsid w:val="6A325C22"/>
    <w:multiLevelType w:val="hybridMultilevel"/>
    <w:tmpl w:val="00369918"/>
    <w:lvl w:ilvl="0">
      <w:start w:val="1"/>
      <w:numFmt w:val="decimal"/>
      <w:lvlText w:val="%1."/>
      <w:lvlJc w:val="left"/>
      <w:pPr>
        <w:ind w:left="720" w:hanging="360"/>
      </w:pPr>
      <w:rPr>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6AB856F7"/>
    <w:multiLevelType w:val="hybridMultilevel"/>
    <w:tmpl w:val="F530B9A4"/>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nsid w:val="6ECE2043"/>
    <w:multiLevelType w:val="hybridMultilevel"/>
    <w:tmpl w:val="096AA0A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8">
    <w:nsid w:val="70500606"/>
    <w:multiLevelType w:val="hybridMultilevel"/>
    <w:tmpl w:val="E3780750"/>
    <w:lvl w:ilvl="0">
      <w:start w:val="1"/>
      <w:numFmt w:val="decimal"/>
      <w:lvlText w:val="%1."/>
      <w:lvlJc w:val="left"/>
      <w:pPr>
        <w:ind w:left="720" w:hanging="360"/>
      </w:pPr>
      <w:rPr>
        <w:rFonts w:hint="default"/>
        <w:b w:val="0"/>
        <w:i w:val="0"/>
        <w:sz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784B2C6F"/>
    <w:multiLevelType w:val="hybridMultilevel"/>
    <w:tmpl w:val="CB703DC2"/>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0">
    <w:nsid w:val="79FA4B42"/>
    <w:multiLevelType w:val="hybridMultilevel"/>
    <w:tmpl w:val="FD5ECAA2"/>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1">
    <w:nsid w:val="7AF00D57"/>
    <w:multiLevelType w:val="hybridMultilevel"/>
    <w:tmpl w:val="3CC813EC"/>
    <w:lvl w:ilvl="0">
      <w:start w:val="1"/>
      <w:numFmt w:val="lowerLetter"/>
      <w:lvlText w:val="%1)"/>
      <w:lvlJc w:val="left"/>
      <w:pPr>
        <w:tabs>
          <w:tab w:val="num" w:pos="363"/>
        </w:tabs>
        <w:ind w:left="363" w:hanging="227"/>
      </w:pPr>
      <w:rPr>
        <w:rFonts w:ascii="Arial Narrow" w:hAnsi="Arial Narrow" w:cs="Arial" w:hint="default"/>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170"/>
        </w:tabs>
        <w:ind w:left="227" w:firstLine="113"/>
      </w:pPr>
      <w:rPr>
        <w:b w:val="0"/>
        <w:sz w:val="22"/>
        <w:szCs w:val="22"/>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nsid w:val="7B7502A0"/>
    <w:multiLevelType w:val="hybridMultilevel"/>
    <w:tmpl w:val="E8AA5710"/>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3">
    <w:nsid w:val="7CBA33DD"/>
    <w:multiLevelType w:val="hybridMultilevel"/>
    <w:tmpl w:val="8BCC9B2E"/>
    <w:lvl w:ilvl="0">
      <w:start w:val="1"/>
      <w:numFmt w:val="decimal"/>
      <w:lvlText w:val="%1."/>
      <w:lvlJc w:val="left"/>
      <w:pPr>
        <w:tabs>
          <w:tab w:val="num" w:pos="567"/>
        </w:tabs>
        <w:ind w:left="567" w:hanging="340"/>
      </w:pPr>
      <w:rPr>
        <w:rFonts w:hint="default"/>
        <w:b w:val="0"/>
      </w:rPr>
    </w:lvl>
    <w:lvl w:ilvl="1">
      <w:start w:val="1"/>
      <w:numFmt w:val="decimal"/>
      <w:lvlText w:val="%2."/>
      <w:lvlJc w:val="left"/>
      <w:pPr>
        <w:tabs>
          <w:tab w:val="num" w:pos="2160"/>
        </w:tabs>
        <w:ind w:left="2160" w:hanging="360"/>
      </w:pPr>
      <w:rPr>
        <w:rFonts w:hint="default"/>
        <w:b w:val="0"/>
      </w:r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44">
    <w:nsid w:val="7D0211D3"/>
    <w:multiLevelType w:val="hybridMultilevel"/>
    <w:tmpl w:val="13E6D1A2"/>
    <w:lvl w:ilvl="0">
      <w:start w:val="1"/>
      <w:numFmt w:val="decimal"/>
      <w:lvlText w:val="%1."/>
      <w:lvlJc w:val="left"/>
      <w:pPr>
        <w:tabs>
          <w:tab w:val="num" w:pos="720"/>
        </w:tabs>
        <w:ind w:left="720" w:hanging="360"/>
      </w:pPr>
      <w:rPr>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1"/>
  </w:num>
  <w:num w:numId="4">
    <w:abstractNumId w:val="5"/>
  </w:num>
  <w:num w:numId="5">
    <w:abstractNumId w:val="34"/>
  </w:num>
  <w:num w:numId="6">
    <w:abstractNumId w:val="6"/>
  </w:num>
  <w:num w:numId="7">
    <w:abstractNumId w:val="20"/>
  </w:num>
  <w:num w:numId="8">
    <w:abstractNumId w:val="39"/>
  </w:num>
  <w:num w:numId="9">
    <w:abstractNumId w:val="40"/>
  </w:num>
  <w:num w:numId="10">
    <w:abstractNumId w:val="2"/>
  </w:num>
  <w:num w:numId="11">
    <w:abstractNumId w:val="26"/>
  </w:num>
  <w:num w:numId="12">
    <w:abstractNumId w:val="8"/>
  </w:num>
  <w:num w:numId="1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42"/>
  </w:num>
  <w:num w:numId="1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31"/>
  </w:num>
  <w:num w:numId="19">
    <w:abstractNumId w:val="11"/>
  </w:num>
  <w:num w:numId="20">
    <w:abstractNumId w:val="33"/>
  </w:num>
  <w:num w:numId="21">
    <w:abstractNumId w:val="7"/>
  </w:num>
  <w:num w:numId="2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4"/>
  </w:num>
  <w:num w:numId="24">
    <w:abstractNumId w:val="30"/>
  </w:num>
  <w:num w:numId="25">
    <w:abstractNumId w:val="43"/>
  </w:num>
  <w:num w:numId="26">
    <w:abstractNumId w:val="29"/>
  </w:num>
  <w:num w:numId="27">
    <w:abstractNumId w:val="25"/>
  </w:num>
  <w:num w:numId="28">
    <w:abstractNumId w:val="10"/>
  </w:num>
  <w:num w:numId="29">
    <w:abstractNumId w:val="3"/>
  </w:num>
  <w:num w:numId="30">
    <w:abstractNumId w:val="37"/>
  </w:num>
  <w:num w:numId="31">
    <w:abstractNumId w:val="18"/>
  </w:num>
  <w:num w:numId="32">
    <w:abstractNumId w:val="28"/>
  </w:num>
  <w:num w:numId="33">
    <w:abstractNumId w:val="19"/>
  </w:num>
  <w:num w:numId="34">
    <w:abstractNumId w:val="14"/>
  </w:num>
  <w:num w:numId="35">
    <w:abstractNumId w:val="24"/>
  </w:num>
  <w:num w:numId="36">
    <w:abstractNumId w:val="23"/>
  </w:num>
  <w:num w:numId="37">
    <w:abstractNumId w:val="16"/>
  </w:num>
  <w:num w:numId="38">
    <w:abstractNumId w:val="17"/>
  </w:num>
  <w:num w:numId="39">
    <w:abstractNumId w:val="38"/>
  </w:num>
  <w:num w:numId="40">
    <w:abstractNumId w:val="27"/>
  </w:num>
  <w:num w:numId="41">
    <w:abstractNumId w:val="9"/>
  </w:num>
  <w:num w:numId="42">
    <w:abstractNumId w:val="22"/>
  </w:num>
  <w:num w:numId="43">
    <w:abstractNumId w:val="0"/>
  </w:num>
  <w:num w:numId="44">
    <w:abstractNumId w:val="13"/>
  </w:num>
  <w:num w:numId="45">
    <w:abstractNumId w:val="35"/>
  </w:num>
  <w:num w:numId="46">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08"/>
  <w:hyphenationZone w:val="425"/>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966EF"/>
    <w:rsid w:val="00006DD7"/>
    <w:rsid w:val="000107AE"/>
    <w:rsid w:val="000139BA"/>
    <w:rsid w:val="00015125"/>
    <w:rsid w:val="000165A9"/>
    <w:rsid w:val="000237D9"/>
    <w:rsid w:val="00026345"/>
    <w:rsid w:val="0002666C"/>
    <w:rsid w:val="00034AEF"/>
    <w:rsid w:val="0004001B"/>
    <w:rsid w:val="00040044"/>
    <w:rsid w:val="00041192"/>
    <w:rsid w:val="000434DA"/>
    <w:rsid w:val="00045E54"/>
    <w:rsid w:val="0005173D"/>
    <w:rsid w:val="0005235B"/>
    <w:rsid w:val="00053FB9"/>
    <w:rsid w:val="00064F60"/>
    <w:rsid w:val="00066275"/>
    <w:rsid w:val="00067F0B"/>
    <w:rsid w:val="00067FFC"/>
    <w:rsid w:val="000741D0"/>
    <w:rsid w:val="0007451E"/>
    <w:rsid w:val="000746C2"/>
    <w:rsid w:val="00074F37"/>
    <w:rsid w:val="000826D8"/>
    <w:rsid w:val="0008289A"/>
    <w:rsid w:val="00084653"/>
    <w:rsid w:val="00085A9B"/>
    <w:rsid w:val="00092341"/>
    <w:rsid w:val="00092B30"/>
    <w:rsid w:val="00097C39"/>
    <w:rsid w:val="000A0E23"/>
    <w:rsid w:val="000A3DB2"/>
    <w:rsid w:val="000A44A0"/>
    <w:rsid w:val="000A7E84"/>
    <w:rsid w:val="000B19F4"/>
    <w:rsid w:val="000B4AAD"/>
    <w:rsid w:val="000D0046"/>
    <w:rsid w:val="000D14F9"/>
    <w:rsid w:val="000D4078"/>
    <w:rsid w:val="000E176D"/>
    <w:rsid w:val="000E2CAC"/>
    <w:rsid w:val="000E5323"/>
    <w:rsid w:val="000E5C35"/>
    <w:rsid w:val="000F1967"/>
    <w:rsid w:val="0010647C"/>
    <w:rsid w:val="0011101B"/>
    <w:rsid w:val="001117D7"/>
    <w:rsid w:val="001139A4"/>
    <w:rsid w:val="0011524C"/>
    <w:rsid w:val="00117627"/>
    <w:rsid w:val="001212D5"/>
    <w:rsid w:val="00143F10"/>
    <w:rsid w:val="00152B22"/>
    <w:rsid w:val="00153E1E"/>
    <w:rsid w:val="001545C9"/>
    <w:rsid w:val="001559B7"/>
    <w:rsid w:val="00160A16"/>
    <w:rsid w:val="001626EB"/>
    <w:rsid w:val="00163635"/>
    <w:rsid w:val="0016756E"/>
    <w:rsid w:val="001734EE"/>
    <w:rsid w:val="00183676"/>
    <w:rsid w:val="00184104"/>
    <w:rsid w:val="001852E1"/>
    <w:rsid w:val="001926CE"/>
    <w:rsid w:val="00192864"/>
    <w:rsid w:val="001957AD"/>
    <w:rsid w:val="001A048F"/>
    <w:rsid w:val="001A39FF"/>
    <w:rsid w:val="001A602E"/>
    <w:rsid w:val="001B1E93"/>
    <w:rsid w:val="001B27D2"/>
    <w:rsid w:val="001B41F7"/>
    <w:rsid w:val="001B5EC4"/>
    <w:rsid w:val="001C51E2"/>
    <w:rsid w:val="001C5BF3"/>
    <w:rsid w:val="001C6390"/>
    <w:rsid w:val="001D1076"/>
    <w:rsid w:val="001D3CC5"/>
    <w:rsid w:val="001D5926"/>
    <w:rsid w:val="001D6BE4"/>
    <w:rsid w:val="001E6E4A"/>
    <w:rsid w:val="001E6F56"/>
    <w:rsid w:val="001F1FB7"/>
    <w:rsid w:val="00200775"/>
    <w:rsid w:val="002012D0"/>
    <w:rsid w:val="00205C7B"/>
    <w:rsid w:val="0020683C"/>
    <w:rsid w:val="00210542"/>
    <w:rsid w:val="00213659"/>
    <w:rsid w:val="00214BD9"/>
    <w:rsid w:val="00232F32"/>
    <w:rsid w:val="002461A5"/>
    <w:rsid w:val="00254F23"/>
    <w:rsid w:val="00255E78"/>
    <w:rsid w:val="002629D4"/>
    <w:rsid w:val="00272FA8"/>
    <w:rsid w:val="002743DB"/>
    <w:rsid w:val="00284126"/>
    <w:rsid w:val="0028499B"/>
    <w:rsid w:val="002916B8"/>
    <w:rsid w:val="00294FAE"/>
    <w:rsid w:val="00295B9C"/>
    <w:rsid w:val="002A59BC"/>
    <w:rsid w:val="002A6335"/>
    <w:rsid w:val="002A7220"/>
    <w:rsid w:val="002B6101"/>
    <w:rsid w:val="002C1819"/>
    <w:rsid w:val="002C62FF"/>
    <w:rsid w:val="002D29EA"/>
    <w:rsid w:val="002E46AB"/>
    <w:rsid w:val="002E78E3"/>
    <w:rsid w:val="002E7F6B"/>
    <w:rsid w:val="002F3ED4"/>
    <w:rsid w:val="00301227"/>
    <w:rsid w:val="00302EB6"/>
    <w:rsid w:val="0030491B"/>
    <w:rsid w:val="00306624"/>
    <w:rsid w:val="00315E73"/>
    <w:rsid w:val="00321A20"/>
    <w:rsid w:val="00325E49"/>
    <w:rsid w:val="0032711D"/>
    <w:rsid w:val="00334FEC"/>
    <w:rsid w:val="003371B9"/>
    <w:rsid w:val="0034179B"/>
    <w:rsid w:val="00342FD3"/>
    <w:rsid w:val="00345A3A"/>
    <w:rsid w:val="00347242"/>
    <w:rsid w:val="00352292"/>
    <w:rsid w:val="00356336"/>
    <w:rsid w:val="003676F8"/>
    <w:rsid w:val="00370DA7"/>
    <w:rsid w:val="00371F1B"/>
    <w:rsid w:val="0037360B"/>
    <w:rsid w:val="00373CBB"/>
    <w:rsid w:val="0038060C"/>
    <w:rsid w:val="00380A1C"/>
    <w:rsid w:val="00384B88"/>
    <w:rsid w:val="003916AC"/>
    <w:rsid w:val="00397CB2"/>
    <w:rsid w:val="003A4FC0"/>
    <w:rsid w:val="003B1B33"/>
    <w:rsid w:val="003C2355"/>
    <w:rsid w:val="003D441A"/>
    <w:rsid w:val="003E4817"/>
    <w:rsid w:val="003E5C21"/>
    <w:rsid w:val="003E60B4"/>
    <w:rsid w:val="003F27B9"/>
    <w:rsid w:val="00401691"/>
    <w:rsid w:val="00415698"/>
    <w:rsid w:val="004231C1"/>
    <w:rsid w:val="004265B4"/>
    <w:rsid w:val="0043269C"/>
    <w:rsid w:val="00450C55"/>
    <w:rsid w:val="0046108E"/>
    <w:rsid w:val="0047332F"/>
    <w:rsid w:val="004770E8"/>
    <w:rsid w:val="00485AD3"/>
    <w:rsid w:val="00491556"/>
    <w:rsid w:val="004925DB"/>
    <w:rsid w:val="00493DCA"/>
    <w:rsid w:val="004A12F3"/>
    <w:rsid w:val="004A3E40"/>
    <w:rsid w:val="004B7312"/>
    <w:rsid w:val="004B77A8"/>
    <w:rsid w:val="004D03C0"/>
    <w:rsid w:val="004D0847"/>
    <w:rsid w:val="004D397F"/>
    <w:rsid w:val="004D71D6"/>
    <w:rsid w:val="004E263D"/>
    <w:rsid w:val="004E2763"/>
    <w:rsid w:val="004E43BB"/>
    <w:rsid w:val="004E6C03"/>
    <w:rsid w:val="004F0838"/>
    <w:rsid w:val="004F2B3E"/>
    <w:rsid w:val="004F45C8"/>
    <w:rsid w:val="00500C97"/>
    <w:rsid w:val="0050102D"/>
    <w:rsid w:val="00504177"/>
    <w:rsid w:val="0052115B"/>
    <w:rsid w:val="00522678"/>
    <w:rsid w:val="005375F3"/>
    <w:rsid w:val="005458EF"/>
    <w:rsid w:val="00552BE1"/>
    <w:rsid w:val="00560D21"/>
    <w:rsid w:val="0057223B"/>
    <w:rsid w:val="0057256F"/>
    <w:rsid w:val="005757C8"/>
    <w:rsid w:val="00576DE1"/>
    <w:rsid w:val="0058523A"/>
    <w:rsid w:val="005860D4"/>
    <w:rsid w:val="00587F18"/>
    <w:rsid w:val="00590FB8"/>
    <w:rsid w:val="005919F9"/>
    <w:rsid w:val="00594981"/>
    <w:rsid w:val="00595842"/>
    <w:rsid w:val="00595B3A"/>
    <w:rsid w:val="005A2C07"/>
    <w:rsid w:val="005A7352"/>
    <w:rsid w:val="005B36AB"/>
    <w:rsid w:val="005B76DD"/>
    <w:rsid w:val="005D03BE"/>
    <w:rsid w:val="005D04B9"/>
    <w:rsid w:val="005D0B03"/>
    <w:rsid w:val="005D1F0B"/>
    <w:rsid w:val="005D2E69"/>
    <w:rsid w:val="005D368F"/>
    <w:rsid w:val="005D62EB"/>
    <w:rsid w:val="005E0E12"/>
    <w:rsid w:val="005E26FF"/>
    <w:rsid w:val="005E27AA"/>
    <w:rsid w:val="005E3D70"/>
    <w:rsid w:val="005E63ED"/>
    <w:rsid w:val="005F2A14"/>
    <w:rsid w:val="00602FF8"/>
    <w:rsid w:val="00604305"/>
    <w:rsid w:val="006107BB"/>
    <w:rsid w:val="00611458"/>
    <w:rsid w:val="00611469"/>
    <w:rsid w:val="00622525"/>
    <w:rsid w:val="00624DDC"/>
    <w:rsid w:val="0063617C"/>
    <w:rsid w:val="0063749C"/>
    <w:rsid w:val="00642D4E"/>
    <w:rsid w:val="006437A1"/>
    <w:rsid w:val="006443CB"/>
    <w:rsid w:val="00646720"/>
    <w:rsid w:val="0065532A"/>
    <w:rsid w:val="0065582E"/>
    <w:rsid w:val="00665A38"/>
    <w:rsid w:val="0066682E"/>
    <w:rsid w:val="00670BE9"/>
    <w:rsid w:val="006732DF"/>
    <w:rsid w:val="00675F0D"/>
    <w:rsid w:val="006A3283"/>
    <w:rsid w:val="006A3C85"/>
    <w:rsid w:val="006A6D97"/>
    <w:rsid w:val="006A749F"/>
    <w:rsid w:val="006C0AA9"/>
    <w:rsid w:val="006C19B0"/>
    <w:rsid w:val="006C72E6"/>
    <w:rsid w:val="006D23E3"/>
    <w:rsid w:val="006D6B84"/>
    <w:rsid w:val="006E5A71"/>
    <w:rsid w:val="006E6823"/>
    <w:rsid w:val="006F4192"/>
    <w:rsid w:val="007119E1"/>
    <w:rsid w:val="00714E4A"/>
    <w:rsid w:val="00716246"/>
    <w:rsid w:val="00716C63"/>
    <w:rsid w:val="00716D1C"/>
    <w:rsid w:val="00716FBB"/>
    <w:rsid w:val="00723D47"/>
    <w:rsid w:val="0072664E"/>
    <w:rsid w:val="00731209"/>
    <w:rsid w:val="00731798"/>
    <w:rsid w:val="00740E97"/>
    <w:rsid w:val="007451AB"/>
    <w:rsid w:val="007460EC"/>
    <w:rsid w:val="0074684C"/>
    <w:rsid w:val="0075013C"/>
    <w:rsid w:val="00753D13"/>
    <w:rsid w:val="00754367"/>
    <w:rsid w:val="007562FB"/>
    <w:rsid w:val="00766B24"/>
    <w:rsid w:val="00766EB1"/>
    <w:rsid w:val="00771DBB"/>
    <w:rsid w:val="00776A60"/>
    <w:rsid w:val="00777CFA"/>
    <w:rsid w:val="00782059"/>
    <w:rsid w:val="00782C11"/>
    <w:rsid w:val="007865EF"/>
    <w:rsid w:val="00787F13"/>
    <w:rsid w:val="00791016"/>
    <w:rsid w:val="007965EB"/>
    <w:rsid w:val="007A7FC3"/>
    <w:rsid w:val="007B40ED"/>
    <w:rsid w:val="007C3A2E"/>
    <w:rsid w:val="007C6EC6"/>
    <w:rsid w:val="007D3639"/>
    <w:rsid w:val="007E168E"/>
    <w:rsid w:val="007F189D"/>
    <w:rsid w:val="0081158D"/>
    <w:rsid w:val="00830899"/>
    <w:rsid w:val="008349BA"/>
    <w:rsid w:val="00843997"/>
    <w:rsid w:val="008458BA"/>
    <w:rsid w:val="0085189B"/>
    <w:rsid w:val="00867FEE"/>
    <w:rsid w:val="008720CA"/>
    <w:rsid w:val="008769DE"/>
    <w:rsid w:val="00880343"/>
    <w:rsid w:val="00881478"/>
    <w:rsid w:val="00883651"/>
    <w:rsid w:val="0089148D"/>
    <w:rsid w:val="008A2AEF"/>
    <w:rsid w:val="008A65D4"/>
    <w:rsid w:val="008B2507"/>
    <w:rsid w:val="008C0201"/>
    <w:rsid w:val="008C2619"/>
    <w:rsid w:val="008C606C"/>
    <w:rsid w:val="008D037B"/>
    <w:rsid w:val="008E0425"/>
    <w:rsid w:val="008E0724"/>
    <w:rsid w:val="008E46E2"/>
    <w:rsid w:val="008E4744"/>
    <w:rsid w:val="008E52C8"/>
    <w:rsid w:val="008F1D4B"/>
    <w:rsid w:val="008F35D7"/>
    <w:rsid w:val="009014AF"/>
    <w:rsid w:val="00901501"/>
    <w:rsid w:val="00902EC3"/>
    <w:rsid w:val="009124EA"/>
    <w:rsid w:val="00914F38"/>
    <w:rsid w:val="009171A7"/>
    <w:rsid w:val="0092372D"/>
    <w:rsid w:val="009434CE"/>
    <w:rsid w:val="00943A22"/>
    <w:rsid w:val="00944ECD"/>
    <w:rsid w:val="00945E30"/>
    <w:rsid w:val="009534E4"/>
    <w:rsid w:val="0096543A"/>
    <w:rsid w:val="009673E9"/>
    <w:rsid w:val="00972CAE"/>
    <w:rsid w:val="00985280"/>
    <w:rsid w:val="00990B21"/>
    <w:rsid w:val="0099272D"/>
    <w:rsid w:val="009940AF"/>
    <w:rsid w:val="00996EF0"/>
    <w:rsid w:val="009A5069"/>
    <w:rsid w:val="009B024D"/>
    <w:rsid w:val="009B1A9B"/>
    <w:rsid w:val="009B629D"/>
    <w:rsid w:val="009C5634"/>
    <w:rsid w:val="009C6829"/>
    <w:rsid w:val="009D0655"/>
    <w:rsid w:val="009D25C5"/>
    <w:rsid w:val="009D3928"/>
    <w:rsid w:val="009E08C5"/>
    <w:rsid w:val="009E4434"/>
    <w:rsid w:val="009E58D6"/>
    <w:rsid w:val="009E6FD9"/>
    <w:rsid w:val="009F0117"/>
    <w:rsid w:val="00A13BFD"/>
    <w:rsid w:val="00A22570"/>
    <w:rsid w:val="00A26DE4"/>
    <w:rsid w:val="00A42717"/>
    <w:rsid w:val="00A44797"/>
    <w:rsid w:val="00A45E0F"/>
    <w:rsid w:val="00A46F21"/>
    <w:rsid w:val="00A64B15"/>
    <w:rsid w:val="00A64ED6"/>
    <w:rsid w:val="00A73ECD"/>
    <w:rsid w:val="00A76F2A"/>
    <w:rsid w:val="00A80718"/>
    <w:rsid w:val="00A8165F"/>
    <w:rsid w:val="00A8705A"/>
    <w:rsid w:val="00AB1512"/>
    <w:rsid w:val="00AB5915"/>
    <w:rsid w:val="00AC22E2"/>
    <w:rsid w:val="00AC2960"/>
    <w:rsid w:val="00AC65F9"/>
    <w:rsid w:val="00AC7EC3"/>
    <w:rsid w:val="00AD0864"/>
    <w:rsid w:val="00AE3087"/>
    <w:rsid w:val="00AE69DF"/>
    <w:rsid w:val="00AE7FD5"/>
    <w:rsid w:val="00AF0917"/>
    <w:rsid w:val="00AF7145"/>
    <w:rsid w:val="00B060C0"/>
    <w:rsid w:val="00B07F36"/>
    <w:rsid w:val="00B1559A"/>
    <w:rsid w:val="00B16CED"/>
    <w:rsid w:val="00B17563"/>
    <w:rsid w:val="00B55896"/>
    <w:rsid w:val="00B55EBB"/>
    <w:rsid w:val="00B614DE"/>
    <w:rsid w:val="00B64787"/>
    <w:rsid w:val="00B71E6A"/>
    <w:rsid w:val="00B73982"/>
    <w:rsid w:val="00B774DD"/>
    <w:rsid w:val="00B82BFC"/>
    <w:rsid w:val="00B956AC"/>
    <w:rsid w:val="00B95CCC"/>
    <w:rsid w:val="00B97CFB"/>
    <w:rsid w:val="00BA1E88"/>
    <w:rsid w:val="00BB1415"/>
    <w:rsid w:val="00BB1607"/>
    <w:rsid w:val="00BB19BA"/>
    <w:rsid w:val="00BB42C8"/>
    <w:rsid w:val="00BB438D"/>
    <w:rsid w:val="00BB4DB1"/>
    <w:rsid w:val="00BB5C38"/>
    <w:rsid w:val="00BC2BF3"/>
    <w:rsid w:val="00BC3578"/>
    <w:rsid w:val="00BD1191"/>
    <w:rsid w:val="00BD172A"/>
    <w:rsid w:val="00BD37D8"/>
    <w:rsid w:val="00BD7172"/>
    <w:rsid w:val="00BE5478"/>
    <w:rsid w:val="00BE788B"/>
    <w:rsid w:val="00C059CD"/>
    <w:rsid w:val="00C2409D"/>
    <w:rsid w:val="00C26CC3"/>
    <w:rsid w:val="00C34FB0"/>
    <w:rsid w:val="00C37D3C"/>
    <w:rsid w:val="00C40208"/>
    <w:rsid w:val="00C41E4A"/>
    <w:rsid w:val="00C511AD"/>
    <w:rsid w:val="00C53EA5"/>
    <w:rsid w:val="00C609C6"/>
    <w:rsid w:val="00C637C7"/>
    <w:rsid w:val="00C72FBD"/>
    <w:rsid w:val="00C739C2"/>
    <w:rsid w:val="00C74C86"/>
    <w:rsid w:val="00C77F6E"/>
    <w:rsid w:val="00C81129"/>
    <w:rsid w:val="00C85101"/>
    <w:rsid w:val="00C91164"/>
    <w:rsid w:val="00C93F38"/>
    <w:rsid w:val="00CA02CA"/>
    <w:rsid w:val="00CA0E04"/>
    <w:rsid w:val="00CA2C36"/>
    <w:rsid w:val="00CA4BC6"/>
    <w:rsid w:val="00CA7FA7"/>
    <w:rsid w:val="00CB08EF"/>
    <w:rsid w:val="00CB45BF"/>
    <w:rsid w:val="00CB5AF6"/>
    <w:rsid w:val="00CB60CD"/>
    <w:rsid w:val="00CD01D3"/>
    <w:rsid w:val="00CD05F3"/>
    <w:rsid w:val="00CD3386"/>
    <w:rsid w:val="00CD45D1"/>
    <w:rsid w:val="00CD5189"/>
    <w:rsid w:val="00CD689C"/>
    <w:rsid w:val="00CE23DD"/>
    <w:rsid w:val="00CE5FA3"/>
    <w:rsid w:val="00CF0260"/>
    <w:rsid w:val="00CF7721"/>
    <w:rsid w:val="00D003D9"/>
    <w:rsid w:val="00D066CB"/>
    <w:rsid w:val="00D14BB3"/>
    <w:rsid w:val="00D1527C"/>
    <w:rsid w:val="00D24006"/>
    <w:rsid w:val="00D25AFB"/>
    <w:rsid w:val="00D3491C"/>
    <w:rsid w:val="00D43E19"/>
    <w:rsid w:val="00D468CB"/>
    <w:rsid w:val="00D47606"/>
    <w:rsid w:val="00D51BBC"/>
    <w:rsid w:val="00D5389F"/>
    <w:rsid w:val="00D56CFD"/>
    <w:rsid w:val="00D60D33"/>
    <w:rsid w:val="00D64717"/>
    <w:rsid w:val="00D72E6C"/>
    <w:rsid w:val="00D77944"/>
    <w:rsid w:val="00D9317C"/>
    <w:rsid w:val="00D93A8F"/>
    <w:rsid w:val="00DA4A4E"/>
    <w:rsid w:val="00DB0648"/>
    <w:rsid w:val="00DB14FA"/>
    <w:rsid w:val="00DB15FF"/>
    <w:rsid w:val="00DC342A"/>
    <w:rsid w:val="00DD72DC"/>
    <w:rsid w:val="00DE311B"/>
    <w:rsid w:val="00DF00E6"/>
    <w:rsid w:val="00E004EE"/>
    <w:rsid w:val="00E028CB"/>
    <w:rsid w:val="00E077EC"/>
    <w:rsid w:val="00E13467"/>
    <w:rsid w:val="00E165F4"/>
    <w:rsid w:val="00E2045F"/>
    <w:rsid w:val="00E20A99"/>
    <w:rsid w:val="00E24E2F"/>
    <w:rsid w:val="00E27648"/>
    <w:rsid w:val="00E3668B"/>
    <w:rsid w:val="00E4207A"/>
    <w:rsid w:val="00E54D4F"/>
    <w:rsid w:val="00E564B4"/>
    <w:rsid w:val="00E56CEF"/>
    <w:rsid w:val="00E62DC7"/>
    <w:rsid w:val="00E70960"/>
    <w:rsid w:val="00E8666A"/>
    <w:rsid w:val="00E906AB"/>
    <w:rsid w:val="00E92427"/>
    <w:rsid w:val="00E95866"/>
    <w:rsid w:val="00E97E3F"/>
    <w:rsid w:val="00EA2888"/>
    <w:rsid w:val="00EA6751"/>
    <w:rsid w:val="00EA7E4D"/>
    <w:rsid w:val="00EC5F3F"/>
    <w:rsid w:val="00ED3C5E"/>
    <w:rsid w:val="00EE48FC"/>
    <w:rsid w:val="00EE616F"/>
    <w:rsid w:val="00EF60D1"/>
    <w:rsid w:val="00F00247"/>
    <w:rsid w:val="00F03B10"/>
    <w:rsid w:val="00F15963"/>
    <w:rsid w:val="00F328DE"/>
    <w:rsid w:val="00F33022"/>
    <w:rsid w:val="00F362CE"/>
    <w:rsid w:val="00F37ECF"/>
    <w:rsid w:val="00F6286E"/>
    <w:rsid w:val="00F7316C"/>
    <w:rsid w:val="00F7461A"/>
    <w:rsid w:val="00F80E71"/>
    <w:rsid w:val="00F87FF3"/>
    <w:rsid w:val="00F91157"/>
    <w:rsid w:val="00F966EF"/>
    <w:rsid w:val="00FA5B31"/>
    <w:rsid w:val="00FE5514"/>
    <w:rsid w:val="00FF4581"/>
    <w:rsid w:val="00FF7D31"/>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semiHidden="0" w:uiPriority="0" w:unhideWhenUsed="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semiHidden="0"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20" w:unhideWhenUsed="0" w:qFormat="1"/>
    <w:lsdException w:name="Document Map" w:semiHidden="0" w:uiPriority="0" w:unhideWhenUsed="0"/>
    <w:lsdException w:name="Plain Text" w:semiHidden="0" w:uiPriority="0" w:unhideWhenUsed="0"/>
    <w:lsdException w:name="E-mail Signature" w:semiHidden="0" w:uiPriority="0" w:unhideWhenUsed="0"/>
    <w:lsdException w:name="HTML Top of Form" w:semiHidden="0" w:uiPriority="0" w:unhideWhenUsed="0"/>
    <w:lsdException w:name="HTML Bottom of Form"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semiHidden="0" w:uiPriority="0" w:unhideWhenUsed="0"/>
    <w:lsdException w:name="annotation subject" w:semiHidden="0" w:uiPriority="0" w:unhideWhenUsed="0"/>
    <w:lsdException w:name="No List" w:semiHidden="0" w:uiPriority="0" w:unhideWhenUsed="0"/>
    <w:lsdException w:name="Outline List 1" w:semiHidden="0" w:uiPriority="0" w:unhideWhenUsed="0"/>
    <w:lsdException w:name="Outline List 2" w:semiHidden="0" w:uiPriority="0" w:unhideWhenUsed="0"/>
    <w:lsdException w:name="Outline List 3"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bCs/>
      <w:sz w:val="24"/>
      <w:szCs w:val="24"/>
      <w:lang w:val="sk-SK" w:eastAsia="sk-SK" w:bidi="ar-SA"/>
    </w:rPr>
  </w:style>
  <w:style w:type="paragraph" w:styleId="Heading1">
    <w:name w:val="heading 1"/>
    <w:basedOn w:val="Normal"/>
    <w:next w:val="Normal"/>
    <w:qFormat/>
    <w:pPr>
      <w:keepNext/>
      <w:ind w:left="1776"/>
      <w:outlineLvl w:val="0"/>
    </w:pPr>
    <w:rPr>
      <w:rFonts w:eastAsia="Arial Unicode MS"/>
      <w:b/>
    </w:rPr>
  </w:style>
  <w:style w:type="paragraph" w:styleId="Heading2">
    <w:name w:val="heading 2"/>
    <w:basedOn w:val="Normal"/>
    <w:next w:val="Normal"/>
    <w:qFormat/>
    <w:rsid w:val="000D0046"/>
    <w:pPr>
      <w:keepNext/>
      <w:spacing w:before="240" w:after="60"/>
      <w:outlineLvl w:val="1"/>
    </w:pPr>
    <w:rPr>
      <w:rFonts w:ascii="Arial" w:hAnsi="Arial" w:cs="Arial"/>
      <w:b/>
      <w:i/>
      <w:iCs/>
      <w:sz w:val="28"/>
      <w:szCs w:val="28"/>
    </w:rPr>
  </w:style>
  <w:style w:type="paragraph" w:styleId="Heading3">
    <w:name w:val="heading 3"/>
    <w:basedOn w:val="Normal"/>
    <w:next w:val="Normal"/>
    <w:qFormat/>
    <w:pPr>
      <w:keepNext/>
      <w:ind w:left="720"/>
      <w:jc w:val="both"/>
      <w:outlineLvl w:val="2"/>
    </w:pPr>
    <w:rPr>
      <w:bCs w:val="0"/>
      <w:sz w:val="28"/>
      <w:szCs w:val="28"/>
      <w:u w:val="single"/>
    </w:rPr>
  </w:style>
  <w:style w:type="paragraph" w:styleId="Heading4">
    <w:name w:val="heading 4"/>
    <w:basedOn w:val="Normal"/>
    <w:next w:val="Normal"/>
    <w:qFormat/>
    <w:pPr>
      <w:keepNext/>
      <w:outlineLvl w:val="3"/>
    </w:pPr>
    <w:rPr>
      <w:rFonts w:eastAsia="Arial Unicode MS"/>
      <w:b/>
      <w:bCs w:val="0"/>
      <w:szCs w:val="20"/>
    </w:rPr>
  </w:style>
  <w:style w:type="paragraph" w:styleId="Heading5">
    <w:name w:val="heading 5"/>
    <w:basedOn w:val="Normal"/>
    <w:next w:val="Normal"/>
    <w:qFormat/>
    <w:pPr>
      <w:keepNext/>
      <w:jc w:val="both"/>
      <w:outlineLvl w:val="4"/>
    </w:pPr>
    <w:rPr>
      <w:rFonts w:eastAsia="Arial Unicode MS"/>
      <w:b/>
    </w:rPr>
  </w:style>
  <w:style w:type="paragraph" w:styleId="Heading7">
    <w:name w:val="heading 7"/>
    <w:basedOn w:val="Normal"/>
    <w:next w:val="Normal"/>
    <w:qFormat/>
    <w:pPr>
      <w:keepNext/>
      <w:widowControl w:val="0"/>
      <w:ind w:left="1416"/>
      <w:jc w:val="both"/>
      <w:outlineLvl w:val="6"/>
    </w:pPr>
    <w:rPr>
      <w:b/>
      <w:bCs w:val="0"/>
      <w:szCs w:val="20"/>
      <w:lang w:val="cs-CZ"/>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pPr>
      <w:ind w:left="960"/>
    </w:pPr>
    <w:rPr>
      <w:bCs w:val="0"/>
    </w:rPr>
  </w:style>
  <w:style w:type="paragraph" w:styleId="BodyTextIndent3">
    <w:name w:val="Body Text Indent 3"/>
    <w:basedOn w:val="Normal"/>
    <w:link w:val="Zarkazkladnhotextu3Char"/>
    <w:pPr>
      <w:ind w:left="1065"/>
      <w:jc w:val="both"/>
    </w:pPr>
    <w:rPr>
      <w:bCs w:val="0"/>
      <w:szCs w:val="20"/>
      <w:lang w:val="cs-CZ" w:eastAsia="x-none"/>
    </w:rPr>
  </w:style>
  <w:style w:type="paragraph" w:styleId="BodyTextIndent2">
    <w:name w:val="Body Text Indent 2"/>
    <w:basedOn w:val="Normal"/>
    <w:pPr>
      <w:ind w:left="2490" w:firstLine="708"/>
      <w:jc w:val="both"/>
    </w:pPr>
  </w:style>
  <w:style w:type="paragraph" w:styleId="BlockText">
    <w:name w:val="Block Text"/>
    <w:basedOn w:val="Normal"/>
    <w:pPr>
      <w:ind w:left="708" w:right="-108"/>
    </w:pPr>
  </w:style>
  <w:style w:type="paragraph" w:styleId="BodyText">
    <w:name w:val="Body Text"/>
    <w:basedOn w:val="Normal"/>
    <w:rsid w:val="00D066CB"/>
    <w:pPr>
      <w:spacing w:after="120"/>
    </w:pPr>
  </w:style>
  <w:style w:type="paragraph" w:styleId="BodyText2">
    <w:name w:val="Body Text 2"/>
    <w:basedOn w:val="Normal"/>
    <w:rsid w:val="00D066CB"/>
    <w:pPr>
      <w:spacing w:after="120" w:line="480" w:lineRule="auto"/>
    </w:pPr>
  </w:style>
  <w:style w:type="paragraph" w:styleId="BodyText3">
    <w:name w:val="Body Text 3"/>
    <w:basedOn w:val="Normal"/>
    <w:rsid w:val="00CD3386"/>
    <w:pPr>
      <w:spacing w:after="120"/>
    </w:pPr>
    <w:rPr>
      <w:sz w:val="16"/>
      <w:szCs w:val="16"/>
    </w:rPr>
  </w:style>
  <w:style w:type="paragraph" w:customStyle="1" w:styleId="Zkladntext">
    <w:name w:val="Základní text"/>
    <w:rsid w:val="000D0046"/>
    <w:pPr>
      <w:autoSpaceDE w:val="0"/>
      <w:autoSpaceDN w:val="0"/>
    </w:pPr>
    <w:rPr>
      <w:color w:val="000000"/>
      <w:sz w:val="24"/>
      <w:szCs w:val="24"/>
      <w:lang w:val="sk-SK" w:eastAsia="cs-CZ" w:bidi="ar-SA"/>
    </w:rPr>
  </w:style>
  <w:style w:type="paragraph" w:customStyle="1" w:styleId="Popisparagrafu">
    <w:name w:val="Popis paragrafu"/>
    <w:basedOn w:val="Normal"/>
    <w:next w:val="Normal"/>
    <w:rsid w:val="000D0046"/>
    <w:pPr>
      <w:spacing w:before="240"/>
      <w:jc w:val="center"/>
      <w:outlineLvl w:val="5"/>
    </w:pPr>
    <w:rPr>
      <w:bCs w:val="0"/>
      <w:lang w:val="cs-CZ"/>
    </w:rPr>
  </w:style>
  <w:style w:type="paragraph" w:styleId="Footer">
    <w:name w:val="footer"/>
    <w:basedOn w:val="Normal"/>
    <w:rsid w:val="00A8165F"/>
    <w:pPr>
      <w:tabs>
        <w:tab w:val="center" w:pos="4536"/>
        <w:tab w:val="right" w:pos="9072"/>
      </w:tabs>
    </w:pPr>
  </w:style>
  <w:style w:type="character" w:styleId="PageNumber">
    <w:name w:val="page number"/>
    <w:basedOn w:val="DefaultParagraphFont"/>
    <w:rsid w:val="00A8165F"/>
  </w:style>
  <w:style w:type="paragraph" w:styleId="BalloonText">
    <w:name w:val="Balloon Text"/>
    <w:basedOn w:val="Normal"/>
    <w:semiHidden/>
    <w:rsid w:val="00342FD3"/>
    <w:rPr>
      <w:rFonts w:ascii="Tahoma" w:hAnsi="Tahoma" w:cs="Tahoma"/>
      <w:sz w:val="16"/>
      <w:szCs w:val="16"/>
    </w:rPr>
  </w:style>
  <w:style w:type="paragraph" w:styleId="FootnoteText">
    <w:name w:val="footnote text"/>
    <w:basedOn w:val="Normal"/>
    <w:semiHidden/>
    <w:rsid w:val="00FF4581"/>
    <w:pPr>
      <w:jc w:val="both"/>
    </w:pPr>
    <w:rPr>
      <w:bCs w:val="0"/>
      <w:sz w:val="20"/>
      <w:szCs w:val="20"/>
      <w:lang w:eastAsia="cs-CZ"/>
    </w:rPr>
  </w:style>
  <w:style w:type="character" w:styleId="FootnoteReference">
    <w:name w:val="footnote reference"/>
    <w:semiHidden/>
    <w:rsid w:val="00FF4581"/>
    <w:rPr>
      <w:vertAlign w:val="superscript"/>
    </w:rPr>
  </w:style>
  <w:style w:type="paragraph" w:styleId="Header">
    <w:name w:val="header"/>
    <w:basedOn w:val="Normal"/>
    <w:rsid w:val="003A4FC0"/>
    <w:pPr>
      <w:tabs>
        <w:tab w:val="center" w:pos="4536"/>
        <w:tab w:val="right" w:pos="9072"/>
      </w:tabs>
    </w:pPr>
    <w:rPr>
      <w:bCs w:val="0"/>
      <w:lang w:val="en-US" w:eastAsia="en-US"/>
    </w:rPr>
  </w:style>
  <w:style w:type="paragraph" w:styleId="Title">
    <w:name w:val="Title"/>
    <w:basedOn w:val="Normal"/>
    <w:qFormat/>
    <w:rsid w:val="003A4FC0"/>
    <w:pPr>
      <w:overflowPunct w:val="0"/>
      <w:autoSpaceDE w:val="0"/>
      <w:autoSpaceDN w:val="0"/>
      <w:adjustRightInd w:val="0"/>
      <w:jc w:val="center"/>
    </w:pPr>
    <w:rPr>
      <w:b/>
      <w:bCs w:val="0"/>
      <w:sz w:val="32"/>
    </w:rPr>
  </w:style>
  <w:style w:type="paragraph" w:customStyle="1" w:styleId="NormalCentered">
    <w:name w:val="Normal Centered"/>
    <w:basedOn w:val="Normal"/>
    <w:rsid w:val="003A4FC0"/>
    <w:pPr>
      <w:spacing w:before="120" w:after="120"/>
      <w:jc w:val="center"/>
    </w:pPr>
    <w:rPr>
      <w:bCs w:val="0"/>
      <w:lang w:eastAsia="en-GB"/>
    </w:rPr>
  </w:style>
  <w:style w:type="character" w:styleId="Strong">
    <w:name w:val="Strong"/>
    <w:qFormat/>
    <w:rsid w:val="003A4FC0"/>
    <w:rPr>
      <w:b/>
      <w:bCs/>
    </w:rPr>
  </w:style>
  <w:style w:type="paragraph" w:styleId="Subtitle">
    <w:name w:val="Subtitle"/>
    <w:basedOn w:val="Normal"/>
    <w:qFormat/>
    <w:rsid w:val="003A4FC0"/>
    <w:pPr>
      <w:jc w:val="center"/>
    </w:pPr>
    <w:rPr>
      <w:b/>
      <w:bCs w:val="0"/>
      <w:sz w:val="28"/>
      <w:szCs w:val="20"/>
    </w:rPr>
  </w:style>
  <w:style w:type="character" w:styleId="Emphasis">
    <w:name w:val="Emphasis"/>
    <w:uiPriority w:val="20"/>
    <w:qFormat/>
    <w:rsid w:val="00092341"/>
    <w:rPr>
      <w:i/>
      <w:iCs/>
    </w:rPr>
  </w:style>
  <w:style w:type="paragraph" w:styleId="ListParagraph">
    <w:name w:val="List Paragraph"/>
    <w:basedOn w:val="Normal"/>
    <w:uiPriority w:val="34"/>
    <w:qFormat/>
    <w:rsid w:val="00D43E19"/>
    <w:pPr>
      <w:spacing w:after="200" w:line="276" w:lineRule="auto"/>
      <w:ind w:left="720"/>
      <w:contextualSpacing/>
    </w:pPr>
    <w:rPr>
      <w:rFonts w:ascii="Calibri" w:hAnsi="Calibri"/>
      <w:bCs w:val="0"/>
      <w:sz w:val="22"/>
      <w:szCs w:val="22"/>
    </w:rPr>
  </w:style>
  <w:style w:type="character" w:customStyle="1" w:styleId="skypepnhmark">
    <w:name w:val="skype_pnh_mark"/>
    <w:rsid w:val="00BC3578"/>
    <w:rPr>
      <w:vanish/>
      <w:specVanish w:val="0"/>
    </w:rPr>
  </w:style>
  <w:style w:type="character" w:customStyle="1" w:styleId="skypepnhprintcontainer">
    <w:name w:val="skype_pnh_print_container"/>
    <w:basedOn w:val="DefaultParagraphFont"/>
    <w:rsid w:val="00BC3578"/>
  </w:style>
  <w:style w:type="paragraph" w:customStyle="1" w:styleId="ListParagraph0">
    <w:name w:val="List Paragraph"/>
    <w:basedOn w:val="Normal"/>
    <w:rsid w:val="000741D0"/>
    <w:pPr>
      <w:ind w:left="720"/>
      <w:contextualSpacing/>
    </w:pPr>
    <w:rPr>
      <w:rFonts w:eastAsia="Calibri"/>
      <w:bCs w:val="0"/>
    </w:rPr>
  </w:style>
  <w:style w:type="paragraph" w:customStyle="1" w:styleId="tl">
    <w:name w:val="Štýl"/>
    <w:rsid w:val="00D14BB3"/>
    <w:pPr>
      <w:widowControl w:val="0"/>
      <w:autoSpaceDE w:val="0"/>
      <w:autoSpaceDN w:val="0"/>
      <w:adjustRightInd w:val="0"/>
    </w:pPr>
    <w:rPr>
      <w:sz w:val="24"/>
      <w:szCs w:val="24"/>
      <w:lang w:val="sk-SK" w:eastAsia="sk-SK" w:bidi="ar-SA"/>
    </w:rPr>
  </w:style>
  <w:style w:type="character" w:customStyle="1" w:styleId="Textzstupnhosymbolu1">
    <w:name w:val="Text zástupného symbolu1"/>
    <w:uiPriority w:val="99"/>
    <w:semiHidden/>
    <w:rsid w:val="00380A1C"/>
    <w:rPr>
      <w:rFonts w:ascii="Times New Roman" w:hAnsi="Times New Roman" w:cs="Times New Roman"/>
      <w:color w:val="808080"/>
    </w:rPr>
  </w:style>
  <w:style w:type="character" w:customStyle="1" w:styleId="Zarkazkladnhotextu3Char">
    <w:name w:val="Zarážka základného textu 3 Char"/>
    <w:link w:val="BodyTextIndent3"/>
    <w:rsid w:val="005919F9"/>
    <w:rPr>
      <w:sz w:val="24"/>
      <w:lang w:val="cs-CZ"/>
    </w:rPr>
  </w:style>
  <w:style w:type="paragraph" w:customStyle="1" w:styleId="Default">
    <w:name w:val="Default"/>
    <w:rsid w:val="00306624"/>
    <w:pPr>
      <w:autoSpaceDE w:val="0"/>
      <w:autoSpaceDN w:val="0"/>
      <w:adjustRightInd w:val="0"/>
    </w:pPr>
    <w:rPr>
      <w:rFonts w:ascii="Arial" w:hAnsi="Arial" w:cs="Arial"/>
      <w:color w:val="000000"/>
      <w:sz w:val="24"/>
      <w:szCs w:val="24"/>
      <w:lang w:val="sk-SK" w:eastAsia="sk-SK"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numbering" Target="numbering.xml" /><Relationship Id="rId8" Type="http://schemas.openxmlformats.org/officeDocument/2006/relationships/styles" Target="styles.xml" /></Relationships>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B799E4-2C3A-4E60-BA83-86EB4EAB75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1024</TotalTime>
  <Pages>4</Pages>
  <Words>1563</Words>
  <Characters>8913</Characters>
  <Application>Microsoft Office Word</Application>
  <DocSecurity>0</DocSecurity>
  <Lines>74</Lines>
  <Paragraphs>20</Paragraphs>
  <ScaleCrop>false</ScaleCrop>
  <HeadingPairs>
    <vt:vector size="2" baseType="variant">
      <vt:variant>
        <vt:lpstr>Názov</vt:lpstr>
      </vt:variant>
      <vt:variant>
        <vt:i4>1</vt:i4>
      </vt:variant>
    </vt:vector>
  </HeadingPairs>
  <TitlesOfParts>
    <vt:vector size="1" baseType="lpstr">
      <vt:lpstr/>
    </vt:vector>
  </TitlesOfParts>
  <Company>Kancelária NR SR</Company>
  <LinksUpToDate>false</LinksUpToDate>
  <CharactersWithSpaces>10456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Spokojný používateľ aplikácie Microsoft Office</dc:creator>
  <cp:lastModifiedBy>Bruteničová, Barbora, Ing.</cp:lastModifiedBy>
  <cp:revision>346</cp:revision>
  <cp:lastPrinted>2013-11-13T08:21:00Z</cp:lastPrinted>
  <dcterms:created xsi:type="dcterms:W3CDTF">2003-06-05T11:59:00Z</dcterms:created>
  <dcterms:modified xsi:type="dcterms:W3CDTF">2015-11-05T08:01:00Z</dcterms:modified>
</cp:coreProperties>
</file>