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4C87" w:rsidP="00354C87">
      <w:pPr>
        <w:bidi w:val="0"/>
      </w:pPr>
    </w:p>
    <w:p w:rsidR="00354C87" w:rsidP="00354C87">
      <w:pPr>
        <w:pStyle w:val="NormalWeb"/>
        <w:bidi w:val="0"/>
        <w:jc w:val="center"/>
        <w:rPr>
          <w:rFonts w:ascii="Times New Roman" w:hAnsi="Times New Roman"/>
        </w:rPr>
      </w:pPr>
    </w:p>
    <w:p w:rsidR="00354C87" w:rsidP="00354C87">
      <w:pPr>
        <w:pStyle w:val="NormalWeb"/>
        <w:bidi w:val="0"/>
        <w:jc w:val="center"/>
        <w:rPr>
          <w:rFonts w:ascii="Times New Roman" w:hAnsi="Times New Roman"/>
        </w:rPr>
      </w:pPr>
    </w:p>
    <w:p w:rsidR="00354C87" w:rsidP="00354C87">
      <w:pPr>
        <w:pStyle w:val="NormalWeb"/>
        <w:bidi w:val="0"/>
        <w:jc w:val="center"/>
        <w:rPr>
          <w:rFonts w:ascii="Times New Roman" w:hAnsi="Times New Roman"/>
        </w:rPr>
      </w:pPr>
      <w:r>
        <w:rPr>
          <w:rFonts w:ascii="Times New Roman" w:hAnsi="Times New Roman"/>
          <w:noProof/>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6" o:spid="_x0000_i1025" type="#_x0000_t75" alt="Popis: štátny znak" style="width:111.47pt;height:133.15pt;visibility:visible" filled="f" stroked="f">
            <v:imagedata r:id="rId6" o:title=""/>
            <o:lock v:ext="edit" aspectratio="t"/>
          </v:shape>
        </w:pict>
      </w:r>
    </w:p>
    <w:p w:rsidR="00354C87" w:rsidP="00354C87">
      <w:pPr>
        <w:bidi w:val="0"/>
      </w:pPr>
    </w:p>
    <w:p w:rsidR="00354C87" w:rsidP="00354C87">
      <w:pPr>
        <w:bidi w:val="0"/>
      </w:pPr>
    </w:p>
    <w:p w:rsidR="00354C87" w:rsidP="00354C87">
      <w:pPr>
        <w:bidi w:val="0"/>
      </w:pPr>
    </w:p>
    <w:p w:rsidR="00354C87" w:rsidP="00354C87">
      <w:pPr>
        <w:bidi w:val="0"/>
      </w:pPr>
    </w:p>
    <w:p w:rsidR="00354C87" w:rsidRPr="003602C8" w:rsidP="00354C87">
      <w:pPr>
        <w:bidi w:val="0"/>
        <w:jc w:val="center"/>
        <w:rPr>
          <w:rFonts w:ascii="Times New Roman" w:hAnsi="Times New Roman"/>
          <w:b/>
          <w:sz w:val="40"/>
          <w:szCs w:val="40"/>
        </w:rPr>
      </w:pPr>
      <w:r w:rsidRPr="003602C8">
        <w:rPr>
          <w:rFonts w:ascii="Times New Roman" w:hAnsi="Times New Roman"/>
          <w:b/>
          <w:sz w:val="40"/>
          <w:szCs w:val="40"/>
        </w:rPr>
        <w:t>Súhrnná výročná správa</w:t>
      </w:r>
    </w:p>
    <w:p w:rsidR="00354C87" w:rsidRPr="003602C8" w:rsidP="00354C87">
      <w:pPr>
        <w:bidi w:val="0"/>
        <w:jc w:val="center"/>
        <w:rPr>
          <w:rFonts w:ascii="Times New Roman" w:hAnsi="Times New Roman"/>
          <w:b/>
          <w:sz w:val="40"/>
          <w:szCs w:val="40"/>
        </w:rPr>
      </w:pPr>
      <w:r w:rsidRPr="003602C8">
        <w:rPr>
          <w:rFonts w:ascii="Times New Roman" w:hAnsi="Times New Roman"/>
          <w:b/>
          <w:sz w:val="40"/>
          <w:szCs w:val="40"/>
        </w:rPr>
        <w:t>Slovenskej republiky</w:t>
      </w:r>
    </w:p>
    <w:p w:rsidR="00354C87" w:rsidRPr="003602C8" w:rsidP="00354C87">
      <w:pPr>
        <w:bidi w:val="0"/>
        <w:jc w:val="center"/>
        <w:rPr>
          <w:rFonts w:ascii="Times New Roman" w:hAnsi="Times New Roman"/>
          <w:b/>
          <w:sz w:val="40"/>
          <w:szCs w:val="40"/>
        </w:rPr>
      </w:pPr>
      <w:r>
        <w:rPr>
          <w:rFonts w:ascii="Times New Roman" w:hAnsi="Times New Roman"/>
          <w:b/>
          <w:sz w:val="40"/>
          <w:szCs w:val="40"/>
        </w:rPr>
        <w:t>za rok 2014</w:t>
      </w:r>
    </w:p>
    <w:p w:rsidR="00354C87" w:rsidRPr="003602C8" w:rsidP="00354C87">
      <w:pPr>
        <w:bidi w:val="0"/>
        <w:rPr>
          <w:sz w:val="40"/>
          <w:szCs w:val="40"/>
        </w:rPr>
      </w:pPr>
    </w:p>
    <w:p w:rsidR="00354C87" w:rsidP="00354C87">
      <w:pPr>
        <w:bidi w:val="0"/>
      </w:pPr>
    </w:p>
    <w:p w:rsidR="00354C87" w:rsidP="00354C87">
      <w:pPr>
        <w:bidi w:val="0"/>
      </w:pPr>
    </w:p>
    <w:p w:rsidR="00354C87" w:rsidP="00354C87">
      <w:pPr>
        <w:bidi w:val="0"/>
      </w:pPr>
    </w:p>
    <w:p w:rsidR="00354C87" w:rsidP="00354C87">
      <w:pPr>
        <w:bidi w:val="0"/>
      </w:pPr>
    </w:p>
    <w:p w:rsidR="00354C87" w:rsidP="00354C87">
      <w:pPr>
        <w:bidi w:val="0"/>
      </w:pPr>
    </w:p>
    <w:p w:rsidR="00354C87" w:rsidP="00354C87">
      <w:pPr>
        <w:bidi w:val="0"/>
      </w:pPr>
    </w:p>
    <w:p w:rsidR="00354C87" w:rsidP="00354C87">
      <w:pPr>
        <w:bidi w:val="0"/>
      </w:pPr>
    </w:p>
    <w:p w:rsidR="00651A0E" w:rsidP="00651A0E">
      <w:pPr>
        <w:tabs>
          <w:tab w:val="left" w:pos="0"/>
          <w:tab w:val="left" w:pos="284"/>
        </w:tabs>
        <w:bidi w:val="0"/>
        <w:spacing w:before="120" w:after="120" w:line="360" w:lineRule="auto"/>
        <w:jc w:val="center"/>
        <w:rPr>
          <w:rFonts w:ascii="Times New Roman" w:hAnsi="Times New Roman"/>
          <w:b/>
          <w:color w:val="000000"/>
          <w:sz w:val="32"/>
          <w:szCs w:val="32"/>
        </w:rPr>
        <w:sectPr w:rsidSect="00651A0E">
          <w:footerReference w:type="default" r:id="rId7"/>
          <w:pgSz w:w="11906" w:h="16838" w:code="9"/>
          <w:pgMar w:top="1418" w:right="1134" w:bottom="1418" w:left="1134" w:header="709" w:footer="709" w:gutter="567"/>
          <w:lnNumType w:distance="0"/>
          <w:cols w:space="708"/>
          <w:noEndnote w:val="0"/>
          <w:bidi w:val="0"/>
          <w:docGrid w:linePitch="360"/>
        </w:sectPr>
      </w:pPr>
      <w:r w:rsidRPr="00883ED5" w:rsidR="00354C87">
        <w:rPr>
          <w:rFonts w:ascii="Times New Roman" w:hAnsi="Times New Roman"/>
          <w:b/>
          <w:color w:val="000000"/>
          <w:sz w:val="32"/>
          <w:szCs w:val="32"/>
        </w:rPr>
        <w:t>október 201</w:t>
      </w:r>
      <w:r w:rsidR="00354C87">
        <w:rPr>
          <w:rFonts w:ascii="Times New Roman" w:hAnsi="Times New Roman"/>
          <w:b/>
          <w:color w:val="000000"/>
          <w:sz w:val="32"/>
          <w:szCs w:val="32"/>
        </w:rPr>
        <w:t>5</w:t>
      </w:r>
    </w:p>
    <w:p w:rsidR="00A00C3C" w:rsidRPr="00C77F62" w:rsidP="00651A0E">
      <w:pPr>
        <w:tabs>
          <w:tab w:val="left" w:pos="0"/>
          <w:tab w:val="left" w:pos="284"/>
        </w:tabs>
        <w:bidi w:val="0"/>
        <w:spacing w:before="120" w:after="120" w:line="360" w:lineRule="auto"/>
        <w:jc w:val="center"/>
        <w:rPr>
          <w:rFonts w:ascii="Times New Roman" w:hAnsi="Times New Roman" w:cs="Times New Roman"/>
          <w:sz w:val="24"/>
          <w:szCs w:val="24"/>
        </w:rPr>
      </w:pPr>
      <w:r>
        <w:rPr>
          <w:noProof/>
          <w:rtl w:val="0"/>
          <w:lang w:eastAsia="sk-SK"/>
        </w:rPr>
        <w:pict>
          <v:shape id="Obrázok 1" o:spid="_x0000_i1026" type="#_x0000_t75" alt="MF SR" style="width:450.3pt;height:56.16pt;visibility:visible" filled="f" stroked="f">
            <v:imagedata r:id="rId8" o:title=""/>
            <o:lock v:ext="edit" aspectratio="t"/>
          </v:shape>
        </w:pict>
      </w:r>
    </w:p>
    <w:p w:rsidR="00785F44" w:rsidP="00DF458E">
      <w:pPr>
        <w:bidi w:val="0"/>
        <w:spacing w:after="120" w:line="336" w:lineRule="auto"/>
        <w:rPr>
          <w:rFonts w:ascii="Times New Roman" w:hAnsi="Times New Roman" w:cs="Times New Roman"/>
        </w:rPr>
      </w:pPr>
    </w:p>
    <w:p w:rsidR="00DF458E" w:rsidRPr="00DF458E" w:rsidP="00DF458E">
      <w:pPr>
        <w:bidi w:val="0"/>
        <w:spacing w:after="120" w:line="336" w:lineRule="auto"/>
        <w:rPr>
          <w:rFonts w:ascii="Times New Roman" w:hAnsi="Times New Roman" w:cs="Times New Roman"/>
        </w:rPr>
      </w:pPr>
      <w:r w:rsidRPr="00DF458E">
        <w:rPr>
          <w:rFonts w:ascii="Times New Roman" w:hAnsi="Times New Roman" w:cs="Times New Roman"/>
        </w:rPr>
        <w:t>Vážené dámy a páni,</w:t>
      </w:r>
    </w:p>
    <w:p w:rsidR="00DF458E" w:rsidRPr="00DF458E" w:rsidP="00DF458E">
      <w:pPr>
        <w:bidi w:val="0"/>
        <w:spacing w:after="120" w:line="336" w:lineRule="auto"/>
        <w:jc w:val="both"/>
        <w:rPr>
          <w:rFonts w:ascii="Times New Roman" w:hAnsi="Times New Roman" w:cs="Times New Roman"/>
        </w:rPr>
      </w:pPr>
      <w:r w:rsidRPr="00DF458E">
        <w:rPr>
          <w:rFonts w:ascii="Times New Roman" w:hAnsi="Times New Roman" w:cs="Times New Roman"/>
        </w:rPr>
        <w:t>z hľadiska vývoja verejných financií môžeme rok 2014 charakteri</w:t>
      </w:r>
      <w:r>
        <w:rPr>
          <w:rFonts w:ascii="Times New Roman" w:hAnsi="Times New Roman" w:cs="Times New Roman"/>
        </w:rPr>
        <w:t>zovať ako obdobie stabilizácie.</w:t>
        <w:br/>
      </w:r>
      <w:r w:rsidRPr="00DF458E">
        <w:rPr>
          <w:rFonts w:ascii="Times New Roman" w:hAnsi="Times New Roman" w:cs="Times New Roman"/>
        </w:rPr>
        <w:t>Po odznení globálnej finančnej a hospodárskej krízy bolo nevyhnutné stabilizovať verejné financie. Slovenská republika odvtedy neustále znižovala schodok verejných financií. Konsolidáciou v roku 2013 sme dosiahli historicky najnižší štrukturálny deficit</w:t>
      </w:r>
      <w:r w:rsidR="00785F44">
        <w:rPr>
          <w:rFonts w:ascii="Times New Roman" w:hAnsi="Times New Roman" w:cs="Times New Roman"/>
        </w:rPr>
        <w:t>,</w:t>
      </w:r>
      <w:r w:rsidRPr="00DF458E">
        <w:rPr>
          <w:rFonts w:ascii="Times New Roman" w:hAnsi="Times New Roman" w:cs="Times New Roman"/>
        </w:rPr>
        <w:t xml:space="preserve"> </w:t>
      </w:r>
      <w:r w:rsidR="00785F44">
        <w:rPr>
          <w:rFonts w:ascii="Times New Roman" w:hAnsi="Times New Roman" w:cs="Times New Roman"/>
        </w:rPr>
        <w:t>pričom</w:t>
      </w:r>
      <w:r w:rsidRPr="00DF458E">
        <w:rPr>
          <w:rFonts w:ascii="Times New Roman" w:hAnsi="Times New Roman" w:cs="Times New Roman"/>
        </w:rPr>
        <w:t xml:space="preserve"> na základe týchto výsledkov bola Slovenská republika vyradená z procedúry nadmerného deficitu. Vytvorili sme tak priestor pre fiškálny nádych. Našim zámerom v roku </w:t>
      </w:r>
      <w:r w:rsidRPr="00DF458E">
        <w:rPr>
          <w:rFonts w:ascii="Times New Roman" w:hAnsi="Times New Roman" w:cs="Times New Roman"/>
          <w:color w:val="000000"/>
        </w:rPr>
        <w:t>2014 bolo prostredníctvom mierneho uvoľnenia fiškálnej politiky pomôcť ekonomike. Limity však boli jasne dané</w:t>
      </w:r>
      <w:r w:rsidR="00785F44">
        <w:rPr>
          <w:rFonts w:ascii="Times New Roman" w:hAnsi="Times New Roman" w:cs="Times New Roman"/>
          <w:color w:val="000000"/>
        </w:rPr>
        <w:t>,</w:t>
      </w:r>
      <w:r w:rsidRPr="00DF458E">
        <w:rPr>
          <w:rFonts w:ascii="Times New Roman" w:hAnsi="Times New Roman" w:cs="Times New Roman"/>
          <w:color w:val="000000"/>
        </w:rPr>
        <w:t xml:space="preserve"> </w:t>
      </w:r>
      <w:r w:rsidR="00785F44">
        <w:rPr>
          <w:rFonts w:ascii="Times New Roman" w:hAnsi="Times New Roman" w:cs="Times New Roman"/>
          <w:color w:val="000000"/>
        </w:rPr>
        <w:t>v</w:t>
      </w:r>
      <w:r w:rsidRPr="00DF458E">
        <w:rPr>
          <w:rFonts w:ascii="Times New Roman" w:hAnsi="Times New Roman" w:cs="Times New Roman"/>
          <w:color w:val="000000"/>
        </w:rPr>
        <w:t> žiadnom prípade sme nechceli spochybniť náš strednodobý cieľ dosiahnutia vyrovnaného rozpočtu a takisto sme si nemohli dovoliť hazardovať s dôverou finančných trhov.</w:t>
      </w:r>
    </w:p>
    <w:p w:rsidR="00DF458E" w:rsidRPr="00DF458E" w:rsidP="00DF458E">
      <w:pPr>
        <w:bidi w:val="0"/>
        <w:spacing w:after="120" w:line="336" w:lineRule="auto"/>
        <w:jc w:val="both"/>
        <w:rPr>
          <w:rFonts w:ascii="Times New Roman" w:hAnsi="Times New Roman" w:cs="Times New Roman"/>
        </w:rPr>
      </w:pPr>
      <w:r w:rsidRPr="00DF458E">
        <w:rPr>
          <w:rFonts w:ascii="Times New Roman" w:hAnsi="Times New Roman" w:cs="Times New Roman"/>
        </w:rPr>
        <w:t>Ciele sa nám podarilo úspešne naplniť. V roku 2014 ekonomika rástla rýchlejším tempom ako v predchádzajúcom roku a jeho štruktúra začala byť vy</w:t>
      </w:r>
      <w:r w:rsidR="00785F44">
        <w:rPr>
          <w:rFonts w:ascii="Times New Roman" w:hAnsi="Times New Roman" w:cs="Times New Roman"/>
        </w:rPr>
        <w:t>váženejšia. Trh práce sa oživil,</w:t>
      </w:r>
      <w:r w:rsidRPr="00DF458E">
        <w:rPr>
          <w:rFonts w:ascii="Times New Roman" w:hAnsi="Times New Roman" w:cs="Times New Roman"/>
        </w:rPr>
        <w:t xml:space="preserve"> </w:t>
      </w:r>
      <w:r w:rsidR="00785F44">
        <w:rPr>
          <w:rFonts w:ascii="Times New Roman" w:hAnsi="Times New Roman" w:cs="Times New Roman"/>
        </w:rPr>
        <w:t>z</w:t>
      </w:r>
      <w:r w:rsidRPr="00DF458E">
        <w:rPr>
          <w:rFonts w:ascii="Times New Roman" w:hAnsi="Times New Roman" w:cs="Times New Roman"/>
        </w:rPr>
        <w:t>amestnanosť stúpla a miera nezamestnanosti poklesla. Reálne mzdy zaznamenali najvýraznejší rast od začiatku krízy. Slovenskej republike sa tiež darilo emitovať dlhopisy s dlhšou splatnosťou za rekordne nízke úrokové sadzby. Mierna fiškálna expanzia neporušila ani prísne pravidlo o vyrovnanom rozpočte, ktoré bolo do slovenskej legislatívy zavedené implementovaním európskeho fiškálneho kompaktu. Ministerstvo financií SR a Rada pre rozpočtovú zodpovednosť ako poverený nezávislý orgán konštatovali za rok 2014 plnenie pravidla o vyrovnanom rozpočte bez výraznej odchýlky. V podobnom duchu hodnotila Slovensko aj Európska komisia pri plnení pravidiel Paktu stability a rastu. Inými slovami, verejné financie dodali ekonomike vítaný impulz v čase pretrvávajúcich globálnych rizík a neistoty do tej miery, aby nebolo ohrozené plnenie zahraničných a domácich záväzkov. </w:t>
      </w:r>
    </w:p>
    <w:p w:rsidR="00DF458E" w:rsidRPr="00DF458E" w:rsidP="00DF458E">
      <w:pPr>
        <w:bidi w:val="0"/>
        <w:spacing w:after="120" w:line="336" w:lineRule="auto"/>
        <w:jc w:val="both"/>
        <w:rPr>
          <w:rFonts w:ascii="Times New Roman" w:hAnsi="Times New Roman" w:cs="Times New Roman"/>
        </w:rPr>
      </w:pPr>
      <w:r w:rsidRPr="00DF458E">
        <w:rPr>
          <w:rFonts w:ascii="Times New Roman" w:hAnsi="Times New Roman" w:cs="Times New Roman"/>
        </w:rPr>
        <w:t>K splneniu fiškálnych cieľov v roku 2014 výrazne prisp</w:t>
      </w:r>
      <w:r w:rsidR="00F948D7">
        <w:rPr>
          <w:rFonts w:ascii="Times New Roman" w:hAnsi="Times New Roman" w:cs="Times New Roman"/>
        </w:rPr>
        <w:t>el aj boj proti daňovým únikom.</w:t>
        <w:br/>
      </w:r>
      <w:r w:rsidRPr="00DF458E">
        <w:rPr>
          <w:rFonts w:ascii="Times New Roman" w:hAnsi="Times New Roman" w:cs="Times New Roman"/>
        </w:rPr>
        <w:t xml:space="preserve">Vďaka tomu, spolu s lepším vývojom hospodárstva, boli skutočné daňové a odvodové príjmy v porovnaní s plánovanými vyššie o 858 mil. eur. Aj v tomto roku sme teda boli svedkami toho, že ťaženie proti daňovým únikom výrazne vylepšilo príjmy štátu </w:t>
      </w:r>
      <w:r w:rsidRPr="00DF458E">
        <w:rPr>
          <w:rFonts w:ascii="Times New Roman" w:hAnsi="Times New Roman" w:cs="Times New Roman"/>
          <w:color w:val="000000"/>
        </w:rPr>
        <w:t>a zároveň viedlo k zdravšiemu podnikateľskému prostrediu, v ktorom neplatenie daní prestáva byť konkurenčnou výhodou.</w:t>
      </w:r>
    </w:p>
    <w:p w:rsidR="0000481F" w:rsidRPr="00A53EAC" w:rsidP="00505FE5">
      <w:pPr>
        <w:bidi w:val="0"/>
        <w:spacing w:after="120" w:line="336" w:lineRule="auto"/>
        <w:ind w:right="-1"/>
        <w:jc w:val="both"/>
        <w:rPr>
          <w:rFonts w:ascii="Times New Roman" w:hAnsi="Times New Roman" w:cs="Times New Roman"/>
          <w:szCs w:val="22"/>
          <w:highlight w:val="yellow"/>
        </w:rPr>
      </w:pPr>
    </w:p>
    <w:p w:rsidR="009D0558" w:rsidRPr="00A53EAC" w:rsidP="00505FE5">
      <w:pPr>
        <w:pStyle w:val="NoSpacing"/>
        <w:bidi w:val="0"/>
        <w:spacing w:line="276" w:lineRule="auto"/>
        <w:jc w:val="center"/>
        <w:rPr>
          <w:rFonts w:ascii="Times New Roman" w:hAnsi="Times New Roman"/>
          <w:szCs w:val="22"/>
          <w:highlight w:val="yellow"/>
        </w:rPr>
      </w:pPr>
    </w:p>
    <w:p w:rsidR="009D0558" w:rsidRPr="00033B28" w:rsidP="00505FE5">
      <w:pPr>
        <w:pStyle w:val="NoSpacing"/>
        <w:bidi w:val="0"/>
        <w:spacing w:line="276" w:lineRule="auto"/>
        <w:jc w:val="center"/>
        <w:rPr>
          <w:rFonts w:ascii="Times New Roman" w:hAnsi="Times New Roman"/>
          <w:szCs w:val="22"/>
        </w:rPr>
      </w:pPr>
    </w:p>
    <w:p w:rsidR="009D0558" w:rsidRPr="00033B28" w:rsidP="00505FE5">
      <w:pPr>
        <w:pStyle w:val="NoSpacing"/>
        <w:bidi w:val="0"/>
        <w:spacing w:line="276" w:lineRule="auto"/>
        <w:jc w:val="center"/>
        <w:rPr>
          <w:rFonts w:ascii="Times New Roman" w:hAnsi="Times New Roman" w:hint="default"/>
          <w:szCs w:val="22"/>
        </w:rPr>
      </w:pPr>
      <w:r w:rsidRPr="00033B28">
        <w:rPr>
          <w:rFonts w:ascii="Times New Roman" w:hAnsi="Times New Roman" w:hint="default"/>
          <w:szCs w:val="22"/>
        </w:rPr>
        <w:t>Peter Kaž</w:t>
      </w:r>
      <w:r w:rsidRPr="00033B28">
        <w:rPr>
          <w:rFonts w:ascii="Times New Roman" w:hAnsi="Times New Roman" w:hint="default"/>
          <w:szCs w:val="22"/>
        </w:rPr>
        <w:t>imí</w:t>
      </w:r>
      <w:r w:rsidRPr="00033B28">
        <w:rPr>
          <w:rFonts w:ascii="Times New Roman" w:hAnsi="Times New Roman" w:hint="default"/>
          <w:szCs w:val="22"/>
        </w:rPr>
        <w:t>r</w:t>
      </w:r>
    </w:p>
    <w:p w:rsidR="00651A0E" w:rsidP="00651A0E">
      <w:pPr>
        <w:pStyle w:val="NoSpacing"/>
        <w:bidi w:val="0"/>
        <w:spacing w:line="276" w:lineRule="auto"/>
        <w:jc w:val="center"/>
        <w:rPr>
          <w:rFonts w:ascii="Times New Roman" w:hAnsi="Times New Roman"/>
          <w:szCs w:val="22"/>
        </w:rPr>
      </w:pPr>
      <w:r w:rsidRPr="00033B28" w:rsidR="009D0558">
        <w:rPr>
          <w:rFonts w:ascii="Times New Roman" w:hAnsi="Times New Roman" w:hint="default"/>
          <w:szCs w:val="22"/>
        </w:rPr>
        <w:t>podpredseda vlá</w:t>
      </w:r>
      <w:r w:rsidRPr="00033B28" w:rsidR="009D0558">
        <w:rPr>
          <w:rFonts w:ascii="Times New Roman" w:hAnsi="Times New Roman" w:hint="default"/>
          <w:szCs w:val="22"/>
        </w:rPr>
        <w:t>dy a </w:t>
      </w:r>
      <w:r w:rsidRPr="00033B28" w:rsidR="009D0558">
        <w:rPr>
          <w:rFonts w:ascii="Times New Roman" w:hAnsi="Times New Roman" w:hint="default"/>
          <w:szCs w:val="22"/>
        </w:rPr>
        <w:t>minister financií</w:t>
      </w:r>
      <w:bookmarkStart w:id="0" w:name="_Toc401920003"/>
      <w:bookmarkStart w:id="1" w:name="_Toc399324354"/>
    </w:p>
    <w:p w:rsidR="00651A0E">
      <w:pPr>
        <w:bidi w:val="0"/>
        <w:rPr>
          <w:rFonts w:ascii="Times New Roman" w:eastAsia="Calibri" w:hAnsi="Times New Roman" w:cs="Times New Roman"/>
          <w:szCs w:val="22"/>
        </w:rPr>
      </w:pPr>
      <w:r>
        <w:rPr>
          <w:rFonts w:ascii="Times New Roman" w:hAnsi="Times New Roman"/>
          <w:szCs w:val="22"/>
        </w:rPr>
        <w:br w:type="page"/>
      </w:r>
    </w:p>
    <w:p w:rsidR="00651A0E" w:rsidP="00651A0E">
      <w:pPr>
        <w:pStyle w:val="NoSpacing"/>
        <w:bidi w:val="0"/>
        <w:spacing w:line="276" w:lineRule="auto"/>
        <w:rPr>
          <w:rFonts w:ascii="Times New Roman" w:hAnsi="Times New Roman"/>
          <w:b/>
          <w:szCs w:val="22"/>
        </w:rPr>
        <w:sectPr w:rsidSect="00651A0E">
          <w:headerReference w:type="default" r:id="rId9"/>
          <w:footerReference w:type="default" r:id="rId10"/>
          <w:pgSz w:w="11906" w:h="16838" w:code="9"/>
          <w:pgMar w:top="1418" w:right="1134" w:bottom="1418" w:left="1134" w:header="709" w:footer="709" w:gutter="567"/>
          <w:lnNumType w:distance="0"/>
          <w:pgNumType w:start="1"/>
          <w:cols w:space="708"/>
          <w:noEndnote w:val="0"/>
          <w:bidi w:val="0"/>
          <w:docGrid w:linePitch="360"/>
        </w:sectPr>
      </w:pPr>
    </w:p>
    <w:p w:rsidR="00B34B9C" w:rsidP="00651A0E">
      <w:pPr>
        <w:pStyle w:val="NoSpacing"/>
        <w:bidi w:val="0"/>
        <w:spacing w:line="276" w:lineRule="auto"/>
        <w:rPr>
          <w:rFonts w:ascii="Times New Roman" w:hAnsi="Times New Roman"/>
          <w:b/>
          <w:szCs w:val="22"/>
        </w:rPr>
      </w:pPr>
      <w:r>
        <w:rPr>
          <w:rFonts w:ascii="Times New Roman" w:hAnsi="Times New Roman"/>
          <w:b/>
          <w:szCs w:val="22"/>
        </w:rPr>
        <w:t>Obsah</w:t>
      </w:r>
    </w:p>
    <w:p w:rsidR="00B34B9C" w:rsidRPr="00B34B9C" w:rsidP="00B34B9C">
      <w:pPr>
        <w:bidi w:val="0"/>
        <w:spacing w:after="0"/>
        <w:rPr>
          <w:lang w:eastAsia="cs-CZ"/>
        </w:rPr>
      </w:pPr>
    </w:p>
    <w:p w:rsidR="00A34DF5" w:rsidRPr="00A34DF5">
      <w:pPr>
        <w:pStyle w:val="TOC1"/>
        <w:bidi w:val="0"/>
        <w:rPr>
          <w:rFonts w:ascii="Times New Roman" w:hAnsi="Times New Roman" w:eastAsiaTheme="minorEastAsia" w:cs="Times New Roman"/>
          <w:noProof/>
          <w:sz w:val="22"/>
          <w:szCs w:val="22"/>
          <w:lang w:eastAsia="sk-SK"/>
        </w:rPr>
      </w:pPr>
      <w:r w:rsidRPr="00A34DF5" w:rsidR="00FE3A6A">
        <w:rPr>
          <w:rFonts w:ascii="Times New Roman" w:hAnsi="Times New Roman" w:cs="Times New Roman"/>
          <w:sz w:val="22"/>
          <w:szCs w:val="22"/>
        </w:rPr>
        <w:fldChar w:fldCharType="begin"/>
      </w:r>
      <w:r w:rsidRPr="00A34DF5" w:rsidR="00FE3A6A">
        <w:rPr>
          <w:rFonts w:ascii="Times New Roman" w:hAnsi="Times New Roman" w:cs="Times New Roman"/>
          <w:sz w:val="22"/>
          <w:szCs w:val="22"/>
        </w:rPr>
        <w:instrText xml:space="preserve"> TOC \o "1-3" \h \z \u </w:instrText>
      </w:r>
      <w:r w:rsidRPr="00A34DF5" w:rsidR="00FE3A6A">
        <w:rPr>
          <w:rFonts w:ascii="Times New Roman" w:hAnsi="Times New Roman" w:cs="Times New Roman"/>
          <w:sz w:val="22"/>
          <w:szCs w:val="22"/>
        </w:rPr>
        <w:fldChar w:fldCharType="separate"/>
      </w:r>
      <w:hyperlink w:anchor="_Toc433099551" w:history="1">
        <w:r w:rsidRPr="00A34DF5">
          <w:rPr>
            <w:rStyle w:val="Hyperlink"/>
            <w:rFonts w:ascii="Times New Roman" w:eastAsia="Cambria" w:hAnsi="Times New Roman" w:cs="Times New Roman"/>
            <w:noProof/>
            <w:sz w:val="22"/>
            <w:szCs w:val="22"/>
          </w:rPr>
          <w:t>Zhrnutie</w:t>
        </w:r>
        <w:r w:rsidRPr="00A34DF5">
          <w:rPr>
            <w:rFonts w:ascii="Times New Roman" w:hAnsi="Times New Roman" w:cs="Times New Roman"/>
            <w:noProof/>
            <w:webHidden/>
            <w:sz w:val="22"/>
            <w:szCs w:val="22"/>
          </w:rPr>
          <w:tab/>
        </w:r>
        <w:r w:rsidRPr="00A34DF5">
          <w:rPr>
            <w:rFonts w:ascii="Times New Roman" w:hAnsi="Times New Roman" w:cs="Times New Roman"/>
            <w:noProof/>
            <w:webHidden/>
            <w:sz w:val="22"/>
            <w:szCs w:val="22"/>
          </w:rPr>
          <w:fldChar w:fldCharType="begin"/>
        </w:r>
        <w:r w:rsidRPr="00A34DF5">
          <w:rPr>
            <w:rFonts w:ascii="Times New Roman" w:hAnsi="Times New Roman" w:cs="Times New Roman"/>
            <w:noProof/>
            <w:webHidden/>
            <w:sz w:val="22"/>
            <w:szCs w:val="22"/>
          </w:rPr>
          <w:instrText xml:space="preserve"> PAGEREF _Toc433099551 \h </w:instrText>
        </w:r>
        <w:r w:rsidRPr="00A34DF5">
          <w:rPr>
            <w:rFonts w:ascii="Times New Roman" w:hAnsi="Times New Roman" w:cs="Times New Roman"/>
            <w:noProof/>
            <w:webHidden/>
            <w:sz w:val="22"/>
            <w:szCs w:val="22"/>
          </w:rPr>
          <w:fldChar w:fldCharType="separate"/>
        </w:r>
        <w:r w:rsidR="00936341">
          <w:rPr>
            <w:rFonts w:ascii="Times New Roman" w:hAnsi="Times New Roman" w:cs="Times New Roman"/>
            <w:noProof/>
            <w:webHidden/>
            <w:sz w:val="22"/>
            <w:szCs w:val="22"/>
          </w:rPr>
          <w:t>2</w:t>
        </w:r>
        <w:r w:rsidRPr="00A34DF5">
          <w:rPr>
            <w:rFonts w:ascii="Times New Roman" w:hAnsi="Times New Roman" w:cs="Times New Roman"/>
            <w:noProof/>
            <w:webHidden/>
            <w:sz w:val="22"/>
            <w:szCs w:val="22"/>
          </w:rPr>
          <w:fldChar w:fldCharType="end"/>
        </w:r>
      </w:hyperlink>
    </w:p>
    <w:p w:rsidR="00A34DF5" w:rsidRPr="00A34DF5">
      <w:pPr>
        <w:pStyle w:val="TOC1"/>
        <w:bidi w:val="0"/>
        <w:rPr>
          <w:rFonts w:ascii="Times New Roman" w:hAnsi="Times New Roman" w:eastAsiaTheme="minorEastAsia" w:cs="Times New Roman"/>
          <w:noProof/>
          <w:sz w:val="22"/>
          <w:szCs w:val="22"/>
          <w:lang w:eastAsia="sk-SK"/>
        </w:rPr>
      </w:pPr>
      <w:hyperlink w:anchor="_Toc433099552" w:history="1">
        <w:r w:rsidRPr="00A34DF5">
          <w:rPr>
            <w:rStyle w:val="Hyperlink"/>
            <w:rFonts w:ascii="Times New Roman" w:eastAsia="Cambria" w:hAnsi="Times New Roman" w:cs="Times New Roman" w:hint="default"/>
            <w:noProof/>
            <w:sz w:val="22"/>
            <w:szCs w:val="22"/>
          </w:rPr>
          <w:t>Ú</w:t>
        </w:r>
        <w:r w:rsidRPr="00A34DF5">
          <w:rPr>
            <w:rStyle w:val="Hyperlink"/>
            <w:rFonts w:ascii="Times New Roman" w:eastAsia="Cambria" w:hAnsi="Times New Roman" w:cs="Times New Roman" w:hint="default"/>
            <w:noProof/>
            <w:sz w:val="22"/>
            <w:szCs w:val="22"/>
          </w:rPr>
          <w:t>vod</w:t>
        </w:r>
        <w:r w:rsidRPr="00A34DF5">
          <w:rPr>
            <w:rFonts w:ascii="Times New Roman" w:hAnsi="Times New Roman" w:cs="Times New Roman"/>
            <w:noProof/>
            <w:webHidden/>
            <w:sz w:val="22"/>
            <w:szCs w:val="22"/>
          </w:rPr>
          <w:tab/>
        </w:r>
        <w:r w:rsidRPr="00A34DF5">
          <w:rPr>
            <w:rFonts w:ascii="Times New Roman" w:hAnsi="Times New Roman" w:cs="Times New Roman"/>
            <w:noProof/>
            <w:webHidden/>
            <w:sz w:val="22"/>
            <w:szCs w:val="22"/>
          </w:rPr>
          <w:fldChar w:fldCharType="begin"/>
        </w:r>
        <w:r w:rsidRPr="00A34DF5">
          <w:rPr>
            <w:rFonts w:ascii="Times New Roman" w:hAnsi="Times New Roman" w:cs="Times New Roman"/>
            <w:noProof/>
            <w:webHidden/>
            <w:sz w:val="22"/>
            <w:szCs w:val="22"/>
          </w:rPr>
          <w:instrText xml:space="preserve"> PAGEREF _Toc433099552 \h </w:instrText>
        </w:r>
        <w:r w:rsidRPr="00A34DF5">
          <w:rPr>
            <w:rFonts w:ascii="Times New Roman" w:hAnsi="Times New Roman" w:cs="Times New Roman"/>
            <w:noProof/>
            <w:webHidden/>
            <w:sz w:val="22"/>
            <w:szCs w:val="22"/>
          </w:rPr>
          <w:fldChar w:fldCharType="separate"/>
        </w:r>
        <w:r w:rsidR="00936341">
          <w:rPr>
            <w:rFonts w:ascii="Times New Roman" w:hAnsi="Times New Roman" w:cs="Times New Roman"/>
            <w:noProof/>
            <w:webHidden/>
            <w:sz w:val="22"/>
            <w:szCs w:val="22"/>
          </w:rPr>
          <w:t>3</w:t>
        </w:r>
        <w:r w:rsidRPr="00A34DF5">
          <w:rPr>
            <w:rFonts w:ascii="Times New Roman" w:hAnsi="Times New Roman" w:cs="Times New Roman"/>
            <w:noProof/>
            <w:webHidden/>
            <w:sz w:val="22"/>
            <w:szCs w:val="22"/>
          </w:rPr>
          <w:fldChar w:fldCharType="end"/>
        </w:r>
      </w:hyperlink>
    </w:p>
    <w:p w:rsidR="00A34DF5" w:rsidRPr="00A34DF5">
      <w:pPr>
        <w:pStyle w:val="TOC1"/>
        <w:bidi w:val="0"/>
        <w:rPr>
          <w:rFonts w:ascii="Times New Roman" w:hAnsi="Times New Roman" w:eastAsiaTheme="minorEastAsia" w:cs="Times New Roman"/>
          <w:noProof/>
          <w:sz w:val="22"/>
          <w:szCs w:val="22"/>
          <w:lang w:eastAsia="sk-SK"/>
        </w:rPr>
      </w:pPr>
      <w:hyperlink w:anchor="_Toc433099553" w:history="1">
        <w:r w:rsidRPr="00A34DF5">
          <w:rPr>
            <w:rStyle w:val="Hyperlink"/>
            <w:rFonts w:ascii="Times New Roman" w:hAnsi="Times New Roman" w:cs="Times New Roman"/>
            <w:noProof/>
            <w:sz w:val="22"/>
            <w:szCs w:val="22"/>
          </w:rPr>
          <w:t>1.</w:t>
        </w:r>
        <w:r w:rsidRPr="00A34DF5">
          <w:rPr>
            <w:rFonts w:ascii="Times New Roman" w:hAnsi="Times New Roman" w:eastAsiaTheme="minorEastAsia" w:cs="Times New Roman"/>
            <w:noProof/>
            <w:sz w:val="22"/>
            <w:szCs w:val="22"/>
            <w:lang w:eastAsia="sk-SK"/>
          </w:rPr>
          <w:tab/>
        </w:r>
        <w:r w:rsidRPr="00A34DF5">
          <w:rPr>
            <w:rStyle w:val="Hyperlink"/>
            <w:rFonts w:ascii="Times New Roman" w:hAnsi="Times New Roman" w:cs="Times New Roman"/>
            <w:noProof/>
            <w:sz w:val="22"/>
            <w:szCs w:val="22"/>
          </w:rPr>
          <w:t>Hospodárenie verejnej správy v metodike ESA 2010</w:t>
        </w:r>
        <w:r w:rsidRPr="00A34DF5">
          <w:rPr>
            <w:rFonts w:ascii="Times New Roman" w:hAnsi="Times New Roman" w:cs="Times New Roman"/>
            <w:noProof/>
            <w:webHidden/>
            <w:sz w:val="22"/>
            <w:szCs w:val="22"/>
          </w:rPr>
          <w:tab/>
        </w:r>
        <w:r w:rsidRPr="00A34DF5">
          <w:rPr>
            <w:rFonts w:ascii="Times New Roman" w:hAnsi="Times New Roman" w:cs="Times New Roman"/>
            <w:noProof/>
            <w:webHidden/>
            <w:sz w:val="22"/>
            <w:szCs w:val="22"/>
          </w:rPr>
          <w:fldChar w:fldCharType="begin"/>
        </w:r>
        <w:r w:rsidRPr="00A34DF5">
          <w:rPr>
            <w:rFonts w:ascii="Times New Roman" w:hAnsi="Times New Roman" w:cs="Times New Roman"/>
            <w:noProof/>
            <w:webHidden/>
            <w:sz w:val="22"/>
            <w:szCs w:val="22"/>
          </w:rPr>
          <w:instrText xml:space="preserve"> PAGEREF _Toc433099553 \h </w:instrText>
        </w:r>
        <w:r w:rsidRPr="00A34DF5">
          <w:rPr>
            <w:rFonts w:ascii="Times New Roman" w:hAnsi="Times New Roman" w:cs="Times New Roman"/>
            <w:noProof/>
            <w:webHidden/>
            <w:sz w:val="22"/>
            <w:szCs w:val="22"/>
          </w:rPr>
          <w:fldChar w:fldCharType="separate"/>
        </w:r>
        <w:r w:rsidR="00936341">
          <w:rPr>
            <w:rFonts w:ascii="Times New Roman" w:hAnsi="Times New Roman" w:cs="Times New Roman"/>
            <w:noProof/>
            <w:webHidden/>
            <w:sz w:val="22"/>
            <w:szCs w:val="22"/>
          </w:rPr>
          <w:t>5</w:t>
        </w:r>
        <w:r w:rsidRPr="00A34DF5">
          <w:rPr>
            <w:rFonts w:ascii="Times New Roman" w:hAnsi="Times New Roman" w:cs="Times New Roman"/>
            <w:noProof/>
            <w:webHidden/>
            <w:sz w:val="22"/>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54" w:history="1">
        <w:r w:rsidRPr="00A34DF5">
          <w:rPr>
            <w:rStyle w:val="Hyperlink"/>
            <w:rFonts w:ascii="Times New Roman" w:hAnsi="Times New Roman" w:cs="Times New Roman"/>
            <w:noProof/>
            <w:szCs w:val="22"/>
          </w:rPr>
          <w:t>1.1.</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Saldo verejnej správy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_Toc433099554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5</w:t>
        </w:r>
        <w:r w:rsidRPr="00A34DF5">
          <w:rPr>
            <w:rFonts w:ascii="Times New Roman" w:hAnsi="Times New Roman" w:cs="Times New Roman"/>
            <w:noProof/>
            <w:webHidden/>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55" w:history="1">
        <w:r w:rsidRPr="00A34DF5">
          <w:rPr>
            <w:rStyle w:val="Hyperlink"/>
            <w:rFonts w:ascii="Times New Roman" w:hAnsi="Times New Roman" w:cs="Times New Roman"/>
            <w:noProof/>
            <w:szCs w:val="22"/>
          </w:rPr>
          <w:t>1.2.</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Dlh verejnej správy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_Toc433099555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7</w:t>
        </w:r>
        <w:r w:rsidRPr="00A34DF5">
          <w:rPr>
            <w:rFonts w:ascii="Times New Roman" w:hAnsi="Times New Roman" w:cs="Times New Roman"/>
            <w:noProof/>
            <w:webHidden/>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58" w:history="1">
        <w:r w:rsidRPr="00A34DF5">
          <w:rPr>
            <w:rStyle w:val="Hyperlink"/>
            <w:rFonts w:ascii="Times New Roman" w:hAnsi="Times New Roman" w:cs="Times New Roman"/>
            <w:noProof/>
            <w:szCs w:val="22"/>
          </w:rPr>
          <w:t>1.3.</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Porovnanie salda a dlhu verejnej správy v rámci Európskej únie</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_Toc433099558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8</w:t>
        </w:r>
        <w:r w:rsidRPr="00A34DF5">
          <w:rPr>
            <w:rFonts w:ascii="Times New Roman" w:hAnsi="Times New Roman" w:cs="Times New Roman"/>
            <w:noProof/>
            <w:webHidden/>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60" w:history="1">
        <w:r w:rsidRPr="00A34DF5">
          <w:rPr>
            <w:rStyle w:val="Hyperlink"/>
            <w:rFonts w:ascii="Times New Roman" w:hAnsi="Times New Roman" w:cs="Times New Roman"/>
            <w:noProof/>
            <w:szCs w:val="22"/>
          </w:rPr>
          <w:t>1.4.</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Rozdiely medzi októbrovou a aprílovou notifikáciou údajov</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_Toc433099560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10</w:t>
        </w:r>
        <w:r w:rsidRPr="00A34DF5">
          <w:rPr>
            <w:rFonts w:ascii="Times New Roman" w:hAnsi="Times New Roman" w:cs="Times New Roman"/>
            <w:noProof/>
            <w:webHidden/>
            <w:szCs w:val="22"/>
          </w:rPr>
          <w:fldChar w:fldCharType="end"/>
        </w:r>
      </w:hyperlink>
    </w:p>
    <w:p w:rsidR="00A34DF5" w:rsidRPr="00A34DF5">
      <w:pPr>
        <w:pStyle w:val="TOC1"/>
        <w:bidi w:val="0"/>
        <w:rPr>
          <w:rFonts w:ascii="Times New Roman" w:hAnsi="Times New Roman" w:eastAsiaTheme="minorEastAsia" w:cs="Times New Roman"/>
          <w:noProof/>
          <w:sz w:val="22"/>
          <w:szCs w:val="22"/>
          <w:lang w:eastAsia="sk-SK"/>
        </w:rPr>
      </w:pPr>
      <w:hyperlink w:anchor="_Toc433099561" w:history="1">
        <w:r w:rsidRPr="00A34DF5">
          <w:rPr>
            <w:rStyle w:val="Hyperlink"/>
            <w:rFonts w:ascii="Times New Roman" w:eastAsia="Cambria" w:hAnsi="Times New Roman" w:cs="Times New Roman"/>
            <w:noProof/>
            <w:sz w:val="22"/>
            <w:szCs w:val="22"/>
          </w:rPr>
          <w:t>2.</w:t>
        </w:r>
        <w:r w:rsidRPr="00A34DF5">
          <w:rPr>
            <w:rFonts w:ascii="Times New Roman" w:hAnsi="Times New Roman" w:eastAsiaTheme="minorEastAsia" w:cs="Times New Roman"/>
            <w:noProof/>
            <w:sz w:val="22"/>
            <w:szCs w:val="22"/>
            <w:lang w:eastAsia="sk-SK"/>
          </w:rPr>
          <w:tab/>
        </w:r>
        <w:r w:rsidRPr="00A34DF5">
          <w:rPr>
            <w:rStyle w:val="Hyperlink"/>
            <w:rFonts w:ascii="Times New Roman" w:eastAsia="Cambria" w:hAnsi="Times New Roman" w:cs="Times New Roman" w:hint="default"/>
            <w:noProof/>
            <w:sz w:val="22"/>
            <w:szCs w:val="22"/>
          </w:rPr>
          <w:t>Hospodá</w:t>
        </w:r>
        <w:r w:rsidRPr="00A34DF5">
          <w:rPr>
            <w:rStyle w:val="Hyperlink"/>
            <w:rFonts w:ascii="Times New Roman" w:eastAsia="Cambria" w:hAnsi="Times New Roman" w:cs="Times New Roman" w:hint="default"/>
            <w:noProof/>
            <w:sz w:val="22"/>
            <w:szCs w:val="22"/>
          </w:rPr>
          <w:t>renie verejnej sprá</w:t>
        </w:r>
        <w:r w:rsidRPr="00A34DF5">
          <w:rPr>
            <w:rStyle w:val="Hyperlink"/>
            <w:rFonts w:ascii="Times New Roman" w:eastAsia="Cambria" w:hAnsi="Times New Roman" w:cs="Times New Roman" w:hint="default"/>
            <w:noProof/>
            <w:sz w:val="22"/>
            <w:szCs w:val="22"/>
          </w:rPr>
          <w:t xml:space="preserve">vy </w:t>
        </w:r>
        <w:r w:rsidRPr="00A34DF5">
          <w:rPr>
            <w:rStyle w:val="Hyperlink"/>
            <w:rFonts w:ascii="Times New Roman" w:eastAsia="Cambria" w:hAnsi="Times New Roman" w:cs="Times New Roman" w:hint="default"/>
            <w:noProof/>
            <w:sz w:val="22"/>
            <w:szCs w:val="22"/>
          </w:rPr>
          <w:t>–</w:t>
        </w:r>
        <w:r w:rsidRPr="00A34DF5">
          <w:rPr>
            <w:rStyle w:val="Hyperlink"/>
            <w:rFonts w:ascii="Times New Roman" w:eastAsia="Cambria" w:hAnsi="Times New Roman" w:cs="Times New Roman" w:hint="default"/>
            <w:noProof/>
            <w:sz w:val="22"/>
            <w:szCs w:val="22"/>
          </w:rPr>
          <w:t xml:space="preserve"> pož</w:t>
        </w:r>
        <w:r w:rsidRPr="00A34DF5">
          <w:rPr>
            <w:rStyle w:val="Hyperlink"/>
            <w:rFonts w:ascii="Times New Roman" w:eastAsia="Cambria" w:hAnsi="Times New Roman" w:cs="Times New Roman" w:hint="default"/>
            <w:noProof/>
            <w:sz w:val="22"/>
            <w:szCs w:val="22"/>
          </w:rPr>
          <w:t>iadavky ú</w:t>
        </w:r>
        <w:r w:rsidRPr="00A34DF5">
          <w:rPr>
            <w:rStyle w:val="Hyperlink"/>
            <w:rFonts w:ascii="Times New Roman" w:eastAsia="Cambria" w:hAnsi="Times New Roman" w:cs="Times New Roman" w:hint="default"/>
            <w:noProof/>
            <w:sz w:val="22"/>
            <w:szCs w:val="22"/>
          </w:rPr>
          <w:t>stavné</w:t>
        </w:r>
        <w:r w:rsidRPr="00A34DF5">
          <w:rPr>
            <w:rStyle w:val="Hyperlink"/>
            <w:rFonts w:ascii="Times New Roman" w:eastAsia="Cambria" w:hAnsi="Times New Roman" w:cs="Times New Roman" w:hint="default"/>
            <w:noProof/>
            <w:sz w:val="22"/>
            <w:szCs w:val="22"/>
          </w:rPr>
          <w:t>ho zá</w:t>
        </w:r>
        <w:r w:rsidRPr="00A34DF5">
          <w:rPr>
            <w:rStyle w:val="Hyperlink"/>
            <w:rFonts w:ascii="Times New Roman" w:eastAsia="Cambria" w:hAnsi="Times New Roman" w:cs="Times New Roman" w:hint="default"/>
            <w:noProof/>
            <w:sz w:val="22"/>
            <w:szCs w:val="22"/>
          </w:rPr>
          <w:t>kona o </w:t>
        </w:r>
        <w:r w:rsidRPr="00A34DF5">
          <w:rPr>
            <w:rStyle w:val="Hyperlink"/>
            <w:rFonts w:ascii="Times New Roman" w:eastAsia="Cambria" w:hAnsi="Times New Roman" w:cs="Times New Roman" w:hint="default"/>
            <w:noProof/>
            <w:sz w:val="22"/>
            <w:szCs w:val="22"/>
          </w:rPr>
          <w:t>rozpoč</w:t>
        </w:r>
        <w:r w:rsidRPr="00A34DF5">
          <w:rPr>
            <w:rStyle w:val="Hyperlink"/>
            <w:rFonts w:ascii="Times New Roman" w:eastAsia="Cambria" w:hAnsi="Times New Roman" w:cs="Times New Roman" w:hint="default"/>
            <w:noProof/>
            <w:sz w:val="22"/>
            <w:szCs w:val="22"/>
          </w:rPr>
          <w:t>tovej zodpovednosti</w:t>
        </w:r>
        <w:r w:rsidRPr="00A34DF5">
          <w:rPr>
            <w:rFonts w:ascii="Times New Roman" w:hAnsi="Times New Roman" w:cs="Times New Roman"/>
            <w:noProof/>
            <w:webHidden/>
            <w:sz w:val="22"/>
            <w:szCs w:val="22"/>
          </w:rPr>
          <w:tab/>
        </w:r>
        <w:r w:rsidRPr="00A34DF5">
          <w:rPr>
            <w:rFonts w:ascii="Times New Roman" w:hAnsi="Times New Roman" w:cs="Times New Roman"/>
            <w:noProof/>
            <w:webHidden/>
            <w:sz w:val="22"/>
            <w:szCs w:val="22"/>
          </w:rPr>
          <w:fldChar w:fldCharType="begin"/>
        </w:r>
        <w:r w:rsidRPr="00A34DF5">
          <w:rPr>
            <w:rFonts w:ascii="Times New Roman" w:hAnsi="Times New Roman" w:cs="Times New Roman"/>
            <w:noProof/>
            <w:webHidden/>
            <w:sz w:val="22"/>
            <w:szCs w:val="22"/>
          </w:rPr>
          <w:instrText xml:space="preserve"> PAGEREF _Toc433099561 \h </w:instrText>
        </w:r>
        <w:r w:rsidRPr="00A34DF5">
          <w:rPr>
            <w:rFonts w:ascii="Times New Roman" w:hAnsi="Times New Roman" w:cs="Times New Roman"/>
            <w:noProof/>
            <w:webHidden/>
            <w:sz w:val="22"/>
            <w:szCs w:val="22"/>
          </w:rPr>
          <w:fldChar w:fldCharType="separate"/>
        </w:r>
        <w:r w:rsidR="00936341">
          <w:rPr>
            <w:rFonts w:ascii="Times New Roman" w:hAnsi="Times New Roman" w:cs="Times New Roman"/>
            <w:noProof/>
            <w:webHidden/>
            <w:sz w:val="22"/>
            <w:szCs w:val="22"/>
          </w:rPr>
          <w:t>12</w:t>
        </w:r>
        <w:r w:rsidRPr="00A34DF5">
          <w:rPr>
            <w:rFonts w:ascii="Times New Roman" w:hAnsi="Times New Roman" w:cs="Times New Roman"/>
            <w:noProof/>
            <w:webHidden/>
            <w:sz w:val="22"/>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62" w:history="1">
        <w:r w:rsidRPr="00A34DF5">
          <w:rPr>
            <w:rStyle w:val="Hyperlink"/>
            <w:rFonts w:ascii="Times New Roman" w:hAnsi="Times New Roman" w:cs="Times New Roman"/>
            <w:noProof/>
            <w:szCs w:val="22"/>
          </w:rPr>
          <w:t>2.1.</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Bilancia rozpočtu verejnej správy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_Toc433099562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12</w:t>
        </w:r>
        <w:r w:rsidRPr="00A34DF5">
          <w:rPr>
            <w:rFonts w:ascii="Times New Roman" w:hAnsi="Times New Roman" w:cs="Times New Roman"/>
            <w:noProof/>
            <w:webHidden/>
            <w:szCs w:val="22"/>
          </w:rPr>
          <w:fldChar w:fldCharType="end"/>
        </w:r>
      </w:hyperlink>
    </w:p>
    <w:p w:rsidR="00A34DF5" w:rsidRPr="00A34DF5">
      <w:pPr>
        <w:pStyle w:val="TOC3"/>
        <w:bidi w:val="0"/>
        <w:rPr>
          <w:rFonts w:ascii="Times New Roman" w:hAnsi="Times New Roman" w:eastAsiaTheme="minorEastAsia" w:cs="Times New Roman"/>
          <w:noProof/>
          <w:szCs w:val="22"/>
          <w:lang w:eastAsia="sk-SK"/>
        </w:rPr>
      </w:pPr>
      <w:hyperlink w:anchor="_Toc433099563" w:history="1">
        <w:r w:rsidRPr="00A34DF5">
          <w:rPr>
            <w:rStyle w:val="Hyperlink"/>
            <w:rFonts w:ascii="Times New Roman" w:hAnsi="Times New Roman" w:cs="Times New Roman"/>
            <w:noProof/>
            <w:szCs w:val="22"/>
          </w:rPr>
          <w:t>2.1.1.</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Príjmy verejnej správy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_Toc433099563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12</w:t>
        </w:r>
        <w:r w:rsidRPr="00A34DF5">
          <w:rPr>
            <w:rFonts w:ascii="Times New Roman" w:hAnsi="Times New Roman" w:cs="Times New Roman"/>
            <w:noProof/>
            <w:webHidden/>
            <w:szCs w:val="22"/>
          </w:rPr>
          <w:fldChar w:fldCharType="end"/>
        </w:r>
      </w:hyperlink>
    </w:p>
    <w:p w:rsidR="00A34DF5" w:rsidRPr="00A34DF5">
      <w:pPr>
        <w:pStyle w:val="TOC3"/>
        <w:bidi w:val="0"/>
        <w:rPr>
          <w:rFonts w:ascii="Times New Roman" w:hAnsi="Times New Roman" w:eastAsiaTheme="minorEastAsia" w:cs="Times New Roman"/>
          <w:noProof/>
          <w:szCs w:val="22"/>
          <w:lang w:eastAsia="sk-SK"/>
        </w:rPr>
      </w:pPr>
      <w:hyperlink w:anchor="_Toc433099565" w:history="1">
        <w:r w:rsidRPr="00A34DF5">
          <w:rPr>
            <w:rStyle w:val="Hyperlink"/>
            <w:rFonts w:ascii="Times New Roman" w:hAnsi="Times New Roman" w:cs="Times New Roman"/>
            <w:noProof/>
            <w:szCs w:val="22"/>
          </w:rPr>
          <w:t>2.1.2.</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Výdavky verejnej správy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_Toc433099565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14</w:t>
        </w:r>
        <w:r w:rsidRPr="00A34DF5">
          <w:rPr>
            <w:rFonts w:ascii="Times New Roman" w:hAnsi="Times New Roman" w:cs="Times New Roman"/>
            <w:noProof/>
            <w:webHidden/>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66" w:history="1">
        <w:r w:rsidRPr="00A34DF5">
          <w:rPr>
            <w:rStyle w:val="Hyperlink"/>
            <w:rFonts w:ascii="Times New Roman" w:hAnsi="Times New Roman" w:cs="Times New Roman"/>
            <w:noProof/>
            <w:szCs w:val="22"/>
          </w:rPr>
          <w:t>2.2.</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Jednorazové vplyvy, cyklická zložka a štrukturálne saldo</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_Toc433099566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16</w:t>
        </w:r>
        <w:r w:rsidRPr="00A34DF5">
          <w:rPr>
            <w:rFonts w:ascii="Times New Roman" w:hAnsi="Times New Roman" w:cs="Times New Roman"/>
            <w:noProof/>
            <w:webHidden/>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67" w:history="1">
        <w:r w:rsidRPr="00A34DF5">
          <w:rPr>
            <w:rStyle w:val="Hyperlink"/>
            <w:rFonts w:ascii="Times New Roman" w:hAnsi="Times New Roman" w:cs="Times New Roman"/>
            <w:noProof/>
            <w:szCs w:val="22"/>
          </w:rPr>
          <w:t>2.3.</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Čistý dlh verejnej správy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_Toc433099567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18</w:t>
        </w:r>
        <w:r w:rsidRPr="00A34DF5">
          <w:rPr>
            <w:rFonts w:ascii="Times New Roman" w:hAnsi="Times New Roman" w:cs="Times New Roman"/>
            <w:noProof/>
            <w:webHidden/>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68" w:history="1">
        <w:r w:rsidRPr="00A34DF5">
          <w:rPr>
            <w:rStyle w:val="Hyperlink"/>
            <w:rFonts w:ascii="Times New Roman" w:hAnsi="Times New Roman" w:cs="Times New Roman"/>
            <w:noProof/>
            <w:szCs w:val="22"/>
          </w:rPr>
          <w:t>2.4.</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Vyhodnotenie stratégie riadenia štátneho dlhu za rok 2014</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_Toc433099568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19</w:t>
        </w:r>
        <w:r w:rsidRPr="00A34DF5">
          <w:rPr>
            <w:rFonts w:ascii="Times New Roman" w:hAnsi="Times New Roman" w:cs="Times New Roman"/>
            <w:noProof/>
            <w:webHidden/>
            <w:szCs w:val="22"/>
          </w:rPr>
          <w:fldChar w:fldCharType="end"/>
        </w:r>
      </w:hyperlink>
    </w:p>
    <w:p w:rsidR="00A34DF5" w:rsidRPr="00A34DF5">
      <w:pPr>
        <w:pStyle w:val="TOC1"/>
        <w:bidi w:val="0"/>
        <w:rPr>
          <w:rFonts w:ascii="Times New Roman" w:hAnsi="Times New Roman" w:eastAsiaTheme="minorEastAsia" w:cs="Times New Roman"/>
          <w:noProof/>
          <w:sz w:val="22"/>
          <w:szCs w:val="22"/>
          <w:lang w:eastAsia="sk-SK"/>
        </w:rPr>
      </w:pPr>
      <w:hyperlink w:anchor="_Toc433099569" w:history="1">
        <w:r w:rsidRPr="00A34DF5">
          <w:rPr>
            <w:rStyle w:val="Hyperlink"/>
            <w:rFonts w:ascii="Times New Roman" w:eastAsia="Cambria" w:hAnsi="Times New Roman" w:cs="Times New Roman"/>
            <w:noProof/>
            <w:sz w:val="22"/>
            <w:szCs w:val="22"/>
          </w:rPr>
          <w:t>3.</w:t>
        </w:r>
        <w:r w:rsidRPr="00A34DF5">
          <w:rPr>
            <w:rFonts w:ascii="Times New Roman" w:hAnsi="Times New Roman" w:eastAsiaTheme="minorEastAsia" w:cs="Times New Roman"/>
            <w:noProof/>
            <w:sz w:val="22"/>
            <w:szCs w:val="22"/>
            <w:lang w:eastAsia="sk-SK"/>
          </w:rPr>
          <w:tab/>
        </w:r>
        <w:r w:rsidRPr="00A34DF5">
          <w:rPr>
            <w:rStyle w:val="Hyperlink"/>
            <w:rFonts w:ascii="Times New Roman" w:eastAsia="Cambria" w:hAnsi="Times New Roman" w:cs="Times New Roman" w:hint="default"/>
            <w:noProof/>
            <w:sz w:val="22"/>
            <w:szCs w:val="22"/>
          </w:rPr>
          <w:t>Č</w:t>
        </w:r>
        <w:r w:rsidRPr="00A34DF5">
          <w:rPr>
            <w:rStyle w:val="Hyperlink"/>
            <w:rFonts w:ascii="Times New Roman" w:eastAsia="Cambria" w:hAnsi="Times New Roman" w:cs="Times New Roman" w:hint="default"/>
            <w:noProof/>
            <w:sz w:val="22"/>
            <w:szCs w:val="22"/>
          </w:rPr>
          <w:t>isté</w:t>
        </w:r>
        <w:r w:rsidRPr="00A34DF5">
          <w:rPr>
            <w:rStyle w:val="Hyperlink"/>
            <w:rFonts w:ascii="Times New Roman" w:eastAsia="Cambria" w:hAnsi="Times New Roman" w:cs="Times New Roman" w:hint="default"/>
            <w:noProof/>
            <w:sz w:val="22"/>
            <w:szCs w:val="22"/>
          </w:rPr>
          <w:t xml:space="preserve"> bohatstvo</w:t>
        </w:r>
        <w:r w:rsidRPr="00A34DF5">
          <w:rPr>
            <w:rFonts w:ascii="Times New Roman" w:hAnsi="Times New Roman" w:cs="Times New Roman"/>
            <w:noProof/>
            <w:webHidden/>
            <w:sz w:val="22"/>
            <w:szCs w:val="22"/>
          </w:rPr>
          <w:tab/>
        </w:r>
        <w:r w:rsidRPr="00A34DF5">
          <w:rPr>
            <w:rFonts w:ascii="Times New Roman" w:hAnsi="Times New Roman" w:cs="Times New Roman"/>
            <w:noProof/>
            <w:webHidden/>
            <w:sz w:val="22"/>
            <w:szCs w:val="22"/>
          </w:rPr>
          <w:fldChar w:fldCharType="begin"/>
        </w:r>
        <w:r w:rsidRPr="00A34DF5">
          <w:rPr>
            <w:rFonts w:ascii="Times New Roman" w:hAnsi="Times New Roman" w:cs="Times New Roman"/>
            <w:noProof/>
            <w:webHidden/>
            <w:sz w:val="22"/>
            <w:szCs w:val="22"/>
          </w:rPr>
          <w:instrText xml:space="preserve"> PAGEREF _Toc433099569 \h </w:instrText>
        </w:r>
        <w:r w:rsidRPr="00A34DF5">
          <w:rPr>
            <w:rFonts w:ascii="Times New Roman" w:hAnsi="Times New Roman" w:cs="Times New Roman"/>
            <w:noProof/>
            <w:webHidden/>
            <w:sz w:val="22"/>
            <w:szCs w:val="22"/>
          </w:rPr>
          <w:fldChar w:fldCharType="separate"/>
        </w:r>
        <w:r w:rsidR="00936341">
          <w:rPr>
            <w:rFonts w:ascii="Times New Roman" w:hAnsi="Times New Roman" w:cs="Times New Roman"/>
            <w:noProof/>
            <w:webHidden/>
            <w:sz w:val="22"/>
            <w:szCs w:val="22"/>
          </w:rPr>
          <w:t>23</w:t>
        </w:r>
        <w:r w:rsidRPr="00A34DF5">
          <w:rPr>
            <w:rFonts w:ascii="Times New Roman" w:hAnsi="Times New Roman" w:cs="Times New Roman"/>
            <w:noProof/>
            <w:webHidden/>
            <w:sz w:val="22"/>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70" w:history="1">
        <w:r w:rsidRPr="00A34DF5">
          <w:rPr>
            <w:rStyle w:val="Hyperlink"/>
            <w:rFonts w:ascii="Times New Roman" w:eastAsia="Cambria" w:hAnsi="Times New Roman" w:cs="Times New Roman"/>
            <w:noProof/>
            <w:szCs w:val="22"/>
          </w:rPr>
          <w:t>3.1.</w:t>
        </w:r>
        <w:r w:rsidRPr="00A34DF5">
          <w:rPr>
            <w:rFonts w:ascii="Times New Roman" w:hAnsi="Times New Roman" w:eastAsiaTheme="minorEastAsia" w:cs="Times New Roman"/>
            <w:noProof/>
            <w:szCs w:val="22"/>
            <w:lang w:eastAsia="sk-SK"/>
          </w:rPr>
          <w:tab/>
        </w:r>
        <w:r w:rsidRPr="00A34DF5">
          <w:rPr>
            <w:rStyle w:val="Hyperlink"/>
            <w:rFonts w:ascii="Times New Roman" w:eastAsia="Cambria" w:hAnsi="Times New Roman" w:cs="Times New Roman" w:hint="default"/>
            <w:noProof/>
            <w:szCs w:val="22"/>
          </w:rPr>
          <w:t>Koncept č</w:t>
        </w:r>
        <w:r w:rsidRPr="00A34DF5">
          <w:rPr>
            <w:rStyle w:val="Hyperlink"/>
            <w:rFonts w:ascii="Times New Roman" w:eastAsia="Cambria" w:hAnsi="Times New Roman" w:cs="Times New Roman" w:hint="default"/>
            <w:noProof/>
            <w:szCs w:val="22"/>
          </w:rPr>
          <w:t>isté</w:t>
        </w:r>
        <w:r w:rsidRPr="00A34DF5">
          <w:rPr>
            <w:rStyle w:val="Hyperlink"/>
            <w:rFonts w:ascii="Times New Roman" w:eastAsia="Cambria" w:hAnsi="Times New Roman" w:cs="Times New Roman" w:hint="default"/>
            <w:noProof/>
            <w:szCs w:val="22"/>
          </w:rPr>
          <w:t>ho bohatstva</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_Toc433099570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23</w:t>
        </w:r>
        <w:r w:rsidRPr="00A34DF5">
          <w:rPr>
            <w:rFonts w:ascii="Times New Roman" w:hAnsi="Times New Roman" w:cs="Times New Roman"/>
            <w:noProof/>
            <w:webHidden/>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571" w:history="1">
        <w:r w:rsidRPr="00A34DF5">
          <w:rPr>
            <w:rStyle w:val="Hyperlink"/>
            <w:rFonts w:ascii="Times New Roman" w:eastAsia="Cambria" w:hAnsi="Times New Roman" w:cs="Times New Roman"/>
            <w:noProof/>
            <w:szCs w:val="22"/>
          </w:rPr>
          <w:t>3.2.</w:t>
        </w:r>
        <w:r w:rsidRPr="00A34DF5">
          <w:rPr>
            <w:rFonts w:ascii="Times New Roman" w:hAnsi="Times New Roman" w:eastAsiaTheme="minorEastAsia" w:cs="Times New Roman"/>
            <w:noProof/>
            <w:szCs w:val="22"/>
            <w:lang w:eastAsia="sk-SK"/>
          </w:rPr>
          <w:tab/>
        </w:r>
        <w:r w:rsidRPr="00A34DF5">
          <w:rPr>
            <w:rStyle w:val="Hyperlink"/>
            <w:rFonts w:ascii="Times New Roman" w:eastAsia="Cambria" w:hAnsi="Times New Roman" w:cs="Times New Roman" w:hint="default"/>
            <w:noProof/>
            <w:szCs w:val="22"/>
          </w:rPr>
          <w:t>Odhad č</w:t>
        </w:r>
        <w:r w:rsidRPr="00A34DF5">
          <w:rPr>
            <w:rStyle w:val="Hyperlink"/>
            <w:rFonts w:ascii="Times New Roman" w:eastAsia="Cambria" w:hAnsi="Times New Roman" w:cs="Times New Roman" w:hint="default"/>
            <w:noProof/>
            <w:szCs w:val="22"/>
          </w:rPr>
          <w:t>isté</w:t>
        </w:r>
        <w:r w:rsidRPr="00A34DF5">
          <w:rPr>
            <w:rStyle w:val="Hyperlink"/>
            <w:rFonts w:ascii="Times New Roman" w:eastAsia="Cambria" w:hAnsi="Times New Roman" w:cs="Times New Roman" w:hint="default"/>
            <w:noProof/>
            <w:szCs w:val="22"/>
          </w:rPr>
          <w:t>ho bohatstva za rok 2014</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_Toc433099571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24</w:t>
        </w:r>
        <w:r w:rsidRPr="00A34DF5">
          <w:rPr>
            <w:rFonts w:ascii="Times New Roman" w:hAnsi="Times New Roman" w:cs="Times New Roman"/>
            <w:noProof/>
            <w:webHidden/>
            <w:szCs w:val="22"/>
          </w:rPr>
          <w:fldChar w:fldCharType="end"/>
        </w:r>
      </w:hyperlink>
    </w:p>
    <w:p w:rsidR="00A34DF5" w:rsidRPr="00A34DF5">
      <w:pPr>
        <w:pStyle w:val="TOC3"/>
        <w:bidi w:val="0"/>
        <w:rPr>
          <w:rFonts w:ascii="Times New Roman" w:hAnsi="Times New Roman" w:eastAsiaTheme="minorEastAsia" w:cs="Times New Roman"/>
          <w:noProof/>
          <w:szCs w:val="22"/>
          <w:lang w:eastAsia="sk-SK"/>
        </w:rPr>
      </w:pPr>
      <w:hyperlink w:anchor="_Toc433099572" w:history="1">
        <w:r w:rsidRPr="00A34DF5">
          <w:rPr>
            <w:rStyle w:val="Hyperlink"/>
            <w:rFonts w:ascii="Times New Roman" w:hAnsi="Times New Roman" w:cs="Times New Roman"/>
            <w:noProof/>
            <w:szCs w:val="22"/>
          </w:rPr>
          <w:t>3.2.1.</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Vlastné imanie podnikov štátnej správy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_Toc433099572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25</w:t>
        </w:r>
        <w:r w:rsidRPr="00A34DF5">
          <w:rPr>
            <w:rFonts w:ascii="Times New Roman" w:hAnsi="Times New Roman" w:cs="Times New Roman"/>
            <w:noProof/>
            <w:webHidden/>
            <w:szCs w:val="22"/>
          </w:rPr>
          <w:fldChar w:fldCharType="end"/>
        </w:r>
      </w:hyperlink>
    </w:p>
    <w:p w:rsidR="00A34DF5" w:rsidRPr="00A34DF5">
      <w:pPr>
        <w:pStyle w:val="TOC3"/>
        <w:bidi w:val="0"/>
        <w:rPr>
          <w:rFonts w:ascii="Times New Roman" w:hAnsi="Times New Roman" w:eastAsiaTheme="minorEastAsia" w:cs="Times New Roman"/>
          <w:noProof/>
          <w:szCs w:val="22"/>
          <w:lang w:eastAsia="sk-SK"/>
        </w:rPr>
      </w:pPr>
      <w:hyperlink w:anchor="_Toc433099598" w:history="1">
        <w:r w:rsidRPr="00A34DF5">
          <w:rPr>
            <w:rStyle w:val="Hyperlink"/>
            <w:rFonts w:ascii="Times New Roman" w:hAnsi="Times New Roman" w:cs="Times New Roman"/>
            <w:noProof/>
            <w:szCs w:val="22"/>
          </w:rPr>
          <w:t>3.2.2.</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Vlastné imanie Národnej banky Slovenska</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_Toc433099598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59</w:t>
        </w:r>
        <w:r w:rsidRPr="00A34DF5">
          <w:rPr>
            <w:rFonts w:ascii="Times New Roman" w:hAnsi="Times New Roman" w:cs="Times New Roman"/>
            <w:noProof/>
            <w:webHidden/>
            <w:szCs w:val="22"/>
          </w:rPr>
          <w:fldChar w:fldCharType="end"/>
        </w:r>
      </w:hyperlink>
    </w:p>
    <w:p w:rsidR="00A34DF5" w:rsidRPr="00A34DF5">
      <w:pPr>
        <w:pStyle w:val="TOC3"/>
        <w:bidi w:val="0"/>
        <w:rPr>
          <w:rFonts w:ascii="Times New Roman" w:hAnsi="Times New Roman" w:eastAsiaTheme="minorEastAsia" w:cs="Times New Roman"/>
          <w:noProof/>
          <w:szCs w:val="22"/>
          <w:lang w:eastAsia="sk-SK"/>
        </w:rPr>
      </w:pPr>
      <w:hyperlink w:anchor="_Toc433099600" w:history="1">
        <w:r w:rsidRPr="00A34DF5">
          <w:rPr>
            <w:rStyle w:val="Hyperlink"/>
            <w:rFonts w:ascii="Times New Roman" w:hAnsi="Times New Roman" w:cs="Times New Roman"/>
            <w:noProof/>
            <w:szCs w:val="22"/>
          </w:rPr>
          <w:t>3.2.3.</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Implicitné záväzky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_Toc433099600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61</w:t>
        </w:r>
        <w:r w:rsidRPr="00A34DF5">
          <w:rPr>
            <w:rFonts w:ascii="Times New Roman" w:hAnsi="Times New Roman" w:cs="Times New Roman"/>
            <w:noProof/>
            <w:webHidden/>
            <w:szCs w:val="22"/>
          </w:rPr>
          <w:fldChar w:fldCharType="end"/>
        </w:r>
      </w:hyperlink>
    </w:p>
    <w:p w:rsidR="00A34DF5" w:rsidRPr="00A34DF5">
      <w:pPr>
        <w:pStyle w:val="TOC3"/>
        <w:bidi w:val="0"/>
        <w:rPr>
          <w:rFonts w:ascii="Times New Roman" w:hAnsi="Times New Roman" w:eastAsiaTheme="minorEastAsia" w:cs="Times New Roman"/>
          <w:noProof/>
          <w:szCs w:val="22"/>
          <w:lang w:eastAsia="sk-SK"/>
        </w:rPr>
      </w:pPr>
      <w:hyperlink w:anchor="_Toc433099601" w:history="1">
        <w:r w:rsidRPr="00A34DF5">
          <w:rPr>
            <w:rStyle w:val="Hyperlink"/>
            <w:rFonts w:ascii="Times New Roman" w:hAnsi="Times New Roman" w:cs="Times New Roman"/>
            <w:noProof/>
            <w:szCs w:val="22"/>
          </w:rPr>
          <w:t>3.2.4.</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Podmienené záväzky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_Toc433099601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63</w:t>
        </w:r>
        <w:r w:rsidRPr="00A34DF5">
          <w:rPr>
            <w:rFonts w:ascii="Times New Roman" w:hAnsi="Times New Roman" w:cs="Times New Roman"/>
            <w:noProof/>
            <w:webHidden/>
            <w:szCs w:val="22"/>
          </w:rPr>
          <w:fldChar w:fldCharType="end"/>
        </w:r>
      </w:hyperlink>
    </w:p>
    <w:p w:rsidR="00A34DF5" w:rsidRPr="00A34DF5">
      <w:pPr>
        <w:pStyle w:val="TOC3"/>
        <w:bidi w:val="0"/>
        <w:rPr>
          <w:rFonts w:ascii="Times New Roman" w:hAnsi="Times New Roman" w:eastAsiaTheme="minorEastAsia" w:cs="Times New Roman"/>
          <w:noProof/>
          <w:szCs w:val="22"/>
          <w:lang w:eastAsia="sk-SK"/>
        </w:rPr>
      </w:pPr>
      <w:hyperlink w:anchor="_Toc433099602" w:history="1">
        <w:r w:rsidRPr="00A34DF5">
          <w:rPr>
            <w:rStyle w:val="Hyperlink"/>
            <w:rFonts w:ascii="Times New Roman" w:hAnsi="Times New Roman" w:cs="Times New Roman"/>
            <w:noProof/>
            <w:szCs w:val="22"/>
          </w:rPr>
          <w:t>3.2.5.</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Ostatné zložky čistého bohatstva</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_Toc433099602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66</w:t>
        </w:r>
        <w:r w:rsidRPr="00A34DF5">
          <w:rPr>
            <w:rFonts w:ascii="Times New Roman" w:hAnsi="Times New Roman" w:cs="Times New Roman"/>
            <w:noProof/>
            <w:webHidden/>
            <w:szCs w:val="22"/>
          </w:rPr>
          <w:fldChar w:fldCharType="end"/>
        </w:r>
      </w:hyperlink>
    </w:p>
    <w:p w:rsidR="00A34DF5" w:rsidRPr="00A34DF5">
      <w:pPr>
        <w:pStyle w:val="TOC1"/>
        <w:bidi w:val="0"/>
        <w:rPr>
          <w:rFonts w:ascii="Times New Roman" w:hAnsi="Times New Roman" w:eastAsiaTheme="minorEastAsia" w:cs="Times New Roman"/>
          <w:noProof/>
          <w:sz w:val="22"/>
          <w:szCs w:val="22"/>
          <w:lang w:eastAsia="sk-SK"/>
        </w:rPr>
      </w:pPr>
      <w:hyperlink w:anchor="_Toc433099603" w:history="1">
        <w:r w:rsidRPr="00A34DF5">
          <w:rPr>
            <w:rStyle w:val="Hyperlink"/>
            <w:rFonts w:ascii="Times New Roman" w:hAnsi="Times New Roman" w:cs="Times New Roman"/>
            <w:noProof/>
            <w:sz w:val="22"/>
            <w:szCs w:val="22"/>
          </w:rPr>
          <w:t>4. Komentár k súhrnnej účtovnej závierke verejnej správy Slovenskej republiky za rok 2014</w:t>
        </w:r>
        <w:r w:rsidRPr="00A34DF5">
          <w:rPr>
            <w:rFonts w:ascii="Times New Roman" w:hAnsi="Times New Roman" w:cs="Times New Roman"/>
            <w:noProof/>
            <w:webHidden/>
            <w:sz w:val="22"/>
            <w:szCs w:val="22"/>
          </w:rPr>
          <w:tab/>
        </w:r>
        <w:r w:rsidRPr="00A34DF5">
          <w:rPr>
            <w:rFonts w:ascii="Times New Roman" w:hAnsi="Times New Roman" w:cs="Times New Roman"/>
            <w:noProof/>
            <w:webHidden/>
            <w:sz w:val="22"/>
            <w:szCs w:val="22"/>
          </w:rPr>
          <w:fldChar w:fldCharType="begin"/>
        </w:r>
        <w:r w:rsidRPr="00A34DF5">
          <w:rPr>
            <w:rFonts w:ascii="Times New Roman" w:hAnsi="Times New Roman" w:cs="Times New Roman"/>
            <w:noProof/>
            <w:webHidden/>
            <w:sz w:val="22"/>
            <w:szCs w:val="22"/>
          </w:rPr>
          <w:instrText xml:space="preserve"> PAGEREF _Toc433099603 \h </w:instrText>
        </w:r>
        <w:r w:rsidRPr="00A34DF5">
          <w:rPr>
            <w:rFonts w:ascii="Times New Roman" w:hAnsi="Times New Roman" w:cs="Times New Roman"/>
            <w:noProof/>
            <w:webHidden/>
            <w:sz w:val="22"/>
            <w:szCs w:val="22"/>
          </w:rPr>
          <w:fldChar w:fldCharType="separate"/>
        </w:r>
        <w:r w:rsidR="00936341">
          <w:rPr>
            <w:rFonts w:ascii="Times New Roman" w:hAnsi="Times New Roman" w:cs="Times New Roman"/>
            <w:noProof/>
            <w:webHidden/>
            <w:sz w:val="22"/>
            <w:szCs w:val="22"/>
          </w:rPr>
          <w:t>67</w:t>
        </w:r>
        <w:r w:rsidRPr="00A34DF5">
          <w:rPr>
            <w:rFonts w:ascii="Times New Roman" w:hAnsi="Times New Roman" w:cs="Times New Roman"/>
            <w:noProof/>
            <w:webHidden/>
            <w:sz w:val="22"/>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604" w:history="1">
        <w:r w:rsidRPr="00A34DF5">
          <w:rPr>
            <w:rStyle w:val="Hyperlink"/>
            <w:rFonts w:ascii="Times New Roman" w:hAnsi="Times New Roman" w:cs="Times New Roman"/>
            <w:noProof/>
            <w:szCs w:val="22"/>
          </w:rPr>
          <w:t>4.1.</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Štruktúra súhrnného celku v roku 2014</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_Toc433099604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68</w:t>
        </w:r>
        <w:r w:rsidRPr="00A34DF5">
          <w:rPr>
            <w:rFonts w:ascii="Times New Roman" w:hAnsi="Times New Roman" w:cs="Times New Roman"/>
            <w:noProof/>
            <w:webHidden/>
            <w:szCs w:val="22"/>
          </w:rPr>
          <w:fldChar w:fldCharType="end"/>
        </w:r>
      </w:hyperlink>
    </w:p>
    <w:p w:rsidR="00A34DF5" w:rsidRPr="00A34DF5">
      <w:pPr>
        <w:pStyle w:val="TOC2"/>
        <w:bidi w:val="0"/>
        <w:rPr>
          <w:rFonts w:ascii="Times New Roman" w:hAnsi="Times New Roman" w:eastAsiaTheme="minorEastAsia" w:cs="Times New Roman"/>
          <w:noProof/>
          <w:szCs w:val="22"/>
          <w:lang w:eastAsia="sk-SK"/>
        </w:rPr>
      </w:pPr>
      <w:hyperlink w:anchor="_Toc433099605" w:history="1">
        <w:r w:rsidRPr="00A34DF5">
          <w:rPr>
            <w:rStyle w:val="Hyperlink"/>
            <w:rFonts w:ascii="Times New Roman" w:hAnsi="Times New Roman" w:cs="Times New Roman"/>
            <w:noProof/>
            <w:szCs w:val="22"/>
          </w:rPr>
          <w:t xml:space="preserve">4.2. </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Komentár k najvýznamnejším položkám súhrnnej účtovnej závierky</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_Toc433099605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70</w:t>
        </w:r>
        <w:r w:rsidRPr="00A34DF5">
          <w:rPr>
            <w:rFonts w:ascii="Times New Roman" w:hAnsi="Times New Roman" w:cs="Times New Roman"/>
            <w:noProof/>
            <w:webHidden/>
            <w:szCs w:val="22"/>
          </w:rPr>
          <w:fldChar w:fldCharType="end"/>
        </w:r>
      </w:hyperlink>
    </w:p>
    <w:p w:rsidR="00A34DF5" w:rsidRPr="00A34DF5">
      <w:pPr>
        <w:pStyle w:val="TOC3"/>
        <w:bidi w:val="0"/>
        <w:rPr>
          <w:rFonts w:ascii="Times New Roman" w:hAnsi="Times New Roman" w:eastAsiaTheme="minorEastAsia" w:cs="Times New Roman"/>
          <w:noProof/>
          <w:szCs w:val="22"/>
          <w:lang w:eastAsia="sk-SK"/>
        </w:rPr>
      </w:pPr>
      <w:hyperlink w:anchor="_Toc433099606" w:history="1">
        <w:r w:rsidRPr="00A34DF5">
          <w:rPr>
            <w:rStyle w:val="Hyperlink"/>
            <w:rFonts w:ascii="Times New Roman" w:hAnsi="Times New Roman" w:cs="Times New Roman"/>
            <w:noProof/>
            <w:szCs w:val="22"/>
          </w:rPr>
          <w:t>4.2.1.</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Súvaha</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_Toc433099606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70</w:t>
        </w:r>
        <w:r w:rsidRPr="00A34DF5">
          <w:rPr>
            <w:rFonts w:ascii="Times New Roman" w:hAnsi="Times New Roman" w:cs="Times New Roman"/>
            <w:noProof/>
            <w:webHidden/>
            <w:szCs w:val="22"/>
          </w:rPr>
          <w:fldChar w:fldCharType="end"/>
        </w:r>
      </w:hyperlink>
    </w:p>
    <w:p w:rsidR="00A34DF5" w:rsidRPr="00A34DF5">
      <w:pPr>
        <w:pStyle w:val="TOC3"/>
        <w:bidi w:val="0"/>
        <w:rPr>
          <w:rFonts w:ascii="Times New Roman" w:hAnsi="Times New Roman" w:eastAsiaTheme="minorEastAsia" w:cs="Times New Roman"/>
          <w:noProof/>
          <w:szCs w:val="22"/>
          <w:lang w:eastAsia="sk-SK"/>
        </w:rPr>
      </w:pPr>
      <w:hyperlink w:anchor="_Toc433099607" w:history="1">
        <w:r w:rsidRPr="00A34DF5">
          <w:rPr>
            <w:rStyle w:val="Hyperlink"/>
            <w:rFonts w:ascii="Times New Roman" w:hAnsi="Times New Roman" w:cs="Times New Roman"/>
            <w:noProof/>
            <w:szCs w:val="22"/>
          </w:rPr>
          <w:t>4.2.2.</w:t>
        </w:r>
        <w:r w:rsidRPr="00A34DF5">
          <w:rPr>
            <w:rFonts w:ascii="Times New Roman" w:hAnsi="Times New Roman" w:eastAsiaTheme="minorEastAsia" w:cs="Times New Roman"/>
            <w:noProof/>
            <w:szCs w:val="22"/>
            <w:lang w:eastAsia="sk-SK"/>
          </w:rPr>
          <w:tab/>
        </w:r>
        <w:r w:rsidRPr="00A34DF5">
          <w:rPr>
            <w:rStyle w:val="Hyperlink"/>
            <w:rFonts w:ascii="Times New Roman" w:hAnsi="Times New Roman" w:cs="Times New Roman"/>
            <w:noProof/>
            <w:szCs w:val="22"/>
          </w:rPr>
          <w:t>Výkaz ziskov a strát</w:t>
        </w:r>
        <w:r w:rsidRPr="00A34DF5">
          <w:rPr>
            <w:rFonts w:ascii="Times New Roman" w:hAnsi="Times New Roman" w:cs="Times New Roman"/>
            <w:noProof/>
            <w:webHidden/>
            <w:szCs w:val="22"/>
          </w:rPr>
          <w:tab/>
        </w:r>
        <w:r w:rsidRPr="00A34DF5">
          <w:rPr>
            <w:rFonts w:ascii="Times New Roman" w:hAnsi="Times New Roman" w:cs="Times New Roman"/>
            <w:noProof/>
            <w:webHidden/>
            <w:szCs w:val="22"/>
          </w:rPr>
          <w:fldChar w:fldCharType="begin"/>
        </w:r>
        <w:r w:rsidRPr="00A34DF5">
          <w:rPr>
            <w:rFonts w:ascii="Times New Roman" w:hAnsi="Times New Roman" w:cs="Times New Roman"/>
            <w:noProof/>
            <w:webHidden/>
            <w:szCs w:val="22"/>
          </w:rPr>
          <w:instrText xml:space="preserve"> PAGEREF _Toc433099607 \h </w:instrText>
        </w:r>
        <w:r w:rsidRPr="00A34DF5">
          <w:rPr>
            <w:rFonts w:ascii="Times New Roman" w:hAnsi="Times New Roman" w:cs="Times New Roman"/>
            <w:noProof/>
            <w:webHidden/>
            <w:szCs w:val="22"/>
          </w:rPr>
          <w:fldChar w:fldCharType="separate"/>
        </w:r>
        <w:r w:rsidR="00936341">
          <w:rPr>
            <w:rFonts w:ascii="Times New Roman" w:hAnsi="Times New Roman" w:cs="Times New Roman"/>
            <w:noProof/>
            <w:webHidden/>
            <w:szCs w:val="22"/>
          </w:rPr>
          <w:t>82</w:t>
        </w:r>
        <w:r w:rsidRPr="00A34DF5">
          <w:rPr>
            <w:rFonts w:ascii="Times New Roman" w:hAnsi="Times New Roman" w:cs="Times New Roman"/>
            <w:noProof/>
            <w:webHidden/>
            <w:szCs w:val="22"/>
          </w:rPr>
          <w:fldChar w:fldCharType="end"/>
        </w:r>
      </w:hyperlink>
    </w:p>
    <w:p w:rsidR="00A34DF5" w:rsidRPr="00A34DF5">
      <w:pPr>
        <w:pStyle w:val="TOC1"/>
        <w:bidi w:val="0"/>
        <w:rPr>
          <w:rFonts w:ascii="Times New Roman" w:hAnsi="Times New Roman" w:eastAsiaTheme="minorEastAsia" w:cs="Times New Roman"/>
          <w:noProof/>
          <w:sz w:val="22"/>
          <w:szCs w:val="22"/>
          <w:lang w:eastAsia="sk-SK"/>
        </w:rPr>
      </w:pPr>
      <w:hyperlink w:anchor="_Toc433099608" w:history="1">
        <w:r w:rsidRPr="00A34DF5">
          <w:rPr>
            <w:rStyle w:val="Hyperlink"/>
            <w:rFonts w:ascii="Times New Roman" w:eastAsia="Cambria" w:hAnsi="Times New Roman" w:cs="Times New Roman" w:hint="default"/>
            <w:noProof/>
            <w:sz w:val="22"/>
            <w:szCs w:val="22"/>
          </w:rPr>
          <w:t>Zoznam skratiek ná</w:t>
        </w:r>
        <w:r w:rsidRPr="00A34DF5">
          <w:rPr>
            <w:rStyle w:val="Hyperlink"/>
            <w:rFonts w:ascii="Times New Roman" w:eastAsia="Cambria" w:hAnsi="Times New Roman" w:cs="Times New Roman" w:hint="default"/>
            <w:noProof/>
            <w:sz w:val="22"/>
            <w:szCs w:val="22"/>
          </w:rPr>
          <w:t>zvov a zá</w:t>
        </w:r>
        <w:r w:rsidRPr="00A34DF5">
          <w:rPr>
            <w:rStyle w:val="Hyperlink"/>
            <w:rFonts w:ascii="Times New Roman" w:eastAsia="Cambria" w:hAnsi="Times New Roman" w:cs="Times New Roman" w:hint="default"/>
            <w:noProof/>
            <w:sz w:val="22"/>
            <w:szCs w:val="22"/>
          </w:rPr>
          <w:t>konov</w:t>
        </w:r>
        <w:r w:rsidRPr="00A34DF5">
          <w:rPr>
            <w:rFonts w:ascii="Times New Roman" w:hAnsi="Times New Roman" w:cs="Times New Roman"/>
            <w:noProof/>
            <w:webHidden/>
            <w:sz w:val="22"/>
            <w:szCs w:val="22"/>
          </w:rPr>
          <w:tab/>
        </w:r>
        <w:r w:rsidRPr="00A34DF5">
          <w:rPr>
            <w:rFonts w:ascii="Times New Roman" w:hAnsi="Times New Roman" w:cs="Times New Roman"/>
            <w:noProof/>
            <w:webHidden/>
            <w:sz w:val="22"/>
            <w:szCs w:val="22"/>
          </w:rPr>
          <w:fldChar w:fldCharType="begin"/>
        </w:r>
        <w:r w:rsidRPr="00A34DF5">
          <w:rPr>
            <w:rFonts w:ascii="Times New Roman" w:hAnsi="Times New Roman" w:cs="Times New Roman"/>
            <w:noProof/>
            <w:webHidden/>
            <w:sz w:val="22"/>
            <w:szCs w:val="22"/>
          </w:rPr>
          <w:instrText xml:space="preserve"> PAGEREF _Toc433099608 \h </w:instrText>
        </w:r>
        <w:r w:rsidRPr="00A34DF5">
          <w:rPr>
            <w:rFonts w:ascii="Times New Roman" w:hAnsi="Times New Roman" w:cs="Times New Roman"/>
            <w:noProof/>
            <w:webHidden/>
            <w:sz w:val="22"/>
            <w:szCs w:val="22"/>
          </w:rPr>
          <w:fldChar w:fldCharType="separate"/>
        </w:r>
        <w:r w:rsidR="00936341">
          <w:rPr>
            <w:rFonts w:ascii="Times New Roman" w:hAnsi="Times New Roman" w:cs="Times New Roman"/>
            <w:noProof/>
            <w:webHidden/>
            <w:sz w:val="22"/>
            <w:szCs w:val="22"/>
          </w:rPr>
          <w:t>86</w:t>
        </w:r>
        <w:r w:rsidRPr="00A34DF5">
          <w:rPr>
            <w:rFonts w:ascii="Times New Roman" w:hAnsi="Times New Roman" w:cs="Times New Roman"/>
            <w:noProof/>
            <w:webHidden/>
            <w:sz w:val="22"/>
            <w:szCs w:val="22"/>
          </w:rPr>
          <w:fldChar w:fldCharType="end"/>
        </w:r>
      </w:hyperlink>
    </w:p>
    <w:p w:rsidR="00A34DF5" w:rsidRPr="00A34DF5">
      <w:pPr>
        <w:pStyle w:val="TOC1"/>
        <w:bidi w:val="0"/>
        <w:rPr>
          <w:rFonts w:ascii="Times New Roman" w:hAnsi="Times New Roman" w:eastAsiaTheme="minorEastAsia" w:cs="Times New Roman"/>
          <w:noProof/>
          <w:sz w:val="22"/>
          <w:szCs w:val="22"/>
          <w:lang w:eastAsia="sk-SK"/>
        </w:rPr>
      </w:pPr>
      <w:hyperlink w:anchor="_Toc433099609" w:history="1">
        <w:r w:rsidRPr="00A34DF5">
          <w:rPr>
            <w:rStyle w:val="Hyperlink"/>
            <w:rFonts w:ascii="Times New Roman" w:eastAsia="Cambria" w:hAnsi="Times New Roman" w:cs="Times New Roman" w:hint="default"/>
            <w:noProof/>
            <w:sz w:val="22"/>
            <w:szCs w:val="22"/>
          </w:rPr>
          <w:t>Slovní</w:t>
        </w:r>
        <w:r w:rsidRPr="00A34DF5">
          <w:rPr>
            <w:rStyle w:val="Hyperlink"/>
            <w:rFonts w:ascii="Times New Roman" w:eastAsia="Cambria" w:hAnsi="Times New Roman" w:cs="Times New Roman" w:hint="default"/>
            <w:noProof/>
            <w:sz w:val="22"/>
            <w:szCs w:val="22"/>
          </w:rPr>
          <w:t>k odborný</w:t>
        </w:r>
        <w:r w:rsidRPr="00A34DF5">
          <w:rPr>
            <w:rStyle w:val="Hyperlink"/>
            <w:rFonts w:ascii="Times New Roman" w:eastAsia="Cambria" w:hAnsi="Times New Roman" w:cs="Times New Roman" w:hint="default"/>
            <w:noProof/>
            <w:sz w:val="22"/>
            <w:szCs w:val="22"/>
          </w:rPr>
          <w:t>ch pojmov</w:t>
        </w:r>
        <w:r w:rsidRPr="00A34DF5">
          <w:rPr>
            <w:rFonts w:ascii="Times New Roman" w:hAnsi="Times New Roman" w:cs="Times New Roman"/>
            <w:noProof/>
            <w:webHidden/>
            <w:sz w:val="22"/>
            <w:szCs w:val="22"/>
          </w:rPr>
          <w:tab/>
        </w:r>
        <w:r w:rsidRPr="00A34DF5">
          <w:rPr>
            <w:rFonts w:ascii="Times New Roman" w:hAnsi="Times New Roman" w:cs="Times New Roman"/>
            <w:noProof/>
            <w:webHidden/>
            <w:sz w:val="22"/>
            <w:szCs w:val="22"/>
          </w:rPr>
          <w:fldChar w:fldCharType="begin"/>
        </w:r>
        <w:r w:rsidRPr="00A34DF5">
          <w:rPr>
            <w:rFonts w:ascii="Times New Roman" w:hAnsi="Times New Roman" w:cs="Times New Roman"/>
            <w:noProof/>
            <w:webHidden/>
            <w:sz w:val="22"/>
            <w:szCs w:val="22"/>
          </w:rPr>
          <w:instrText xml:space="preserve"> PAGEREF _Toc433099609 \h </w:instrText>
        </w:r>
        <w:r w:rsidRPr="00A34DF5">
          <w:rPr>
            <w:rFonts w:ascii="Times New Roman" w:hAnsi="Times New Roman" w:cs="Times New Roman"/>
            <w:noProof/>
            <w:webHidden/>
            <w:sz w:val="22"/>
            <w:szCs w:val="22"/>
          </w:rPr>
          <w:fldChar w:fldCharType="separate"/>
        </w:r>
        <w:r w:rsidR="00936341">
          <w:rPr>
            <w:rFonts w:ascii="Times New Roman" w:hAnsi="Times New Roman" w:cs="Times New Roman"/>
            <w:noProof/>
            <w:webHidden/>
            <w:sz w:val="22"/>
            <w:szCs w:val="22"/>
          </w:rPr>
          <w:t>87</w:t>
        </w:r>
        <w:r w:rsidRPr="00A34DF5">
          <w:rPr>
            <w:rFonts w:ascii="Times New Roman" w:hAnsi="Times New Roman" w:cs="Times New Roman"/>
            <w:noProof/>
            <w:webHidden/>
            <w:sz w:val="22"/>
            <w:szCs w:val="22"/>
          </w:rPr>
          <w:fldChar w:fldCharType="end"/>
        </w:r>
      </w:hyperlink>
    </w:p>
    <w:p w:rsidR="006019CC" w:rsidP="0009732B">
      <w:pPr>
        <w:bidi w:val="0"/>
        <w:spacing w:after="0" w:line="336" w:lineRule="auto"/>
        <w:rPr>
          <w:rFonts w:ascii="Times New Roman" w:hAnsi="Times New Roman" w:cs="Times New Roman"/>
          <w:szCs w:val="22"/>
        </w:rPr>
      </w:pPr>
      <w:r w:rsidRPr="00A34DF5" w:rsidR="00FE3A6A">
        <w:rPr>
          <w:rFonts w:ascii="Times New Roman" w:hAnsi="Times New Roman" w:cs="Times New Roman"/>
          <w:sz w:val="22"/>
          <w:szCs w:val="22"/>
        </w:rPr>
        <w:fldChar w:fldCharType="end"/>
      </w:r>
    </w:p>
    <w:p w:rsidR="0009732B" w:rsidRPr="006019CC" w:rsidP="0009732B">
      <w:pPr>
        <w:bidi w:val="0"/>
        <w:spacing w:after="0" w:line="336" w:lineRule="auto"/>
        <w:rPr>
          <w:rFonts w:ascii="Times New Roman" w:hAnsi="Times New Roman" w:cs="Times New Roman"/>
          <w:szCs w:val="22"/>
        </w:rPr>
      </w:pPr>
      <w:r w:rsidRPr="006019CC">
        <w:rPr>
          <w:rFonts w:ascii="Times New Roman" w:hAnsi="Times New Roman" w:cs="Times New Roman"/>
          <w:szCs w:val="22"/>
        </w:rPr>
        <w:t>Príloha č. 1 Prehľad hospodárenia podnikov štátnej správy a Fondu národného majetku SR</w:t>
      </w:r>
    </w:p>
    <w:p w:rsidR="00651A0E" w:rsidP="00651A0E">
      <w:pPr>
        <w:bidi w:val="0"/>
        <w:spacing w:after="0" w:line="336" w:lineRule="auto"/>
        <w:rPr>
          <w:rFonts w:ascii="Times New Roman" w:hAnsi="Times New Roman" w:cs="Times New Roman"/>
          <w:szCs w:val="22"/>
        </w:rPr>
      </w:pPr>
      <w:r w:rsidRPr="006019CC" w:rsidR="0009732B">
        <w:rPr>
          <w:rFonts w:ascii="Times New Roman" w:hAnsi="Times New Roman" w:cs="Times New Roman"/>
          <w:szCs w:val="22"/>
        </w:rPr>
        <w:t>Príloha č. 2 Súhrnná účtovná závierk</w:t>
      </w:r>
      <w:r>
        <w:rPr>
          <w:rFonts w:ascii="Times New Roman" w:hAnsi="Times New Roman" w:cs="Times New Roman"/>
          <w:szCs w:val="22"/>
        </w:rPr>
        <w:t>a verejnej správy SR za rok 2014</w:t>
      </w:r>
      <w:bookmarkStart w:id="2" w:name="_Toc433099551"/>
    </w:p>
    <w:p w:rsidR="00651A0E">
      <w:pPr>
        <w:bidi w:val="0"/>
        <w:rPr>
          <w:rFonts w:ascii="Times New Roman" w:hAnsi="Times New Roman" w:cs="Times New Roman"/>
          <w:szCs w:val="22"/>
        </w:rPr>
      </w:pPr>
      <w:r>
        <w:rPr>
          <w:rFonts w:ascii="Times New Roman" w:hAnsi="Times New Roman" w:cs="Times New Roman"/>
          <w:szCs w:val="22"/>
        </w:rPr>
        <w:br w:type="page"/>
      </w:r>
    </w:p>
    <w:p w:rsidR="00712D70" w:rsidRPr="00651A0E" w:rsidP="00651A0E">
      <w:pPr>
        <w:pStyle w:val="Heading1"/>
        <w:numPr>
          <w:numId w:val="0"/>
        </w:numPr>
        <w:bidi w:val="0"/>
        <w:ind w:firstLine="0"/>
      </w:pPr>
      <w:r w:rsidRPr="00651A0E">
        <w:t>Zhrnutie</w:t>
      </w:r>
      <w:bookmarkEnd w:id="0"/>
      <w:bookmarkEnd w:id="2"/>
      <w:r w:rsidRPr="00651A0E">
        <w:t xml:space="preserve"> </w:t>
      </w:r>
      <w:bookmarkEnd w:id="1"/>
    </w:p>
    <w:p w:rsidR="00712D70" w:rsidRPr="00712D70" w:rsidP="00712D70">
      <w:pPr>
        <w:pStyle w:val="ListParagraph"/>
        <w:numPr>
          <w:numId w:val="9"/>
        </w:numPr>
        <w:bidi w:val="0"/>
        <w:spacing w:after="120" w:line="336" w:lineRule="auto"/>
        <w:jc w:val="both"/>
        <w:rPr>
          <w:rFonts w:ascii="Times New Roman" w:hAnsi="Times New Roman"/>
          <w:b/>
        </w:rPr>
      </w:pPr>
      <w:r w:rsidRPr="00712D70">
        <w:rPr>
          <w:rFonts w:ascii="Times New Roman" w:hAnsi="Times New Roman"/>
        </w:rPr>
        <w:t xml:space="preserve">Verejná správa Slovenskej republiky hospodárila podľa metodiky ESA 2010 v roku 2014 so </w:t>
      </w:r>
      <w:r w:rsidRPr="00712D70">
        <w:rPr>
          <w:rFonts w:ascii="Times New Roman" w:hAnsi="Times New Roman"/>
          <w:b/>
        </w:rPr>
        <w:t>schodkom 2 097 552 tis. eur (2,8 % HDP)</w:t>
      </w:r>
      <w:r w:rsidRPr="00712D70">
        <w:rPr>
          <w:rFonts w:ascii="Times New Roman" w:hAnsi="Times New Roman"/>
        </w:rPr>
        <w:t>. Schodok verejnej správy na HDP sa oproti roku 2013 zvýšil o 0,2 p.b. Celkové príjmy verejnej správy za rok 2014 boli 29 363 974 tis. eur (38,9 % HDP) a celkové výdavky 31 461 528 tis. eur (41,6 % HDP).</w:t>
      </w:r>
    </w:p>
    <w:p w:rsidR="00712D70" w:rsidRPr="00712D70" w:rsidP="00712D70">
      <w:pPr>
        <w:pStyle w:val="ListParagraph"/>
        <w:numPr>
          <w:numId w:val="9"/>
        </w:numPr>
        <w:bidi w:val="0"/>
        <w:spacing w:after="120" w:line="336" w:lineRule="auto"/>
        <w:ind w:left="357" w:hanging="357"/>
        <w:jc w:val="both"/>
        <w:rPr>
          <w:rFonts w:ascii="Times New Roman" w:hAnsi="Times New Roman"/>
        </w:rPr>
      </w:pPr>
      <w:r w:rsidRPr="00712D70">
        <w:rPr>
          <w:rFonts w:ascii="Times New Roman" w:hAnsi="Times New Roman"/>
          <w:b/>
        </w:rPr>
        <w:t>Hrubý dlh verejnej správy</w:t>
      </w:r>
      <w:r w:rsidRPr="00712D70">
        <w:rPr>
          <w:rFonts w:ascii="Times New Roman" w:hAnsi="Times New Roman"/>
        </w:rPr>
        <w:t xml:space="preserve"> podľa metodiky ESA 2010 dosiahol k 31.12.2014 výšku </w:t>
      </w:r>
      <w:r w:rsidRPr="00712D70">
        <w:rPr>
          <w:rFonts w:ascii="Times New Roman" w:hAnsi="Times New Roman"/>
          <w:b/>
          <w:bCs/>
        </w:rPr>
        <w:t>40 403 787 </w:t>
      </w:r>
      <w:r w:rsidRPr="00712D70">
        <w:rPr>
          <w:rFonts w:ascii="Times New Roman" w:hAnsi="Times New Roman"/>
          <w:b/>
        </w:rPr>
        <w:t>tis. eur (53,5 % HDP)</w:t>
      </w:r>
      <w:r w:rsidR="00D624A3">
        <w:rPr>
          <w:rFonts w:ascii="Times New Roman" w:hAnsi="Times New Roman"/>
          <w:b/>
        </w:rPr>
        <w:t>.</w:t>
      </w:r>
      <w:r w:rsidRPr="00712D70">
        <w:rPr>
          <w:rFonts w:ascii="Times New Roman" w:hAnsi="Times New Roman"/>
          <w:b/>
        </w:rPr>
        <w:t xml:space="preserve"> </w:t>
      </w:r>
      <w:r w:rsidRPr="00D624A3" w:rsidR="00D624A3">
        <w:rPr>
          <w:rFonts w:ascii="Times New Roman" w:hAnsi="Times New Roman" w:cs="Times New Roman"/>
          <w:iCs/>
        </w:rPr>
        <w:t>Hrubý dlh v pomere k HDP prvýkrát v pokrízovom období klesol, a to o 1,1 p.b.</w:t>
      </w:r>
      <w:r w:rsidRPr="00712D70">
        <w:rPr>
          <w:rFonts w:ascii="Times New Roman" w:hAnsi="Times New Roman"/>
        </w:rPr>
        <w:t xml:space="preserve"> K medziročnému nárastu dlhu prispeli najviac hotovostný schodok štátneho rozpočtu (3,9 % HDP) a záväzky Slovenskej republiky z účasti na záchranných finančných mechanizmoch eurozóny EFSF a ESM (0,3 % HDP). K poklesu dlhu prispelo vyššie použitie prostriedkov systému štátnej pokladnice na financovanie dlhu (3,1 % HDP) a splatenie pôžičky Agentúry pre núdzové zásoby ropy a ropných výrobkov (0,7 % HDP). </w:t>
      </w:r>
      <w:r w:rsidRPr="00712D70">
        <w:rPr>
          <w:rFonts w:ascii="Times New Roman" w:eastAsia="Calibri" w:hAnsi="Times New Roman" w:cs="Times New Roman" w:hint="default"/>
        </w:rPr>
        <w:t>Rast nominá</w:t>
      </w:r>
      <w:r w:rsidRPr="00712D70">
        <w:rPr>
          <w:rFonts w:ascii="Times New Roman" w:eastAsia="Calibri" w:hAnsi="Times New Roman" w:cs="Times New Roman" w:hint="default"/>
        </w:rPr>
        <w:t>lneho HDP prispel k </w:t>
      </w:r>
      <w:r w:rsidRPr="00712D70">
        <w:rPr>
          <w:rFonts w:ascii="Times New Roman" w:eastAsia="Calibri" w:hAnsi="Times New Roman" w:cs="Times New Roman" w:hint="default"/>
        </w:rPr>
        <w:t>medziroč</w:t>
      </w:r>
      <w:r w:rsidRPr="00712D70">
        <w:rPr>
          <w:rFonts w:ascii="Times New Roman" w:eastAsia="Calibri" w:hAnsi="Times New Roman" w:cs="Times New Roman" w:hint="default"/>
        </w:rPr>
        <w:t>né</w:t>
      </w:r>
      <w:r w:rsidRPr="00712D70">
        <w:rPr>
          <w:rFonts w:ascii="Times New Roman" w:eastAsia="Calibri" w:hAnsi="Times New Roman" w:cs="Times New Roman" w:hint="default"/>
        </w:rPr>
        <w:t>mu zníž</w:t>
      </w:r>
      <w:r w:rsidRPr="00712D70">
        <w:rPr>
          <w:rFonts w:ascii="Times New Roman" w:eastAsia="Calibri" w:hAnsi="Times New Roman" w:cs="Times New Roman" w:hint="default"/>
        </w:rPr>
        <w:t>eniu podielu dlhu na HDP o 1,2 p.b</w:t>
      </w:r>
      <w:r w:rsidRPr="00712D70">
        <w:rPr>
          <w:rFonts w:ascii="Times New Roman" w:hAnsi="Times New Roman" w:cs="Times New Roman"/>
        </w:rPr>
        <w:t>.</w:t>
      </w:r>
    </w:p>
    <w:p w:rsidR="00712D70" w:rsidRPr="00712D70" w:rsidP="00712D70">
      <w:pPr>
        <w:pStyle w:val="ListParagraph"/>
        <w:numPr>
          <w:numId w:val="9"/>
        </w:numPr>
        <w:bidi w:val="0"/>
        <w:spacing w:after="120" w:line="336" w:lineRule="auto"/>
        <w:ind w:left="357" w:hanging="357"/>
        <w:jc w:val="both"/>
        <w:rPr>
          <w:rFonts w:ascii="Times New Roman" w:hAnsi="Times New Roman"/>
        </w:rPr>
      </w:pPr>
      <w:r w:rsidRPr="00712D70">
        <w:rPr>
          <w:rFonts w:ascii="Times New Roman" w:hAnsi="Times New Roman"/>
        </w:rPr>
        <w:t>V roku 2014 bolo z dôvodu implementácie európskeho fiškálneho kompaktu premietnuté do slovenskej legislatívy pravidlo o vyrovnanom rozpočte. Ministerstvo financií SR a Rada rozpočtovej zodpovednosti ako poverený nezávislý orgán vo svojich prvých hodnoteniach konštatovali, že v roku 2014 nedošlo k výraznej odchýlke od plnenia pravidla o vyrovnanom rozpočte.</w:t>
      </w:r>
    </w:p>
    <w:p w:rsidR="0008314B" w:rsidRPr="0008314B" w:rsidP="0008314B">
      <w:pPr>
        <w:pStyle w:val="ListParagraph"/>
        <w:numPr>
          <w:numId w:val="9"/>
        </w:numPr>
        <w:bidi w:val="0"/>
        <w:spacing w:after="120" w:line="336" w:lineRule="auto"/>
        <w:jc w:val="both"/>
        <w:rPr>
          <w:rFonts w:ascii="Times New Roman" w:eastAsia="Calibri" w:hAnsi="Times New Roman" w:cs="Times New Roman"/>
        </w:rPr>
      </w:pPr>
      <w:r w:rsidRPr="0008314B">
        <w:rPr>
          <w:rFonts w:ascii="Times New Roman" w:hAnsi="Times New Roman"/>
        </w:rPr>
        <w:t>V rámci Európskej únie (28 krajín) v roku 2014 dosiahlo 1</w:t>
      </w:r>
      <w:r w:rsidR="007E6F46">
        <w:rPr>
          <w:rFonts w:ascii="Times New Roman" w:hAnsi="Times New Roman"/>
        </w:rPr>
        <w:t>4</w:t>
      </w:r>
      <w:r w:rsidRPr="0008314B">
        <w:rPr>
          <w:rFonts w:ascii="Times New Roman" w:hAnsi="Times New Roman"/>
        </w:rPr>
        <w:t xml:space="preserve"> krajín vyšší schodok a 1</w:t>
      </w:r>
      <w:r w:rsidR="007E6F46">
        <w:rPr>
          <w:rFonts w:ascii="Times New Roman" w:hAnsi="Times New Roman"/>
        </w:rPr>
        <w:t>7</w:t>
      </w:r>
      <w:r w:rsidRPr="0008314B">
        <w:rPr>
          <w:rFonts w:ascii="Times New Roman" w:hAnsi="Times New Roman"/>
        </w:rPr>
        <w:t xml:space="preserve"> krajín dosiahlo vyšší dlh verejnej správy ako Slovenská republika. Priemerný schodok EÚ 28 bol 3,0 % HDP (Slovensko 2,8 % HDP) a priemerný dlh verejnej správy EÚ 28 bol 86,8 % HDP (Slovensko 53,5 % HDP) v roku 2014.</w:t>
      </w:r>
    </w:p>
    <w:p w:rsidR="00712D70" w:rsidRPr="00712D70" w:rsidP="0008314B">
      <w:pPr>
        <w:pStyle w:val="ListParagraph"/>
        <w:numPr>
          <w:numId w:val="9"/>
        </w:numPr>
        <w:bidi w:val="0"/>
        <w:spacing w:after="120" w:line="336" w:lineRule="auto"/>
        <w:jc w:val="both"/>
        <w:rPr>
          <w:rFonts w:ascii="Times New Roman" w:eastAsia="Calibri" w:hAnsi="Times New Roman" w:cs="Times New Roman" w:hint="default"/>
        </w:rPr>
      </w:pPr>
      <w:r w:rsidRPr="00712D70">
        <w:rPr>
          <w:rFonts w:ascii="Times New Roman" w:eastAsia="Calibri" w:hAnsi="Times New Roman" w:cs="Times New Roman"/>
        </w:rPr>
        <w:t>V </w:t>
      </w:r>
      <w:r w:rsidRPr="00712D70">
        <w:rPr>
          <w:rFonts w:ascii="Times New Roman" w:eastAsia="Calibri" w:hAnsi="Times New Roman" w:cs="Times New Roman" w:hint="default"/>
        </w:rPr>
        <w:t>roku 2014 boli zaznamenané</w:t>
      </w:r>
      <w:r w:rsidRPr="00712D70">
        <w:rPr>
          <w:rFonts w:ascii="Times New Roman" w:eastAsia="Calibri" w:hAnsi="Times New Roman" w:cs="Times New Roman" w:hint="default"/>
        </w:rPr>
        <w:t xml:space="preserve"> jednorazové</w:t>
      </w:r>
      <w:r w:rsidRPr="00712D70">
        <w:rPr>
          <w:rFonts w:ascii="Times New Roman" w:eastAsia="Calibri" w:hAnsi="Times New Roman" w:cs="Times New Roman" w:hint="default"/>
        </w:rPr>
        <w:t xml:space="preserve"> vplyvy zlepš</w:t>
      </w:r>
      <w:r w:rsidRPr="00712D70">
        <w:rPr>
          <w:rFonts w:ascii="Times New Roman" w:eastAsia="Calibri" w:hAnsi="Times New Roman" w:cs="Times New Roman" w:hint="default"/>
        </w:rPr>
        <w:t>ujú</w:t>
      </w:r>
      <w:r w:rsidRPr="00712D70">
        <w:rPr>
          <w:rFonts w:ascii="Times New Roman" w:eastAsia="Calibri" w:hAnsi="Times New Roman" w:cs="Times New Roman" w:hint="default"/>
        </w:rPr>
        <w:t>ce saldo verejnej sprá</w:t>
      </w:r>
      <w:r w:rsidRPr="00712D70">
        <w:rPr>
          <w:rFonts w:ascii="Times New Roman" w:eastAsia="Calibri" w:hAnsi="Times New Roman" w:cs="Times New Roman" w:hint="default"/>
        </w:rPr>
        <w:t>vy o 0,3 % </w:t>
      </w:r>
      <w:r w:rsidRPr="00712D70">
        <w:rPr>
          <w:rFonts w:ascii="Times New Roman" w:eastAsia="Calibri" w:hAnsi="Times New Roman" w:cs="Times New Roman" w:hint="default"/>
        </w:rPr>
        <w:t>HDP. Fiš</w:t>
      </w:r>
      <w:r w:rsidRPr="00712D70">
        <w:rPr>
          <w:rFonts w:ascii="Times New Roman" w:eastAsia="Calibri" w:hAnsi="Times New Roman" w:cs="Times New Roman" w:hint="default"/>
        </w:rPr>
        <w:t>ká</w:t>
      </w:r>
      <w:r w:rsidRPr="00712D70">
        <w:rPr>
          <w:rFonts w:ascii="Times New Roman" w:eastAsia="Calibri" w:hAnsi="Times New Roman" w:cs="Times New Roman" w:hint="default"/>
        </w:rPr>
        <w:t>lna politika bola v </w:t>
      </w:r>
      <w:r w:rsidRPr="00712D70">
        <w:rPr>
          <w:rFonts w:ascii="Times New Roman" w:eastAsia="Calibri" w:hAnsi="Times New Roman" w:cs="Times New Roman" w:hint="default"/>
        </w:rPr>
        <w:t>roku 2014 mierne expanzí</w:t>
      </w:r>
      <w:r w:rsidRPr="00712D70">
        <w:rPr>
          <w:rFonts w:ascii="Times New Roman" w:eastAsia="Calibri" w:hAnsi="Times New Roman" w:cs="Times New Roman" w:hint="default"/>
        </w:rPr>
        <w:t>vna, š</w:t>
      </w:r>
      <w:r w:rsidRPr="00712D70">
        <w:rPr>
          <w:rFonts w:ascii="Times New Roman" w:eastAsia="Calibri" w:hAnsi="Times New Roman" w:cs="Times New Roman" w:hint="default"/>
        </w:rPr>
        <w:t>trukturá</w:t>
      </w:r>
      <w:r w:rsidRPr="00712D70">
        <w:rPr>
          <w:rFonts w:ascii="Times New Roman" w:eastAsia="Calibri" w:hAnsi="Times New Roman" w:cs="Times New Roman" w:hint="default"/>
        </w:rPr>
        <w:t>lny schodok medziroč</w:t>
      </w:r>
      <w:r w:rsidRPr="00712D70">
        <w:rPr>
          <w:rFonts w:ascii="Times New Roman" w:eastAsia="Calibri" w:hAnsi="Times New Roman" w:cs="Times New Roman" w:hint="default"/>
        </w:rPr>
        <w:t>ne vzrá</w:t>
      </w:r>
      <w:r w:rsidRPr="00712D70">
        <w:rPr>
          <w:rFonts w:ascii="Times New Roman" w:eastAsia="Calibri" w:hAnsi="Times New Roman" w:cs="Times New Roman" w:hint="default"/>
        </w:rPr>
        <w:t>stol o 0,5 % HDP.</w:t>
      </w:r>
    </w:p>
    <w:p w:rsidR="00712D70" w:rsidRPr="00D07820" w:rsidP="00D76179">
      <w:pPr>
        <w:pStyle w:val="ListParagraph"/>
        <w:numPr>
          <w:numId w:val="9"/>
        </w:numPr>
        <w:bidi w:val="0"/>
        <w:spacing w:after="120" w:line="336" w:lineRule="auto"/>
        <w:jc w:val="both"/>
        <w:rPr>
          <w:rFonts w:ascii="Times New Roman" w:eastAsia="Calibri" w:hAnsi="Times New Roman" w:cs="Times New Roman"/>
        </w:rPr>
      </w:pPr>
      <w:r w:rsidRPr="00D07820" w:rsidR="00D76179">
        <w:rPr>
          <w:rFonts w:ascii="Times New Roman" w:eastAsia="Calibri" w:hAnsi="Times New Roman" w:cs="Times New Roman" w:hint="default"/>
        </w:rPr>
        <w:t>Č</w:t>
      </w:r>
      <w:r w:rsidRPr="00D07820" w:rsidR="00D76179">
        <w:rPr>
          <w:rFonts w:ascii="Times New Roman" w:eastAsia="Calibri" w:hAnsi="Times New Roman" w:cs="Times New Roman" w:hint="default"/>
        </w:rPr>
        <w:t>isté</w:t>
      </w:r>
      <w:r w:rsidRPr="00D07820" w:rsidR="00D76179">
        <w:rPr>
          <w:rFonts w:ascii="Times New Roman" w:eastAsia="Calibri" w:hAnsi="Times New Roman" w:cs="Times New Roman" w:hint="default"/>
        </w:rPr>
        <w:t xml:space="preserve"> bohatstvo verejné</w:t>
      </w:r>
      <w:r w:rsidRPr="00D07820" w:rsidR="00D76179">
        <w:rPr>
          <w:rFonts w:ascii="Times New Roman" w:eastAsia="Calibri" w:hAnsi="Times New Roman" w:cs="Times New Roman" w:hint="default"/>
        </w:rPr>
        <w:t xml:space="preserve">ho sektora dosiahlo </w:t>
      </w:r>
      <w:r w:rsidRPr="00D07820" w:rsidR="00D76179">
        <w:rPr>
          <w:rFonts w:ascii="Times New Roman" w:eastAsia="Calibri" w:hAnsi="Times New Roman" w:cs="Times New Roman" w:hint="default"/>
        </w:rPr>
        <w:t>k </w:t>
      </w:r>
      <w:r w:rsidRPr="00D07820" w:rsidR="00D76179">
        <w:rPr>
          <w:rFonts w:ascii="Times New Roman" w:eastAsia="Calibri" w:hAnsi="Times New Roman" w:cs="Times New Roman" w:hint="default"/>
        </w:rPr>
        <w:t>31.12.2014 zá</w:t>
      </w:r>
      <w:r w:rsidRPr="00D07820" w:rsidR="00D76179">
        <w:rPr>
          <w:rFonts w:ascii="Times New Roman" w:eastAsia="Calibri" w:hAnsi="Times New Roman" w:cs="Times New Roman" w:hint="default"/>
        </w:rPr>
        <w:t>pornú</w:t>
      </w:r>
      <w:r w:rsidRPr="00D07820" w:rsidR="00D76179">
        <w:rPr>
          <w:rFonts w:ascii="Times New Roman" w:eastAsia="Calibri" w:hAnsi="Times New Roman" w:cs="Times New Roman" w:hint="default"/>
        </w:rPr>
        <w:t xml:space="preserve"> hodnotu 141 154 876 tis. eur</w:t>
      </w:r>
      <w:r w:rsidR="00AC7136">
        <w:rPr>
          <w:rFonts w:ascii="Times New Roman" w:eastAsia="Calibri" w:hAnsi="Times New Roman" w:cs="Times New Roman"/>
        </w:rPr>
        <w:t xml:space="preserve"> </w:t>
        <w:br/>
      </w:r>
      <w:r w:rsidRPr="00D07820" w:rsidR="00D76179">
        <w:rPr>
          <w:rFonts w:ascii="Times New Roman" w:eastAsia="Calibri" w:hAnsi="Times New Roman" w:cs="Times New Roman" w:hint="default"/>
        </w:rPr>
        <w:t>(-186,8 % HDP). Oproti predchá</w:t>
      </w:r>
      <w:r w:rsidRPr="00D07820" w:rsidR="00D76179">
        <w:rPr>
          <w:rFonts w:ascii="Times New Roman" w:eastAsia="Calibri" w:hAnsi="Times New Roman" w:cs="Times New Roman" w:hint="default"/>
        </w:rPr>
        <w:t>dzajú</w:t>
      </w:r>
      <w:r w:rsidRPr="00D07820" w:rsidR="00D76179">
        <w:rPr>
          <w:rFonts w:ascii="Times New Roman" w:eastAsia="Calibri" w:hAnsi="Times New Roman" w:cs="Times New Roman" w:hint="default"/>
        </w:rPr>
        <w:t>cemu roku sa zníž</w:t>
      </w:r>
      <w:r w:rsidRPr="00D07820" w:rsidR="00D76179">
        <w:rPr>
          <w:rFonts w:ascii="Times New Roman" w:eastAsia="Calibri" w:hAnsi="Times New Roman" w:cs="Times New Roman" w:hint="default"/>
        </w:rPr>
        <w:t>il negatí</w:t>
      </w:r>
      <w:r w:rsidRPr="00D07820" w:rsidR="00D76179">
        <w:rPr>
          <w:rFonts w:ascii="Times New Roman" w:eastAsia="Calibri" w:hAnsi="Times New Roman" w:cs="Times New Roman" w:hint="default"/>
        </w:rPr>
        <w:t>vny podiel na HDP o 42,2 p.b. Vý</w:t>
      </w:r>
      <w:r w:rsidRPr="00D07820" w:rsidR="00D76179">
        <w:rPr>
          <w:rFonts w:ascii="Times New Roman" w:eastAsia="Calibri" w:hAnsi="Times New Roman" w:cs="Times New Roman" w:hint="default"/>
        </w:rPr>
        <w:t>razná</w:t>
      </w:r>
      <w:r w:rsidRPr="00D07820" w:rsidR="00D76179">
        <w:rPr>
          <w:rFonts w:ascii="Times New Roman" w:eastAsia="Calibri" w:hAnsi="Times New Roman" w:cs="Times New Roman" w:hint="default"/>
        </w:rPr>
        <w:t xml:space="preserve"> zmena nebola spô</w:t>
      </w:r>
      <w:r w:rsidRPr="00D07820" w:rsidR="00D76179">
        <w:rPr>
          <w:rFonts w:ascii="Times New Roman" w:eastAsia="Calibri" w:hAnsi="Times New Roman" w:cs="Times New Roman" w:hint="default"/>
        </w:rPr>
        <w:t>sobená</w:t>
      </w:r>
      <w:r w:rsidRPr="00D07820" w:rsidR="00D76179">
        <w:rPr>
          <w:rFonts w:ascii="Times New Roman" w:eastAsia="Calibri" w:hAnsi="Times New Roman" w:cs="Times New Roman" w:hint="default"/>
        </w:rPr>
        <w:t xml:space="preserve"> hospodá</w:t>
      </w:r>
      <w:r w:rsidRPr="00D07820" w:rsidR="00D76179">
        <w:rPr>
          <w:rFonts w:ascii="Times New Roman" w:eastAsia="Calibri" w:hAnsi="Times New Roman" w:cs="Times New Roman" w:hint="default"/>
        </w:rPr>
        <w:t>rení</w:t>
      </w:r>
      <w:r w:rsidRPr="00D07820" w:rsidR="00D76179">
        <w:rPr>
          <w:rFonts w:ascii="Times New Roman" w:eastAsia="Calibri" w:hAnsi="Times New Roman" w:cs="Times New Roman" w:hint="default"/>
        </w:rPr>
        <w:t>m alebo zmenami polití</w:t>
      </w:r>
      <w:r w:rsidRPr="00D07820" w:rsidR="00D76179">
        <w:rPr>
          <w:rFonts w:ascii="Times New Roman" w:eastAsia="Calibri" w:hAnsi="Times New Roman" w:cs="Times New Roman" w:hint="default"/>
        </w:rPr>
        <w:t>k verejné</w:t>
      </w:r>
      <w:r w:rsidRPr="00D07820" w:rsidR="00D76179">
        <w:rPr>
          <w:rFonts w:ascii="Times New Roman" w:eastAsia="Calibri" w:hAnsi="Times New Roman" w:cs="Times New Roman" w:hint="default"/>
        </w:rPr>
        <w:t>ho sektora ale skvalitň</w:t>
      </w:r>
      <w:r w:rsidRPr="00D07820" w:rsidR="00D76179">
        <w:rPr>
          <w:rFonts w:ascii="Times New Roman" w:eastAsia="Calibri" w:hAnsi="Times New Roman" w:cs="Times New Roman" w:hint="default"/>
        </w:rPr>
        <w:t>ovaní</w:t>
      </w:r>
      <w:r w:rsidRPr="00D07820" w:rsidR="00D76179">
        <w:rPr>
          <w:rFonts w:ascii="Times New Roman" w:eastAsia="Calibri" w:hAnsi="Times New Roman" w:cs="Times New Roman" w:hint="default"/>
        </w:rPr>
        <w:t>m uplatň</w:t>
      </w:r>
      <w:r w:rsidRPr="00D07820" w:rsidR="00D76179">
        <w:rPr>
          <w:rFonts w:ascii="Times New Roman" w:eastAsia="Calibri" w:hAnsi="Times New Roman" w:cs="Times New Roman" w:hint="default"/>
        </w:rPr>
        <w:t>ovani</w:t>
      </w:r>
      <w:r w:rsidRPr="00D07820" w:rsidR="00D76179">
        <w:rPr>
          <w:rFonts w:ascii="Times New Roman" w:eastAsia="Calibri" w:hAnsi="Times New Roman" w:cs="Times New Roman" w:hint="default"/>
        </w:rPr>
        <w:t>a metodiky (prvý</w:t>
      </w:r>
      <w:r w:rsidRPr="00D07820" w:rsidR="00D76179">
        <w:rPr>
          <w:rFonts w:ascii="Times New Roman" w:eastAsia="Calibri" w:hAnsi="Times New Roman" w:cs="Times New Roman" w:hint="default"/>
        </w:rPr>
        <w:t xml:space="preserve"> krá</w:t>
      </w:r>
      <w:r w:rsidRPr="00D07820" w:rsidR="00D76179">
        <w:rPr>
          <w:rFonts w:ascii="Times New Roman" w:eastAsia="Calibri" w:hAnsi="Times New Roman" w:cs="Times New Roman" w:hint="default"/>
        </w:rPr>
        <w:t>t vyká</w:t>
      </w:r>
      <w:r w:rsidRPr="00D07820" w:rsidR="00D76179">
        <w:rPr>
          <w:rFonts w:ascii="Times New Roman" w:eastAsia="Calibri" w:hAnsi="Times New Roman" w:cs="Times New Roman" w:hint="default"/>
        </w:rPr>
        <w:t>zané</w:t>
      </w:r>
      <w:r w:rsidRPr="00D07820" w:rsidR="00D76179">
        <w:rPr>
          <w:rFonts w:ascii="Times New Roman" w:eastAsia="Calibri" w:hAnsi="Times New Roman" w:cs="Times New Roman" w:hint="default"/>
        </w:rPr>
        <w:t xml:space="preserve"> rezervy na zamestnanecké</w:t>
      </w:r>
      <w:r w:rsidRPr="00D07820" w:rsidR="00D76179">
        <w:rPr>
          <w:rFonts w:ascii="Times New Roman" w:eastAsia="Calibri" w:hAnsi="Times New Roman" w:cs="Times New Roman" w:hint="default"/>
        </w:rPr>
        <w:t xml:space="preserve"> pož</w:t>
      </w:r>
      <w:r w:rsidRPr="00D07820" w:rsidR="00D76179">
        <w:rPr>
          <w:rFonts w:ascii="Times New Roman" w:eastAsia="Calibri" w:hAnsi="Times New Roman" w:cs="Times New Roman" w:hint="default"/>
        </w:rPr>
        <w:t>itky v </w:t>
      </w:r>
      <w:r w:rsidRPr="00D07820" w:rsidR="00D76179">
        <w:rPr>
          <w:rFonts w:ascii="Times New Roman" w:eastAsia="Calibri" w:hAnsi="Times New Roman" w:cs="Times New Roman" w:hint="default"/>
        </w:rPr>
        <w:t>ú</w:t>
      </w:r>
      <w:r w:rsidRPr="00D07820" w:rsidR="00D76179">
        <w:rPr>
          <w:rFonts w:ascii="Times New Roman" w:eastAsia="Calibri" w:hAnsi="Times New Roman" w:cs="Times New Roman" w:hint="default"/>
        </w:rPr>
        <w:t>strednej sprá</w:t>
      </w:r>
      <w:r w:rsidRPr="00D07820" w:rsidR="00D76179">
        <w:rPr>
          <w:rFonts w:ascii="Times New Roman" w:eastAsia="Calibri" w:hAnsi="Times New Roman" w:cs="Times New Roman" w:hint="default"/>
        </w:rPr>
        <w:t>ve s </w:t>
      </w:r>
      <w:r w:rsidRPr="00D07820" w:rsidR="00D76179">
        <w:rPr>
          <w:rFonts w:ascii="Times New Roman" w:eastAsia="Calibri" w:hAnsi="Times New Roman" w:cs="Times New Roman" w:hint="default"/>
        </w:rPr>
        <w:t>negatí</w:t>
      </w:r>
      <w:r w:rsidRPr="00D07820" w:rsidR="00D76179">
        <w:rPr>
          <w:rFonts w:ascii="Times New Roman" w:eastAsia="Calibri" w:hAnsi="Times New Roman" w:cs="Times New Roman" w:hint="default"/>
        </w:rPr>
        <w:t>vnym vplyvom 2</w:t>
      </w:r>
      <w:r w:rsidR="00C6208A">
        <w:rPr>
          <w:rFonts w:ascii="Times New Roman" w:eastAsia="Calibri" w:hAnsi="Times New Roman" w:cs="Times New Roman"/>
        </w:rPr>
        <w:t>1</w:t>
      </w:r>
      <w:r w:rsidRPr="00D07820" w:rsidR="00D76179">
        <w:rPr>
          <w:rFonts w:ascii="Times New Roman" w:eastAsia="Calibri" w:hAnsi="Times New Roman" w:cs="Times New Roman"/>
        </w:rPr>
        <w:t>,</w:t>
      </w:r>
      <w:r w:rsidR="00C6208A">
        <w:rPr>
          <w:rFonts w:ascii="Times New Roman" w:eastAsia="Calibri" w:hAnsi="Times New Roman" w:cs="Times New Roman"/>
        </w:rPr>
        <w:t>8</w:t>
      </w:r>
      <w:r w:rsidRPr="00D07820" w:rsidR="00D76179">
        <w:rPr>
          <w:rFonts w:ascii="Times New Roman" w:eastAsia="Calibri" w:hAnsi="Times New Roman" w:cs="Times New Roman"/>
        </w:rPr>
        <w:t> </w:t>
      </w:r>
      <w:r w:rsidRPr="00D07820" w:rsidR="00D76179">
        <w:rPr>
          <w:rFonts w:ascii="Times New Roman" w:eastAsia="Calibri" w:hAnsi="Times New Roman" w:cs="Times New Roman"/>
        </w:rPr>
        <w:t>% HDP) a </w:t>
      </w:r>
      <w:r w:rsidRPr="00D07820" w:rsidR="00D76179">
        <w:rPr>
          <w:rFonts w:ascii="Times New Roman" w:eastAsia="Calibri" w:hAnsi="Times New Roman" w:cs="Times New Roman" w:hint="default"/>
        </w:rPr>
        <w:t>aktualizá</w:t>
      </w:r>
      <w:r w:rsidRPr="00D07820" w:rsidR="00D76179">
        <w:rPr>
          <w:rFonts w:ascii="Times New Roman" w:eastAsia="Calibri" w:hAnsi="Times New Roman" w:cs="Times New Roman" w:hint="default"/>
        </w:rPr>
        <w:t>ciou dlhodobý</w:t>
      </w:r>
      <w:r w:rsidRPr="00D07820" w:rsidR="00D76179">
        <w:rPr>
          <w:rFonts w:ascii="Times New Roman" w:eastAsia="Calibri" w:hAnsi="Times New Roman" w:cs="Times New Roman" w:hint="default"/>
        </w:rPr>
        <w:t>ch makroekonomický</w:t>
      </w:r>
      <w:r w:rsidRPr="00D07820" w:rsidR="00D76179">
        <w:rPr>
          <w:rFonts w:ascii="Times New Roman" w:eastAsia="Calibri" w:hAnsi="Times New Roman" w:cs="Times New Roman" w:hint="default"/>
        </w:rPr>
        <w:t>ch, demografický</w:t>
      </w:r>
      <w:r w:rsidRPr="00D07820" w:rsidR="00D76179">
        <w:rPr>
          <w:rFonts w:ascii="Times New Roman" w:eastAsia="Calibri" w:hAnsi="Times New Roman" w:cs="Times New Roman" w:hint="default"/>
        </w:rPr>
        <w:t>ch a </w:t>
      </w:r>
      <w:r w:rsidRPr="00D07820" w:rsidR="00D76179">
        <w:rPr>
          <w:rFonts w:ascii="Times New Roman" w:eastAsia="Calibri" w:hAnsi="Times New Roman" w:cs="Times New Roman" w:hint="default"/>
        </w:rPr>
        <w:t>modelový</w:t>
      </w:r>
      <w:r w:rsidRPr="00D07820" w:rsidR="00D76179">
        <w:rPr>
          <w:rFonts w:ascii="Times New Roman" w:eastAsia="Calibri" w:hAnsi="Times New Roman" w:cs="Times New Roman" w:hint="default"/>
        </w:rPr>
        <w:t>ch predpokladov implicitný</w:t>
      </w:r>
      <w:r w:rsidRPr="00D07820" w:rsidR="00D76179">
        <w:rPr>
          <w:rFonts w:ascii="Times New Roman" w:eastAsia="Calibri" w:hAnsi="Times New Roman" w:cs="Times New Roman" w:hint="default"/>
        </w:rPr>
        <w:t>ch zá</w:t>
      </w:r>
      <w:r w:rsidRPr="00D07820" w:rsidR="00D76179">
        <w:rPr>
          <w:rFonts w:ascii="Times New Roman" w:eastAsia="Calibri" w:hAnsi="Times New Roman" w:cs="Times New Roman" w:hint="default"/>
        </w:rPr>
        <w:t>vä</w:t>
      </w:r>
      <w:r w:rsidRPr="00D07820" w:rsidR="00D76179">
        <w:rPr>
          <w:rFonts w:ascii="Times New Roman" w:eastAsia="Calibri" w:hAnsi="Times New Roman" w:cs="Times New Roman" w:hint="default"/>
        </w:rPr>
        <w:t>zkov starnutia obyvateľ</w:t>
      </w:r>
      <w:r w:rsidRPr="00D07820" w:rsidR="00D76179">
        <w:rPr>
          <w:rFonts w:ascii="Times New Roman" w:eastAsia="Calibri" w:hAnsi="Times New Roman" w:cs="Times New Roman" w:hint="default"/>
        </w:rPr>
        <w:t>stva s </w:t>
      </w:r>
      <w:r w:rsidRPr="00D07820" w:rsidR="00D76179">
        <w:rPr>
          <w:rFonts w:ascii="Times New Roman" w:eastAsia="Calibri" w:hAnsi="Times New Roman" w:cs="Times New Roman" w:hint="default"/>
        </w:rPr>
        <w:t>pozití</w:t>
      </w:r>
      <w:r w:rsidRPr="00D07820" w:rsidR="00D76179">
        <w:rPr>
          <w:rFonts w:ascii="Times New Roman" w:eastAsia="Calibri" w:hAnsi="Times New Roman" w:cs="Times New Roman" w:hint="default"/>
        </w:rPr>
        <w:t xml:space="preserve">vnym vplyvom 64,5 % HDP. </w:t>
      </w:r>
    </w:p>
    <w:p w:rsidR="00712D70" w:rsidRPr="00712D70" w:rsidP="00712D70">
      <w:pPr>
        <w:pStyle w:val="ListParagraph"/>
        <w:numPr>
          <w:numId w:val="9"/>
        </w:numPr>
        <w:bidi w:val="0"/>
        <w:spacing w:after="120" w:line="336" w:lineRule="auto"/>
        <w:ind w:left="357" w:hanging="357"/>
        <w:jc w:val="both"/>
        <w:rPr>
          <w:rFonts w:ascii="Times New Roman" w:eastAsia="Calibri" w:hAnsi="Times New Roman" w:cs="Times New Roman" w:hint="default"/>
        </w:rPr>
      </w:pPr>
      <w:r w:rsidRPr="00D07820" w:rsidR="00D76179">
        <w:rPr>
          <w:rFonts w:ascii="Times New Roman" w:eastAsia="Calibri" w:hAnsi="Times New Roman" w:cs="Times New Roman" w:hint="default"/>
        </w:rPr>
        <w:t>Hodnota aktí</w:t>
      </w:r>
      <w:r w:rsidRPr="00D07820" w:rsidR="00D76179">
        <w:rPr>
          <w:rFonts w:ascii="Times New Roman" w:eastAsia="Calibri" w:hAnsi="Times New Roman" w:cs="Times New Roman" w:hint="default"/>
        </w:rPr>
        <w:t>v ako aj </w:t>
      </w:r>
      <w:r w:rsidRPr="00D07820" w:rsidR="00D76179">
        <w:rPr>
          <w:rFonts w:ascii="Times New Roman" w:eastAsia="Calibri" w:hAnsi="Times New Roman" w:cs="Times New Roman" w:hint="default"/>
        </w:rPr>
        <w:t>pasí</w:t>
      </w:r>
      <w:r w:rsidRPr="00D07820" w:rsidR="00D76179">
        <w:rPr>
          <w:rFonts w:ascii="Times New Roman" w:eastAsia="Calibri" w:hAnsi="Times New Roman" w:cs="Times New Roman" w:hint="default"/>
        </w:rPr>
        <w:t>v sú</w:t>
      </w:r>
      <w:r w:rsidRPr="00D07820" w:rsidR="00D76179">
        <w:rPr>
          <w:rFonts w:ascii="Times New Roman" w:eastAsia="Calibri" w:hAnsi="Times New Roman" w:cs="Times New Roman" w:hint="default"/>
        </w:rPr>
        <w:t>hrnné</w:t>
      </w:r>
      <w:r w:rsidRPr="00D07820" w:rsidR="00D76179">
        <w:rPr>
          <w:rFonts w:ascii="Times New Roman" w:eastAsia="Calibri" w:hAnsi="Times New Roman" w:cs="Times New Roman" w:hint="default"/>
        </w:rPr>
        <w:t>ho celku verejnej sprá</w:t>
      </w:r>
      <w:r w:rsidRPr="00D07820" w:rsidR="00D76179">
        <w:rPr>
          <w:rFonts w:ascii="Times New Roman" w:eastAsia="Calibri" w:hAnsi="Times New Roman" w:cs="Times New Roman" w:hint="default"/>
        </w:rPr>
        <w:t xml:space="preserve">vy k 31.12.2014 bola </w:t>
      </w:r>
      <w:r w:rsidRPr="00D07820" w:rsidR="00D76179">
        <w:rPr>
          <w:rFonts w:ascii="Times New Roman" w:eastAsia="Calibri" w:hAnsi="Times New Roman" w:cs="Times New Roman"/>
          <w:bCs/>
        </w:rPr>
        <w:t>60 836 159 </w:t>
      </w:r>
      <w:r w:rsidRPr="00D07820" w:rsidR="00D76179">
        <w:rPr>
          <w:rFonts w:ascii="Times New Roman" w:eastAsia="Calibri" w:hAnsi="Times New Roman" w:cs="Times New Roman"/>
        </w:rPr>
        <w:t>tis. eur (80,5 % HDP) a </w:t>
      </w:r>
      <w:r w:rsidRPr="00D07820" w:rsidR="00D76179">
        <w:rPr>
          <w:rFonts w:ascii="Times New Roman" w:eastAsia="Calibri" w:hAnsi="Times New Roman" w:cs="Times New Roman" w:hint="default"/>
        </w:rPr>
        <w:t>medziroč</w:t>
      </w:r>
      <w:r w:rsidRPr="00D07820" w:rsidR="00D76179">
        <w:rPr>
          <w:rFonts w:ascii="Times New Roman" w:eastAsia="Calibri" w:hAnsi="Times New Roman" w:cs="Times New Roman" w:hint="default"/>
        </w:rPr>
        <w:t>ne vzrá</w:t>
      </w:r>
      <w:r w:rsidRPr="00D07820" w:rsidR="00D76179">
        <w:rPr>
          <w:rFonts w:ascii="Times New Roman" w:eastAsia="Calibri" w:hAnsi="Times New Roman" w:cs="Times New Roman" w:hint="default"/>
        </w:rPr>
        <w:t xml:space="preserve">stla o 2 184 100 tis. eur (2,9 % HDP). </w:t>
      </w:r>
      <w:r w:rsidRPr="00D07820">
        <w:rPr>
          <w:rFonts w:ascii="Times New Roman" w:eastAsia="Calibri" w:hAnsi="Times New Roman" w:cs="Times New Roman"/>
        </w:rPr>
        <w:t>Z </w:t>
      </w:r>
      <w:r w:rsidRPr="00D07820">
        <w:rPr>
          <w:rFonts w:ascii="Times New Roman" w:eastAsia="Calibri" w:hAnsi="Times New Roman" w:cs="Times New Roman" w:hint="default"/>
        </w:rPr>
        <w:t>aktí</w:t>
      </w:r>
      <w:r w:rsidRPr="00D07820">
        <w:rPr>
          <w:rFonts w:ascii="Times New Roman" w:eastAsia="Calibri" w:hAnsi="Times New Roman" w:cs="Times New Roman" w:hint="default"/>
        </w:rPr>
        <w:t>v</w:t>
      </w:r>
      <w:r w:rsidRPr="00712D70">
        <w:rPr>
          <w:rFonts w:ascii="Times New Roman" w:eastAsia="Calibri" w:hAnsi="Times New Roman" w:cs="Times New Roman" w:hint="default"/>
        </w:rPr>
        <w:t xml:space="preserve"> vzrá</w:t>
      </w:r>
      <w:r w:rsidRPr="00712D70">
        <w:rPr>
          <w:rFonts w:ascii="Times New Roman" w:eastAsia="Calibri" w:hAnsi="Times New Roman" w:cs="Times New Roman" w:hint="default"/>
        </w:rPr>
        <w:t>stli najmä</w:t>
      </w:r>
      <w:r w:rsidRPr="00712D70">
        <w:rPr>
          <w:rFonts w:ascii="Times New Roman" w:eastAsia="Calibri" w:hAnsi="Times New Roman" w:cs="Times New Roman" w:hint="default"/>
        </w:rPr>
        <w:t xml:space="preserve"> dlhodobý</w:t>
      </w:r>
      <w:r w:rsidRPr="00712D70">
        <w:rPr>
          <w:rFonts w:ascii="Times New Roman" w:eastAsia="Calibri" w:hAnsi="Times New Roman" w:cs="Times New Roman" w:hint="default"/>
        </w:rPr>
        <w:t xml:space="preserve"> finanč</w:t>
      </w:r>
      <w:r w:rsidRPr="00712D70">
        <w:rPr>
          <w:rFonts w:ascii="Times New Roman" w:eastAsia="Calibri" w:hAnsi="Times New Roman" w:cs="Times New Roman" w:hint="default"/>
        </w:rPr>
        <w:t>ný</w:t>
      </w:r>
      <w:r w:rsidRPr="00712D70">
        <w:rPr>
          <w:rFonts w:ascii="Times New Roman" w:eastAsia="Calibri" w:hAnsi="Times New Roman" w:cs="Times New Roman" w:hint="default"/>
        </w:rPr>
        <w:t xml:space="preserve"> majetok a dlhodobý</w:t>
      </w:r>
      <w:r w:rsidRPr="00712D70">
        <w:rPr>
          <w:rFonts w:ascii="Times New Roman" w:eastAsia="Calibri" w:hAnsi="Times New Roman" w:cs="Times New Roman" w:hint="default"/>
        </w:rPr>
        <w:t xml:space="preserve"> hmot</w:t>
      </w:r>
      <w:r w:rsidRPr="00712D70">
        <w:rPr>
          <w:rFonts w:ascii="Times New Roman" w:eastAsia="Calibri" w:hAnsi="Times New Roman" w:cs="Times New Roman" w:hint="default"/>
        </w:rPr>
        <w:t>ný</w:t>
      </w:r>
      <w:r w:rsidRPr="00712D70">
        <w:rPr>
          <w:rFonts w:ascii="Times New Roman" w:eastAsia="Calibri" w:hAnsi="Times New Roman" w:cs="Times New Roman" w:hint="default"/>
        </w:rPr>
        <w:t xml:space="preserve"> majetok. Na strane pasí</w:t>
      </w:r>
      <w:r w:rsidRPr="00712D70">
        <w:rPr>
          <w:rFonts w:ascii="Times New Roman" w:eastAsia="Calibri" w:hAnsi="Times New Roman" w:cs="Times New Roman" w:hint="default"/>
        </w:rPr>
        <w:t>v doš</w:t>
      </w:r>
      <w:r w:rsidRPr="00712D70">
        <w:rPr>
          <w:rFonts w:ascii="Times New Roman" w:eastAsia="Calibri" w:hAnsi="Times New Roman" w:cs="Times New Roman" w:hint="default"/>
        </w:rPr>
        <w:t>lo najmä</w:t>
      </w:r>
      <w:r w:rsidRPr="00712D70">
        <w:rPr>
          <w:rFonts w:ascii="Times New Roman" w:eastAsia="Calibri" w:hAnsi="Times New Roman" w:cs="Times New Roman" w:hint="default"/>
        </w:rPr>
        <w:t xml:space="preserve"> k </w:t>
      </w:r>
      <w:r w:rsidRPr="00712D70">
        <w:rPr>
          <w:rFonts w:ascii="Times New Roman" w:eastAsia="Calibri" w:hAnsi="Times New Roman" w:cs="Times New Roman" w:hint="default"/>
        </w:rPr>
        <w:t>zvýš</w:t>
      </w:r>
      <w:r w:rsidRPr="00712D70">
        <w:rPr>
          <w:rFonts w:ascii="Times New Roman" w:eastAsia="Calibri" w:hAnsi="Times New Roman" w:cs="Times New Roman" w:hint="default"/>
        </w:rPr>
        <w:t>eniu rezerv a </w:t>
      </w:r>
      <w:r w:rsidRPr="00712D70">
        <w:rPr>
          <w:rFonts w:ascii="Times New Roman" w:eastAsia="Calibri" w:hAnsi="Times New Roman" w:cs="Times New Roman" w:hint="default"/>
        </w:rPr>
        <w:t>zá</w:t>
      </w:r>
      <w:r w:rsidRPr="00712D70">
        <w:rPr>
          <w:rFonts w:ascii="Times New Roman" w:eastAsia="Calibri" w:hAnsi="Times New Roman" w:cs="Times New Roman" w:hint="default"/>
        </w:rPr>
        <w:t>roveň</w:t>
      </w:r>
      <w:r w:rsidRPr="00712D70">
        <w:rPr>
          <w:rFonts w:ascii="Times New Roman" w:eastAsia="Calibri" w:hAnsi="Times New Roman" w:cs="Times New Roman" w:hint="default"/>
        </w:rPr>
        <w:t xml:space="preserve"> k </w:t>
      </w:r>
      <w:r w:rsidRPr="00712D70">
        <w:rPr>
          <w:rFonts w:ascii="Times New Roman" w:eastAsia="Calibri" w:hAnsi="Times New Roman" w:cs="Times New Roman" w:hint="default"/>
        </w:rPr>
        <w:t>zvýš</w:t>
      </w:r>
      <w:r w:rsidRPr="00712D70">
        <w:rPr>
          <w:rFonts w:ascii="Times New Roman" w:eastAsia="Calibri" w:hAnsi="Times New Roman" w:cs="Times New Roman" w:hint="default"/>
        </w:rPr>
        <w:t>eniu zá</w:t>
      </w:r>
      <w:r w:rsidRPr="00712D70">
        <w:rPr>
          <w:rFonts w:ascii="Times New Roman" w:eastAsia="Calibri" w:hAnsi="Times New Roman" w:cs="Times New Roman" w:hint="default"/>
        </w:rPr>
        <w:t>porné</w:t>
      </w:r>
      <w:r w:rsidRPr="00712D70">
        <w:rPr>
          <w:rFonts w:ascii="Times New Roman" w:eastAsia="Calibri" w:hAnsi="Times New Roman" w:cs="Times New Roman" w:hint="default"/>
        </w:rPr>
        <w:t>ho vlastné</w:t>
      </w:r>
      <w:r w:rsidRPr="00712D70">
        <w:rPr>
          <w:rFonts w:ascii="Times New Roman" w:eastAsia="Calibri" w:hAnsi="Times New Roman" w:cs="Times New Roman" w:hint="default"/>
        </w:rPr>
        <w:t>ho imania kvô</w:t>
      </w:r>
      <w:r w:rsidRPr="00712D70">
        <w:rPr>
          <w:rFonts w:ascii="Times New Roman" w:eastAsia="Calibri" w:hAnsi="Times New Roman" w:cs="Times New Roman" w:hint="default"/>
        </w:rPr>
        <w:t>li vyká</w:t>
      </w:r>
      <w:r w:rsidRPr="00712D70">
        <w:rPr>
          <w:rFonts w:ascii="Times New Roman" w:eastAsia="Calibri" w:hAnsi="Times New Roman" w:cs="Times New Roman" w:hint="default"/>
        </w:rPr>
        <w:t>zaniu rezerv na zamestnanecké</w:t>
      </w:r>
      <w:r w:rsidRPr="00712D70">
        <w:rPr>
          <w:rFonts w:ascii="Times New Roman" w:eastAsia="Calibri" w:hAnsi="Times New Roman" w:cs="Times New Roman" w:hint="default"/>
        </w:rPr>
        <w:t xml:space="preserve"> pož</w:t>
      </w:r>
      <w:r w:rsidRPr="00712D70">
        <w:rPr>
          <w:rFonts w:ascii="Times New Roman" w:eastAsia="Calibri" w:hAnsi="Times New Roman" w:cs="Times New Roman" w:hint="default"/>
        </w:rPr>
        <w:t>itky v </w:t>
      </w:r>
      <w:r w:rsidRPr="00712D70">
        <w:rPr>
          <w:rFonts w:ascii="Times New Roman" w:eastAsia="Calibri" w:hAnsi="Times New Roman" w:cs="Times New Roman" w:hint="default"/>
        </w:rPr>
        <w:t>ú</w:t>
      </w:r>
      <w:r w:rsidRPr="00712D70">
        <w:rPr>
          <w:rFonts w:ascii="Times New Roman" w:eastAsia="Calibri" w:hAnsi="Times New Roman" w:cs="Times New Roman" w:hint="default"/>
        </w:rPr>
        <w:t>strednej sprá</w:t>
      </w:r>
      <w:r w:rsidRPr="00712D70">
        <w:rPr>
          <w:rFonts w:ascii="Times New Roman" w:eastAsia="Calibri" w:hAnsi="Times New Roman" w:cs="Times New Roman" w:hint="default"/>
        </w:rPr>
        <w:t>ve.</w:t>
      </w:r>
    </w:p>
    <w:p w:rsidR="009238B3" w:rsidRPr="00712D70" w:rsidP="00712D70">
      <w:pPr>
        <w:bidi w:val="0"/>
        <w:spacing w:after="120" w:line="336" w:lineRule="auto"/>
        <w:jc w:val="both"/>
        <w:rPr>
          <w:rFonts w:ascii="Times New Roman" w:hAnsi="Times New Roman" w:cs="Times New Roman"/>
        </w:rPr>
      </w:pPr>
    </w:p>
    <w:p w:rsidR="0063004E" w:rsidRPr="00A53EAC" w:rsidP="0063004E">
      <w:pPr>
        <w:pStyle w:val="Heading1"/>
        <w:numPr>
          <w:numId w:val="0"/>
        </w:numPr>
        <w:bidi w:val="0"/>
        <w:spacing w:after="120" w:line="336" w:lineRule="auto"/>
        <w:ind w:firstLine="0"/>
      </w:pPr>
      <w:bookmarkStart w:id="3" w:name="_Toc399324355"/>
      <w:bookmarkStart w:id="4" w:name="_Toc401920004"/>
      <w:bookmarkStart w:id="5" w:name="_Toc433099552"/>
      <w:r w:rsidRPr="00A53EAC" w:rsidR="000C6BC7">
        <w:rPr>
          <w:rFonts w:hint="default"/>
        </w:rPr>
        <w:t>Ú</w:t>
      </w:r>
      <w:r w:rsidRPr="00A53EAC" w:rsidR="000C6BC7">
        <w:rPr>
          <w:rFonts w:hint="default"/>
        </w:rPr>
        <w:t>vod</w:t>
      </w:r>
      <w:bookmarkStart w:id="6" w:name="_Toc399324356"/>
      <w:bookmarkEnd w:id="3"/>
      <w:bookmarkEnd w:id="4"/>
      <w:bookmarkEnd w:id="5"/>
    </w:p>
    <w:p w:rsidR="0063004E" w:rsidRPr="00A53EAC" w:rsidP="0063004E">
      <w:pPr>
        <w:bidi w:val="0"/>
        <w:spacing w:after="120" w:line="336" w:lineRule="auto"/>
        <w:jc w:val="both"/>
        <w:rPr>
          <w:rFonts w:ascii="Times New Roman" w:hAnsi="Times New Roman" w:cs="Times New Roman"/>
          <w:lang w:eastAsia="cs-CZ"/>
        </w:rPr>
      </w:pPr>
      <w:r w:rsidRPr="00A53EAC">
        <w:rPr>
          <w:rFonts w:ascii="Times New Roman" w:hAnsi="Times New Roman" w:cs="Times New Roman"/>
          <w:b/>
          <w:lang w:eastAsia="cs-CZ"/>
        </w:rPr>
        <w:t>Súhrnná výročná správa Slovenskej republiky (</w:t>
      </w:r>
      <w:r w:rsidRPr="00A53EAC" w:rsidR="002F310B">
        <w:rPr>
          <w:rFonts w:ascii="Times New Roman" w:hAnsi="Times New Roman" w:cs="Times New Roman"/>
          <w:b/>
          <w:lang w:eastAsia="cs-CZ"/>
        </w:rPr>
        <w:t>ďalej aj „</w:t>
      </w:r>
      <w:r w:rsidRPr="00A53EAC">
        <w:rPr>
          <w:rFonts w:ascii="Times New Roman" w:hAnsi="Times New Roman" w:cs="Times New Roman"/>
          <w:b/>
          <w:lang w:eastAsia="cs-CZ"/>
        </w:rPr>
        <w:t>súhrnná správa</w:t>
      </w:r>
      <w:r w:rsidRPr="00A53EAC" w:rsidR="002F310B">
        <w:rPr>
          <w:rFonts w:ascii="Times New Roman" w:hAnsi="Times New Roman" w:cs="Times New Roman"/>
          <w:b/>
          <w:lang w:eastAsia="cs-CZ"/>
        </w:rPr>
        <w:t>“</w:t>
      </w:r>
      <w:r w:rsidRPr="00A53EAC">
        <w:rPr>
          <w:rFonts w:ascii="Times New Roman" w:hAnsi="Times New Roman" w:cs="Times New Roman"/>
          <w:b/>
          <w:lang w:eastAsia="cs-CZ"/>
        </w:rPr>
        <w:t xml:space="preserve"> alebo </w:t>
      </w:r>
      <w:r w:rsidRPr="00A53EAC" w:rsidR="002F310B">
        <w:rPr>
          <w:rFonts w:ascii="Times New Roman" w:hAnsi="Times New Roman" w:cs="Times New Roman"/>
          <w:b/>
          <w:lang w:eastAsia="cs-CZ"/>
        </w:rPr>
        <w:t>„</w:t>
      </w:r>
      <w:r w:rsidRPr="00A53EAC">
        <w:rPr>
          <w:rFonts w:ascii="Times New Roman" w:hAnsi="Times New Roman" w:cs="Times New Roman"/>
          <w:b/>
          <w:lang w:eastAsia="cs-CZ"/>
        </w:rPr>
        <w:t>správa</w:t>
      </w:r>
      <w:r w:rsidRPr="00A53EAC" w:rsidR="002F310B">
        <w:rPr>
          <w:rFonts w:ascii="Times New Roman" w:hAnsi="Times New Roman" w:cs="Times New Roman"/>
          <w:b/>
          <w:lang w:eastAsia="cs-CZ"/>
        </w:rPr>
        <w:t>“</w:t>
      </w:r>
      <w:r w:rsidRPr="00A53EAC">
        <w:rPr>
          <w:rFonts w:ascii="Times New Roman" w:hAnsi="Times New Roman" w:cs="Times New Roman"/>
          <w:b/>
          <w:lang w:eastAsia="cs-CZ"/>
        </w:rPr>
        <w:t>)</w:t>
      </w:r>
      <w:r w:rsidRPr="00A53EAC">
        <w:rPr>
          <w:rFonts w:ascii="Times New Roman" w:hAnsi="Times New Roman" w:cs="Times New Roman"/>
          <w:lang w:eastAsia="cs-CZ"/>
        </w:rPr>
        <w:t xml:space="preserve"> je súhrnný dokument o hospodárení verejných financií Slovenska za predchádzajúci rok. Súhrnná správa aktualizuje a dopĺňa údaje obsiahnuté v Štátnom záverečnom účte SR (</w:t>
      </w:r>
      <w:r w:rsidRPr="00A53EAC" w:rsidR="00525504">
        <w:rPr>
          <w:rFonts w:ascii="Times New Roman" w:hAnsi="Times New Roman" w:cs="Times New Roman"/>
          <w:lang w:eastAsia="cs-CZ"/>
        </w:rPr>
        <w:t>ďalej len „</w:t>
      </w:r>
      <w:r w:rsidRPr="00A53EAC">
        <w:rPr>
          <w:rFonts w:ascii="Times New Roman" w:hAnsi="Times New Roman" w:cs="Times New Roman"/>
          <w:lang w:eastAsia="cs-CZ"/>
        </w:rPr>
        <w:t>ŠZÚ</w:t>
      </w:r>
      <w:r w:rsidRPr="00A53EAC" w:rsidR="00525504">
        <w:rPr>
          <w:rFonts w:ascii="Times New Roman" w:hAnsi="Times New Roman" w:cs="Times New Roman"/>
          <w:lang w:eastAsia="cs-CZ"/>
        </w:rPr>
        <w:t>“</w:t>
      </w:r>
      <w:r w:rsidRPr="00A53EAC">
        <w:rPr>
          <w:rFonts w:ascii="Times New Roman" w:hAnsi="Times New Roman" w:cs="Times New Roman"/>
          <w:lang w:eastAsia="cs-CZ"/>
        </w:rPr>
        <w:t xml:space="preserve">). Hlavným cieľom ŠZÚ je prezentácia údajov o hospodárení verejnej správy v metodike ESA 2010 v najskoršom možnom termíne (apríl). V čase zostavovania súhrnnej správy (október) je už dostupný </w:t>
      </w:r>
      <w:r w:rsidRPr="00A53EAC" w:rsidR="00DD18DF">
        <w:rPr>
          <w:rFonts w:ascii="Times New Roman" w:hAnsi="Times New Roman" w:cs="Times New Roman"/>
          <w:lang w:eastAsia="cs-CZ"/>
        </w:rPr>
        <w:t>väčší rozsah</w:t>
      </w:r>
      <w:r w:rsidRPr="00A53EAC">
        <w:rPr>
          <w:rFonts w:ascii="Times New Roman" w:hAnsi="Times New Roman" w:cs="Times New Roman"/>
          <w:lang w:eastAsia="cs-CZ"/>
        </w:rPr>
        <w:t xml:space="preserve"> údajov a informácií, preto je </w:t>
      </w:r>
      <w:r w:rsidRPr="00A53EAC" w:rsidR="0008237F">
        <w:rPr>
          <w:rFonts w:ascii="Times New Roman" w:hAnsi="Times New Roman" w:cs="Times New Roman"/>
          <w:lang w:eastAsia="cs-CZ"/>
        </w:rPr>
        <w:t xml:space="preserve">súhrnná </w:t>
      </w:r>
      <w:r w:rsidRPr="00A53EAC">
        <w:rPr>
          <w:rFonts w:ascii="Times New Roman" w:hAnsi="Times New Roman" w:cs="Times New Roman"/>
          <w:lang w:eastAsia="cs-CZ"/>
        </w:rPr>
        <w:t xml:space="preserve">správa oveľa komplexnejší dokument. Okrem údajov </w:t>
      </w:r>
      <w:r w:rsidRPr="00A53EAC">
        <w:rPr>
          <w:rFonts w:ascii="Times New Roman" w:hAnsi="Times New Roman" w:cs="Times New Roman"/>
        </w:rPr>
        <w:t>o</w:t>
      </w:r>
      <w:r w:rsidRPr="00A53EAC">
        <w:rPr>
          <w:rFonts w:ascii="Times New Roman" w:hAnsi="Times New Roman" w:cs="Times New Roman"/>
          <w:lang w:eastAsia="cs-CZ"/>
        </w:rPr>
        <w:t xml:space="preserve"> hospodárení verejnej správy v metodike ESA 2010 prináša </w:t>
      </w:r>
      <w:r w:rsidRPr="00A53EAC">
        <w:rPr>
          <w:rFonts w:ascii="Times New Roman" w:hAnsi="Times New Roman" w:cs="Times New Roman"/>
        </w:rPr>
        <w:t>informácie o čistom bohatstve, hospodárení podnikov štátnej správy, čistom dlhu, jednorazových efektoch, štrukturálnom salde a vyhodnotení stratégie riadenia štátneho dlhu</w:t>
      </w:r>
      <w:r w:rsidRPr="00A53EAC">
        <w:rPr>
          <w:rFonts w:ascii="Times New Roman" w:hAnsi="Times New Roman" w:cs="Times New Roman"/>
          <w:lang w:eastAsia="cs-CZ"/>
        </w:rPr>
        <w:t>. Druhý podstatný rozdiel spočíva v tom, že správa sa zameriava na analýzu vývoja verejných financií oproti predchádzajúcem</w:t>
      </w:r>
      <w:r w:rsidRPr="00A53EAC" w:rsidR="00DD18DF">
        <w:rPr>
          <w:rFonts w:ascii="Times New Roman" w:hAnsi="Times New Roman" w:cs="Times New Roman"/>
          <w:lang w:eastAsia="cs-CZ"/>
        </w:rPr>
        <w:t xml:space="preserve">u </w:t>
      </w:r>
      <w:r w:rsidRPr="00A53EAC" w:rsidR="00FF1032">
        <w:rPr>
          <w:rFonts w:ascii="Times New Roman" w:hAnsi="Times New Roman" w:cs="Times New Roman"/>
          <w:lang w:eastAsia="cs-CZ"/>
        </w:rPr>
        <w:t>roku (medziročné zmeny) a</w:t>
      </w:r>
      <w:r w:rsidRPr="00A53EAC">
        <w:rPr>
          <w:rFonts w:ascii="Times New Roman" w:hAnsi="Times New Roman" w:cs="Times New Roman"/>
          <w:lang w:eastAsia="cs-CZ"/>
        </w:rPr>
        <w:t xml:space="preserve"> ŠZÚ sa sústreďuje najmä na porovnanie plánu rozpočtu verejnej správy s </w:t>
      </w:r>
      <w:r w:rsidRPr="00A53EAC" w:rsidR="003B543F">
        <w:rPr>
          <w:rFonts w:ascii="Times New Roman" w:hAnsi="Times New Roman" w:cs="Times New Roman"/>
          <w:lang w:eastAsia="cs-CZ"/>
        </w:rPr>
        <w:t>dosiahnutou</w:t>
      </w:r>
      <w:r w:rsidRPr="00A53EAC">
        <w:rPr>
          <w:rFonts w:ascii="Times New Roman" w:hAnsi="Times New Roman" w:cs="Times New Roman"/>
          <w:lang w:eastAsia="cs-CZ"/>
        </w:rPr>
        <w:t xml:space="preserve"> skutočnosťou.</w:t>
      </w:r>
    </w:p>
    <w:p w:rsidR="0063004E" w:rsidRPr="00A53EAC" w:rsidP="0063004E">
      <w:pPr>
        <w:bidi w:val="0"/>
        <w:spacing w:after="120" w:line="336" w:lineRule="auto"/>
        <w:jc w:val="both"/>
        <w:rPr>
          <w:rFonts w:ascii="Times New Roman" w:hAnsi="Times New Roman" w:cs="Times New Roman"/>
          <w:lang w:eastAsia="cs-CZ"/>
        </w:rPr>
      </w:pPr>
      <w:r w:rsidRPr="00A53EAC">
        <w:rPr>
          <w:rFonts w:ascii="Times New Roman" w:hAnsi="Times New Roman" w:cs="Times New Roman"/>
          <w:lang w:eastAsia="cs-CZ"/>
        </w:rPr>
        <w:t xml:space="preserve">Obsah správy je definovaný prostredníctvom troch legislatívnych noriem. Zákon o rozpočtových pravidlách verejnej správy vymedzuje </w:t>
      </w:r>
      <w:r w:rsidRPr="00A53EAC" w:rsidR="00DD18DF">
        <w:rPr>
          <w:rFonts w:ascii="Times New Roman" w:hAnsi="Times New Roman" w:cs="Times New Roman"/>
          <w:lang w:eastAsia="cs-CZ"/>
        </w:rPr>
        <w:t>základný rozsah</w:t>
      </w:r>
      <w:r w:rsidRPr="00A53EAC">
        <w:rPr>
          <w:rFonts w:ascii="Times New Roman" w:hAnsi="Times New Roman" w:cs="Times New Roman"/>
          <w:lang w:eastAsia="cs-CZ"/>
        </w:rPr>
        <w:t xml:space="preserve"> súhrnnej výročnej správy, termíny jej spracovania a predloženia vláde a Národnej rade Slovenskej republiky. Ú</w:t>
      </w:r>
      <w:r w:rsidRPr="00A53EAC">
        <w:rPr>
          <w:rFonts w:ascii="Times New Roman" w:eastAsia="Calibri" w:hAnsi="Times New Roman" w:cs="Times New Roman" w:hint="default"/>
        </w:rPr>
        <w:t>stavný</w:t>
      </w:r>
      <w:r w:rsidRPr="00A53EAC">
        <w:rPr>
          <w:rFonts w:ascii="Times New Roman" w:eastAsia="Calibri" w:hAnsi="Times New Roman" w:cs="Times New Roman" w:hint="default"/>
        </w:rPr>
        <w:t xml:space="preserve"> zá</w:t>
      </w:r>
      <w:r w:rsidRPr="00A53EAC">
        <w:rPr>
          <w:rFonts w:ascii="Times New Roman" w:eastAsia="Calibri" w:hAnsi="Times New Roman" w:cs="Times New Roman" w:hint="default"/>
        </w:rPr>
        <w:t>kon o </w:t>
      </w:r>
      <w:r w:rsidRPr="00A53EAC">
        <w:rPr>
          <w:rFonts w:ascii="Times New Roman" w:eastAsia="Calibri" w:hAnsi="Times New Roman" w:cs="Times New Roman" w:hint="default"/>
        </w:rPr>
        <w:t>rozpoč</w:t>
      </w:r>
      <w:r w:rsidRPr="00A53EAC">
        <w:rPr>
          <w:rFonts w:ascii="Times New Roman" w:eastAsia="Calibri" w:hAnsi="Times New Roman" w:cs="Times New Roman" w:hint="default"/>
        </w:rPr>
        <w:t>tovej zodpovednosti ustanovuje nad</w:t>
      </w:r>
      <w:r w:rsidRPr="00A53EAC">
        <w:rPr>
          <w:rFonts w:ascii="Times New Roman" w:eastAsia="Calibri" w:hAnsi="Times New Roman" w:cs="Times New Roman" w:hint="default"/>
        </w:rPr>
        <w:t xml:space="preserve"> rá</w:t>
      </w:r>
      <w:r w:rsidRPr="00A53EAC">
        <w:rPr>
          <w:rFonts w:ascii="Times New Roman" w:eastAsia="Calibri" w:hAnsi="Times New Roman" w:cs="Times New Roman" w:hint="default"/>
        </w:rPr>
        <w:t>mec zá</w:t>
      </w:r>
      <w:r w:rsidRPr="00A53EAC">
        <w:rPr>
          <w:rFonts w:ascii="Times New Roman" w:eastAsia="Calibri" w:hAnsi="Times New Roman" w:cs="Times New Roman" w:hint="default"/>
        </w:rPr>
        <w:t>kona o </w:t>
      </w:r>
      <w:r w:rsidRPr="00A53EAC">
        <w:rPr>
          <w:rFonts w:ascii="Times New Roman" w:eastAsia="Calibri" w:hAnsi="Times New Roman" w:cs="Times New Roman" w:hint="default"/>
        </w:rPr>
        <w:t>rozpoč</w:t>
      </w:r>
      <w:r w:rsidRPr="00A53EAC">
        <w:rPr>
          <w:rFonts w:ascii="Times New Roman" w:eastAsia="Calibri" w:hAnsi="Times New Roman" w:cs="Times New Roman" w:hint="default"/>
        </w:rPr>
        <w:t>tový</w:t>
      </w:r>
      <w:r w:rsidRPr="00A53EAC">
        <w:rPr>
          <w:rFonts w:ascii="Times New Roman" w:eastAsia="Calibri" w:hAnsi="Times New Roman" w:cs="Times New Roman" w:hint="default"/>
        </w:rPr>
        <w:t>ch pravidlá</w:t>
      </w:r>
      <w:r w:rsidRPr="00A53EAC">
        <w:rPr>
          <w:rFonts w:ascii="Times New Roman" w:eastAsia="Calibri" w:hAnsi="Times New Roman" w:cs="Times New Roman" w:hint="default"/>
        </w:rPr>
        <w:t>ch verejnej sprá</w:t>
      </w:r>
      <w:r w:rsidRPr="00A53EAC">
        <w:rPr>
          <w:rFonts w:ascii="Times New Roman" w:eastAsia="Calibri" w:hAnsi="Times New Roman" w:cs="Times New Roman" w:hint="default"/>
        </w:rPr>
        <w:t>vy ď</w:t>
      </w:r>
      <w:r w:rsidRPr="00A53EAC">
        <w:rPr>
          <w:rFonts w:ascii="Times New Roman" w:eastAsia="Calibri" w:hAnsi="Times New Roman" w:cs="Times New Roman" w:hint="default"/>
        </w:rPr>
        <w:t>alš</w:t>
      </w:r>
      <w:r w:rsidRPr="00A53EAC">
        <w:rPr>
          <w:rFonts w:ascii="Times New Roman" w:eastAsia="Calibri" w:hAnsi="Times New Roman" w:cs="Times New Roman" w:hint="default"/>
        </w:rPr>
        <w:t>ie ú</w:t>
      </w:r>
      <w:r w:rsidRPr="00A53EAC">
        <w:rPr>
          <w:rFonts w:ascii="Times New Roman" w:eastAsia="Calibri" w:hAnsi="Times New Roman" w:cs="Times New Roman" w:hint="default"/>
        </w:rPr>
        <w:t>daje a informá</w:t>
      </w:r>
      <w:r w:rsidRPr="00A53EAC">
        <w:rPr>
          <w:rFonts w:ascii="Times New Roman" w:eastAsia="Calibri" w:hAnsi="Times New Roman" w:cs="Times New Roman" w:hint="default"/>
        </w:rPr>
        <w:t>cie, ktoré</w:t>
      </w:r>
      <w:r w:rsidRPr="00A53EAC">
        <w:rPr>
          <w:rFonts w:ascii="Times New Roman" w:eastAsia="Calibri" w:hAnsi="Times New Roman" w:cs="Times New Roman" w:hint="default"/>
        </w:rPr>
        <w:t xml:space="preserve"> má</w:t>
      </w:r>
      <w:r w:rsidRPr="00A53EAC">
        <w:rPr>
          <w:rFonts w:ascii="Times New Roman" w:eastAsia="Calibri" w:hAnsi="Times New Roman" w:cs="Times New Roman" w:hint="default"/>
        </w:rPr>
        <w:t xml:space="preserve"> sú</w:t>
      </w:r>
      <w:r w:rsidRPr="00A53EAC">
        <w:rPr>
          <w:rFonts w:ascii="Times New Roman" w:eastAsia="Calibri" w:hAnsi="Times New Roman" w:cs="Times New Roman" w:hint="default"/>
        </w:rPr>
        <w:t>hrnná</w:t>
      </w:r>
      <w:r w:rsidRPr="00A53EAC">
        <w:rPr>
          <w:rFonts w:ascii="Times New Roman" w:eastAsia="Calibri" w:hAnsi="Times New Roman" w:cs="Times New Roman" w:hint="default"/>
        </w:rPr>
        <w:t xml:space="preserve"> sprá</w:t>
      </w:r>
      <w:r w:rsidRPr="00A53EAC">
        <w:rPr>
          <w:rFonts w:ascii="Times New Roman" w:eastAsia="Calibri" w:hAnsi="Times New Roman" w:cs="Times New Roman" w:hint="default"/>
        </w:rPr>
        <w:t>va obsahovať</w:t>
      </w:r>
      <w:r w:rsidRPr="00A53EAC">
        <w:rPr>
          <w:rFonts w:ascii="Times New Roman" w:eastAsia="Calibri" w:hAnsi="Times New Roman" w:cs="Times New Roman" w:hint="default"/>
        </w:rPr>
        <w:t>. Zá</w:t>
      </w:r>
      <w:r w:rsidRPr="00A53EAC">
        <w:rPr>
          <w:rFonts w:ascii="Times New Roman" w:eastAsia="Calibri" w:hAnsi="Times New Roman" w:cs="Times New Roman" w:hint="default"/>
        </w:rPr>
        <w:t>kon o úč</w:t>
      </w:r>
      <w:r w:rsidRPr="00A53EAC">
        <w:rPr>
          <w:rFonts w:ascii="Times New Roman" w:eastAsia="Calibri" w:hAnsi="Times New Roman" w:cs="Times New Roman" w:hint="default"/>
        </w:rPr>
        <w:t>tovní</w:t>
      </w:r>
      <w:r w:rsidRPr="00A53EAC">
        <w:rPr>
          <w:rFonts w:ascii="Times New Roman" w:eastAsia="Calibri" w:hAnsi="Times New Roman" w:cs="Times New Roman" w:hint="default"/>
        </w:rPr>
        <w:t>ctve ustanovuje pre úč</w:t>
      </w:r>
      <w:r w:rsidRPr="00A53EAC">
        <w:rPr>
          <w:rFonts w:ascii="Times New Roman" w:eastAsia="Calibri" w:hAnsi="Times New Roman" w:cs="Times New Roman" w:hint="default"/>
        </w:rPr>
        <w:t>tovné</w:t>
      </w:r>
      <w:r w:rsidRPr="00A53EAC">
        <w:rPr>
          <w:rFonts w:ascii="Times New Roman" w:eastAsia="Calibri" w:hAnsi="Times New Roman" w:cs="Times New Roman" w:hint="default"/>
        </w:rPr>
        <w:t xml:space="preserve"> jednotky verejnej sprá</w:t>
      </w:r>
      <w:r w:rsidRPr="00A53EAC">
        <w:rPr>
          <w:rFonts w:ascii="Times New Roman" w:eastAsia="Calibri" w:hAnsi="Times New Roman" w:cs="Times New Roman" w:hint="default"/>
        </w:rPr>
        <w:t>vy povinnosť</w:t>
      </w:r>
      <w:r w:rsidRPr="00A53EAC">
        <w:rPr>
          <w:rFonts w:ascii="Times New Roman" w:eastAsia="Calibri" w:hAnsi="Times New Roman" w:cs="Times New Roman" w:hint="default"/>
        </w:rPr>
        <w:t xml:space="preserve"> zostaviť</w:t>
      </w:r>
      <w:r w:rsidRPr="00A53EAC">
        <w:rPr>
          <w:rFonts w:ascii="Times New Roman" w:eastAsia="Calibri" w:hAnsi="Times New Roman" w:cs="Times New Roman" w:hint="default"/>
        </w:rPr>
        <w:t xml:space="preserve"> konsolidovanú</w:t>
      </w:r>
      <w:r w:rsidRPr="00A53EAC">
        <w:rPr>
          <w:rFonts w:ascii="Times New Roman" w:eastAsia="Calibri" w:hAnsi="Times New Roman" w:cs="Times New Roman" w:hint="default"/>
        </w:rPr>
        <w:t xml:space="preserve"> úč</w:t>
      </w:r>
      <w:r w:rsidRPr="00A53EAC">
        <w:rPr>
          <w:rFonts w:ascii="Times New Roman" w:eastAsia="Calibri" w:hAnsi="Times New Roman" w:cs="Times New Roman" w:hint="default"/>
        </w:rPr>
        <w:t>tovnú</w:t>
      </w:r>
      <w:r w:rsidRPr="00A53EAC">
        <w:rPr>
          <w:rFonts w:ascii="Times New Roman" w:eastAsia="Calibri" w:hAnsi="Times New Roman" w:cs="Times New Roman" w:hint="default"/>
        </w:rPr>
        <w:t xml:space="preserve"> zá</w:t>
      </w:r>
      <w:r w:rsidRPr="00A53EAC">
        <w:rPr>
          <w:rFonts w:ascii="Times New Roman" w:eastAsia="Calibri" w:hAnsi="Times New Roman" w:cs="Times New Roman" w:hint="default"/>
        </w:rPr>
        <w:t xml:space="preserve">vierku a pre Ministerstvo </w:t>
      </w:r>
      <w:r w:rsidRPr="00A53EAC">
        <w:rPr>
          <w:rFonts w:ascii="Times New Roman" w:eastAsia="Calibri" w:hAnsi="Times New Roman" w:cs="Times New Roman" w:hint="default"/>
        </w:rPr>
        <w:t>f</w:t>
      </w:r>
      <w:r w:rsidRPr="00A53EAC">
        <w:rPr>
          <w:rFonts w:ascii="Times New Roman" w:eastAsia="Calibri" w:hAnsi="Times New Roman" w:cs="Times New Roman" w:hint="default"/>
        </w:rPr>
        <w:t>inancií</w:t>
      </w:r>
      <w:r w:rsidRPr="00A53EAC">
        <w:rPr>
          <w:rFonts w:ascii="Times New Roman" w:eastAsia="Calibri" w:hAnsi="Times New Roman" w:cs="Times New Roman" w:hint="default"/>
        </w:rPr>
        <w:t xml:space="preserve"> Slovenskej republiky povinnosť</w:t>
      </w:r>
      <w:r w:rsidRPr="00A53EAC">
        <w:rPr>
          <w:rFonts w:ascii="Times New Roman" w:eastAsia="Calibri" w:hAnsi="Times New Roman" w:cs="Times New Roman" w:hint="default"/>
        </w:rPr>
        <w:t xml:space="preserve"> zostaviť</w:t>
      </w:r>
      <w:r w:rsidRPr="00A53EAC">
        <w:rPr>
          <w:rFonts w:ascii="Times New Roman" w:eastAsia="Calibri" w:hAnsi="Times New Roman" w:cs="Times New Roman" w:hint="default"/>
        </w:rPr>
        <w:t xml:space="preserve"> konsolidovanú</w:t>
      </w:r>
      <w:r w:rsidRPr="00A53EAC">
        <w:rPr>
          <w:rFonts w:ascii="Times New Roman" w:eastAsia="Calibri" w:hAnsi="Times New Roman" w:cs="Times New Roman" w:hint="default"/>
        </w:rPr>
        <w:t xml:space="preserve"> úč</w:t>
      </w:r>
      <w:r w:rsidRPr="00A53EAC">
        <w:rPr>
          <w:rFonts w:ascii="Times New Roman" w:eastAsia="Calibri" w:hAnsi="Times New Roman" w:cs="Times New Roman" w:hint="default"/>
        </w:rPr>
        <w:t>tovnú</w:t>
      </w:r>
      <w:r w:rsidRPr="00A53EAC">
        <w:rPr>
          <w:rFonts w:ascii="Times New Roman" w:eastAsia="Calibri" w:hAnsi="Times New Roman" w:cs="Times New Roman" w:hint="default"/>
        </w:rPr>
        <w:t xml:space="preserve"> zá</w:t>
      </w:r>
      <w:r w:rsidRPr="00A53EAC">
        <w:rPr>
          <w:rFonts w:ascii="Times New Roman" w:eastAsia="Calibri" w:hAnsi="Times New Roman" w:cs="Times New Roman" w:hint="default"/>
        </w:rPr>
        <w:t>vierku ú</w:t>
      </w:r>
      <w:r w:rsidRPr="00A53EAC">
        <w:rPr>
          <w:rFonts w:ascii="Times New Roman" w:eastAsia="Calibri" w:hAnsi="Times New Roman" w:cs="Times New Roman" w:hint="default"/>
        </w:rPr>
        <w:t>strednej sprá</w:t>
      </w:r>
      <w:r w:rsidRPr="00A53EAC">
        <w:rPr>
          <w:rFonts w:ascii="Times New Roman" w:eastAsia="Calibri" w:hAnsi="Times New Roman" w:cs="Times New Roman" w:hint="default"/>
        </w:rPr>
        <w:t>vy a sú</w:t>
      </w:r>
      <w:r w:rsidRPr="00A53EAC">
        <w:rPr>
          <w:rFonts w:ascii="Times New Roman" w:eastAsia="Calibri" w:hAnsi="Times New Roman" w:cs="Times New Roman" w:hint="default"/>
        </w:rPr>
        <w:t>hrnnú</w:t>
      </w:r>
      <w:r w:rsidRPr="00A53EAC">
        <w:rPr>
          <w:rFonts w:ascii="Times New Roman" w:eastAsia="Calibri" w:hAnsi="Times New Roman" w:cs="Times New Roman" w:hint="default"/>
        </w:rPr>
        <w:t xml:space="preserve"> úč</w:t>
      </w:r>
      <w:r w:rsidRPr="00A53EAC">
        <w:rPr>
          <w:rFonts w:ascii="Times New Roman" w:eastAsia="Calibri" w:hAnsi="Times New Roman" w:cs="Times New Roman" w:hint="default"/>
        </w:rPr>
        <w:t>tovnú</w:t>
      </w:r>
      <w:r w:rsidRPr="00A53EAC">
        <w:rPr>
          <w:rFonts w:ascii="Times New Roman" w:eastAsia="Calibri" w:hAnsi="Times New Roman" w:cs="Times New Roman" w:hint="default"/>
        </w:rPr>
        <w:t xml:space="preserve"> zá</w:t>
      </w:r>
      <w:r w:rsidRPr="00A53EAC">
        <w:rPr>
          <w:rFonts w:ascii="Times New Roman" w:eastAsia="Calibri" w:hAnsi="Times New Roman" w:cs="Times New Roman" w:hint="default"/>
        </w:rPr>
        <w:t>vierku verejnej sprá</w:t>
      </w:r>
      <w:r w:rsidRPr="00A53EAC">
        <w:rPr>
          <w:rFonts w:ascii="Times New Roman" w:eastAsia="Calibri" w:hAnsi="Times New Roman" w:cs="Times New Roman" w:hint="default"/>
        </w:rPr>
        <w:t>vy.</w:t>
      </w:r>
    </w:p>
    <w:p w:rsidR="0063004E" w:rsidRPr="00A53EAC" w:rsidP="0063004E">
      <w:pPr>
        <w:bidi w:val="0"/>
        <w:spacing w:after="120" w:line="336" w:lineRule="auto"/>
        <w:jc w:val="both"/>
        <w:rPr>
          <w:rFonts w:ascii="Times New Roman" w:hAnsi="Times New Roman" w:cs="Times New Roman"/>
          <w:lang w:eastAsia="cs-CZ"/>
        </w:rPr>
      </w:pPr>
      <w:r w:rsidRPr="00A53EAC" w:rsidR="00B525DF">
        <w:rPr>
          <w:rFonts w:ascii="Times New Roman" w:hAnsi="Times New Roman" w:cs="Times New Roman"/>
          <w:lang w:eastAsia="cs-CZ"/>
        </w:rPr>
        <w:t>Súhrnná správa za rok 2014</w:t>
      </w:r>
      <w:r w:rsidRPr="00A53EAC">
        <w:rPr>
          <w:rFonts w:ascii="Times New Roman" w:hAnsi="Times New Roman" w:cs="Times New Roman"/>
          <w:lang w:eastAsia="cs-CZ"/>
        </w:rPr>
        <w:t xml:space="preserve"> prináša </w:t>
      </w:r>
      <w:r w:rsidRPr="00A53EAC" w:rsidR="00B525DF">
        <w:rPr>
          <w:rFonts w:ascii="Times New Roman" w:hAnsi="Times New Roman" w:cs="Times New Roman"/>
          <w:lang w:eastAsia="cs-CZ"/>
        </w:rPr>
        <w:t>podstatné</w:t>
      </w:r>
      <w:r w:rsidRPr="00A53EAC">
        <w:rPr>
          <w:rFonts w:ascii="Times New Roman" w:hAnsi="Times New Roman" w:cs="Times New Roman"/>
          <w:lang w:eastAsia="cs-CZ"/>
        </w:rPr>
        <w:t xml:space="preserve"> rozšírenie a skvalitnenie informácií o čistom bohatstve</w:t>
      </w:r>
      <w:r w:rsidRPr="00A53EAC" w:rsidR="00B525DF">
        <w:rPr>
          <w:rFonts w:ascii="Times New Roman" w:hAnsi="Times New Roman" w:cs="Times New Roman"/>
          <w:lang w:eastAsia="cs-CZ"/>
        </w:rPr>
        <w:t xml:space="preserve"> za oblasť podnikov štátnej správy</w:t>
      </w:r>
      <w:r w:rsidRPr="00A53EAC">
        <w:rPr>
          <w:rFonts w:ascii="Times New Roman" w:hAnsi="Times New Roman" w:cs="Times New Roman"/>
          <w:lang w:eastAsia="cs-CZ"/>
        </w:rPr>
        <w:t xml:space="preserve">. </w:t>
      </w:r>
      <w:r w:rsidRPr="00A53EAC" w:rsidR="001E5E18">
        <w:rPr>
          <w:rFonts w:ascii="Times New Roman" w:hAnsi="Times New Roman" w:cs="Times New Roman"/>
          <w:lang w:eastAsia="cs-CZ"/>
        </w:rPr>
        <w:t xml:space="preserve">Oproti minulému roku sa rozšíril </w:t>
      </w:r>
      <w:r w:rsidRPr="00A53EAC" w:rsidR="002C68D5">
        <w:rPr>
          <w:rFonts w:ascii="Times New Roman" w:hAnsi="Times New Roman" w:cs="Times New Roman"/>
          <w:lang w:eastAsia="cs-CZ"/>
        </w:rPr>
        <w:t xml:space="preserve">obsah a </w:t>
      </w:r>
      <w:r w:rsidRPr="00A53EAC" w:rsidR="001E5E18">
        <w:rPr>
          <w:rFonts w:ascii="Times New Roman" w:hAnsi="Times New Roman" w:cs="Times New Roman"/>
          <w:lang w:eastAsia="cs-CZ"/>
        </w:rPr>
        <w:t>počet jednotlivých podnikov, pri ktorých sú detailne popísané príspevky k zmene vlastného imania z 9 na 2</w:t>
      </w:r>
      <w:r w:rsidRPr="00A53EAC" w:rsidR="002C68D5">
        <w:rPr>
          <w:rFonts w:ascii="Times New Roman" w:hAnsi="Times New Roman" w:cs="Times New Roman"/>
          <w:lang w:eastAsia="cs-CZ"/>
        </w:rPr>
        <w:t>4</w:t>
      </w:r>
      <w:r w:rsidRPr="00A53EAC" w:rsidR="001E5E18">
        <w:rPr>
          <w:rFonts w:ascii="Times New Roman" w:hAnsi="Times New Roman" w:cs="Times New Roman"/>
          <w:lang w:eastAsia="cs-CZ"/>
        </w:rPr>
        <w:t xml:space="preserve">. </w:t>
      </w:r>
      <w:r w:rsidRPr="00A53EAC" w:rsidR="00577315">
        <w:rPr>
          <w:rFonts w:ascii="Times New Roman" w:hAnsi="Times New Roman" w:cs="Times New Roman"/>
          <w:lang w:eastAsia="cs-CZ"/>
        </w:rPr>
        <w:t xml:space="preserve">Popísané podniky </w:t>
      </w:r>
      <w:r w:rsidRPr="00A53EAC" w:rsidR="00C77F62">
        <w:rPr>
          <w:rFonts w:ascii="Times New Roman" w:hAnsi="Times New Roman" w:cs="Times New Roman"/>
          <w:lang w:eastAsia="cs-CZ"/>
        </w:rPr>
        <w:t xml:space="preserve">sa podieľajú </w:t>
      </w:r>
      <w:r w:rsidRPr="00A53EAC" w:rsidR="00577315">
        <w:rPr>
          <w:rFonts w:ascii="Times New Roman" w:hAnsi="Times New Roman" w:cs="Times New Roman"/>
          <w:lang w:eastAsia="cs-CZ"/>
        </w:rPr>
        <w:t xml:space="preserve">až </w:t>
      </w:r>
      <w:r w:rsidRPr="00A53EAC" w:rsidR="00C77F62">
        <w:rPr>
          <w:rFonts w:ascii="Times New Roman" w:hAnsi="Times New Roman" w:cs="Times New Roman"/>
          <w:lang w:eastAsia="cs-CZ"/>
        </w:rPr>
        <w:t xml:space="preserve">88,3 % na celkovom vlastnom imaní </w:t>
      </w:r>
      <w:r w:rsidRPr="00A53EAC" w:rsidR="00F54790">
        <w:rPr>
          <w:rFonts w:ascii="Times New Roman" w:hAnsi="Times New Roman" w:cs="Times New Roman"/>
          <w:lang w:eastAsia="cs-CZ"/>
        </w:rPr>
        <w:t xml:space="preserve">všetkých </w:t>
      </w:r>
      <w:r w:rsidRPr="00A53EAC" w:rsidR="00C77F62">
        <w:rPr>
          <w:rFonts w:ascii="Times New Roman" w:hAnsi="Times New Roman" w:cs="Times New Roman"/>
          <w:lang w:eastAsia="cs-CZ"/>
        </w:rPr>
        <w:t xml:space="preserve">podnikov štátnej správy prepočítaným na vlastnícke podiely štátu. </w:t>
      </w:r>
      <w:r w:rsidRPr="00A53EAC" w:rsidR="00362DC8">
        <w:rPr>
          <w:rFonts w:ascii="Times New Roman" w:hAnsi="Times New Roman" w:cs="Times New Roman"/>
          <w:lang w:eastAsia="cs-CZ"/>
        </w:rPr>
        <w:t xml:space="preserve">Rozšírený pohľad na podniky je v súlade s plánom, aby sa informácie o čistom </w:t>
      </w:r>
      <w:r w:rsidRPr="00A53EAC">
        <w:rPr>
          <w:rFonts w:ascii="Times New Roman" w:hAnsi="Times New Roman" w:cs="Times New Roman"/>
          <w:lang w:eastAsia="cs-CZ"/>
        </w:rPr>
        <w:t xml:space="preserve">bohatstve </w:t>
      </w:r>
      <w:r w:rsidRPr="00A53EAC" w:rsidR="00362DC8">
        <w:rPr>
          <w:rFonts w:ascii="Times New Roman" w:hAnsi="Times New Roman" w:cs="Times New Roman"/>
          <w:lang w:eastAsia="cs-CZ"/>
        </w:rPr>
        <w:t>stávali</w:t>
      </w:r>
      <w:r w:rsidRPr="00A53EAC">
        <w:rPr>
          <w:rFonts w:ascii="Times New Roman" w:hAnsi="Times New Roman" w:cs="Times New Roman"/>
          <w:lang w:eastAsia="cs-CZ"/>
        </w:rPr>
        <w:t xml:space="preserve"> nosnou časťou súhrnnej správy.</w:t>
      </w:r>
    </w:p>
    <w:p w:rsidR="0063004E" w:rsidRPr="00A53EAC" w:rsidP="0063004E">
      <w:pPr>
        <w:bidi w:val="0"/>
        <w:spacing w:after="120" w:line="336" w:lineRule="auto"/>
        <w:jc w:val="both"/>
        <w:rPr>
          <w:rFonts w:ascii="Times New Roman" w:eastAsia="Calibri" w:hAnsi="Times New Roman" w:cs="Times New Roman" w:hint="default"/>
          <w:b/>
        </w:rPr>
      </w:pPr>
      <w:bookmarkStart w:id="7" w:name="f_5629755"/>
      <w:bookmarkStart w:id="8" w:name="f_5629756"/>
      <w:bookmarkStart w:id="9" w:name="f_5629757"/>
      <w:bookmarkEnd w:id="7"/>
      <w:bookmarkEnd w:id="8"/>
      <w:bookmarkEnd w:id="9"/>
      <w:r w:rsidRPr="00A53EAC">
        <w:rPr>
          <w:rFonts w:ascii="Times New Roman" w:eastAsia="Calibri" w:hAnsi="Times New Roman" w:cs="Times New Roman" w:hint="default"/>
          <w:b/>
        </w:rPr>
        <w:t>Sú</w:t>
      </w:r>
      <w:r w:rsidRPr="00A53EAC">
        <w:rPr>
          <w:rFonts w:ascii="Times New Roman" w:eastAsia="Calibri" w:hAnsi="Times New Roman" w:cs="Times New Roman" w:hint="default"/>
          <w:b/>
        </w:rPr>
        <w:t>hrnná</w:t>
      </w:r>
      <w:r w:rsidRPr="00A53EAC">
        <w:rPr>
          <w:rFonts w:ascii="Times New Roman" w:eastAsia="Calibri" w:hAnsi="Times New Roman" w:cs="Times New Roman" w:hint="default"/>
          <w:b/>
        </w:rPr>
        <w:t xml:space="preserve"> vý</w:t>
      </w:r>
      <w:r w:rsidRPr="00A53EAC">
        <w:rPr>
          <w:rFonts w:ascii="Times New Roman" w:eastAsia="Calibri" w:hAnsi="Times New Roman" w:cs="Times New Roman" w:hint="default"/>
          <w:b/>
        </w:rPr>
        <w:t>roč</w:t>
      </w:r>
      <w:r w:rsidRPr="00A53EAC">
        <w:rPr>
          <w:rFonts w:ascii="Times New Roman" w:eastAsia="Calibri" w:hAnsi="Times New Roman" w:cs="Times New Roman" w:hint="default"/>
          <w:b/>
        </w:rPr>
        <w:t>ná</w:t>
      </w:r>
      <w:r w:rsidRPr="00A53EAC">
        <w:rPr>
          <w:rFonts w:ascii="Times New Roman" w:eastAsia="Calibri" w:hAnsi="Times New Roman" w:cs="Times New Roman" w:hint="default"/>
          <w:b/>
        </w:rPr>
        <w:t xml:space="preserve"> sprá</w:t>
      </w:r>
      <w:r w:rsidRPr="00A53EAC">
        <w:rPr>
          <w:rFonts w:ascii="Times New Roman" w:eastAsia="Calibri" w:hAnsi="Times New Roman" w:cs="Times New Roman" w:hint="default"/>
          <w:b/>
        </w:rPr>
        <w:t xml:space="preserve">va </w:t>
      </w:r>
      <w:r w:rsidRPr="00A53EAC" w:rsidR="00103920">
        <w:rPr>
          <w:rFonts w:ascii="Times New Roman" w:eastAsia="Calibri" w:hAnsi="Times New Roman" w:cs="Times New Roman"/>
          <w:b/>
        </w:rPr>
        <w:t>Slovenskej republiky za rok 2014</w:t>
      </w:r>
      <w:r w:rsidRPr="00A53EAC">
        <w:rPr>
          <w:rFonts w:ascii="Times New Roman" w:eastAsia="Calibri" w:hAnsi="Times New Roman" w:cs="Times New Roman" w:hint="default"/>
          <w:b/>
        </w:rPr>
        <w:t xml:space="preserve"> je č</w:t>
      </w:r>
      <w:r w:rsidRPr="00A53EAC">
        <w:rPr>
          <w:rFonts w:ascii="Times New Roman" w:eastAsia="Calibri" w:hAnsi="Times New Roman" w:cs="Times New Roman" w:hint="default"/>
          <w:b/>
        </w:rPr>
        <w:t>lenená</w:t>
      </w:r>
      <w:r w:rsidRPr="00A53EAC">
        <w:rPr>
          <w:rFonts w:ascii="Times New Roman" w:eastAsia="Calibri" w:hAnsi="Times New Roman" w:cs="Times New Roman" w:hint="default"/>
          <w:b/>
        </w:rPr>
        <w:t xml:space="preserve"> nasledovne:</w:t>
      </w:r>
    </w:p>
    <w:p w:rsidR="0063004E" w:rsidRPr="00A53EAC" w:rsidP="0012459D">
      <w:pPr>
        <w:numPr>
          <w:numId w:val="8"/>
        </w:numPr>
        <w:bidi w:val="0"/>
        <w:spacing w:after="120" w:line="336" w:lineRule="auto"/>
        <w:ind w:left="426" w:hanging="426"/>
        <w:jc w:val="both"/>
        <w:rPr>
          <w:rFonts w:ascii="Times New Roman" w:hAnsi="Times New Roman" w:cs="Book Antiqua"/>
          <w:lang w:eastAsia="sk-SK"/>
        </w:rPr>
      </w:pPr>
      <w:r w:rsidRPr="00A53EAC">
        <w:rPr>
          <w:rFonts w:ascii="Times New Roman" w:hAnsi="Times New Roman" w:cs="Book Antiqua"/>
          <w:i/>
          <w:lang w:eastAsia="sk-SK"/>
        </w:rPr>
        <w:t>Zhrnutie</w:t>
      </w:r>
      <w:r w:rsidRPr="00A53EAC">
        <w:rPr>
          <w:rFonts w:ascii="Times New Roman" w:hAnsi="Times New Roman" w:cs="Book Antiqua"/>
          <w:lang w:eastAsia="sk-SK"/>
        </w:rPr>
        <w:t xml:space="preserve"> prezentuje najdôležitejšie údaje o hospodárení verejných financií </w:t>
      </w:r>
      <w:r w:rsidRPr="00A53EAC" w:rsidR="00103920">
        <w:rPr>
          <w:rFonts w:ascii="Times New Roman" w:hAnsi="Times New Roman" w:cs="Book Antiqua"/>
          <w:lang w:eastAsia="sk-SK"/>
        </w:rPr>
        <w:t>Slovenskej republiky za rok 2014</w:t>
      </w:r>
      <w:r w:rsidRPr="00A53EAC">
        <w:rPr>
          <w:rFonts w:ascii="Times New Roman" w:hAnsi="Times New Roman" w:cs="Book Antiqua"/>
          <w:lang w:eastAsia="sk-SK"/>
        </w:rPr>
        <w:t xml:space="preserve">. </w:t>
      </w:r>
      <w:r w:rsidRPr="00A53EAC" w:rsidR="00B52899">
        <w:rPr>
          <w:rFonts w:ascii="Times New Roman" w:hAnsi="Times New Roman" w:cs="Book Antiqua"/>
          <w:lang w:eastAsia="sk-SK"/>
        </w:rPr>
        <w:t>Detailnejšie</w:t>
      </w:r>
      <w:r w:rsidRPr="00A53EAC">
        <w:rPr>
          <w:rFonts w:ascii="Times New Roman" w:hAnsi="Times New Roman" w:cs="Book Antiqua"/>
          <w:lang w:eastAsia="sk-SK"/>
        </w:rPr>
        <w:t xml:space="preserve"> informácie možno nájsť v jednotlivých kapitolách správy. </w:t>
      </w:r>
    </w:p>
    <w:p w:rsidR="0063004E" w:rsidRPr="00A53EAC" w:rsidP="0012459D">
      <w:pPr>
        <w:numPr>
          <w:numId w:val="8"/>
        </w:numPr>
        <w:bidi w:val="0"/>
        <w:spacing w:after="120" w:line="336" w:lineRule="auto"/>
        <w:ind w:left="426" w:hanging="426"/>
        <w:jc w:val="both"/>
        <w:rPr>
          <w:rFonts w:ascii="Times New Roman" w:hAnsi="Times New Roman" w:cs="Book Antiqua"/>
          <w:lang w:eastAsia="sk-SK"/>
        </w:rPr>
      </w:pPr>
      <w:r w:rsidRPr="00A53EAC">
        <w:rPr>
          <w:rFonts w:ascii="Times New Roman" w:hAnsi="Times New Roman" w:cs="Book Antiqua"/>
          <w:i/>
          <w:lang w:eastAsia="sk-SK"/>
        </w:rPr>
        <w:t>Prvá kapitola</w:t>
      </w:r>
      <w:r w:rsidRPr="00A53EAC">
        <w:rPr>
          <w:rFonts w:ascii="Times New Roman" w:hAnsi="Times New Roman" w:cs="Book Antiqua"/>
          <w:lang w:eastAsia="sk-SK"/>
        </w:rPr>
        <w:t xml:space="preserve"> prezentuje verejné financie z pohľadu sektorového členenia verejnej správy podľa metodiky ESA 2010. Dôraz sa kladie na príspevok jednotlivých skupín subjektov verejnej správy k výsledku rozpočtového hospodárenia verejnej správy. Hlavnými údajmi tejto časti sú saldo a dlh verejnej správy.</w:t>
      </w:r>
    </w:p>
    <w:p w:rsidR="0063004E" w:rsidRPr="00A53EAC" w:rsidP="0012459D">
      <w:pPr>
        <w:numPr>
          <w:numId w:val="8"/>
        </w:numPr>
        <w:bidi w:val="0"/>
        <w:spacing w:after="120" w:line="336" w:lineRule="auto"/>
        <w:ind w:left="426" w:hanging="426"/>
        <w:jc w:val="both"/>
        <w:rPr>
          <w:rFonts w:ascii="Times New Roman" w:hAnsi="Times New Roman" w:cs="Book Antiqua"/>
          <w:lang w:eastAsia="sk-SK"/>
        </w:rPr>
      </w:pPr>
      <w:r w:rsidRPr="00A53EAC">
        <w:rPr>
          <w:rFonts w:ascii="Times New Roman" w:hAnsi="Times New Roman" w:cs="Book Antiqua"/>
          <w:i/>
          <w:lang w:eastAsia="sk-SK"/>
        </w:rPr>
        <w:t>Druhá kapitola</w:t>
      </w:r>
      <w:r w:rsidRPr="00A53EAC">
        <w:rPr>
          <w:rFonts w:ascii="Times New Roman" w:hAnsi="Times New Roman" w:cs="Book Antiqua"/>
          <w:lang w:eastAsia="sk-SK"/>
        </w:rPr>
        <w:t xml:space="preserve"> nadväzuje na </w:t>
      </w:r>
      <w:r w:rsidRPr="00A53EAC" w:rsidR="00DD18DF">
        <w:rPr>
          <w:rFonts w:ascii="Times New Roman" w:hAnsi="Times New Roman" w:cs="Book Antiqua"/>
          <w:lang w:eastAsia="sk-SK"/>
        </w:rPr>
        <w:t>predchádzajúcu v hodnotení verejných financií</w:t>
      </w:r>
      <w:r w:rsidRPr="00A53EAC">
        <w:rPr>
          <w:rFonts w:ascii="Times New Roman" w:hAnsi="Times New Roman" w:cs="Book Antiqua"/>
          <w:lang w:eastAsia="sk-SK"/>
        </w:rPr>
        <w:t xml:space="preserve"> z pohľadu sektora verejnej správy. Pokiaľ sa však prvá kapitola zameriava striktne na údaje v metodike ESA 2010, ktoré sú obsahom októbrovej notifikácie, </w:t>
      </w:r>
      <w:r w:rsidRPr="00A53EAC" w:rsidR="00DD18DF">
        <w:rPr>
          <w:rFonts w:ascii="Times New Roman" w:hAnsi="Times New Roman" w:cs="Book Antiqua"/>
          <w:lang w:eastAsia="sk-SK"/>
        </w:rPr>
        <w:t>druhá</w:t>
      </w:r>
      <w:r w:rsidRPr="00A53EAC">
        <w:rPr>
          <w:rFonts w:ascii="Times New Roman" w:hAnsi="Times New Roman" w:cs="Book Antiqua"/>
          <w:lang w:eastAsia="sk-SK"/>
        </w:rPr>
        <w:t xml:space="preserve"> kapitola hodnotí vývoj verejnej správy najmä z pohľadu údajov, ktoré má obsahovať súhrnná správa na základe ústavného zákona o rozpočtovej zodpovednosti. Tieto údaje prehlbujú analytický pohľad na hospodárenie verejnej správy.</w:t>
      </w:r>
    </w:p>
    <w:p w:rsidR="0063004E" w:rsidRPr="00A53EAC" w:rsidP="0012459D">
      <w:pPr>
        <w:numPr>
          <w:numId w:val="8"/>
        </w:numPr>
        <w:bidi w:val="0"/>
        <w:spacing w:after="120" w:line="336" w:lineRule="auto"/>
        <w:ind w:left="426" w:hanging="426"/>
        <w:jc w:val="both"/>
        <w:rPr>
          <w:rFonts w:ascii="Times New Roman" w:hAnsi="Times New Roman" w:cs="Book Antiqua"/>
          <w:lang w:eastAsia="sk-SK"/>
        </w:rPr>
      </w:pPr>
      <w:r w:rsidRPr="00A53EAC">
        <w:rPr>
          <w:rFonts w:ascii="Times New Roman" w:hAnsi="Times New Roman" w:cs="Book Antiqua"/>
          <w:i/>
          <w:lang w:eastAsia="sk-SK"/>
        </w:rPr>
        <w:t xml:space="preserve">Tretia </w:t>
      </w:r>
      <w:r w:rsidRPr="00A53EAC">
        <w:rPr>
          <w:rFonts w:ascii="Times New Roman" w:eastAsia="Cambria" w:hAnsi="Times New Roman" w:cs="Book Antiqua"/>
          <w:i/>
          <w:lang w:eastAsia="sk-SK"/>
        </w:rPr>
        <w:t>kapitola</w:t>
      </w:r>
      <w:r w:rsidRPr="00A53EAC">
        <w:rPr>
          <w:rFonts w:ascii="Times New Roman" w:eastAsia="Cambria" w:hAnsi="Times New Roman" w:cs="Book Antiqua" w:hint="default"/>
          <w:lang w:eastAsia="sk-SK"/>
        </w:rPr>
        <w:t xml:space="preserve"> rozš</w:t>
      </w:r>
      <w:r w:rsidRPr="00A53EAC">
        <w:rPr>
          <w:rFonts w:ascii="Times New Roman" w:eastAsia="Cambria" w:hAnsi="Times New Roman" w:cs="Book Antiqua" w:hint="default"/>
          <w:lang w:eastAsia="sk-SK"/>
        </w:rPr>
        <w:t>iruje pohľ</w:t>
      </w:r>
      <w:r w:rsidRPr="00A53EAC">
        <w:rPr>
          <w:rFonts w:ascii="Times New Roman" w:eastAsia="Cambria" w:hAnsi="Times New Roman" w:cs="Book Antiqua" w:hint="default"/>
          <w:lang w:eastAsia="sk-SK"/>
        </w:rPr>
        <w:t>ad na verejné</w:t>
      </w:r>
      <w:r w:rsidRPr="00A53EAC">
        <w:rPr>
          <w:rFonts w:ascii="Times New Roman" w:eastAsia="Cambria" w:hAnsi="Times New Roman" w:cs="Book Antiqua" w:hint="default"/>
          <w:lang w:eastAsia="sk-SK"/>
        </w:rPr>
        <w:t xml:space="preserve"> financie z v</w:t>
      </w:r>
      <w:r w:rsidRPr="00A53EAC">
        <w:rPr>
          <w:rFonts w:ascii="Times New Roman" w:eastAsia="Cambria" w:hAnsi="Times New Roman" w:cs="Book Antiqua" w:hint="default"/>
          <w:lang w:eastAsia="sk-SK"/>
        </w:rPr>
        <w:t>erejnej sprá</w:t>
      </w:r>
      <w:r w:rsidRPr="00A53EAC">
        <w:rPr>
          <w:rFonts w:ascii="Times New Roman" w:eastAsia="Cambria" w:hAnsi="Times New Roman" w:cs="Book Antiqua" w:hint="default"/>
          <w:lang w:eastAsia="sk-SK"/>
        </w:rPr>
        <w:t>vy na verejný</w:t>
      </w:r>
      <w:r w:rsidRPr="00A53EAC">
        <w:rPr>
          <w:rFonts w:ascii="Times New Roman" w:eastAsia="Cambria" w:hAnsi="Times New Roman" w:cs="Book Antiqua" w:hint="default"/>
          <w:lang w:eastAsia="sk-SK"/>
        </w:rPr>
        <w:t xml:space="preserve"> sektor a </w:t>
      </w:r>
      <w:r w:rsidRPr="00A53EAC">
        <w:rPr>
          <w:rFonts w:ascii="Times New Roman" w:eastAsia="Cambria" w:hAnsi="Times New Roman" w:cs="Book Antiqua" w:hint="default"/>
          <w:lang w:eastAsia="sk-SK"/>
        </w:rPr>
        <w:t>jeho hlavný</w:t>
      </w:r>
      <w:r w:rsidRPr="00A53EAC">
        <w:rPr>
          <w:rFonts w:ascii="Times New Roman" w:eastAsia="Cambria" w:hAnsi="Times New Roman" w:cs="Book Antiqua" w:hint="default"/>
          <w:lang w:eastAsia="sk-SK"/>
        </w:rPr>
        <w:t xml:space="preserve"> ukazovateľ</w:t>
      </w:r>
      <w:r w:rsidRPr="00A53EAC">
        <w:rPr>
          <w:rFonts w:ascii="Times New Roman" w:eastAsia="Cambria" w:hAnsi="Times New Roman" w:cs="Book Antiqua" w:hint="default"/>
          <w:lang w:eastAsia="sk-SK"/>
        </w:rPr>
        <w:t xml:space="preserve"> č</w:t>
      </w:r>
      <w:r w:rsidRPr="00A53EAC">
        <w:rPr>
          <w:rFonts w:ascii="Times New Roman" w:eastAsia="Cambria" w:hAnsi="Times New Roman" w:cs="Book Antiqua" w:hint="default"/>
          <w:lang w:eastAsia="sk-SK"/>
        </w:rPr>
        <w:t>isté</w:t>
      </w:r>
      <w:r w:rsidRPr="00A53EAC">
        <w:rPr>
          <w:rFonts w:ascii="Times New Roman" w:eastAsia="Cambria" w:hAnsi="Times New Roman" w:cs="Book Antiqua" w:hint="default"/>
          <w:lang w:eastAsia="sk-SK"/>
        </w:rPr>
        <w:t xml:space="preserve"> bohatstvo.</w:t>
      </w:r>
      <w:r w:rsidRPr="00A53EAC">
        <w:rPr>
          <w:rFonts w:ascii="Times New Roman" w:hAnsi="Times New Roman" w:cs="Book Antiqua"/>
          <w:lang w:eastAsia="sk-SK"/>
        </w:rPr>
        <w:t xml:space="preserve"> V tejto časti je popísaná štruktúra a medziročné zmeny čistého bohatstva, v súlade s ústavným zákonom o rozpočtovej zodpovednosti je dôraz kladený na popis hospodárenia podnikov štátnej správy.</w:t>
      </w:r>
    </w:p>
    <w:p w:rsidR="0063004E" w:rsidRPr="00A53EAC" w:rsidP="0012459D">
      <w:pPr>
        <w:numPr>
          <w:numId w:val="8"/>
        </w:numPr>
        <w:bidi w:val="0"/>
        <w:spacing w:after="120" w:line="336" w:lineRule="auto"/>
        <w:ind w:left="426" w:hanging="426"/>
        <w:jc w:val="both"/>
        <w:rPr>
          <w:rFonts w:ascii="Times New Roman" w:hAnsi="Times New Roman" w:cs="Book Antiqua"/>
          <w:lang w:eastAsia="sk-SK"/>
        </w:rPr>
      </w:pPr>
      <w:r w:rsidRPr="00A53EAC">
        <w:rPr>
          <w:rFonts w:ascii="Times New Roman" w:hAnsi="Times New Roman" w:cs="Book Antiqua"/>
          <w:i/>
          <w:lang w:eastAsia="sk-SK"/>
        </w:rPr>
        <w:t>Štvrtá kapitola</w:t>
      </w:r>
      <w:r w:rsidRPr="00A53EAC">
        <w:rPr>
          <w:rFonts w:ascii="Times New Roman" w:hAnsi="Times New Roman" w:cs="Book Antiqua"/>
          <w:lang w:eastAsia="sk-SK"/>
        </w:rPr>
        <w:t xml:space="preserve"> obsahuje komentár k súhrnnej účtovnej závierke verejnej správy </w:t>
      </w:r>
      <w:r w:rsidRPr="00A53EAC" w:rsidR="00103920">
        <w:rPr>
          <w:rFonts w:ascii="Times New Roman" w:hAnsi="Times New Roman" w:cs="Book Antiqua"/>
          <w:lang w:eastAsia="sk-SK"/>
        </w:rPr>
        <w:t>Slovenskej republiky za rok 2014</w:t>
      </w:r>
      <w:r w:rsidRPr="00A53EAC">
        <w:rPr>
          <w:rFonts w:ascii="Times New Roman" w:hAnsi="Times New Roman" w:cs="Book Antiqua"/>
          <w:lang w:eastAsia="sk-SK"/>
        </w:rPr>
        <w:t>, ktorá sa zostavuje za súhrnný celok verejnej správy. Komentované sú najvýznamnejšie položky súvahy a výkazu ziskov a strát. Podobne ako pri čistom bohatstve sa analytická časť</w:t>
      </w:r>
      <w:r w:rsidRPr="00A53EAC" w:rsidR="00EB088C">
        <w:rPr>
          <w:rFonts w:ascii="Times New Roman" w:hAnsi="Times New Roman" w:cs="Book Antiqua"/>
          <w:lang w:eastAsia="sk-SK"/>
        </w:rPr>
        <w:t xml:space="preserve"> zameriava na najvýznamnejšie</w:t>
      </w:r>
      <w:r w:rsidRPr="00A53EAC">
        <w:rPr>
          <w:rFonts w:ascii="Times New Roman" w:hAnsi="Times New Roman" w:cs="Book Antiqua"/>
          <w:lang w:eastAsia="sk-SK"/>
        </w:rPr>
        <w:t xml:space="preserve"> zmeny oproti predchádzajúcemu roku.</w:t>
      </w:r>
    </w:p>
    <w:p w:rsidR="0063004E" w:rsidRPr="00A53EAC" w:rsidP="0012459D">
      <w:pPr>
        <w:numPr>
          <w:numId w:val="8"/>
        </w:numPr>
        <w:bidi w:val="0"/>
        <w:spacing w:after="120" w:line="336" w:lineRule="auto"/>
        <w:ind w:left="426" w:hanging="426"/>
        <w:jc w:val="both"/>
        <w:rPr>
          <w:rFonts w:ascii="Times New Roman" w:hAnsi="Times New Roman" w:cs="Book Antiqua"/>
          <w:lang w:eastAsia="sk-SK"/>
        </w:rPr>
      </w:pPr>
      <w:r w:rsidRPr="00A53EAC">
        <w:rPr>
          <w:rFonts w:ascii="Times New Roman" w:hAnsi="Times New Roman" w:cs="Book Antiqua"/>
          <w:i/>
          <w:lang w:eastAsia="sk-SK"/>
        </w:rPr>
        <w:t>Príloha č. 1</w:t>
      </w:r>
      <w:r w:rsidRPr="00A53EAC">
        <w:rPr>
          <w:rFonts w:ascii="Times New Roman" w:hAnsi="Times New Roman" w:cs="Book Antiqua"/>
          <w:lang w:eastAsia="sk-SK"/>
        </w:rPr>
        <w:t xml:space="preserve"> má tabuľkovú podobu a viaže sa k tretej kapitole. Obsahuje zoznam podnikov </w:t>
      </w:r>
      <w:r w:rsidRPr="00A53EAC" w:rsidR="00103920">
        <w:rPr>
          <w:rFonts w:ascii="Times New Roman" w:hAnsi="Times New Roman" w:cs="Book Antiqua"/>
          <w:lang w:eastAsia="sk-SK"/>
        </w:rPr>
        <w:t>štátnej správy</w:t>
      </w:r>
      <w:r w:rsidRPr="00A53EAC" w:rsidR="00DD18DF">
        <w:rPr>
          <w:rFonts w:ascii="Times New Roman" w:hAnsi="Times New Roman" w:cs="Book Antiqua"/>
          <w:lang w:eastAsia="sk-SK"/>
        </w:rPr>
        <w:t xml:space="preserve"> </w:t>
      </w:r>
      <w:r w:rsidRPr="00A53EAC">
        <w:rPr>
          <w:rFonts w:ascii="Times New Roman" w:hAnsi="Times New Roman" w:cs="Book Antiqua"/>
          <w:lang w:eastAsia="sk-SK"/>
        </w:rPr>
        <w:t>s údajmi o ich výsledku hospodárenia a výške vlastného imania za posledné tri roky. Tabuľka obsahuje aj informácie o výške vlastníckeho podielu štátu v podnikoch a účtovných štandardoch, ktoré podniky použili pri zostavovaní svojich účtovných závierok.</w:t>
      </w:r>
    </w:p>
    <w:p w:rsidR="0063004E" w:rsidRPr="00A53EAC" w:rsidP="0012459D">
      <w:pPr>
        <w:numPr>
          <w:numId w:val="8"/>
        </w:numPr>
        <w:bidi w:val="0"/>
        <w:spacing w:after="120" w:line="336" w:lineRule="auto"/>
        <w:ind w:left="426" w:hanging="426"/>
        <w:jc w:val="both"/>
        <w:rPr>
          <w:rFonts w:ascii="Times New Roman" w:hAnsi="Times New Roman" w:cs="Times New Roman"/>
          <w:lang w:eastAsia="cs-CZ"/>
        </w:rPr>
      </w:pPr>
      <w:r w:rsidRPr="00A53EAC">
        <w:rPr>
          <w:rFonts w:ascii="Times New Roman" w:hAnsi="Times New Roman" w:cs="Book Antiqua"/>
          <w:i/>
          <w:lang w:eastAsia="sk-SK"/>
        </w:rPr>
        <w:t>Príloha č. 2</w:t>
      </w:r>
      <w:r w:rsidRPr="00A53EAC">
        <w:rPr>
          <w:rFonts w:ascii="Times New Roman" w:hAnsi="Times New Roman" w:cs="Book Antiqua"/>
          <w:lang w:eastAsia="sk-SK"/>
        </w:rPr>
        <w:t xml:space="preserve"> sa viaže k štvrtej kap</w:t>
      </w:r>
      <w:r w:rsidR="00D76179">
        <w:rPr>
          <w:rFonts w:ascii="Times New Roman" w:hAnsi="Times New Roman" w:cs="Book Antiqua"/>
          <w:lang w:eastAsia="sk-SK"/>
        </w:rPr>
        <w:t>itole a obsahuje súhrnnú účtovnú</w:t>
      </w:r>
      <w:r w:rsidRPr="00A53EAC">
        <w:rPr>
          <w:rFonts w:ascii="Times New Roman" w:hAnsi="Times New Roman" w:cs="Book Antiqua"/>
          <w:lang w:eastAsia="sk-SK"/>
        </w:rPr>
        <w:t xml:space="preserve"> závierku verejnej správy </w:t>
      </w:r>
      <w:r w:rsidRPr="00A53EAC" w:rsidR="00103920">
        <w:rPr>
          <w:rFonts w:ascii="Times New Roman" w:hAnsi="Times New Roman" w:cs="Book Antiqua"/>
          <w:lang w:eastAsia="sk-SK"/>
        </w:rPr>
        <w:t>Slovenskej republiky za rok 2014</w:t>
      </w:r>
      <w:r w:rsidRPr="00A53EAC">
        <w:rPr>
          <w:rFonts w:ascii="Times New Roman" w:hAnsi="Times New Roman" w:cs="Book Antiqua"/>
          <w:lang w:eastAsia="sk-SK"/>
        </w:rPr>
        <w:t>.</w:t>
      </w:r>
    </w:p>
    <w:p w:rsidR="0063004E" w:rsidRPr="00A53EAC" w:rsidP="0063004E">
      <w:pPr>
        <w:bidi w:val="0"/>
        <w:spacing w:after="120" w:line="336" w:lineRule="auto"/>
        <w:jc w:val="both"/>
        <w:rPr>
          <w:rFonts w:ascii="Times New Roman" w:hAnsi="Times New Roman" w:cs="Times New Roman"/>
          <w:lang w:eastAsia="cs-CZ"/>
        </w:rPr>
      </w:pPr>
      <w:r w:rsidRPr="00A53EAC">
        <w:rPr>
          <w:rFonts w:ascii="Times New Roman" w:hAnsi="Times New Roman" w:cs="Times New Roman"/>
          <w:lang w:eastAsia="cs-CZ"/>
        </w:rPr>
        <w:t xml:space="preserve">Súčasťou správy je </w:t>
      </w:r>
      <w:r w:rsidRPr="00A53EAC">
        <w:rPr>
          <w:rFonts w:ascii="Times New Roman" w:hAnsi="Times New Roman" w:cs="Book Antiqua"/>
          <w:i/>
          <w:lang w:eastAsia="sk-SK"/>
        </w:rPr>
        <w:t>slovník odborných pojmov</w:t>
      </w:r>
      <w:r w:rsidRPr="00A53EAC">
        <w:rPr>
          <w:rFonts w:ascii="Times New Roman" w:hAnsi="Times New Roman" w:cs="Times New Roman"/>
          <w:lang w:eastAsia="cs-CZ"/>
        </w:rPr>
        <w:t>, ktorý detailne ale zároveň zrozumiteľne vysvetľuje hlavné pojmy obsiahnuté v správe. V</w:t>
      </w:r>
      <w:r w:rsidRPr="00A53EAC" w:rsidR="00DD18DF">
        <w:rPr>
          <w:rFonts w:ascii="Times New Roman" w:hAnsi="Times New Roman" w:cs="Times New Roman"/>
          <w:lang w:eastAsia="cs-CZ"/>
        </w:rPr>
        <w:t> dokumente sa uvádza</w:t>
      </w:r>
      <w:r w:rsidRPr="00A53EAC">
        <w:rPr>
          <w:rFonts w:ascii="Times New Roman" w:hAnsi="Times New Roman" w:cs="Times New Roman"/>
          <w:lang w:eastAsia="cs-CZ"/>
        </w:rPr>
        <w:t xml:space="preserve"> množstvo názvov a viacero zákonov v skrátenej podobe, preto je priložený aj </w:t>
      </w:r>
      <w:r w:rsidRPr="00A53EAC">
        <w:rPr>
          <w:rFonts w:ascii="Times New Roman" w:hAnsi="Times New Roman" w:cs="Book Antiqua"/>
          <w:i/>
          <w:lang w:eastAsia="sk-SK"/>
        </w:rPr>
        <w:t>zoznam skratiek</w:t>
      </w:r>
      <w:r w:rsidRPr="00A53EAC">
        <w:rPr>
          <w:rFonts w:ascii="Times New Roman" w:hAnsi="Times New Roman" w:cs="Times New Roman"/>
          <w:lang w:eastAsia="cs-CZ"/>
        </w:rPr>
        <w:t>.</w:t>
      </w:r>
    </w:p>
    <w:p w:rsidR="0063004E" w:rsidRPr="00A53EAC" w:rsidP="0063004E">
      <w:pPr>
        <w:bidi w:val="0"/>
        <w:spacing w:after="120" w:line="336" w:lineRule="auto"/>
        <w:jc w:val="both"/>
        <w:rPr>
          <w:rFonts w:ascii="Times New Roman" w:hAnsi="Times New Roman" w:cs="Times New Roman"/>
          <w:lang w:eastAsia="cs-CZ"/>
        </w:rPr>
      </w:pPr>
      <w:r w:rsidRPr="00A53EAC">
        <w:rPr>
          <w:rFonts w:ascii="Times New Roman" w:hAnsi="Times New Roman" w:cs="Times New Roman"/>
          <w:lang w:eastAsia="cs-CZ"/>
        </w:rPr>
        <w:t xml:space="preserve">K správe je priložená aj </w:t>
      </w:r>
      <w:r w:rsidRPr="00A53EAC">
        <w:rPr>
          <w:rFonts w:ascii="Times New Roman" w:hAnsi="Times New Roman" w:cs="Book Antiqua"/>
          <w:i/>
          <w:lang w:eastAsia="sk-SK"/>
        </w:rPr>
        <w:t>elektronická príloha</w:t>
      </w:r>
      <w:r w:rsidRPr="00A53EAC" w:rsidR="00DD18DF">
        <w:rPr>
          <w:rFonts w:ascii="Times New Roman" w:hAnsi="Times New Roman" w:cs="Times New Roman"/>
          <w:lang w:eastAsia="cs-CZ"/>
        </w:rPr>
        <w:t>, ktorá sa viaže k</w:t>
      </w:r>
      <w:r w:rsidRPr="00A53EAC">
        <w:rPr>
          <w:rFonts w:ascii="Times New Roman" w:hAnsi="Times New Roman" w:cs="Times New Roman"/>
          <w:lang w:eastAsia="cs-CZ"/>
        </w:rPr>
        <w:t xml:space="preserve"> prvej kapitole a je zverejnená len na internet</w:t>
      </w:r>
      <w:r w:rsidRPr="00A53EAC" w:rsidR="00A01CCC">
        <w:rPr>
          <w:rFonts w:ascii="Times New Roman" w:hAnsi="Times New Roman" w:cs="Times New Roman"/>
          <w:lang w:eastAsia="cs-CZ"/>
        </w:rPr>
        <w:t>ovej stránke MF SR</w:t>
      </w:r>
      <w:r w:rsidRPr="00A53EAC">
        <w:rPr>
          <w:rFonts w:ascii="Times New Roman" w:hAnsi="Times New Roman" w:cs="Times New Roman"/>
          <w:lang w:eastAsia="cs-CZ"/>
        </w:rPr>
        <w:t xml:space="preserve"> spolu s hlavným dokumentom. Elektronická príloha obsahuje štruktúru schodku verejnej správy</w:t>
      </w:r>
      <w:r w:rsidRPr="00A53EAC" w:rsidR="00103920">
        <w:rPr>
          <w:rFonts w:ascii="Times New Roman" w:hAnsi="Times New Roman" w:cs="Times New Roman"/>
          <w:lang w:eastAsia="cs-CZ"/>
        </w:rPr>
        <w:t xml:space="preserve"> a jeho financovanie v roku 2014</w:t>
      </w:r>
      <w:r w:rsidRPr="00A53EAC">
        <w:rPr>
          <w:rFonts w:ascii="Times New Roman" w:hAnsi="Times New Roman" w:cs="Times New Roman"/>
          <w:lang w:eastAsia="cs-CZ"/>
        </w:rPr>
        <w:t xml:space="preserve"> podľa jednotlivých skupín subjektov v metodike ESA 2010 (prechod od hotovostného schodku ku schodku v metodike ESA 2010).</w:t>
      </w:r>
    </w:p>
    <w:p w:rsidR="00BB19F3" w:rsidRPr="00A53EAC" w:rsidP="0063004E">
      <w:pPr>
        <w:bidi w:val="0"/>
        <w:spacing w:after="120" w:line="336" w:lineRule="auto"/>
        <w:jc w:val="both"/>
        <w:rPr>
          <w:rFonts w:ascii="Times New Roman" w:hAnsi="Times New Roman" w:cs="Times New Roman"/>
          <w:lang w:eastAsia="cs-CZ"/>
        </w:rPr>
      </w:pPr>
      <w:r w:rsidRPr="00A53EAC">
        <w:rPr>
          <w:rFonts w:ascii="Times New Roman" w:hAnsi="Times New Roman" w:cs="Times New Roman"/>
          <w:lang w:eastAsia="cs-CZ"/>
        </w:rPr>
        <w:t xml:space="preserve">Pri výpočte podielových ukazovateľov verejných financií boli použité údaje o HDP v bežných cenách, ktoré boli notifikované </w:t>
      </w:r>
      <w:r w:rsidRPr="00A53EAC" w:rsidR="0007714F">
        <w:rPr>
          <w:rFonts w:ascii="Times New Roman" w:hAnsi="Times New Roman" w:cs="Times New Roman"/>
          <w:lang w:eastAsia="cs-CZ"/>
        </w:rPr>
        <w:t>v rámci októbrovej notifikácie: 2014</w:t>
      </w:r>
      <w:r w:rsidRPr="00A53EAC">
        <w:rPr>
          <w:rFonts w:ascii="Times New Roman" w:hAnsi="Times New Roman" w:cs="Times New Roman"/>
          <w:lang w:eastAsia="cs-CZ"/>
        </w:rPr>
        <w:t xml:space="preserve"> – </w:t>
      </w:r>
      <w:r w:rsidRPr="00A53EAC" w:rsidR="0007714F">
        <w:rPr>
          <w:rFonts w:ascii="Times New Roman" w:hAnsi="Times New Roman" w:cs="Times New Roman"/>
          <w:lang w:eastAsia="cs-CZ"/>
        </w:rPr>
        <w:t>75 560 457</w:t>
      </w:r>
      <w:r w:rsidRPr="00A53EAC">
        <w:rPr>
          <w:rFonts w:ascii="Times New Roman" w:hAnsi="Times New Roman" w:cs="Times New Roman"/>
          <w:lang w:eastAsia="cs-CZ"/>
        </w:rPr>
        <w:t> tis.</w:t>
      </w:r>
      <w:r w:rsidRPr="00A53EAC" w:rsidR="00667B85">
        <w:rPr>
          <w:rFonts w:ascii="Times New Roman" w:hAnsi="Times New Roman" w:cs="Times New Roman"/>
          <w:lang w:eastAsia="cs-CZ"/>
        </w:rPr>
        <w:t xml:space="preserve"> </w:t>
      </w:r>
      <w:r w:rsidRPr="00A53EAC" w:rsidR="0007714F">
        <w:rPr>
          <w:rFonts w:ascii="Times New Roman" w:hAnsi="Times New Roman" w:cs="Times New Roman"/>
          <w:lang w:eastAsia="cs-CZ"/>
        </w:rPr>
        <w:t>eur,</w:t>
      </w:r>
      <w:r w:rsidRPr="00A53EAC" w:rsidR="00B73791">
        <w:rPr>
          <w:rFonts w:ascii="Times New Roman" w:hAnsi="Times New Roman" w:cs="Times New Roman"/>
          <w:lang w:eastAsia="cs-CZ"/>
        </w:rPr>
        <w:t xml:space="preserve"> 2</w:t>
      </w:r>
      <w:r w:rsidRPr="00A53EAC" w:rsidR="0007714F">
        <w:rPr>
          <w:rFonts w:ascii="Times New Roman" w:hAnsi="Times New Roman" w:cs="Times New Roman"/>
          <w:lang w:eastAsia="cs-CZ"/>
        </w:rPr>
        <w:t xml:space="preserve">013 </w:t>
      </w:r>
      <w:r w:rsidRPr="00A53EAC" w:rsidR="00274BD8">
        <w:rPr>
          <w:rFonts w:ascii="Times New Roman" w:hAnsi="Times New Roman" w:cs="Times New Roman"/>
          <w:lang w:eastAsia="cs-CZ"/>
        </w:rPr>
        <w:t>–</w:t>
      </w:r>
      <w:r w:rsidRPr="00A53EAC" w:rsidR="0007714F">
        <w:rPr>
          <w:rFonts w:ascii="Times New Roman" w:hAnsi="Times New Roman" w:cs="Times New Roman"/>
          <w:lang w:eastAsia="cs-CZ"/>
        </w:rPr>
        <w:t xml:space="preserve"> 73</w:t>
      </w:r>
      <w:r w:rsidRPr="00A53EAC" w:rsidR="0008237F">
        <w:rPr>
          <w:rFonts w:ascii="Times New Roman" w:hAnsi="Times New Roman" w:cs="Times New Roman"/>
          <w:lang w:eastAsia="cs-CZ"/>
        </w:rPr>
        <w:t> </w:t>
      </w:r>
      <w:r w:rsidRPr="00A53EAC" w:rsidR="0007714F">
        <w:rPr>
          <w:rFonts w:ascii="Times New Roman" w:hAnsi="Times New Roman" w:cs="Times New Roman"/>
          <w:lang w:eastAsia="cs-CZ"/>
        </w:rPr>
        <w:t>835</w:t>
      </w:r>
      <w:r w:rsidRPr="00A53EAC" w:rsidR="0008237F">
        <w:rPr>
          <w:rFonts w:ascii="Times New Roman" w:hAnsi="Times New Roman" w:cs="Times New Roman"/>
          <w:lang w:eastAsia="cs-CZ"/>
        </w:rPr>
        <w:t> </w:t>
      </w:r>
      <w:r w:rsidRPr="00A53EAC" w:rsidR="0007714F">
        <w:rPr>
          <w:rFonts w:ascii="Times New Roman" w:hAnsi="Times New Roman" w:cs="Times New Roman"/>
          <w:lang w:eastAsia="cs-CZ"/>
        </w:rPr>
        <w:t>088</w:t>
      </w:r>
      <w:r w:rsidRPr="00A53EAC" w:rsidR="00274BD8">
        <w:rPr>
          <w:rFonts w:ascii="Times New Roman" w:hAnsi="Times New Roman" w:cs="Times New Roman"/>
          <w:lang w:eastAsia="cs-CZ"/>
        </w:rPr>
        <w:t> tis. eur,</w:t>
      </w:r>
      <w:r w:rsidRPr="00A53EAC" w:rsidR="0007714F">
        <w:rPr>
          <w:rFonts w:ascii="Times New Roman" w:hAnsi="Times New Roman" w:cs="Times New Roman"/>
          <w:lang w:eastAsia="cs-CZ"/>
        </w:rPr>
        <w:t xml:space="preserve"> 2012</w:t>
      </w:r>
      <w:r w:rsidRPr="00A53EAC">
        <w:rPr>
          <w:rFonts w:ascii="Times New Roman" w:hAnsi="Times New Roman" w:cs="Times New Roman"/>
          <w:lang w:eastAsia="cs-CZ"/>
        </w:rPr>
        <w:t xml:space="preserve"> – </w:t>
      </w:r>
      <w:r w:rsidRPr="00A53EAC" w:rsidR="0007714F">
        <w:rPr>
          <w:rFonts w:ascii="Times New Roman" w:hAnsi="Times New Roman" w:cs="Times New Roman"/>
          <w:lang w:eastAsia="cs-CZ"/>
        </w:rPr>
        <w:t xml:space="preserve">72 420 003 tis. </w:t>
      </w:r>
      <w:r w:rsidRPr="00A53EAC">
        <w:rPr>
          <w:rFonts w:ascii="Times New Roman" w:hAnsi="Times New Roman" w:cs="Times New Roman"/>
          <w:lang w:eastAsia="cs-CZ"/>
        </w:rPr>
        <w:t>eur.</w:t>
      </w:r>
      <w:r w:rsidRPr="00A53EAC" w:rsidR="0007714F">
        <w:rPr>
          <w:rFonts w:ascii="Times New Roman" w:hAnsi="Times New Roman" w:cs="Times New Roman"/>
          <w:lang w:eastAsia="cs-CZ"/>
        </w:rPr>
        <w:t xml:space="preserve"> Oproti</w:t>
      </w:r>
      <w:r w:rsidRPr="00A53EAC" w:rsidR="00B73791">
        <w:rPr>
          <w:rFonts w:ascii="Times New Roman" w:hAnsi="Times New Roman" w:cs="Times New Roman"/>
          <w:lang w:eastAsia="cs-CZ"/>
        </w:rPr>
        <w:t xml:space="preserve"> minuloročnej správe sa zmenili hodnoty HDP za roky 2012 aj 2013, čo mohlo mať dopad na zmenu veľkosti podielových ukazovateľov na HDP v týchto rokoch.</w:t>
      </w:r>
    </w:p>
    <w:p w:rsidR="0000435D" w:rsidRPr="00A53EAC" w:rsidP="0063004E">
      <w:pPr>
        <w:bidi w:val="0"/>
        <w:spacing w:after="120" w:line="336" w:lineRule="auto"/>
        <w:jc w:val="both"/>
        <w:rPr>
          <w:rFonts w:ascii="Times New Roman" w:hAnsi="Times New Roman" w:cs="Times New Roman"/>
          <w:lang w:eastAsia="cs-CZ"/>
        </w:rPr>
      </w:pPr>
    </w:p>
    <w:p w:rsidR="00472200" w:rsidRPr="00A53EAC">
      <w:pPr>
        <w:bidi w:val="0"/>
        <w:rPr>
          <w:rFonts w:ascii="Times New Roman" w:hAnsi="Times New Roman" w:cs="Times New Roman"/>
          <w:b/>
          <w:bCs/>
          <w:sz w:val="26"/>
          <w:szCs w:val="26"/>
        </w:rPr>
      </w:pPr>
      <w:bookmarkStart w:id="10" w:name="_Toc401920005"/>
      <w:r w:rsidRPr="00A53EAC">
        <w:rPr>
          <w:rFonts w:eastAsia="Times New Roman"/>
        </w:rPr>
        <w:br w:type="page"/>
      </w:r>
    </w:p>
    <w:p w:rsidR="003A760D" w:rsidRPr="00A53EAC" w:rsidP="0080190B">
      <w:pPr>
        <w:pStyle w:val="Heading1"/>
        <w:bidi w:val="0"/>
        <w:spacing w:line="336" w:lineRule="auto"/>
        <w:ind w:left="425" w:hanging="425"/>
        <w:rPr>
          <w:rFonts w:eastAsia="Times New Roman"/>
          <w:szCs w:val="22"/>
        </w:rPr>
      </w:pPr>
      <w:bookmarkStart w:id="11" w:name="_Toc433099553"/>
      <w:r w:rsidRPr="00A53EAC">
        <w:rPr>
          <w:rFonts w:eastAsia="Times New Roman"/>
        </w:rPr>
        <w:t xml:space="preserve">Hospodárenie verejnej správy v metodike ESA </w:t>
      </w:r>
      <w:bookmarkEnd w:id="6"/>
      <w:r w:rsidRPr="00A53EAC" w:rsidR="008F1C12">
        <w:rPr>
          <w:rFonts w:eastAsia="Times New Roman"/>
        </w:rPr>
        <w:t>2010</w:t>
      </w:r>
      <w:bookmarkEnd w:id="10"/>
      <w:bookmarkEnd w:id="11"/>
      <w:r w:rsidRPr="00A53EAC">
        <w:rPr>
          <w:rFonts w:eastAsia="Times New Roman"/>
        </w:rPr>
        <w:t xml:space="preserve"> </w:t>
      </w:r>
    </w:p>
    <w:p w:rsidR="008556AF" w:rsidRPr="00A53EAC" w:rsidP="008556AF">
      <w:pPr>
        <w:bidi w:val="0"/>
        <w:spacing w:after="120" w:line="336" w:lineRule="auto"/>
        <w:jc w:val="both"/>
        <w:rPr>
          <w:rFonts w:ascii="Times New Roman" w:hAnsi="Times New Roman" w:cs="Times New Roman"/>
          <w:szCs w:val="22"/>
        </w:rPr>
      </w:pPr>
      <w:bookmarkStart w:id="12" w:name="_Toc399324357"/>
      <w:r w:rsidRPr="00A53EAC">
        <w:rPr>
          <w:rFonts w:ascii="Times New Roman" w:hAnsi="Times New Roman" w:cs="Times New Roman"/>
          <w:szCs w:val="22"/>
        </w:rPr>
        <w:t>V tejto časti sú prezentované verejné financie z pohľadu verejnej správy podľa metodiky ESA</w:t>
      </w:r>
      <w:r w:rsidRPr="00A53EAC" w:rsidR="00D471C2">
        <w:rPr>
          <w:rFonts w:ascii="Times New Roman" w:hAnsi="Times New Roman" w:cs="Times New Roman"/>
          <w:szCs w:val="22"/>
        </w:rPr>
        <w:t xml:space="preserve"> 2010. </w:t>
      </w:r>
      <w:r w:rsidRPr="00A53EAC">
        <w:rPr>
          <w:rFonts w:ascii="Times New Roman" w:hAnsi="Times New Roman" w:cs="Times New Roman"/>
          <w:szCs w:val="22"/>
        </w:rPr>
        <w:t>Kapitola obsahuje údaje, ktoré sú predmetom októbrovej notifikácie. Ide najmä o saldo a hrubý dlh verejnej správy. Pri analýze salda sa kladie</w:t>
      </w:r>
      <w:r w:rsidRPr="00A53EAC" w:rsidR="008F1C12">
        <w:rPr>
          <w:rFonts w:ascii="Times New Roman" w:hAnsi="Times New Roman" w:cs="Times New Roman"/>
          <w:szCs w:val="22"/>
        </w:rPr>
        <w:t xml:space="preserve"> dôraz</w:t>
      </w:r>
      <w:r w:rsidRPr="00A53EAC">
        <w:rPr>
          <w:rFonts w:ascii="Times New Roman" w:hAnsi="Times New Roman" w:cs="Times New Roman"/>
          <w:szCs w:val="22"/>
        </w:rPr>
        <w:t xml:space="preserve"> na príspevok jednotlivých skupín subjektov verejnej správy k výslednému saldu verejnej správy</w:t>
      </w:r>
      <w:r w:rsidRPr="00A53EAC" w:rsidR="00D471C2">
        <w:rPr>
          <w:rFonts w:ascii="Times New Roman" w:hAnsi="Times New Roman" w:cs="Times New Roman"/>
          <w:szCs w:val="22"/>
        </w:rPr>
        <w:t xml:space="preserve">. </w:t>
      </w:r>
      <w:r w:rsidRPr="00A53EAC">
        <w:rPr>
          <w:rFonts w:ascii="Times New Roman" w:hAnsi="Times New Roman" w:cs="Times New Roman"/>
          <w:szCs w:val="22"/>
        </w:rPr>
        <w:t xml:space="preserve">Analýza dlhu sa zameriava na príspevok faktorov, ktoré vysvetľujú jeho medziročnú </w:t>
      </w:r>
      <w:r w:rsidRPr="00A53EAC" w:rsidR="008F1C12">
        <w:rPr>
          <w:rFonts w:ascii="Times New Roman" w:hAnsi="Times New Roman" w:cs="Times New Roman"/>
          <w:szCs w:val="22"/>
        </w:rPr>
        <w:t>zmenu</w:t>
      </w:r>
      <w:r w:rsidRPr="00A53EAC">
        <w:rPr>
          <w:rFonts w:ascii="Times New Roman" w:hAnsi="Times New Roman" w:cs="Times New Roman"/>
          <w:szCs w:val="22"/>
        </w:rPr>
        <w:t xml:space="preserve">. Kapitola </w:t>
      </w:r>
      <w:r w:rsidRPr="00A53EAC" w:rsidR="00D471C2">
        <w:rPr>
          <w:rFonts w:ascii="Times New Roman" w:hAnsi="Times New Roman" w:cs="Times New Roman"/>
          <w:szCs w:val="22"/>
        </w:rPr>
        <w:t xml:space="preserve">tiež obsahuje </w:t>
      </w:r>
      <w:r w:rsidRPr="00A53EAC" w:rsidR="000728EB">
        <w:rPr>
          <w:rFonts w:ascii="Times New Roman" w:hAnsi="Times New Roman" w:cs="Times New Roman"/>
          <w:szCs w:val="22"/>
        </w:rPr>
        <w:t>porovnanie notifikovaných údajov</w:t>
      </w:r>
      <w:r w:rsidRPr="00A53EAC">
        <w:rPr>
          <w:rFonts w:ascii="Times New Roman" w:hAnsi="Times New Roman" w:cs="Times New Roman"/>
          <w:szCs w:val="22"/>
        </w:rPr>
        <w:t xml:space="preserve"> </w:t>
      </w:r>
      <w:r w:rsidRPr="00A53EAC" w:rsidR="00D471C2">
        <w:rPr>
          <w:rFonts w:ascii="Times New Roman" w:hAnsi="Times New Roman" w:cs="Times New Roman"/>
          <w:szCs w:val="22"/>
        </w:rPr>
        <w:t>o</w:t>
      </w:r>
      <w:r w:rsidRPr="00A53EAC">
        <w:rPr>
          <w:rFonts w:ascii="Times New Roman" w:hAnsi="Times New Roman" w:cs="Times New Roman"/>
          <w:szCs w:val="22"/>
        </w:rPr>
        <w:t xml:space="preserve"> sald</w:t>
      </w:r>
      <w:r w:rsidRPr="00A53EAC" w:rsidR="00D471C2">
        <w:rPr>
          <w:rFonts w:ascii="Times New Roman" w:hAnsi="Times New Roman" w:cs="Times New Roman"/>
          <w:szCs w:val="22"/>
        </w:rPr>
        <w:t>e</w:t>
      </w:r>
      <w:r w:rsidRPr="00A53EAC">
        <w:rPr>
          <w:rFonts w:ascii="Times New Roman" w:hAnsi="Times New Roman" w:cs="Times New Roman"/>
          <w:szCs w:val="22"/>
        </w:rPr>
        <w:t xml:space="preserve"> a dlh</w:t>
      </w:r>
      <w:r w:rsidRPr="00A53EAC" w:rsidR="00D471C2">
        <w:rPr>
          <w:rFonts w:ascii="Times New Roman" w:hAnsi="Times New Roman" w:cs="Times New Roman"/>
          <w:szCs w:val="22"/>
        </w:rPr>
        <w:t>u</w:t>
      </w:r>
      <w:r w:rsidRPr="00A53EAC">
        <w:rPr>
          <w:rFonts w:ascii="Times New Roman" w:hAnsi="Times New Roman" w:cs="Times New Roman"/>
          <w:szCs w:val="22"/>
        </w:rPr>
        <w:t xml:space="preserve"> verejnej správy </w:t>
      </w:r>
      <w:r w:rsidRPr="00A53EAC" w:rsidR="00D471C2">
        <w:rPr>
          <w:rFonts w:ascii="Times New Roman" w:hAnsi="Times New Roman" w:cs="Times New Roman"/>
          <w:szCs w:val="22"/>
        </w:rPr>
        <w:t>za všetky krajiny</w:t>
      </w:r>
      <w:r w:rsidRPr="00A53EAC">
        <w:rPr>
          <w:rFonts w:ascii="Times New Roman" w:hAnsi="Times New Roman" w:cs="Times New Roman"/>
          <w:szCs w:val="22"/>
        </w:rPr>
        <w:t xml:space="preserve"> Európskej únie.</w:t>
      </w:r>
      <w:r w:rsidRPr="00A53EAC" w:rsidR="000728EB">
        <w:rPr>
          <w:rFonts w:ascii="Times New Roman" w:hAnsi="Times New Roman" w:cs="Times New Roman"/>
          <w:szCs w:val="22"/>
        </w:rPr>
        <w:t xml:space="preserve"> V samostatnej podkapitole sú uvedené rozdiely medzi októbrovou a aprílovou notifikáciou údajov. </w:t>
      </w:r>
    </w:p>
    <w:p w:rsidR="003A760D" w:rsidRPr="00A53EAC" w:rsidP="001767F0">
      <w:pPr>
        <w:pStyle w:val="Heading2"/>
        <w:bidi w:val="0"/>
        <w:spacing w:before="120" w:after="120" w:line="336" w:lineRule="auto"/>
        <w:ind w:left="425" w:hanging="425"/>
        <w:rPr>
          <w:rFonts w:eastAsiaTheme="minorHAnsi"/>
        </w:rPr>
      </w:pPr>
      <w:bookmarkStart w:id="13" w:name="_Toc401920006"/>
      <w:bookmarkStart w:id="14" w:name="_Toc433099554"/>
      <w:r w:rsidRPr="00A53EAC">
        <w:rPr>
          <w:rFonts w:eastAsiaTheme="minorHAnsi"/>
        </w:rPr>
        <w:t>Saldo verejnej správy</w:t>
      </w:r>
      <w:bookmarkEnd w:id="12"/>
      <w:bookmarkEnd w:id="13"/>
      <w:bookmarkEnd w:id="14"/>
    </w:p>
    <w:p w:rsidR="00821E94" w:rsidRPr="00A53EAC" w:rsidP="00821E94">
      <w:pPr>
        <w:bidi w:val="0"/>
        <w:spacing w:after="120" w:line="336" w:lineRule="auto"/>
        <w:jc w:val="both"/>
        <w:rPr>
          <w:rFonts w:ascii="Times New Roman" w:hAnsi="Times New Roman" w:cs="Times New Roman"/>
          <w:szCs w:val="22"/>
        </w:rPr>
      </w:pPr>
      <w:r w:rsidRPr="00A53EAC">
        <w:rPr>
          <w:rFonts w:ascii="Times New Roman" w:hAnsi="Times New Roman" w:cs="Times New Roman"/>
          <w:szCs w:val="22"/>
        </w:rPr>
        <w:t>Verejná správa Slovenskej republiky hospodárila v roku 201</w:t>
      </w:r>
      <w:r w:rsidRPr="00A53EAC" w:rsidR="00BE0BF8">
        <w:rPr>
          <w:rFonts w:ascii="Times New Roman" w:hAnsi="Times New Roman" w:cs="Times New Roman"/>
          <w:szCs w:val="22"/>
        </w:rPr>
        <w:t>4</w:t>
      </w:r>
      <w:r w:rsidRPr="00A53EAC">
        <w:rPr>
          <w:rFonts w:ascii="Times New Roman" w:hAnsi="Times New Roman" w:cs="Times New Roman"/>
          <w:szCs w:val="22"/>
        </w:rPr>
        <w:t xml:space="preserve"> so </w:t>
      </w:r>
      <w:r w:rsidRPr="00A53EAC" w:rsidR="00ED4443">
        <w:rPr>
          <w:rFonts w:ascii="Times New Roman" w:hAnsi="Times New Roman" w:cs="Times New Roman"/>
          <w:b/>
          <w:szCs w:val="22"/>
        </w:rPr>
        <w:t xml:space="preserve">schodkom </w:t>
      </w:r>
      <w:r w:rsidRPr="00A53EAC" w:rsidR="0073461D">
        <w:rPr>
          <w:rFonts w:ascii="Times New Roman" w:hAnsi="Times New Roman" w:cs="Times New Roman"/>
          <w:b/>
          <w:szCs w:val="22"/>
        </w:rPr>
        <w:t>2 097 552 </w:t>
      </w:r>
      <w:r w:rsidRPr="00A53EAC" w:rsidR="00274BD8">
        <w:rPr>
          <w:rFonts w:ascii="Times New Roman" w:hAnsi="Times New Roman" w:cs="Times New Roman"/>
          <w:b/>
          <w:szCs w:val="22"/>
        </w:rPr>
        <w:t>tis. eur</w:t>
        <w:br/>
      </w:r>
      <w:r w:rsidRPr="00A53EAC" w:rsidR="0073461D">
        <w:rPr>
          <w:rFonts w:ascii="Times New Roman" w:hAnsi="Times New Roman" w:cs="Times New Roman"/>
          <w:b/>
          <w:szCs w:val="22"/>
        </w:rPr>
        <w:t>(2,8</w:t>
      </w:r>
      <w:r w:rsidRPr="00A53EAC">
        <w:rPr>
          <w:rFonts w:ascii="Times New Roman" w:hAnsi="Times New Roman" w:cs="Times New Roman"/>
          <w:b/>
          <w:szCs w:val="22"/>
        </w:rPr>
        <w:t xml:space="preserve"> %</w:t>
      </w:r>
      <w:r w:rsidRPr="00A53EAC" w:rsidR="00274BD8">
        <w:rPr>
          <w:rFonts w:ascii="Times New Roman" w:hAnsi="Times New Roman" w:cs="Times New Roman"/>
          <w:b/>
          <w:szCs w:val="22"/>
        </w:rPr>
        <w:t xml:space="preserve"> </w:t>
      </w:r>
      <w:r w:rsidRPr="00A53EAC">
        <w:rPr>
          <w:rFonts w:ascii="Times New Roman" w:hAnsi="Times New Roman" w:cs="Times New Roman"/>
          <w:b/>
          <w:szCs w:val="22"/>
        </w:rPr>
        <w:t xml:space="preserve">HDP) </w:t>
      </w:r>
      <w:r w:rsidRPr="00A53EAC">
        <w:rPr>
          <w:rFonts w:ascii="Times New Roman" w:hAnsi="Times New Roman" w:cs="Times New Roman"/>
          <w:szCs w:val="22"/>
        </w:rPr>
        <w:t xml:space="preserve">podľa metodiky ESA 2010. </w:t>
      </w:r>
      <w:r w:rsidRPr="00A53EAC" w:rsidR="0073461D">
        <w:rPr>
          <w:rFonts w:ascii="Times New Roman" w:hAnsi="Times New Roman" w:cs="Times New Roman"/>
          <w:szCs w:val="22"/>
        </w:rPr>
        <w:t>Oproti roku 2013</w:t>
      </w:r>
      <w:r w:rsidRPr="00A53EAC">
        <w:rPr>
          <w:rFonts w:ascii="Times New Roman" w:hAnsi="Times New Roman" w:cs="Times New Roman"/>
          <w:szCs w:val="22"/>
        </w:rPr>
        <w:t xml:space="preserve"> sa schodok </w:t>
      </w:r>
      <w:r w:rsidRPr="00A53EAC" w:rsidR="0073461D">
        <w:rPr>
          <w:rFonts w:ascii="Times New Roman" w:hAnsi="Times New Roman" w:cs="Times New Roman"/>
          <w:szCs w:val="22"/>
        </w:rPr>
        <w:t>zvýšil</w:t>
      </w:r>
      <w:r w:rsidRPr="00A53EAC">
        <w:rPr>
          <w:rFonts w:ascii="Times New Roman" w:hAnsi="Times New Roman" w:cs="Times New Roman"/>
          <w:szCs w:val="22"/>
        </w:rPr>
        <w:t xml:space="preserve"> </w:t>
      </w:r>
      <w:r w:rsidRPr="00A53EAC" w:rsidR="009A5783">
        <w:rPr>
          <w:rFonts w:ascii="Times New Roman" w:hAnsi="Times New Roman" w:cs="Times New Roman"/>
          <w:szCs w:val="22"/>
        </w:rPr>
        <w:t xml:space="preserve">na HDP </w:t>
      </w:r>
      <w:r w:rsidRPr="00A53EAC">
        <w:rPr>
          <w:rFonts w:ascii="Times New Roman" w:hAnsi="Times New Roman" w:cs="Times New Roman"/>
          <w:szCs w:val="22"/>
        </w:rPr>
        <w:t>o</w:t>
      </w:r>
      <w:r w:rsidRPr="00A53EAC" w:rsidR="0073461D">
        <w:rPr>
          <w:rFonts w:ascii="Times New Roman" w:hAnsi="Times New Roman" w:cs="Times New Roman"/>
          <w:szCs w:val="22"/>
        </w:rPr>
        <w:t> 0,2</w:t>
      </w:r>
      <w:r w:rsidRPr="00A53EAC" w:rsidR="009A5783">
        <w:rPr>
          <w:rFonts w:ascii="Times New Roman" w:hAnsi="Times New Roman" w:cs="Times New Roman"/>
          <w:szCs w:val="22"/>
        </w:rPr>
        <w:t> p.b.</w:t>
      </w:r>
      <w:r w:rsidRPr="00A53EAC">
        <w:rPr>
          <w:rFonts w:ascii="Times New Roman" w:hAnsi="Times New Roman" w:cs="Times New Roman"/>
          <w:szCs w:val="22"/>
        </w:rPr>
        <w:t xml:space="preserve"> </w:t>
      </w:r>
    </w:p>
    <w:tbl>
      <w:tblPr>
        <w:tblStyle w:val="TableNormal"/>
        <w:tblW w:w="5000" w:type="pct"/>
        <w:tblCellMar>
          <w:left w:w="70" w:type="dxa"/>
          <w:right w:w="70" w:type="dxa"/>
        </w:tblCellMar>
        <w:tblLook w:val="04A0"/>
      </w:tblPr>
      <w:tblGrid>
        <w:gridCol w:w="3494"/>
        <w:gridCol w:w="1017"/>
        <w:gridCol w:w="1080"/>
        <w:gridCol w:w="1122"/>
        <w:gridCol w:w="1249"/>
        <w:gridCol w:w="1249"/>
      </w:tblGrid>
      <w:tr>
        <w:tblPrEx>
          <w:tblW w:w="5000" w:type="pct"/>
          <w:tblCellMar>
            <w:left w:w="70" w:type="dxa"/>
            <w:right w:w="70" w:type="dxa"/>
          </w:tblCellMar>
          <w:tblLook w:val="04A0"/>
        </w:tblPrEx>
        <w:trPr>
          <w:trHeight w:val="315"/>
        </w:trPr>
        <w:tc>
          <w:tcPr>
            <w:tcW w:w="4322" w:type="pct"/>
            <w:gridSpan w:val="5"/>
            <w:tcBorders>
              <w:top w:val="nil"/>
              <w:left w:val="nil"/>
              <w:bottom w:val="nil"/>
              <w:right w:val="nil"/>
            </w:tcBorders>
            <w:shd w:val="clear" w:color="000000" w:fill="000000"/>
            <w:noWrap/>
            <w:textDirection w:val="lrTb"/>
            <w:vAlign w:val="bottom"/>
            <w:hideMark/>
          </w:tcPr>
          <w:p w:rsidR="00BE0BF8" w:rsidRPr="00A53EAC" w:rsidP="00BE0BF8">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Saldo verejnej správy podľa podsektorov verejnej správy (ESA 2010)</w:t>
            </w:r>
          </w:p>
        </w:tc>
        <w:tc>
          <w:tcPr>
            <w:tcW w:w="678" w:type="pct"/>
            <w:tcBorders>
              <w:top w:val="nil"/>
              <w:left w:val="nil"/>
              <w:bottom w:val="nil"/>
              <w:right w:val="nil"/>
            </w:tcBorders>
            <w:shd w:val="clear" w:color="000000" w:fill="000000"/>
            <w:noWrap/>
            <w:textDirection w:val="lrTb"/>
            <w:vAlign w:val="bottom"/>
            <w:hideMark/>
          </w:tcPr>
          <w:p w:rsidR="00BE0BF8" w:rsidRPr="00A53EAC" w:rsidP="00BE0BF8">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 </w:t>
            </w:r>
          </w:p>
        </w:tc>
      </w:tr>
      <w:tr>
        <w:tblPrEx>
          <w:tblW w:w="5000" w:type="pct"/>
          <w:tblCellMar>
            <w:left w:w="70" w:type="dxa"/>
            <w:right w:w="70" w:type="dxa"/>
          </w:tblCellMar>
          <w:tblLook w:val="04A0"/>
        </w:tblPrEx>
        <w:trPr>
          <w:trHeight w:val="255"/>
        </w:trPr>
        <w:tc>
          <w:tcPr>
            <w:tcW w:w="1897" w:type="pct"/>
            <w:tcBorders>
              <w:top w:val="nil"/>
              <w:left w:val="nil"/>
              <w:bottom w:val="nil"/>
              <w:right w:val="nil"/>
            </w:tcBorders>
            <w:shd w:val="clear" w:color="000000" w:fill="C0C0C0"/>
            <w:textDirection w:val="lrTb"/>
            <w:vAlign w:val="top"/>
            <w:hideMark/>
          </w:tcPr>
          <w:p w:rsidR="00BE0BF8" w:rsidRPr="00A53EAC" w:rsidP="00BE0BF8">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 </w:t>
            </w:r>
          </w:p>
        </w:tc>
        <w:tc>
          <w:tcPr>
            <w:tcW w:w="552" w:type="pct"/>
            <w:vMerge w:val="restart"/>
            <w:tcBorders>
              <w:top w:val="nil"/>
              <w:left w:val="nil"/>
              <w:bottom w:val="single" w:sz="4" w:space="0" w:color="000000"/>
              <w:right w:val="nil"/>
            </w:tcBorders>
            <w:shd w:val="clear" w:color="000000" w:fill="C0C0C0"/>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ESA kód</w:t>
            </w:r>
          </w:p>
        </w:tc>
        <w:tc>
          <w:tcPr>
            <w:tcW w:w="586" w:type="pct"/>
            <w:tcBorders>
              <w:top w:val="nil"/>
              <w:left w:val="nil"/>
              <w:bottom w:val="nil"/>
              <w:right w:val="nil"/>
            </w:tcBorders>
            <w:shd w:val="clear" w:color="000000" w:fill="C0C0C0"/>
            <w:textDirection w:val="lrTb"/>
            <w:vAlign w:val="top"/>
            <w:hideMark/>
          </w:tcPr>
          <w:p w:rsidR="00BE0BF8" w:rsidRPr="00A53EAC" w:rsidP="00BE0BF8">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2012</w:t>
            </w:r>
          </w:p>
        </w:tc>
        <w:tc>
          <w:tcPr>
            <w:tcW w:w="609" w:type="pct"/>
            <w:tcBorders>
              <w:top w:val="nil"/>
              <w:left w:val="nil"/>
              <w:bottom w:val="nil"/>
              <w:right w:val="nil"/>
            </w:tcBorders>
            <w:shd w:val="clear" w:color="000000" w:fill="C0C0C0"/>
            <w:textDirection w:val="lrTb"/>
            <w:vAlign w:val="top"/>
            <w:hideMark/>
          </w:tcPr>
          <w:p w:rsidR="00BE0BF8" w:rsidRPr="00A53EAC" w:rsidP="00BE0BF8">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2013</w:t>
            </w:r>
          </w:p>
        </w:tc>
        <w:tc>
          <w:tcPr>
            <w:tcW w:w="678" w:type="pct"/>
            <w:tcBorders>
              <w:top w:val="nil"/>
              <w:left w:val="nil"/>
              <w:bottom w:val="nil"/>
              <w:right w:val="nil"/>
            </w:tcBorders>
            <w:shd w:val="clear" w:color="000000" w:fill="C0C0C0"/>
            <w:textDirection w:val="lrTb"/>
            <w:vAlign w:val="top"/>
            <w:hideMark/>
          </w:tcPr>
          <w:p w:rsidR="00BE0BF8" w:rsidRPr="00A53EAC" w:rsidP="00BE0BF8">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2014</w:t>
            </w:r>
          </w:p>
        </w:tc>
        <w:tc>
          <w:tcPr>
            <w:tcW w:w="678" w:type="pct"/>
            <w:tcBorders>
              <w:top w:val="nil"/>
              <w:left w:val="nil"/>
              <w:bottom w:val="nil"/>
              <w:right w:val="nil"/>
            </w:tcBorders>
            <w:shd w:val="clear" w:color="000000" w:fill="C0C0C0"/>
            <w:textDirection w:val="lrTb"/>
            <w:vAlign w:val="top"/>
            <w:hideMark/>
          </w:tcPr>
          <w:p w:rsidR="00BE0BF8" w:rsidRPr="00A53EAC" w:rsidP="00BE0BF8">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2014</w:t>
            </w:r>
          </w:p>
        </w:tc>
      </w:tr>
      <w:tr>
        <w:tblPrEx>
          <w:tblW w:w="5000" w:type="pct"/>
          <w:tblCellMar>
            <w:left w:w="70" w:type="dxa"/>
            <w:right w:w="70" w:type="dxa"/>
          </w:tblCellMar>
          <w:tblLook w:val="04A0"/>
        </w:tblPrEx>
        <w:trPr>
          <w:trHeight w:val="255"/>
        </w:trPr>
        <w:tc>
          <w:tcPr>
            <w:tcW w:w="1897" w:type="pct"/>
            <w:tcBorders>
              <w:top w:val="nil"/>
              <w:left w:val="nil"/>
              <w:bottom w:val="single" w:sz="4" w:space="0" w:color="auto"/>
              <w:right w:val="nil"/>
            </w:tcBorders>
            <w:shd w:val="clear" w:color="000000" w:fill="C0C0C0"/>
            <w:textDirection w:val="lrTb"/>
            <w:vAlign w:val="top"/>
            <w:hideMark/>
          </w:tcPr>
          <w:p w:rsidR="00BE0BF8" w:rsidRPr="00A53EAC" w:rsidP="00BE0BF8">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 </w:t>
            </w:r>
          </w:p>
        </w:tc>
        <w:tc>
          <w:tcPr>
            <w:tcW w:w="552" w:type="pct"/>
            <w:vMerge/>
            <w:tcBorders>
              <w:top w:val="nil"/>
              <w:left w:val="nil"/>
              <w:bottom w:val="single" w:sz="4" w:space="0" w:color="000000"/>
              <w:right w:val="nil"/>
            </w:tcBorders>
            <w:textDirection w:val="lrTb"/>
            <w:vAlign w:val="center"/>
            <w:hideMark/>
          </w:tcPr>
          <w:p w:rsidR="00BE0BF8" w:rsidRPr="00A53EAC" w:rsidP="00BE0BF8">
            <w:pPr>
              <w:bidi w:val="0"/>
              <w:spacing w:after="0" w:line="240" w:lineRule="auto"/>
              <w:rPr>
                <w:rFonts w:ascii="Times New Roman" w:hAnsi="Times New Roman" w:cs="Times New Roman"/>
                <w:sz w:val="20"/>
                <w:szCs w:val="20"/>
                <w:lang w:eastAsia="sk-SK"/>
              </w:rPr>
            </w:pPr>
          </w:p>
        </w:tc>
        <w:tc>
          <w:tcPr>
            <w:tcW w:w="586" w:type="pct"/>
            <w:tcBorders>
              <w:top w:val="nil"/>
              <w:left w:val="nil"/>
              <w:bottom w:val="single" w:sz="4" w:space="0" w:color="auto"/>
              <w:right w:val="nil"/>
            </w:tcBorders>
            <w:shd w:val="clear" w:color="000000" w:fill="C0C0C0"/>
            <w:textDirection w:val="lrTb"/>
            <w:vAlign w:val="top"/>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HDP</w:t>
            </w:r>
          </w:p>
        </w:tc>
        <w:tc>
          <w:tcPr>
            <w:tcW w:w="609" w:type="pct"/>
            <w:tcBorders>
              <w:top w:val="nil"/>
              <w:left w:val="nil"/>
              <w:bottom w:val="single" w:sz="4" w:space="0" w:color="auto"/>
              <w:right w:val="nil"/>
            </w:tcBorders>
            <w:shd w:val="clear" w:color="000000" w:fill="C0C0C0"/>
            <w:textDirection w:val="lrTb"/>
            <w:vAlign w:val="top"/>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HDP</w:t>
            </w:r>
          </w:p>
        </w:tc>
        <w:tc>
          <w:tcPr>
            <w:tcW w:w="678" w:type="pct"/>
            <w:tcBorders>
              <w:top w:val="nil"/>
              <w:left w:val="nil"/>
              <w:bottom w:val="single" w:sz="4" w:space="0" w:color="auto"/>
              <w:right w:val="nil"/>
            </w:tcBorders>
            <w:shd w:val="clear" w:color="000000" w:fill="C0C0C0"/>
            <w:textDirection w:val="lrTb"/>
            <w:vAlign w:val="top"/>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HDP</w:t>
            </w:r>
          </w:p>
        </w:tc>
        <w:tc>
          <w:tcPr>
            <w:tcW w:w="678" w:type="pct"/>
            <w:tcBorders>
              <w:top w:val="nil"/>
              <w:left w:val="nil"/>
              <w:bottom w:val="single" w:sz="4" w:space="0" w:color="auto"/>
              <w:right w:val="nil"/>
            </w:tcBorders>
            <w:shd w:val="clear" w:color="000000" w:fill="C0C0C0"/>
            <w:textDirection w:val="lrTb"/>
            <w:vAlign w:val="top"/>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tis. eur</w:t>
            </w:r>
          </w:p>
        </w:tc>
      </w:tr>
      <w:tr>
        <w:tblPrEx>
          <w:tblW w:w="5000" w:type="pct"/>
          <w:tblCellMar>
            <w:left w:w="70" w:type="dxa"/>
            <w:right w:w="70" w:type="dxa"/>
          </w:tblCellMar>
          <w:tblLook w:val="04A0"/>
        </w:tblPrEx>
        <w:trPr>
          <w:trHeight w:val="330"/>
        </w:trPr>
        <w:tc>
          <w:tcPr>
            <w:tcW w:w="1897" w:type="pct"/>
            <w:tcBorders>
              <w:top w:val="nil"/>
              <w:left w:val="nil"/>
              <w:bottom w:val="nil"/>
              <w:right w:val="nil"/>
            </w:tcBorders>
            <w:textDirection w:val="lrTb"/>
            <w:vAlign w:val="center"/>
            <w:hideMark/>
          </w:tcPr>
          <w:p w:rsidR="00BE0BF8" w:rsidRPr="00A53EAC" w:rsidP="00BE0BF8">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Verejná správa</w:t>
            </w:r>
          </w:p>
        </w:tc>
        <w:tc>
          <w:tcPr>
            <w:tcW w:w="552"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S.13</w:t>
            </w:r>
          </w:p>
        </w:tc>
        <w:tc>
          <w:tcPr>
            <w:tcW w:w="586"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-4,2</w:t>
            </w:r>
          </w:p>
        </w:tc>
        <w:tc>
          <w:tcPr>
            <w:tcW w:w="609"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-2,6</w:t>
            </w:r>
          </w:p>
        </w:tc>
        <w:tc>
          <w:tcPr>
            <w:tcW w:w="678"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-2,8</w:t>
            </w:r>
          </w:p>
        </w:tc>
        <w:tc>
          <w:tcPr>
            <w:tcW w:w="678" w:type="pct"/>
            <w:tcBorders>
              <w:top w:val="nil"/>
              <w:left w:val="nil"/>
              <w:bottom w:val="nil"/>
              <w:right w:val="nil"/>
            </w:tcBorders>
            <w:textDirection w:val="lrTb"/>
            <w:vAlign w:val="center"/>
            <w:hideMark/>
          </w:tcPr>
          <w:p w:rsidR="00BE0BF8" w:rsidRPr="00A53EAC" w:rsidP="00D76179">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-2 097 552</w:t>
            </w:r>
          </w:p>
        </w:tc>
      </w:tr>
      <w:tr>
        <w:tblPrEx>
          <w:tblW w:w="5000" w:type="pct"/>
          <w:tblCellMar>
            <w:left w:w="70" w:type="dxa"/>
            <w:right w:w="70" w:type="dxa"/>
          </w:tblCellMar>
          <w:tblLook w:val="04A0"/>
        </w:tblPrEx>
        <w:trPr>
          <w:trHeight w:val="330"/>
        </w:trPr>
        <w:tc>
          <w:tcPr>
            <w:tcW w:w="1897" w:type="pct"/>
            <w:tcBorders>
              <w:top w:val="nil"/>
              <w:left w:val="nil"/>
              <w:bottom w:val="nil"/>
              <w:right w:val="nil"/>
            </w:tcBorders>
            <w:textDirection w:val="lrTb"/>
            <w:vAlign w:val="center"/>
            <w:hideMark/>
          </w:tcPr>
          <w:p w:rsidR="00BE0BF8" w:rsidRPr="00A53EAC" w:rsidP="00BE0BF8">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2. Ústredná štátna správa</w:t>
            </w:r>
          </w:p>
        </w:tc>
        <w:tc>
          <w:tcPr>
            <w:tcW w:w="552"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S.1311</w:t>
            </w:r>
          </w:p>
        </w:tc>
        <w:tc>
          <w:tcPr>
            <w:tcW w:w="586"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-4,6</w:t>
            </w:r>
          </w:p>
        </w:tc>
        <w:tc>
          <w:tcPr>
            <w:tcW w:w="609"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-2,6</w:t>
            </w:r>
          </w:p>
        </w:tc>
        <w:tc>
          <w:tcPr>
            <w:tcW w:w="678"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-2,6</w:t>
            </w:r>
          </w:p>
        </w:tc>
        <w:tc>
          <w:tcPr>
            <w:tcW w:w="678" w:type="pct"/>
            <w:tcBorders>
              <w:top w:val="nil"/>
              <w:left w:val="nil"/>
              <w:bottom w:val="nil"/>
              <w:right w:val="nil"/>
            </w:tcBorders>
            <w:textDirection w:val="lrTb"/>
            <w:vAlign w:val="center"/>
            <w:hideMark/>
          </w:tcPr>
          <w:p w:rsidR="00BE0BF8" w:rsidRPr="00A53EAC" w:rsidP="00D76179">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-1 946 019</w:t>
            </w:r>
          </w:p>
        </w:tc>
      </w:tr>
      <w:tr>
        <w:tblPrEx>
          <w:tblW w:w="5000" w:type="pct"/>
          <w:tblCellMar>
            <w:left w:w="70" w:type="dxa"/>
            <w:right w:w="70" w:type="dxa"/>
          </w:tblCellMar>
          <w:tblLook w:val="04A0"/>
        </w:tblPrEx>
        <w:trPr>
          <w:trHeight w:val="330"/>
        </w:trPr>
        <w:tc>
          <w:tcPr>
            <w:tcW w:w="1897" w:type="pct"/>
            <w:tcBorders>
              <w:top w:val="nil"/>
              <w:left w:val="nil"/>
              <w:bottom w:val="nil"/>
              <w:right w:val="nil"/>
            </w:tcBorders>
            <w:textDirection w:val="lrTb"/>
            <w:vAlign w:val="center"/>
            <w:hideMark/>
          </w:tcPr>
          <w:p w:rsidR="00BE0BF8" w:rsidRPr="00A53EAC" w:rsidP="00BE0BF8">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3. Miestna štátna správa</w:t>
            </w:r>
          </w:p>
        </w:tc>
        <w:tc>
          <w:tcPr>
            <w:tcW w:w="552"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S.1313</w:t>
            </w:r>
          </w:p>
        </w:tc>
        <w:tc>
          <w:tcPr>
            <w:tcW w:w="586"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0,1</w:t>
            </w:r>
          </w:p>
        </w:tc>
        <w:tc>
          <w:tcPr>
            <w:tcW w:w="609"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0,2</w:t>
            </w:r>
          </w:p>
        </w:tc>
        <w:tc>
          <w:tcPr>
            <w:tcW w:w="678" w:type="pct"/>
            <w:tcBorders>
              <w:top w:val="nil"/>
              <w:left w:val="nil"/>
              <w:bottom w:val="nil"/>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-0,1</w:t>
            </w:r>
          </w:p>
        </w:tc>
        <w:tc>
          <w:tcPr>
            <w:tcW w:w="678" w:type="pct"/>
            <w:tcBorders>
              <w:top w:val="nil"/>
              <w:left w:val="nil"/>
              <w:bottom w:val="nil"/>
              <w:right w:val="nil"/>
            </w:tcBorders>
            <w:textDirection w:val="lrTb"/>
            <w:vAlign w:val="center"/>
            <w:hideMark/>
          </w:tcPr>
          <w:p w:rsidR="00BE0BF8" w:rsidRPr="00A53EAC" w:rsidP="00D76179">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-42 892</w:t>
            </w:r>
          </w:p>
        </w:tc>
      </w:tr>
      <w:tr>
        <w:tblPrEx>
          <w:tblW w:w="5000" w:type="pct"/>
          <w:tblCellMar>
            <w:left w:w="70" w:type="dxa"/>
            <w:right w:w="70" w:type="dxa"/>
          </w:tblCellMar>
          <w:tblLook w:val="04A0"/>
        </w:tblPrEx>
        <w:trPr>
          <w:trHeight w:val="330"/>
        </w:trPr>
        <w:tc>
          <w:tcPr>
            <w:tcW w:w="1897" w:type="pct"/>
            <w:tcBorders>
              <w:top w:val="nil"/>
              <w:left w:val="nil"/>
              <w:bottom w:val="single" w:sz="4" w:space="0" w:color="auto"/>
              <w:right w:val="nil"/>
            </w:tcBorders>
            <w:textDirection w:val="lrTb"/>
            <w:vAlign w:val="center"/>
            <w:hideMark/>
          </w:tcPr>
          <w:p w:rsidR="00BE0BF8" w:rsidRPr="00A53EAC" w:rsidP="00BE0BF8">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4. Fondy sociálneho zabezpečenia</w:t>
            </w:r>
          </w:p>
        </w:tc>
        <w:tc>
          <w:tcPr>
            <w:tcW w:w="552" w:type="pct"/>
            <w:tcBorders>
              <w:top w:val="nil"/>
              <w:left w:val="nil"/>
              <w:bottom w:val="single" w:sz="4" w:space="0" w:color="auto"/>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S.1314</w:t>
            </w:r>
          </w:p>
        </w:tc>
        <w:tc>
          <w:tcPr>
            <w:tcW w:w="586" w:type="pct"/>
            <w:tcBorders>
              <w:top w:val="nil"/>
              <w:left w:val="nil"/>
              <w:bottom w:val="single" w:sz="4" w:space="0" w:color="auto"/>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0,3</w:t>
            </w:r>
          </w:p>
        </w:tc>
        <w:tc>
          <w:tcPr>
            <w:tcW w:w="609" w:type="pct"/>
            <w:tcBorders>
              <w:top w:val="nil"/>
              <w:left w:val="nil"/>
              <w:bottom w:val="single" w:sz="4" w:space="0" w:color="auto"/>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-0,3</w:t>
            </w:r>
          </w:p>
        </w:tc>
        <w:tc>
          <w:tcPr>
            <w:tcW w:w="678" w:type="pct"/>
            <w:tcBorders>
              <w:top w:val="nil"/>
              <w:left w:val="nil"/>
              <w:bottom w:val="single" w:sz="4" w:space="0" w:color="auto"/>
              <w:right w:val="nil"/>
            </w:tcBorders>
            <w:textDirection w:val="lrTb"/>
            <w:vAlign w:val="center"/>
            <w:hideMark/>
          </w:tcPr>
          <w:p w:rsidR="00BE0BF8" w:rsidRPr="00A53EAC" w:rsidP="00BE0BF8">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-0,1</w:t>
            </w:r>
          </w:p>
        </w:tc>
        <w:tc>
          <w:tcPr>
            <w:tcW w:w="678" w:type="pct"/>
            <w:tcBorders>
              <w:top w:val="nil"/>
              <w:left w:val="nil"/>
              <w:bottom w:val="single" w:sz="4" w:space="0" w:color="auto"/>
              <w:right w:val="nil"/>
            </w:tcBorders>
            <w:textDirection w:val="lrTb"/>
            <w:vAlign w:val="center"/>
            <w:hideMark/>
          </w:tcPr>
          <w:p w:rsidR="00BE0BF8" w:rsidRPr="00A53EAC" w:rsidP="00D76179">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-108 641</w:t>
            </w:r>
          </w:p>
        </w:tc>
      </w:tr>
      <w:tr>
        <w:tblPrEx>
          <w:tblW w:w="5000" w:type="pct"/>
          <w:tblCellMar>
            <w:left w:w="70" w:type="dxa"/>
            <w:right w:w="70" w:type="dxa"/>
          </w:tblCellMar>
          <w:tblLook w:val="04A0"/>
        </w:tblPrEx>
        <w:trPr>
          <w:trHeight w:val="330"/>
        </w:trPr>
        <w:tc>
          <w:tcPr>
            <w:tcW w:w="1897" w:type="pct"/>
            <w:tcBorders>
              <w:top w:val="nil"/>
              <w:left w:val="nil"/>
              <w:bottom w:val="nil"/>
              <w:right w:val="nil"/>
            </w:tcBorders>
            <w:noWrap/>
            <w:textDirection w:val="lrTb"/>
            <w:vAlign w:val="bottom"/>
            <w:hideMark/>
          </w:tcPr>
          <w:p w:rsidR="00BE0BF8" w:rsidRPr="00A53EAC" w:rsidP="00BE0BF8">
            <w:pPr>
              <w:bidi w:val="0"/>
              <w:spacing w:after="0" w:line="240" w:lineRule="auto"/>
              <w:jc w:val="center"/>
              <w:rPr>
                <w:rFonts w:ascii="Times New Roman" w:hAnsi="Times New Roman" w:cs="Times New Roman"/>
                <w:sz w:val="20"/>
                <w:szCs w:val="20"/>
                <w:lang w:eastAsia="sk-SK"/>
              </w:rPr>
            </w:pPr>
          </w:p>
        </w:tc>
        <w:tc>
          <w:tcPr>
            <w:tcW w:w="552" w:type="pct"/>
            <w:tcBorders>
              <w:top w:val="nil"/>
              <w:left w:val="nil"/>
              <w:bottom w:val="nil"/>
              <w:right w:val="nil"/>
            </w:tcBorders>
            <w:noWrap/>
            <w:textDirection w:val="lrTb"/>
            <w:vAlign w:val="bottom"/>
            <w:hideMark/>
          </w:tcPr>
          <w:p w:rsidR="00BE0BF8" w:rsidRPr="00A53EAC" w:rsidP="00BE0BF8">
            <w:pPr>
              <w:bidi w:val="0"/>
              <w:spacing w:after="0" w:line="240" w:lineRule="auto"/>
              <w:rPr>
                <w:rFonts w:ascii="Times New Roman" w:hAnsi="Times New Roman" w:cs="Times New Roman"/>
                <w:sz w:val="20"/>
                <w:szCs w:val="20"/>
                <w:lang w:eastAsia="sk-SK"/>
              </w:rPr>
            </w:pPr>
          </w:p>
        </w:tc>
        <w:tc>
          <w:tcPr>
            <w:tcW w:w="586" w:type="pct"/>
            <w:tcBorders>
              <w:top w:val="nil"/>
              <w:left w:val="nil"/>
              <w:bottom w:val="nil"/>
              <w:right w:val="nil"/>
            </w:tcBorders>
            <w:noWrap/>
            <w:textDirection w:val="lrTb"/>
            <w:vAlign w:val="bottom"/>
            <w:hideMark/>
          </w:tcPr>
          <w:p w:rsidR="00BE0BF8" w:rsidRPr="00A53EAC" w:rsidP="00BE0BF8">
            <w:pPr>
              <w:bidi w:val="0"/>
              <w:spacing w:after="0" w:line="240" w:lineRule="auto"/>
              <w:rPr>
                <w:rFonts w:ascii="Times New Roman" w:hAnsi="Times New Roman" w:cs="Times New Roman"/>
                <w:i/>
                <w:iCs/>
                <w:sz w:val="16"/>
                <w:szCs w:val="16"/>
                <w:lang w:eastAsia="sk-SK"/>
              </w:rPr>
            </w:pPr>
            <w:r w:rsidRPr="00A53EAC">
              <w:rPr>
                <w:rFonts w:ascii="Times New Roman" w:hAnsi="Times New Roman" w:cs="Times New Roman"/>
                <w:i/>
                <w:iCs/>
                <w:sz w:val="16"/>
                <w:szCs w:val="16"/>
                <w:lang w:eastAsia="sk-SK"/>
              </w:rPr>
              <w:t> </w:t>
            </w:r>
          </w:p>
        </w:tc>
        <w:tc>
          <w:tcPr>
            <w:tcW w:w="609" w:type="pct"/>
            <w:tcBorders>
              <w:top w:val="nil"/>
              <w:left w:val="nil"/>
              <w:bottom w:val="nil"/>
              <w:right w:val="nil"/>
            </w:tcBorders>
            <w:noWrap/>
            <w:textDirection w:val="lrTb"/>
            <w:vAlign w:val="bottom"/>
            <w:hideMark/>
          </w:tcPr>
          <w:p w:rsidR="00BE0BF8" w:rsidRPr="00A53EAC" w:rsidP="00BE0BF8">
            <w:pPr>
              <w:bidi w:val="0"/>
              <w:spacing w:after="0" w:line="240" w:lineRule="auto"/>
              <w:rPr>
                <w:rFonts w:ascii="Times New Roman" w:hAnsi="Times New Roman" w:cs="Times New Roman"/>
                <w:i/>
                <w:iCs/>
                <w:sz w:val="16"/>
                <w:szCs w:val="16"/>
                <w:lang w:eastAsia="sk-SK"/>
              </w:rPr>
            </w:pPr>
            <w:r w:rsidRPr="00A53EAC">
              <w:rPr>
                <w:rFonts w:ascii="Times New Roman" w:hAnsi="Times New Roman" w:cs="Times New Roman"/>
                <w:i/>
                <w:iCs/>
                <w:sz w:val="16"/>
                <w:szCs w:val="16"/>
                <w:lang w:eastAsia="sk-SK"/>
              </w:rPr>
              <w:t> </w:t>
            </w:r>
          </w:p>
        </w:tc>
        <w:tc>
          <w:tcPr>
            <w:tcW w:w="1356" w:type="pct"/>
            <w:gridSpan w:val="2"/>
            <w:tcBorders>
              <w:top w:val="single" w:sz="4" w:space="0" w:color="auto"/>
              <w:left w:val="nil"/>
              <w:bottom w:val="nil"/>
              <w:right w:val="nil"/>
            </w:tcBorders>
            <w:noWrap/>
            <w:textDirection w:val="lrTb"/>
            <w:vAlign w:val="bottom"/>
            <w:hideMark/>
          </w:tcPr>
          <w:p w:rsidR="00BE0BF8" w:rsidRPr="00A53EAC" w:rsidP="00BE0BF8">
            <w:pPr>
              <w:bidi w:val="0"/>
              <w:spacing w:after="0" w:line="240" w:lineRule="auto"/>
              <w:jc w:val="right"/>
              <w:rPr>
                <w:rFonts w:ascii="Times New Roman" w:hAnsi="Times New Roman" w:cs="Times New Roman"/>
                <w:i/>
                <w:iCs/>
                <w:sz w:val="16"/>
                <w:szCs w:val="16"/>
                <w:lang w:eastAsia="sk-SK"/>
              </w:rPr>
            </w:pPr>
            <w:r w:rsidRPr="00A53EAC">
              <w:rPr>
                <w:rFonts w:ascii="Times New Roman" w:hAnsi="Times New Roman" w:cs="Times New Roman"/>
                <w:i/>
                <w:iCs/>
                <w:sz w:val="16"/>
                <w:szCs w:val="16"/>
                <w:lang w:eastAsia="sk-SK"/>
              </w:rPr>
              <w:t>Zdroj: Štatistický úrad SR</w:t>
            </w:r>
          </w:p>
        </w:tc>
      </w:tr>
    </w:tbl>
    <w:p w:rsidR="0073461D" w:rsidRPr="00A53EAC" w:rsidP="0023087F">
      <w:pPr>
        <w:bidi w:val="0"/>
        <w:spacing w:before="240" w:after="120" w:line="336" w:lineRule="auto"/>
        <w:jc w:val="both"/>
        <w:rPr>
          <w:rFonts w:ascii="Times New Roman" w:hAnsi="Times New Roman" w:cs="Times New Roman"/>
        </w:rPr>
      </w:pPr>
      <w:r w:rsidRPr="00A53EAC">
        <w:rPr>
          <w:rFonts w:ascii="Times New Roman" w:hAnsi="Times New Roman" w:cs="Times New Roman"/>
        </w:rPr>
        <w:t xml:space="preserve">Po výraznej konsolidácii v roku 2013 a ukončení procedúry nadmerného deficitu v rámci európskych fiškálnych pravidiel došlo v roku 2014 k miernemu </w:t>
      </w:r>
      <w:r w:rsidRPr="00A53EAC" w:rsidR="0000481F">
        <w:rPr>
          <w:rFonts w:ascii="Times New Roman" w:hAnsi="Times New Roman" w:cs="Times New Roman"/>
        </w:rPr>
        <w:t xml:space="preserve">uvoľneniu fiškálnej politiky. </w:t>
      </w:r>
      <w:r w:rsidRPr="00A53EAC" w:rsidR="00FB1E56">
        <w:rPr>
          <w:rFonts w:ascii="Times New Roman" w:hAnsi="Times New Roman" w:cs="Times New Roman"/>
        </w:rPr>
        <w:t xml:space="preserve">Napriek tomu </w:t>
      </w:r>
      <w:r w:rsidRPr="00A53EAC" w:rsidR="004A3264">
        <w:rPr>
          <w:rFonts w:ascii="Times New Roman" w:hAnsi="Times New Roman" w:cs="Times New Roman"/>
        </w:rPr>
        <w:t>E</w:t>
      </w:r>
      <w:r w:rsidRPr="00A53EAC" w:rsidR="0000481F">
        <w:rPr>
          <w:rFonts w:ascii="Times New Roman" w:hAnsi="Times New Roman" w:cs="Times New Roman"/>
        </w:rPr>
        <w:t xml:space="preserve">urópska komisia, Ministerstvo financií SR a Rada rozpočtovej zodpovednosti </w:t>
      </w:r>
      <w:r w:rsidRPr="00A53EAC" w:rsidR="004A3264">
        <w:rPr>
          <w:rFonts w:ascii="Times New Roman" w:hAnsi="Times New Roman" w:cs="Times New Roman"/>
        </w:rPr>
        <w:t xml:space="preserve">vo svojich hodnoteniach hospodárenia verejnej správy za rok 2014 konštatovali neporušenie európskych a slovenských pravidiel fiškálnej disciplíny. </w:t>
      </w:r>
      <w:r w:rsidRPr="00D624A3" w:rsidR="00D624A3">
        <w:rPr>
          <w:rFonts w:ascii="Times New Roman" w:hAnsi="Times New Roman" w:cs="Times New Roman"/>
        </w:rPr>
        <w:t>S</w:t>
      </w:r>
      <w:r w:rsidR="00D624A3">
        <w:rPr>
          <w:rFonts w:ascii="Times New Roman" w:hAnsi="Times New Roman" w:cs="Times New Roman"/>
        </w:rPr>
        <w:t>lovenská republika</w:t>
      </w:r>
      <w:r w:rsidRPr="00D624A3" w:rsidR="00D624A3">
        <w:rPr>
          <w:rFonts w:ascii="Times New Roman" w:hAnsi="Times New Roman" w:cs="Times New Roman"/>
        </w:rPr>
        <w:t xml:space="preserve"> si</w:t>
      </w:r>
      <w:r w:rsidR="00D624A3">
        <w:rPr>
          <w:rFonts w:ascii="Times New Roman" w:hAnsi="Times New Roman" w:cs="Times New Roman"/>
        </w:rPr>
        <w:t xml:space="preserve"> v roku 2014 zároveň v súlade s </w:t>
      </w:r>
      <w:r w:rsidRPr="00D624A3" w:rsidR="00D624A3">
        <w:rPr>
          <w:rFonts w:ascii="Times New Roman" w:hAnsi="Times New Roman" w:cs="Times New Roman"/>
        </w:rPr>
        <w:t>podmienkami Európskej komisie uplatnila tzv. investičnú klauzulu, ktorá umožňuje dočasne sa odchýliť od požiadaviek definovaných v Pakte stability a rastu v rámci preventívnej časti.</w:t>
      </w:r>
      <w:r w:rsidR="00D624A3">
        <w:rPr>
          <w:rFonts w:ascii="Times New Roman" w:hAnsi="Times New Roman" w:cs="Times New Roman"/>
        </w:rPr>
        <w:t xml:space="preserve"> </w:t>
      </w:r>
      <w:r w:rsidRPr="00A53EAC" w:rsidR="004A3264">
        <w:rPr>
          <w:rFonts w:ascii="Times New Roman" w:hAnsi="Times New Roman" w:cs="Times New Roman"/>
        </w:rPr>
        <w:t>Na základe pravidla dlhovej brzdy v ústavnom zákone o rozpočtovej zodpovednosti sa po výsledkoch aprílovej notifikácie</w:t>
      </w:r>
      <w:r w:rsidRPr="00A53EAC" w:rsidR="00D07E45">
        <w:rPr>
          <w:rFonts w:ascii="Times New Roman" w:hAnsi="Times New Roman" w:cs="Times New Roman"/>
        </w:rPr>
        <w:t xml:space="preserve"> muselo v priebehu roka 2014 aktivovať viazanie 3 % upravených výdavkov štátneho rozpočtu. Po výsledkoch októbrovej notifikácie, kedy dlh verejnej správy za rok 2013 klesol pod hranicu 55 % HDP, už nebolo potrebné túto sankciu ďalej uplatňovať.</w:t>
      </w:r>
    </w:p>
    <w:p w:rsidR="00CB210E" w:rsidP="00CB210E">
      <w:pPr>
        <w:bidi w:val="0"/>
        <w:spacing w:before="120" w:after="120" w:line="336" w:lineRule="auto"/>
        <w:jc w:val="both"/>
        <w:rPr>
          <w:rFonts w:ascii="Times New Roman" w:hAnsi="Times New Roman" w:cs="Times New Roman"/>
        </w:rPr>
      </w:pPr>
      <w:r w:rsidRPr="00A53EAC" w:rsidR="00821E94">
        <w:rPr>
          <w:rFonts w:ascii="Times New Roman" w:hAnsi="Times New Roman" w:cs="Times New Roman"/>
        </w:rPr>
        <w:t xml:space="preserve">Z pohľadu sektorového členenia sa na schodku najviac podieľala ústredná správa a v rámci nej štátny rozpočet so schodkom </w:t>
      </w:r>
      <w:r w:rsidRPr="00A53EAC" w:rsidR="00FB1E56">
        <w:rPr>
          <w:rFonts w:ascii="Times New Roman" w:hAnsi="Times New Roman" w:cs="Times New Roman"/>
        </w:rPr>
        <w:t>1 945 420</w:t>
      </w:r>
      <w:r w:rsidRPr="00A53EAC" w:rsidR="00821E94">
        <w:rPr>
          <w:rFonts w:ascii="Times New Roman" w:hAnsi="Times New Roman" w:cs="Times New Roman"/>
        </w:rPr>
        <w:t xml:space="preserve"> tis. eur. </w:t>
      </w:r>
      <w:r w:rsidRPr="00A53EAC" w:rsidR="00AE1C9F">
        <w:rPr>
          <w:rFonts w:ascii="Times New Roman" w:hAnsi="Times New Roman" w:cs="Times New Roman"/>
        </w:rPr>
        <w:t>M</w:t>
      </w:r>
      <w:r w:rsidRPr="00A53EAC" w:rsidR="00FB1E56">
        <w:rPr>
          <w:rFonts w:ascii="Times New Roman" w:hAnsi="Times New Roman" w:cs="Times New Roman"/>
        </w:rPr>
        <w:t>iestna samospráva hospodárila v roku 2013 s</w:t>
      </w:r>
      <w:r w:rsidR="00CE1C18">
        <w:rPr>
          <w:rFonts w:ascii="Times New Roman" w:hAnsi="Times New Roman" w:cs="Times New Roman"/>
        </w:rPr>
        <w:t> </w:t>
      </w:r>
      <w:r w:rsidRPr="00A53EAC" w:rsidR="00FB1E56">
        <w:rPr>
          <w:rFonts w:ascii="Times New Roman" w:hAnsi="Times New Roman" w:cs="Times New Roman"/>
        </w:rPr>
        <w:t>prebytkom</w:t>
      </w:r>
      <w:r w:rsidR="00CE1C18">
        <w:rPr>
          <w:rFonts w:ascii="Times New Roman" w:hAnsi="Times New Roman" w:cs="Times New Roman"/>
        </w:rPr>
        <w:t xml:space="preserve"> </w:t>
      </w:r>
      <w:r w:rsidRPr="00A53EAC" w:rsidR="000F021A">
        <w:rPr>
          <w:rFonts w:ascii="Times New Roman" w:hAnsi="Times New Roman" w:cs="Times New Roman"/>
        </w:rPr>
        <w:t>162 583 </w:t>
      </w:r>
      <w:r w:rsidRPr="00A53EAC" w:rsidR="00AE1C9F">
        <w:rPr>
          <w:rFonts w:ascii="Times New Roman" w:hAnsi="Times New Roman" w:cs="Times New Roman"/>
        </w:rPr>
        <w:t>tis. eur ale</w:t>
      </w:r>
      <w:r w:rsidRPr="00A53EAC" w:rsidR="000F021A">
        <w:rPr>
          <w:rFonts w:ascii="Times New Roman" w:hAnsi="Times New Roman" w:cs="Times New Roman"/>
        </w:rPr>
        <w:t xml:space="preserve"> v roku 2014 </w:t>
      </w:r>
      <w:r w:rsidRPr="00A53EAC" w:rsidR="00AE1C9F">
        <w:rPr>
          <w:rFonts w:ascii="Times New Roman" w:hAnsi="Times New Roman" w:cs="Times New Roman"/>
        </w:rPr>
        <w:t xml:space="preserve">už </w:t>
      </w:r>
      <w:r w:rsidRPr="00A53EAC" w:rsidR="000F021A">
        <w:rPr>
          <w:rFonts w:ascii="Times New Roman" w:hAnsi="Times New Roman" w:cs="Times New Roman"/>
        </w:rPr>
        <w:t>vykázala schodok 42 892 tis. eur</w:t>
      </w:r>
      <w:r w:rsidRPr="00A53EAC" w:rsidR="00D003E1">
        <w:rPr>
          <w:rFonts w:ascii="Times New Roman" w:hAnsi="Times New Roman" w:cs="Times New Roman"/>
        </w:rPr>
        <w:t xml:space="preserve"> (medziročné zhoršenie na HDP o 0,3 p.b.)</w:t>
      </w:r>
      <w:r w:rsidRPr="00A53EAC" w:rsidR="00AE1C9F">
        <w:rPr>
          <w:rFonts w:ascii="Times New Roman" w:hAnsi="Times New Roman" w:cs="Times New Roman"/>
        </w:rPr>
        <w:t>.</w:t>
      </w:r>
      <w:r w:rsidR="00CE1C18">
        <w:rPr>
          <w:rFonts w:ascii="Times New Roman" w:hAnsi="Times New Roman" w:cs="Times New Roman"/>
        </w:rPr>
        <w:t xml:space="preserve"> </w:t>
      </w:r>
    </w:p>
    <w:p w:rsidR="00BE33AC" w:rsidRPr="00A53EAC" w:rsidP="00CB210E">
      <w:pPr>
        <w:bidi w:val="0"/>
        <w:spacing w:before="120" w:after="120" w:line="336" w:lineRule="auto"/>
        <w:jc w:val="both"/>
        <w:rPr>
          <w:rFonts w:ascii="Times New Roman" w:hAnsi="Times New Roman" w:cs="Times New Roman"/>
        </w:rPr>
      </w:pPr>
      <w:r w:rsidRPr="00A53EAC" w:rsidR="00821E94">
        <w:rPr>
          <w:rFonts w:ascii="Times New Roman" w:hAnsi="Times New Roman" w:cs="Times New Roman"/>
        </w:rPr>
        <w:t>Z </w:t>
      </w:r>
      <w:r w:rsidRPr="00A53EAC" w:rsidR="004E0E8A">
        <w:rPr>
          <w:rFonts w:ascii="Times New Roman" w:hAnsi="Times New Roman" w:cs="Times New Roman"/>
        </w:rPr>
        <w:t>jednotlivých</w:t>
      </w:r>
      <w:r w:rsidRPr="00A53EAC" w:rsidR="00821E94">
        <w:rPr>
          <w:rFonts w:ascii="Times New Roman" w:hAnsi="Times New Roman" w:cs="Times New Roman"/>
        </w:rPr>
        <w:t xml:space="preserve"> subjektov </w:t>
      </w:r>
      <w:r w:rsidRPr="00A53EAC" w:rsidR="004E0E8A">
        <w:rPr>
          <w:rFonts w:ascii="Times New Roman" w:hAnsi="Times New Roman" w:cs="Times New Roman"/>
        </w:rPr>
        <w:t>verejnej správy (okrem štátneho rozpočtu) prispel</w:t>
      </w:r>
      <w:r w:rsidRPr="00A53EAC" w:rsidR="00821E94">
        <w:rPr>
          <w:rFonts w:ascii="Times New Roman" w:hAnsi="Times New Roman" w:cs="Times New Roman"/>
        </w:rPr>
        <w:t xml:space="preserve"> najvýraznejšie ku schodku</w:t>
      </w:r>
      <w:r w:rsidRPr="00A53EAC" w:rsidR="004E0E8A">
        <w:rPr>
          <w:rFonts w:ascii="Times New Roman" w:hAnsi="Times New Roman" w:cs="Times New Roman"/>
        </w:rPr>
        <w:t xml:space="preserve"> Fond národného majetku SR so schodkom 216 769 tis. eur.</w:t>
      </w:r>
      <w:r w:rsidRPr="00A53EAC" w:rsidR="007A164B">
        <w:rPr>
          <w:rFonts w:ascii="Times New Roman" w:hAnsi="Times New Roman" w:cs="Times New Roman"/>
        </w:rPr>
        <w:t xml:space="preserve"> Výrazný schodok a jeho medziročné zhoršenie o 69 444 tis. eur bolo spôsobené výrazným nárastom príjmov zo superdividend v roku 2014. Superdividendy nie sú príjmom podľa metodiky ESA 2010</w:t>
      </w:r>
      <w:r w:rsidR="00D76179">
        <w:rPr>
          <w:rFonts w:ascii="Times New Roman" w:hAnsi="Times New Roman" w:cs="Times New Roman"/>
        </w:rPr>
        <w:t>,</w:t>
      </w:r>
      <w:r w:rsidRPr="00A53EAC" w:rsidR="007A164B">
        <w:rPr>
          <w:rFonts w:ascii="Times New Roman" w:hAnsi="Times New Roman" w:cs="Times New Roman"/>
        </w:rPr>
        <w:t xml:space="preserve"> a preto zhoršujú saldo. </w:t>
      </w:r>
    </w:p>
    <w:p w:rsidR="004E0E8A" w:rsidRPr="00A53EAC" w:rsidP="00CB210E">
      <w:pPr>
        <w:bidi w:val="0"/>
        <w:spacing w:before="120" w:after="120" w:line="336" w:lineRule="auto"/>
        <w:jc w:val="both"/>
        <w:rPr>
          <w:rFonts w:ascii="Times New Roman" w:hAnsi="Times New Roman" w:cs="Times New Roman"/>
        </w:rPr>
      </w:pPr>
      <w:r w:rsidRPr="005D0B2F" w:rsidR="005D0B2F">
        <w:rPr>
          <w:rFonts w:ascii="Times New Roman" w:hAnsi="Times New Roman" w:cs="Times New Roman"/>
        </w:rPr>
        <w:t>V sektore zdravotníctva v roku 2014 subjekty verejného zdravotného poistenia a nemocníc vykázali spolu schodok 132 003 tis. eur.</w:t>
      </w:r>
      <w:r w:rsidRPr="00A53EAC" w:rsidR="0042590D">
        <w:rPr>
          <w:rFonts w:ascii="Times New Roman" w:hAnsi="Times New Roman" w:cs="Times New Roman"/>
        </w:rPr>
        <w:t xml:space="preserve"> Výdavky zdravotných poisťovní rástli rýchlejšie ako príjmy z</w:t>
      </w:r>
      <w:r w:rsidR="00D76179">
        <w:rPr>
          <w:rFonts w:ascii="Times New Roman" w:hAnsi="Times New Roman" w:cs="Times New Roman"/>
        </w:rPr>
        <w:t> </w:t>
      </w:r>
      <w:r w:rsidRPr="00A53EAC" w:rsidR="0042590D">
        <w:rPr>
          <w:rFonts w:ascii="Times New Roman" w:hAnsi="Times New Roman" w:cs="Times New Roman"/>
        </w:rPr>
        <w:t>odvodov</w:t>
      </w:r>
      <w:r w:rsidR="00D76179">
        <w:rPr>
          <w:rFonts w:ascii="Times New Roman" w:hAnsi="Times New Roman" w:cs="Times New Roman"/>
        </w:rPr>
        <w:t>,</w:t>
      </w:r>
      <w:r w:rsidRPr="00A53EAC" w:rsidR="0042590D">
        <w:rPr>
          <w:rFonts w:ascii="Times New Roman" w:hAnsi="Times New Roman" w:cs="Times New Roman"/>
        </w:rPr>
        <w:t xml:space="preserve"> nemocniciam a iným zdravotníckym zariadeniam napriek vyšším zdrojom od poisťovní o viac ako 5 % narástli najmä záväzky z neuhradených faktúr.</w:t>
      </w:r>
      <w:r w:rsidRPr="00A53EAC" w:rsidR="00CA7E5D">
        <w:rPr>
          <w:rFonts w:ascii="Times New Roman" w:hAnsi="Times New Roman" w:cs="Times New Roman"/>
        </w:rPr>
        <w:t xml:space="preserve"> </w:t>
      </w:r>
    </w:p>
    <w:p w:rsidR="009A4C5C" w:rsidRPr="00A53EAC" w:rsidP="00CB210E">
      <w:pPr>
        <w:bidi w:val="0"/>
        <w:spacing w:before="120" w:after="120" w:line="336" w:lineRule="auto"/>
        <w:jc w:val="both"/>
        <w:rPr>
          <w:rFonts w:ascii="Times New Roman" w:hAnsi="Times New Roman" w:cs="Times New Roman"/>
        </w:rPr>
      </w:pPr>
      <w:r w:rsidRPr="00A53EAC" w:rsidR="00BE33AC">
        <w:rPr>
          <w:rFonts w:ascii="Times New Roman" w:hAnsi="Times New Roman" w:cs="Times New Roman"/>
        </w:rPr>
        <w:t>Na schodok</w:t>
      </w:r>
      <w:r w:rsidRPr="00A53EAC" w:rsidR="00FC66E0">
        <w:rPr>
          <w:rFonts w:ascii="Times New Roman" w:hAnsi="Times New Roman" w:cs="Times New Roman"/>
        </w:rPr>
        <w:t xml:space="preserve"> </w:t>
      </w:r>
      <w:r w:rsidRPr="00A53EAC" w:rsidR="00BE33AC">
        <w:rPr>
          <w:rFonts w:ascii="Times New Roman" w:hAnsi="Times New Roman" w:cs="Times New Roman"/>
        </w:rPr>
        <w:t>Sociálnej poisťovne vo výške 38 573 tis. eur pôsobil negatívne v roku 2014 jednorazový faktor spätného priznania výsluhových dôchodkov zamestnancom ozbrojených zložiek, ktorý jednorazovo zvýšil výdavky S</w:t>
      </w:r>
      <w:r>
        <w:rPr>
          <w:rFonts w:ascii="Times New Roman" w:hAnsi="Times New Roman" w:cs="Times New Roman"/>
        </w:rPr>
        <w:t>ociálnej poisťovne</w:t>
      </w:r>
      <w:r w:rsidRPr="00A53EAC" w:rsidR="00BE33AC">
        <w:rPr>
          <w:rFonts w:ascii="Times New Roman" w:hAnsi="Times New Roman" w:cs="Times New Roman"/>
        </w:rPr>
        <w:t xml:space="preserve"> o 58 452 tis. eur. </w:t>
      </w:r>
      <w:r w:rsidRPr="00A53EAC" w:rsidR="00CA7E5D">
        <w:rPr>
          <w:rFonts w:ascii="Times New Roman" w:hAnsi="Times New Roman" w:cs="Times New Roman"/>
        </w:rPr>
        <w:t xml:space="preserve">Novo zaradené dopravné podniky a iné subjekty do okruhu sektora verejnej správy podľa metodiky ESA 2010 v roku 2014 prispeli spolu k zvýšeniu schodku verejnej správy o 53 415 tis. </w:t>
      </w:r>
      <w:r w:rsidRPr="009A4C5C">
        <w:rPr>
          <w:rFonts w:ascii="Times New Roman" w:hAnsi="Times New Roman" w:cs="Times New Roman"/>
        </w:rPr>
        <w:t>eur (0,1 % HDP).</w:t>
      </w:r>
    </w:p>
    <w:p w:rsidR="00821E94" w:rsidRPr="00A53EAC" w:rsidP="00CB210E">
      <w:pPr>
        <w:bidi w:val="0"/>
        <w:spacing w:before="120" w:after="0" w:line="336" w:lineRule="auto"/>
        <w:jc w:val="both"/>
        <w:rPr>
          <w:rFonts w:ascii="Times New Roman" w:hAnsi="Times New Roman" w:cs="Times New Roman"/>
        </w:rPr>
      </w:pPr>
      <w:r w:rsidRPr="00A53EAC" w:rsidR="00DB37A3">
        <w:rPr>
          <w:rFonts w:ascii="Times New Roman" w:hAnsi="Times New Roman" w:cs="Times New Roman"/>
        </w:rPr>
        <w:t>S</w:t>
      </w:r>
      <w:r w:rsidRPr="00A53EAC" w:rsidR="00CA7E5D">
        <w:rPr>
          <w:rFonts w:ascii="Times New Roman" w:hAnsi="Times New Roman" w:cs="Times New Roman"/>
        </w:rPr>
        <w:t>ubjekt</w:t>
      </w:r>
      <w:r w:rsidRPr="00A53EAC" w:rsidR="00A66AB8">
        <w:rPr>
          <w:rFonts w:ascii="Times New Roman" w:hAnsi="Times New Roman" w:cs="Times New Roman"/>
        </w:rPr>
        <w:t>y, ktoré</w:t>
      </w:r>
      <w:r w:rsidRPr="00A53EAC">
        <w:rPr>
          <w:rFonts w:ascii="Times New Roman" w:hAnsi="Times New Roman" w:cs="Times New Roman"/>
        </w:rPr>
        <w:t xml:space="preserve"> pomohl</w:t>
      </w:r>
      <w:r w:rsidRPr="00A53EAC" w:rsidR="00A66AB8">
        <w:rPr>
          <w:rFonts w:ascii="Times New Roman" w:hAnsi="Times New Roman" w:cs="Times New Roman"/>
        </w:rPr>
        <w:t>i</w:t>
      </w:r>
      <w:r w:rsidRPr="00A53EAC">
        <w:rPr>
          <w:rFonts w:ascii="Times New Roman" w:hAnsi="Times New Roman" w:cs="Times New Roman"/>
        </w:rPr>
        <w:t xml:space="preserve"> schodok verejnej správy </w:t>
      </w:r>
      <w:r w:rsidRPr="00A53EAC" w:rsidR="00CA7E5D">
        <w:rPr>
          <w:rFonts w:ascii="Times New Roman" w:hAnsi="Times New Roman" w:cs="Times New Roman"/>
        </w:rPr>
        <w:t xml:space="preserve">v roku 2014 </w:t>
      </w:r>
      <w:r w:rsidRPr="00A53EAC">
        <w:rPr>
          <w:rFonts w:ascii="Times New Roman" w:hAnsi="Times New Roman" w:cs="Times New Roman"/>
        </w:rPr>
        <w:t xml:space="preserve">najviac znížiť, boli štátne fondy s prebytkom </w:t>
      </w:r>
      <w:r w:rsidRPr="00A53EAC" w:rsidR="00CA7E5D">
        <w:rPr>
          <w:rFonts w:ascii="Times New Roman" w:hAnsi="Times New Roman" w:cs="Times New Roman"/>
        </w:rPr>
        <w:t>209 094 </w:t>
      </w:r>
      <w:r w:rsidRPr="00A53EAC" w:rsidR="00475B1A">
        <w:rPr>
          <w:rFonts w:ascii="Times New Roman" w:hAnsi="Times New Roman" w:cs="Times New Roman"/>
        </w:rPr>
        <w:t xml:space="preserve">tis. eur. </w:t>
      </w:r>
      <w:r w:rsidRPr="00A53EAC" w:rsidR="00630BA9">
        <w:rPr>
          <w:rFonts w:ascii="Times New Roman" w:hAnsi="Times New Roman" w:cs="Times New Roman"/>
        </w:rPr>
        <w:t>Pomerne vysoké kladné saldo štátnych fondov je spôsobené najmä Národným jadrovým fondom</w:t>
      </w:r>
      <w:r w:rsidRPr="00A53EAC" w:rsidR="00BC0913">
        <w:rPr>
          <w:rFonts w:ascii="Times New Roman" w:hAnsi="Times New Roman" w:cs="Times New Roman"/>
        </w:rPr>
        <w:t>, ktorý v súčasnom období kumuluje prostriedky určené na skladovanie a budúcu likvidáciu jadrového odpadu.</w:t>
      </w:r>
      <w:r w:rsidRPr="00A53EAC" w:rsidR="000F5EC3">
        <w:rPr>
          <w:rFonts w:ascii="Times New Roman" w:hAnsi="Times New Roman" w:cs="Times New Roman"/>
        </w:rPr>
        <w:t xml:space="preserve"> </w:t>
      </w:r>
    </w:p>
    <w:tbl>
      <w:tblPr>
        <w:tblStyle w:val="TableNormal"/>
        <w:tblW w:w="5000" w:type="pct"/>
        <w:tblCellMar>
          <w:left w:w="70" w:type="dxa"/>
          <w:right w:w="70" w:type="dxa"/>
        </w:tblCellMar>
        <w:tblLook w:val="04A0"/>
      </w:tblPr>
      <w:tblGrid>
        <w:gridCol w:w="5913"/>
        <w:gridCol w:w="1100"/>
        <w:gridCol w:w="1100"/>
        <w:gridCol w:w="1098"/>
      </w:tblGrid>
      <w:tr>
        <w:tblPrEx>
          <w:tblW w:w="5000" w:type="pct"/>
          <w:tblCellMar>
            <w:left w:w="70" w:type="dxa"/>
            <w:right w:w="70" w:type="dxa"/>
          </w:tblCellMar>
          <w:tblLook w:val="04A0"/>
        </w:tblPrEx>
        <w:trPr>
          <w:trHeight w:val="255"/>
        </w:trPr>
        <w:tc>
          <w:tcPr>
            <w:tcW w:w="5000" w:type="pct"/>
            <w:gridSpan w:val="4"/>
            <w:tcBorders>
              <w:top w:val="single" w:sz="4" w:space="0" w:color="auto"/>
              <w:left w:val="nil"/>
              <w:bottom w:val="nil"/>
              <w:right w:val="nil"/>
            </w:tcBorders>
            <w:shd w:val="clear" w:color="000000" w:fill="000000"/>
            <w:noWrap/>
            <w:textDirection w:val="lrTb"/>
            <w:vAlign w:val="center"/>
            <w:hideMark/>
          </w:tcPr>
          <w:p w:rsidR="00D07E45" w:rsidRPr="00A53EAC" w:rsidP="00D07E45">
            <w:pPr>
              <w:bidi w:val="0"/>
              <w:spacing w:after="0" w:line="240" w:lineRule="auto"/>
              <w:rPr>
                <w:rFonts w:ascii="Times New Roman" w:hAnsi="Times New Roman" w:cs="Times New Roman"/>
                <w:b/>
                <w:bCs/>
                <w:color w:val="FFFFFF"/>
                <w:sz w:val="20"/>
                <w:szCs w:val="20"/>
                <w:lang w:eastAsia="sk-SK"/>
              </w:rPr>
            </w:pPr>
            <w:bookmarkStart w:id="15" w:name="_Toc399324358"/>
            <w:bookmarkStart w:id="16" w:name="_Toc401920007"/>
            <w:r w:rsidRPr="00A53EAC">
              <w:rPr>
                <w:rFonts w:ascii="Times New Roman" w:hAnsi="Times New Roman" w:cs="Times New Roman"/>
                <w:b/>
                <w:bCs/>
                <w:color w:val="FFFFFF"/>
                <w:sz w:val="20"/>
                <w:szCs w:val="20"/>
                <w:lang w:eastAsia="sk-SK"/>
              </w:rPr>
              <w:t>Schodok verejnej správy podľa jednotlivých subjektov (ESA2010, tis. eur)</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shd w:val="clear" w:color="000000" w:fill="BFBFBF"/>
            <w:noWrap/>
            <w:textDirection w:val="lrTb"/>
            <w:vAlign w:val="center"/>
            <w:hideMark/>
          </w:tcPr>
          <w:p w:rsidR="00D07E45" w:rsidRPr="00A53EAC" w:rsidP="00D07E45">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w:t>
            </w:r>
          </w:p>
        </w:tc>
        <w:tc>
          <w:tcPr>
            <w:tcW w:w="597" w:type="pct"/>
            <w:tcBorders>
              <w:top w:val="nil"/>
              <w:left w:val="nil"/>
              <w:bottom w:val="nil"/>
              <w:right w:val="nil"/>
            </w:tcBorders>
            <w:shd w:val="clear" w:color="000000" w:fill="BFBFBF"/>
            <w:noWrap/>
            <w:textDirection w:val="lrTb"/>
            <w:vAlign w:val="center"/>
            <w:hideMark/>
          </w:tcPr>
          <w:p w:rsidR="00D07E45" w:rsidRPr="00A53EAC" w:rsidP="00D07E4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2012</w:t>
            </w:r>
          </w:p>
        </w:tc>
        <w:tc>
          <w:tcPr>
            <w:tcW w:w="597" w:type="pct"/>
            <w:tcBorders>
              <w:top w:val="nil"/>
              <w:left w:val="nil"/>
              <w:bottom w:val="nil"/>
              <w:right w:val="nil"/>
            </w:tcBorders>
            <w:shd w:val="clear" w:color="000000" w:fill="BFBFBF"/>
            <w:noWrap/>
            <w:textDirection w:val="lrTb"/>
            <w:vAlign w:val="center"/>
            <w:hideMark/>
          </w:tcPr>
          <w:p w:rsidR="00D07E45" w:rsidRPr="00A53EAC" w:rsidP="00D07E4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2013</w:t>
            </w:r>
          </w:p>
        </w:tc>
        <w:tc>
          <w:tcPr>
            <w:tcW w:w="597" w:type="pct"/>
            <w:tcBorders>
              <w:top w:val="nil"/>
              <w:left w:val="nil"/>
              <w:bottom w:val="nil"/>
              <w:right w:val="nil"/>
            </w:tcBorders>
            <w:shd w:val="clear" w:color="000000" w:fill="BFBFBF"/>
            <w:noWrap/>
            <w:textDirection w:val="lrTb"/>
            <w:vAlign w:val="center"/>
            <w:hideMark/>
          </w:tcPr>
          <w:p w:rsidR="00D07E45" w:rsidRPr="00A53EAC" w:rsidP="00D07E4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2014</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Štátny rozpočet *</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-3 686 206</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-2 247 424</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-1 945 420</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Štátne fondy spolu</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230 345</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250 641</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209 094</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Fond národného majetku SR</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-12 845</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-147 325</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-216 769</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Slovenský pozemkový fond</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13 752</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9 931</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16 657</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Slovenská konsolidačná, a.s.</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-20 246</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-3 889</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-919</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Verejné vysoké školy</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24 190</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47 938</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-15 602</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Rozhlas a televízia Slovenska</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-325</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3326</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-1 467</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RTVS, s. r. o.</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185</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143</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Calibri" w:hAnsi="Calibri" w:cs="Arial"/>
                <w:sz w:val="20"/>
                <w:szCs w:val="20"/>
                <w:lang w:eastAsia="sk-SK"/>
              </w:rPr>
            </w:pPr>
            <w:r w:rsidRPr="00A53EAC">
              <w:rPr>
                <w:rFonts w:ascii="Calibri" w:hAnsi="Calibri" w:cs="Arial"/>
                <w:sz w:val="20"/>
                <w:szCs w:val="20"/>
                <w:lang w:eastAsia="sk-SK"/>
              </w:rPr>
              <w:t>−</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Neziskové organizácie štátu</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8 901</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3 315</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-3 459</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Železnice Slovenskej republiky</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46 600</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58 251</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36 050</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Národná diaľničná spoločnosť</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64 806</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147 160</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3 677</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Agentúra pre núdzové zásoby ropy a ropných výrobkov</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Calibri" w:hAnsi="Calibri" w:cs="Arial"/>
                <w:sz w:val="20"/>
                <w:szCs w:val="20"/>
                <w:lang w:eastAsia="sk-SK"/>
              </w:rPr>
            </w:pPr>
            <w:r w:rsidRPr="00A53EAC">
              <w:rPr>
                <w:rFonts w:ascii="Calibri" w:hAnsi="Calibri" w:cs="Arial"/>
                <w:sz w:val="20"/>
                <w:szCs w:val="20"/>
                <w:lang w:eastAsia="sk-SK"/>
              </w:rPr>
              <w:t>−</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-41 352</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29 135</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Eximbanka</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66 753</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-2 845</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19 644</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Nemocnice</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-72 367</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-30 198</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-61 935</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Dopravné podniky</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Calibri" w:hAnsi="Calibri" w:cs="Arial"/>
                <w:sz w:val="20"/>
                <w:szCs w:val="20"/>
                <w:lang w:eastAsia="sk-SK"/>
              </w:rPr>
            </w:pPr>
            <w:r w:rsidRPr="00A53EAC">
              <w:rPr>
                <w:rFonts w:ascii="Calibri" w:hAnsi="Calibri" w:cs="Arial"/>
                <w:sz w:val="20"/>
                <w:szCs w:val="20"/>
                <w:lang w:eastAsia="sk-SK"/>
              </w:rPr>
              <w:t>−</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Calibri" w:hAnsi="Calibri" w:cs="Arial"/>
                <w:sz w:val="20"/>
                <w:szCs w:val="20"/>
                <w:lang w:eastAsia="sk-SK"/>
              </w:rPr>
            </w:pPr>
            <w:r w:rsidRPr="00A53EAC">
              <w:rPr>
                <w:rFonts w:ascii="Calibri" w:hAnsi="Calibri" w:cs="Arial"/>
                <w:sz w:val="20"/>
                <w:szCs w:val="20"/>
                <w:lang w:eastAsia="sk-SK"/>
              </w:rPr>
              <w:t>−</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-46 100</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Vyššie územné celky</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-5 181</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53 741</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16 604</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Obce</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82 282</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115 951</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-11 099</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 xml:space="preserve">Neziskové org. obcí zaradené do sektora </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-1 714</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192</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Calibri" w:hAnsi="Calibri" w:cs="Arial"/>
                <w:sz w:val="20"/>
                <w:szCs w:val="20"/>
                <w:lang w:eastAsia="sk-SK"/>
              </w:rPr>
            </w:pPr>
            <w:r w:rsidRPr="00A53EAC">
              <w:rPr>
                <w:rFonts w:ascii="Calibri" w:hAnsi="Calibri" w:cs="Arial"/>
                <w:sz w:val="20"/>
                <w:szCs w:val="20"/>
                <w:lang w:eastAsia="sk-SK"/>
              </w:rPr>
              <w:t>−</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Ostatné subjekty verejnej správy</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Calibri" w:hAnsi="Calibri" w:cs="Arial"/>
                <w:sz w:val="20"/>
                <w:szCs w:val="20"/>
                <w:lang w:eastAsia="sk-SK"/>
              </w:rPr>
            </w:pPr>
            <w:r w:rsidRPr="00A53EAC">
              <w:rPr>
                <w:rFonts w:ascii="Calibri" w:hAnsi="Calibri" w:cs="Arial"/>
                <w:sz w:val="20"/>
                <w:szCs w:val="20"/>
                <w:lang w:eastAsia="sk-SK"/>
              </w:rPr>
              <w:t>−</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Calibri" w:hAnsi="Calibri" w:cs="Arial"/>
                <w:sz w:val="20"/>
                <w:szCs w:val="20"/>
                <w:lang w:eastAsia="sk-SK"/>
              </w:rPr>
            </w:pPr>
            <w:r w:rsidRPr="00A53EAC">
              <w:rPr>
                <w:rFonts w:ascii="Calibri" w:hAnsi="Calibri" w:cs="Arial"/>
                <w:sz w:val="20"/>
                <w:szCs w:val="20"/>
                <w:lang w:eastAsia="sk-SK"/>
              </w:rPr>
              <w:t>−</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-7 315</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Sociálna poisťovňa</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50 821</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-198 705</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-38 573</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Verejné zdravotné poistenie</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153 591</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5 167</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-70 068</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Príspevkové organ. zaradené do sektora spolu</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17 452</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22 174</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-9 687</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z toho: štátne</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3 142</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25 697</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-14 890</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 xml:space="preserve">             obecné</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6 902</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1 505</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1 859</w:t>
            </w:r>
          </w:p>
        </w:tc>
      </w:tr>
      <w:tr>
        <w:tblPrEx>
          <w:tblW w:w="5000" w:type="pct"/>
          <w:tblCellMar>
            <w:left w:w="70" w:type="dxa"/>
            <w:right w:w="70" w:type="dxa"/>
          </w:tblCellMar>
          <w:tblLook w:val="04A0"/>
        </w:tblPrEx>
        <w:trPr>
          <w:trHeight w:val="255"/>
        </w:trPr>
        <w:tc>
          <w:tcPr>
            <w:tcW w:w="3210" w:type="pct"/>
            <w:tcBorders>
              <w:top w:val="nil"/>
              <w:left w:val="nil"/>
              <w:bottom w:val="nil"/>
              <w:right w:val="nil"/>
            </w:tcBorders>
            <w:noWrap/>
            <w:textDirection w:val="lrTb"/>
            <w:vAlign w:val="center"/>
            <w:hideMark/>
          </w:tcPr>
          <w:p w:rsidR="00D07E45" w:rsidRPr="00A53EAC" w:rsidP="00D07E45">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 xml:space="preserve">             vyšších územných celkov</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7 408</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-5 028</w:t>
            </w:r>
          </w:p>
        </w:tc>
        <w:tc>
          <w:tcPr>
            <w:tcW w:w="597" w:type="pct"/>
            <w:tcBorders>
              <w:top w:val="nil"/>
              <w:left w:val="nil"/>
              <w:bottom w:val="nil"/>
              <w:right w:val="nil"/>
            </w:tcBorders>
            <w:noWrap/>
            <w:textDirection w:val="lrTb"/>
            <w:vAlign w:val="center"/>
            <w:hideMark/>
          </w:tcPr>
          <w:p w:rsidR="00D07E45" w:rsidRPr="00A53EAC" w:rsidP="00D07E4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3 344</w:t>
            </w:r>
          </w:p>
        </w:tc>
      </w:tr>
      <w:tr>
        <w:tblPrEx>
          <w:tblW w:w="5000" w:type="pct"/>
          <w:tblCellMar>
            <w:left w:w="70" w:type="dxa"/>
            <w:right w:w="70" w:type="dxa"/>
          </w:tblCellMar>
          <w:tblLook w:val="04A0"/>
        </w:tblPrEx>
        <w:trPr>
          <w:trHeight w:val="255"/>
        </w:trPr>
        <w:tc>
          <w:tcPr>
            <w:tcW w:w="3210" w:type="pct"/>
            <w:tcBorders>
              <w:top w:val="single" w:sz="4" w:space="0" w:color="auto"/>
              <w:left w:val="nil"/>
              <w:bottom w:val="nil"/>
              <w:right w:val="nil"/>
            </w:tcBorders>
            <w:shd w:val="clear" w:color="000000" w:fill="BFBFBF"/>
            <w:textDirection w:val="lrTb"/>
            <w:vAlign w:val="center"/>
            <w:hideMark/>
          </w:tcPr>
          <w:p w:rsidR="00D07E45" w:rsidRPr="00A53EAC" w:rsidP="00D07E45">
            <w:pPr>
              <w:bidi w:val="0"/>
              <w:spacing w:after="0" w:line="240" w:lineRule="auto"/>
              <w:jc w:val="both"/>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Schodok verejnej správy spolu</w:t>
            </w:r>
          </w:p>
        </w:tc>
        <w:tc>
          <w:tcPr>
            <w:tcW w:w="597" w:type="pct"/>
            <w:tcBorders>
              <w:top w:val="single" w:sz="4" w:space="0" w:color="auto"/>
              <w:left w:val="nil"/>
              <w:bottom w:val="nil"/>
              <w:right w:val="nil"/>
            </w:tcBorders>
            <w:shd w:val="clear" w:color="000000" w:fill="BFBFBF"/>
            <w:textDirection w:val="lrTb"/>
            <w:vAlign w:val="center"/>
            <w:hideMark/>
          </w:tcPr>
          <w:p w:rsidR="00D07E45" w:rsidRPr="00A53EAC" w:rsidP="00D07E4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-3 039 206</w:t>
            </w:r>
          </w:p>
        </w:tc>
        <w:tc>
          <w:tcPr>
            <w:tcW w:w="597" w:type="pct"/>
            <w:tcBorders>
              <w:top w:val="single" w:sz="4" w:space="0" w:color="auto"/>
              <w:left w:val="nil"/>
              <w:bottom w:val="nil"/>
              <w:right w:val="nil"/>
            </w:tcBorders>
            <w:shd w:val="clear" w:color="000000" w:fill="BFBFBF"/>
            <w:textDirection w:val="lrTb"/>
            <w:vAlign w:val="center"/>
            <w:hideMark/>
          </w:tcPr>
          <w:p w:rsidR="00D07E45" w:rsidRPr="00A53EAC" w:rsidP="00D07E4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-1 953 808</w:t>
            </w:r>
          </w:p>
        </w:tc>
        <w:tc>
          <w:tcPr>
            <w:tcW w:w="597" w:type="pct"/>
            <w:tcBorders>
              <w:top w:val="single" w:sz="4" w:space="0" w:color="auto"/>
              <w:left w:val="nil"/>
              <w:bottom w:val="nil"/>
              <w:right w:val="nil"/>
            </w:tcBorders>
            <w:shd w:val="clear" w:color="000000" w:fill="BFBFBF"/>
            <w:textDirection w:val="lrTb"/>
            <w:vAlign w:val="center"/>
            <w:hideMark/>
          </w:tcPr>
          <w:p w:rsidR="00D07E45" w:rsidRPr="00A53EAC" w:rsidP="00D07E4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-2 097 552</w:t>
            </w:r>
          </w:p>
        </w:tc>
      </w:tr>
      <w:tr>
        <w:tblPrEx>
          <w:tblW w:w="5000" w:type="pct"/>
          <w:tblCellMar>
            <w:left w:w="70" w:type="dxa"/>
            <w:right w:w="70" w:type="dxa"/>
          </w:tblCellMar>
          <w:tblLook w:val="04A0"/>
        </w:tblPrEx>
        <w:trPr>
          <w:trHeight w:val="255"/>
        </w:trPr>
        <w:tc>
          <w:tcPr>
            <w:tcW w:w="3210" w:type="pct"/>
            <w:tcBorders>
              <w:top w:val="nil"/>
              <w:left w:val="nil"/>
              <w:bottom w:val="single" w:sz="4" w:space="0" w:color="auto"/>
              <w:right w:val="nil"/>
            </w:tcBorders>
            <w:shd w:val="clear" w:color="000000" w:fill="BFBFBF"/>
            <w:noWrap/>
            <w:textDirection w:val="lrTb"/>
            <w:vAlign w:val="center"/>
            <w:hideMark/>
          </w:tcPr>
          <w:p w:rsidR="00D07E45" w:rsidRPr="00A53EAC" w:rsidP="00D07E45">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xml:space="preserve">     % z HDP</w:t>
            </w:r>
          </w:p>
        </w:tc>
        <w:tc>
          <w:tcPr>
            <w:tcW w:w="597" w:type="pct"/>
            <w:tcBorders>
              <w:top w:val="nil"/>
              <w:left w:val="nil"/>
              <w:bottom w:val="single" w:sz="4" w:space="0" w:color="auto"/>
              <w:right w:val="nil"/>
            </w:tcBorders>
            <w:shd w:val="clear" w:color="000000" w:fill="BFBFBF"/>
            <w:noWrap/>
            <w:textDirection w:val="lrTb"/>
            <w:vAlign w:val="center"/>
            <w:hideMark/>
          </w:tcPr>
          <w:p w:rsidR="00D07E45" w:rsidRPr="00A53EAC" w:rsidP="00D07E4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-4,2</w:t>
            </w:r>
          </w:p>
        </w:tc>
        <w:tc>
          <w:tcPr>
            <w:tcW w:w="597" w:type="pct"/>
            <w:tcBorders>
              <w:top w:val="nil"/>
              <w:left w:val="nil"/>
              <w:bottom w:val="single" w:sz="4" w:space="0" w:color="auto"/>
              <w:right w:val="nil"/>
            </w:tcBorders>
            <w:shd w:val="clear" w:color="000000" w:fill="BFBFBF"/>
            <w:noWrap/>
            <w:textDirection w:val="lrTb"/>
            <w:vAlign w:val="center"/>
            <w:hideMark/>
          </w:tcPr>
          <w:p w:rsidR="00D07E45" w:rsidRPr="00A53EAC" w:rsidP="00D07E4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-2,6</w:t>
            </w:r>
          </w:p>
        </w:tc>
        <w:tc>
          <w:tcPr>
            <w:tcW w:w="597" w:type="pct"/>
            <w:tcBorders>
              <w:top w:val="nil"/>
              <w:left w:val="nil"/>
              <w:bottom w:val="single" w:sz="4" w:space="0" w:color="auto"/>
              <w:right w:val="nil"/>
            </w:tcBorders>
            <w:shd w:val="clear" w:color="000000" w:fill="BFBFBF"/>
            <w:noWrap/>
            <w:textDirection w:val="lrTb"/>
            <w:vAlign w:val="center"/>
            <w:hideMark/>
          </w:tcPr>
          <w:p w:rsidR="00D07E45" w:rsidRPr="00A53EAC" w:rsidP="00D07E4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-2,8</w:t>
            </w:r>
          </w:p>
        </w:tc>
      </w:tr>
      <w:tr>
        <w:tblPrEx>
          <w:tblW w:w="5000" w:type="pct"/>
          <w:tblCellMar>
            <w:left w:w="70" w:type="dxa"/>
            <w:right w:w="70" w:type="dxa"/>
          </w:tblCellMar>
          <w:tblLook w:val="04A0"/>
        </w:tblPrEx>
        <w:trPr>
          <w:trHeight w:val="375"/>
        </w:trPr>
        <w:tc>
          <w:tcPr>
            <w:tcW w:w="4403" w:type="pct"/>
            <w:gridSpan w:val="3"/>
            <w:tcBorders>
              <w:top w:val="nil"/>
              <w:left w:val="nil"/>
              <w:bottom w:val="nil"/>
              <w:right w:val="nil"/>
            </w:tcBorders>
            <w:noWrap/>
            <w:textDirection w:val="lrTb"/>
            <w:vAlign w:val="center"/>
            <w:hideMark/>
          </w:tcPr>
          <w:p w:rsidR="00D07E45" w:rsidRPr="00A53EAC" w:rsidP="0084687B">
            <w:pPr>
              <w:bidi w:val="0"/>
              <w:spacing w:line="240" w:lineRule="auto"/>
              <w:rPr>
                <w:rFonts w:ascii="Times New Roman" w:hAnsi="Times New Roman" w:cs="Times New Roman"/>
                <w:sz w:val="24"/>
                <w:szCs w:val="24"/>
                <w:lang w:eastAsia="sk-SK"/>
              </w:rPr>
            </w:pPr>
            <w:r w:rsidRPr="00A53EAC">
              <w:rPr>
                <w:rFonts w:ascii="Times New Roman" w:hAnsi="Times New Roman" w:cs="Times New Roman"/>
                <w:sz w:val="24"/>
                <w:szCs w:val="24"/>
                <w:vertAlign w:val="superscript"/>
                <w:lang w:eastAsia="sk-SK"/>
              </w:rPr>
              <w:t xml:space="preserve">* </w:t>
            </w:r>
            <w:r w:rsidRPr="00A53EAC">
              <w:rPr>
                <w:rFonts w:ascii="Times New Roman" w:hAnsi="Times New Roman" w:cs="Times New Roman"/>
                <w:sz w:val="20"/>
                <w:szCs w:val="20"/>
                <w:lang w:eastAsia="sk-SK"/>
              </w:rPr>
              <w:t>Vrátane účtov štátnych finančných aktív, salda účtu a ostatných mimorozpočtových účtov.</w:t>
            </w:r>
          </w:p>
        </w:tc>
        <w:tc>
          <w:tcPr>
            <w:tcW w:w="597" w:type="pct"/>
            <w:tcBorders>
              <w:top w:val="nil"/>
              <w:left w:val="nil"/>
              <w:bottom w:val="nil"/>
              <w:right w:val="nil"/>
            </w:tcBorders>
            <w:noWrap/>
            <w:textDirection w:val="lrTb"/>
            <w:vAlign w:val="bottom"/>
            <w:hideMark/>
          </w:tcPr>
          <w:p w:rsidR="00D07E45" w:rsidRPr="00A53EAC" w:rsidP="00D07E45">
            <w:pPr>
              <w:bidi w:val="0"/>
              <w:spacing w:after="0" w:line="240" w:lineRule="auto"/>
              <w:rPr>
                <w:rFonts w:ascii="Times New Roman" w:hAnsi="Times New Roman" w:cs="Times New Roman"/>
                <w:sz w:val="24"/>
                <w:szCs w:val="24"/>
                <w:lang w:eastAsia="sk-SK"/>
              </w:rPr>
            </w:pPr>
          </w:p>
        </w:tc>
      </w:tr>
    </w:tbl>
    <w:p w:rsidR="003A760D" w:rsidRPr="00A53EAC" w:rsidP="00472200">
      <w:pPr>
        <w:pStyle w:val="Heading2"/>
        <w:bidi w:val="0"/>
        <w:spacing w:before="120" w:after="120" w:line="336" w:lineRule="auto"/>
        <w:ind w:left="425" w:hanging="425"/>
        <w:rPr>
          <w:rFonts w:eastAsia="Times New Roman"/>
        </w:rPr>
      </w:pPr>
      <w:bookmarkStart w:id="17" w:name="_Toc433099555"/>
      <w:r w:rsidRPr="00A53EAC">
        <w:rPr>
          <w:rFonts w:eastAsia="Times New Roman"/>
        </w:rPr>
        <w:t>Dlh verejnej správy</w:t>
      </w:r>
      <w:bookmarkEnd w:id="15"/>
      <w:bookmarkEnd w:id="16"/>
      <w:bookmarkEnd w:id="17"/>
      <w:r w:rsidRPr="00A53EAC">
        <w:rPr>
          <w:rFonts w:eastAsia="Times New Roman"/>
        </w:rPr>
        <w:t xml:space="preserve"> </w:t>
      </w:r>
    </w:p>
    <w:p w:rsidR="009A5783" w:rsidP="008F41B1">
      <w:pPr>
        <w:bidi w:val="0"/>
        <w:spacing w:after="120" w:line="336" w:lineRule="auto"/>
        <w:contextualSpacing/>
        <w:jc w:val="both"/>
        <w:outlineLvl w:val="2"/>
        <w:rPr>
          <w:rFonts w:ascii="Times New Roman" w:eastAsia="Calibri" w:hAnsi="Times New Roman" w:cs="Times New Roman"/>
        </w:rPr>
      </w:pPr>
      <w:bookmarkStart w:id="18" w:name="_Toc433099029"/>
      <w:bookmarkStart w:id="19" w:name="_Toc433099268"/>
      <w:bookmarkStart w:id="20" w:name="_Toc433099374"/>
      <w:bookmarkStart w:id="21" w:name="_Toc433099556"/>
      <w:bookmarkStart w:id="22" w:name="_Toc401920008"/>
      <w:bookmarkStart w:id="23" w:name="_Toc399324359"/>
      <w:r w:rsidRPr="00A53EAC">
        <w:rPr>
          <w:rFonts w:ascii="Times New Roman" w:eastAsia="Calibri" w:hAnsi="Times New Roman" w:cs="Times New Roman" w:hint="default"/>
          <w:b/>
        </w:rPr>
        <w:t>Hrubý</w:t>
      </w:r>
      <w:r w:rsidRPr="00A53EAC">
        <w:rPr>
          <w:rFonts w:ascii="Times New Roman" w:eastAsia="Calibri" w:hAnsi="Times New Roman" w:cs="Times New Roman" w:hint="default"/>
          <w:b/>
        </w:rPr>
        <w:t xml:space="preserve"> dlh verejnej sprá</w:t>
      </w:r>
      <w:r w:rsidRPr="00A53EAC">
        <w:rPr>
          <w:rFonts w:ascii="Times New Roman" w:eastAsia="Calibri" w:hAnsi="Times New Roman" w:cs="Times New Roman" w:hint="default"/>
          <w:b/>
        </w:rPr>
        <w:t>vy</w:t>
      </w:r>
      <w:r w:rsidRPr="00A53EAC">
        <w:rPr>
          <w:rFonts w:ascii="Times New Roman" w:eastAsia="Calibri" w:hAnsi="Times New Roman" w:cs="Times New Roman" w:hint="default"/>
        </w:rPr>
        <w:t xml:space="preserve"> (maastrichtský</w:t>
      </w:r>
      <w:r w:rsidRPr="00A53EAC">
        <w:rPr>
          <w:rFonts w:ascii="Times New Roman" w:eastAsia="Calibri" w:hAnsi="Times New Roman" w:cs="Times New Roman" w:hint="default"/>
        </w:rPr>
        <w:t xml:space="preserve"> dlh) dosiahol k </w:t>
      </w:r>
      <w:r w:rsidRPr="00A53EAC">
        <w:rPr>
          <w:rFonts w:ascii="Times New Roman" w:eastAsia="Calibri" w:hAnsi="Times New Roman" w:cs="Times New Roman" w:hint="default"/>
        </w:rPr>
        <w:t>31.12.2014 výš</w:t>
      </w:r>
      <w:r w:rsidRPr="00A53EAC">
        <w:rPr>
          <w:rFonts w:ascii="Times New Roman" w:eastAsia="Calibri" w:hAnsi="Times New Roman" w:cs="Times New Roman" w:hint="default"/>
        </w:rPr>
        <w:t xml:space="preserve">ku </w:t>
      </w:r>
      <w:r w:rsidRPr="00A53EAC">
        <w:rPr>
          <w:rFonts w:ascii="Times New Roman" w:eastAsia="Calibri" w:hAnsi="Times New Roman" w:cs="Times New Roman"/>
          <w:b/>
          <w:bCs/>
        </w:rPr>
        <w:t>40 403 787</w:t>
      </w:r>
      <w:r w:rsidRPr="00A53EAC">
        <w:rPr>
          <w:rFonts w:ascii="Times New Roman" w:eastAsia="Calibri" w:hAnsi="Times New Roman" w:cs="Times New Roman"/>
          <w:b/>
        </w:rPr>
        <w:t xml:space="preserve"> tis. eur (53,5 % HDP)</w:t>
      </w:r>
      <w:r w:rsidRPr="00A53EAC">
        <w:rPr>
          <w:rFonts w:ascii="Times New Roman" w:eastAsia="Calibri" w:hAnsi="Times New Roman" w:cs="Times New Roman"/>
        </w:rPr>
        <w:t>.</w:t>
      </w:r>
      <w:bookmarkEnd w:id="18"/>
      <w:bookmarkEnd w:id="19"/>
      <w:bookmarkEnd w:id="20"/>
      <w:bookmarkEnd w:id="21"/>
      <w:r w:rsidRPr="00A53EAC">
        <w:rPr>
          <w:rFonts w:ascii="Times New Roman" w:eastAsia="Calibri" w:hAnsi="Times New Roman" w:cs="Times New Roman"/>
        </w:rPr>
        <w:t xml:space="preserve"> </w:t>
      </w:r>
      <w:bookmarkEnd w:id="22"/>
    </w:p>
    <w:p w:rsidR="009A5783" w:rsidRPr="00A53EAC" w:rsidP="008F41B1">
      <w:pPr>
        <w:bidi w:val="0"/>
        <w:spacing w:after="120" w:line="336" w:lineRule="auto"/>
        <w:contextualSpacing/>
        <w:jc w:val="both"/>
        <w:outlineLvl w:val="2"/>
        <w:rPr>
          <w:rFonts w:ascii="Times New Roman" w:eastAsia="Calibri" w:hAnsi="Times New Roman" w:cs="Times New Roman" w:hint="default"/>
        </w:rPr>
      </w:pPr>
      <w:bookmarkStart w:id="24" w:name="_Toc401920009"/>
      <w:bookmarkStart w:id="25" w:name="_Toc433099030"/>
      <w:bookmarkStart w:id="26" w:name="_Toc433099269"/>
      <w:bookmarkStart w:id="27" w:name="_Toc433099375"/>
      <w:bookmarkStart w:id="28" w:name="_Toc433099557"/>
      <w:r w:rsidRPr="00A53EAC">
        <w:rPr>
          <w:rFonts w:ascii="Times New Roman" w:eastAsia="Calibri" w:hAnsi="Times New Roman" w:cs="Times New Roman" w:hint="default"/>
        </w:rPr>
        <w:t>Dlh verejnej sprá</w:t>
      </w:r>
      <w:r w:rsidRPr="00A53EAC">
        <w:rPr>
          <w:rFonts w:ascii="Times New Roman" w:eastAsia="Calibri" w:hAnsi="Times New Roman" w:cs="Times New Roman" w:hint="default"/>
        </w:rPr>
        <w:t>vy je konsolidovaný</w:t>
      </w:r>
      <w:r w:rsidRPr="00A53EAC">
        <w:rPr>
          <w:rFonts w:ascii="Times New Roman" w:eastAsia="Calibri" w:hAnsi="Times New Roman" w:cs="Times New Roman" w:hint="default"/>
        </w:rPr>
        <w:t xml:space="preserve"> ukazovateľ</w:t>
      </w:r>
      <w:r w:rsidRPr="00A53EAC">
        <w:rPr>
          <w:rFonts w:ascii="Times New Roman" w:eastAsia="Calibri" w:hAnsi="Times New Roman" w:cs="Times New Roman" w:hint="default"/>
        </w:rPr>
        <w:t>, č</w:t>
      </w:r>
      <w:r w:rsidRPr="00A53EAC">
        <w:rPr>
          <w:rFonts w:ascii="Times New Roman" w:eastAsia="Calibri" w:hAnsi="Times New Roman" w:cs="Times New Roman" w:hint="default"/>
        </w:rPr>
        <w:t>o znamená</w:t>
      </w:r>
      <w:r w:rsidRPr="00A53EAC">
        <w:rPr>
          <w:rFonts w:ascii="Times New Roman" w:eastAsia="Calibri" w:hAnsi="Times New Roman" w:cs="Times New Roman" w:hint="default"/>
        </w:rPr>
        <w:t>, ž</w:t>
      </w:r>
      <w:r w:rsidRPr="00A53EAC">
        <w:rPr>
          <w:rFonts w:ascii="Times New Roman" w:eastAsia="Calibri" w:hAnsi="Times New Roman" w:cs="Times New Roman" w:hint="default"/>
        </w:rPr>
        <w:t>e pôž</w:t>
      </w:r>
      <w:r w:rsidRPr="00A53EAC">
        <w:rPr>
          <w:rFonts w:ascii="Times New Roman" w:eastAsia="Calibri" w:hAnsi="Times New Roman" w:cs="Times New Roman" w:hint="default"/>
        </w:rPr>
        <w:t>ič</w:t>
      </w:r>
      <w:r w:rsidRPr="00A53EAC">
        <w:rPr>
          <w:rFonts w:ascii="Times New Roman" w:eastAsia="Calibri" w:hAnsi="Times New Roman" w:cs="Times New Roman" w:hint="default"/>
        </w:rPr>
        <w:t>ky medzi jednotlivý</w:t>
      </w:r>
      <w:r w:rsidRPr="00A53EAC">
        <w:rPr>
          <w:rFonts w:ascii="Times New Roman" w:eastAsia="Calibri" w:hAnsi="Times New Roman" w:cs="Times New Roman" w:hint="default"/>
        </w:rPr>
        <w:t>mi subjektmi verejnej sprá</w:t>
      </w:r>
      <w:r w:rsidRPr="00A53EAC">
        <w:rPr>
          <w:rFonts w:ascii="Times New Roman" w:eastAsia="Calibri" w:hAnsi="Times New Roman" w:cs="Times New Roman" w:hint="default"/>
        </w:rPr>
        <w:t>vy sú</w:t>
      </w:r>
      <w:r w:rsidRPr="00A53EAC">
        <w:rPr>
          <w:rFonts w:ascii="Times New Roman" w:eastAsia="Calibri" w:hAnsi="Times New Roman" w:cs="Times New Roman" w:hint="default"/>
        </w:rPr>
        <w:t xml:space="preserve"> eliminované</w:t>
      </w:r>
      <w:r w:rsidRPr="00A53EAC">
        <w:rPr>
          <w:rFonts w:ascii="Times New Roman" w:eastAsia="Calibri" w:hAnsi="Times New Roman" w:cs="Times New Roman" w:hint="default"/>
        </w:rPr>
        <w:t>. Samotné</w:t>
      </w:r>
      <w:r w:rsidRPr="00A53EAC">
        <w:rPr>
          <w:rFonts w:ascii="Times New Roman" w:eastAsia="Calibri" w:hAnsi="Times New Roman" w:cs="Times New Roman" w:hint="default"/>
        </w:rPr>
        <w:t xml:space="preserve"> subjekty verejnej sprá</w:t>
      </w:r>
      <w:r w:rsidRPr="00A53EAC">
        <w:rPr>
          <w:rFonts w:ascii="Times New Roman" w:eastAsia="Calibri" w:hAnsi="Times New Roman" w:cs="Times New Roman" w:hint="default"/>
        </w:rPr>
        <w:t>vy uvedené</w:t>
      </w:r>
      <w:r w:rsidRPr="00A53EAC">
        <w:rPr>
          <w:rFonts w:ascii="Times New Roman" w:eastAsia="Calibri" w:hAnsi="Times New Roman" w:cs="Times New Roman" w:hint="default"/>
        </w:rPr>
        <w:t xml:space="preserve"> nižš</w:t>
      </w:r>
      <w:r w:rsidRPr="00A53EAC">
        <w:rPr>
          <w:rFonts w:ascii="Times New Roman" w:eastAsia="Calibri" w:hAnsi="Times New Roman" w:cs="Times New Roman" w:hint="default"/>
        </w:rPr>
        <w:t>ie v </w:t>
      </w:r>
      <w:r w:rsidRPr="00A53EAC">
        <w:rPr>
          <w:rFonts w:ascii="Times New Roman" w:eastAsia="Calibri" w:hAnsi="Times New Roman" w:cs="Times New Roman" w:hint="default"/>
        </w:rPr>
        <w:t>tabuľ</w:t>
      </w:r>
      <w:r w:rsidRPr="00A53EAC">
        <w:rPr>
          <w:rFonts w:ascii="Times New Roman" w:eastAsia="Calibri" w:hAnsi="Times New Roman" w:cs="Times New Roman" w:hint="default"/>
        </w:rPr>
        <w:t>ke sú</w:t>
      </w:r>
      <w:r w:rsidRPr="00A53EAC">
        <w:rPr>
          <w:rFonts w:ascii="Times New Roman" w:eastAsia="Calibri" w:hAnsi="Times New Roman" w:cs="Times New Roman" w:hint="default"/>
        </w:rPr>
        <w:t xml:space="preserve"> už</w:t>
      </w:r>
      <w:r w:rsidRPr="00A53EAC">
        <w:rPr>
          <w:rFonts w:ascii="Times New Roman" w:eastAsia="Calibri" w:hAnsi="Times New Roman" w:cs="Times New Roman" w:hint="default"/>
        </w:rPr>
        <w:t xml:space="preserve"> skonsolidované</w:t>
      </w:r>
      <w:r w:rsidRPr="00A53EAC">
        <w:rPr>
          <w:rFonts w:ascii="Times New Roman" w:eastAsia="Calibri" w:hAnsi="Times New Roman" w:cs="Times New Roman" w:hint="default"/>
        </w:rPr>
        <w:t>, uvedená</w:t>
      </w:r>
      <w:r w:rsidRPr="00A53EAC">
        <w:rPr>
          <w:rFonts w:ascii="Times New Roman" w:eastAsia="Calibri" w:hAnsi="Times New Roman" w:cs="Times New Roman" w:hint="default"/>
        </w:rPr>
        <w:t xml:space="preserve"> hodnota ko</w:t>
      </w:r>
      <w:r w:rsidRPr="00A53EAC">
        <w:rPr>
          <w:rFonts w:ascii="Times New Roman" w:eastAsia="Calibri" w:hAnsi="Times New Roman" w:cs="Times New Roman" w:hint="default"/>
        </w:rPr>
        <w:t>nsolidá</w:t>
      </w:r>
      <w:r w:rsidRPr="00A53EAC">
        <w:rPr>
          <w:rFonts w:ascii="Times New Roman" w:eastAsia="Calibri" w:hAnsi="Times New Roman" w:cs="Times New Roman" w:hint="default"/>
        </w:rPr>
        <w:t>cie predstavuje len pôž</w:t>
      </w:r>
      <w:r w:rsidRPr="00A53EAC">
        <w:rPr>
          <w:rFonts w:ascii="Times New Roman" w:eastAsia="Calibri" w:hAnsi="Times New Roman" w:cs="Times New Roman" w:hint="default"/>
        </w:rPr>
        <w:t>ič</w:t>
      </w:r>
      <w:r w:rsidRPr="00A53EAC">
        <w:rPr>
          <w:rFonts w:ascii="Times New Roman" w:eastAsia="Calibri" w:hAnsi="Times New Roman" w:cs="Times New Roman" w:hint="default"/>
        </w:rPr>
        <w:t>ky medzi tý</w:t>
      </w:r>
      <w:r w:rsidRPr="00A53EAC">
        <w:rPr>
          <w:rFonts w:ascii="Times New Roman" w:eastAsia="Calibri" w:hAnsi="Times New Roman" w:cs="Times New Roman" w:hint="default"/>
        </w:rPr>
        <w:t>mito subjektmi. Celková</w:t>
      </w:r>
      <w:r w:rsidRPr="00A53EAC">
        <w:rPr>
          <w:rFonts w:ascii="Times New Roman" w:eastAsia="Calibri" w:hAnsi="Times New Roman" w:cs="Times New Roman" w:hint="default"/>
        </w:rPr>
        <w:t xml:space="preserve"> výš</w:t>
      </w:r>
      <w:r w:rsidRPr="00A53EAC">
        <w:rPr>
          <w:rFonts w:ascii="Times New Roman" w:eastAsia="Calibri" w:hAnsi="Times New Roman" w:cs="Times New Roman" w:hint="default"/>
        </w:rPr>
        <w:t>ka konsolidá</w:t>
      </w:r>
      <w:r w:rsidRPr="00A53EAC">
        <w:rPr>
          <w:rFonts w:ascii="Times New Roman" w:eastAsia="Calibri" w:hAnsi="Times New Roman" w:cs="Times New Roman" w:hint="default"/>
        </w:rPr>
        <w:t>cie v roku 2014 bola 1 </w:t>
      </w:r>
      <w:r w:rsidRPr="00A53EAC">
        <w:rPr>
          <w:rFonts w:ascii="Times New Roman" w:eastAsia="Calibri" w:hAnsi="Times New Roman" w:cs="Times New Roman" w:hint="default"/>
        </w:rPr>
        <w:t>634 645 tis. eur a pozostá</w:t>
      </w:r>
      <w:r w:rsidRPr="00A53EAC">
        <w:rPr>
          <w:rFonts w:ascii="Times New Roman" w:eastAsia="Calibri" w:hAnsi="Times New Roman" w:cs="Times New Roman" w:hint="default"/>
        </w:rPr>
        <w:t>vala z</w:t>
      </w:r>
      <w:r w:rsidRPr="00A53EAC" w:rsidR="00B1528F">
        <w:rPr>
          <w:rFonts w:ascii="Times New Roman" w:eastAsia="Calibri" w:hAnsi="Times New Roman" w:cs="Times New Roman"/>
        </w:rPr>
        <w:t> </w:t>
      </w:r>
      <w:r w:rsidRPr="00A53EAC" w:rsidR="00B1528F">
        <w:rPr>
          <w:rFonts w:ascii="Times New Roman" w:eastAsia="Calibri" w:hAnsi="Times New Roman" w:cs="Times New Roman"/>
        </w:rPr>
        <w:t xml:space="preserve">imputovanej </w:t>
      </w:r>
      <w:r w:rsidRPr="00A53EAC">
        <w:rPr>
          <w:rFonts w:ascii="Times New Roman" w:eastAsia="Calibri" w:hAnsi="Times New Roman" w:cs="Times New Roman" w:hint="default"/>
        </w:rPr>
        <w:t>pôž</w:t>
      </w:r>
      <w:r w:rsidRPr="00A53EAC">
        <w:rPr>
          <w:rFonts w:ascii="Times New Roman" w:eastAsia="Calibri" w:hAnsi="Times New Roman" w:cs="Times New Roman" w:hint="default"/>
        </w:rPr>
        <w:t>ič</w:t>
      </w:r>
      <w:r w:rsidRPr="00A53EAC">
        <w:rPr>
          <w:rFonts w:ascii="Times New Roman" w:eastAsia="Calibri" w:hAnsi="Times New Roman" w:cs="Times New Roman" w:hint="default"/>
        </w:rPr>
        <w:t>ky Agentú</w:t>
      </w:r>
      <w:r w:rsidRPr="00A53EAC">
        <w:rPr>
          <w:rFonts w:ascii="Times New Roman" w:eastAsia="Calibri" w:hAnsi="Times New Roman" w:cs="Times New Roman" w:hint="default"/>
        </w:rPr>
        <w:t>ry pre nú</w:t>
      </w:r>
      <w:r w:rsidRPr="00A53EAC">
        <w:rPr>
          <w:rFonts w:ascii="Times New Roman" w:eastAsia="Calibri" w:hAnsi="Times New Roman" w:cs="Times New Roman" w:hint="default"/>
        </w:rPr>
        <w:t>dzové</w:t>
      </w:r>
      <w:r w:rsidRPr="00A53EAC">
        <w:rPr>
          <w:rFonts w:ascii="Times New Roman" w:eastAsia="Calibri" w:hAnsi="Times New Roman" w:cs="Times New Roman" w:hint="default"/>
        </w:rPr>
        <w:t xml:space="preserve"> zá</w:t>
      </w:r>
      <w:r w:rsidRPr="00A53EAC">
        <w:rPr>
          <w:rFonts w:ascii="Times New Roman" w:eastAsia="Calibri" w:hAnsi="Times New Roman" w:cs="Times New Roman" w:hint="default"/>
        </w:rPr>
        <w:t>soby ropy a ropný</w:t>
      </w:r>
      <w:r w:rsidRPr="00A53EAC">
        <w:rPr>
          <w:rFonts w:ascii="Times New Roman" w:eastAsia="Calibri" w:hAnsi="Times New Roman" w:cs="Times New Roman" w:hint="default"/>
        </w:rPr>
        <w:t>ch vý</w:t>
      </w:r>
      <w:r w:rsidRPr="00A53EAC">
        <w:rPr>
          <w:rFonts w:ascii="Times New Roman" w:eastAsia="Calibri" w:hAnsi="Times New Roman" w:cs="Times New Roman" w:hint="default"/>
        </w:rPr>
        <w:t xml:space="preserve">robkov </w:t>
      </w:r>
      <w:r w:rsidRPr="00A53EAC" w:rsidR="00B1528F">
        <w:rPr>
          <w:rFonts w:ascii="Times New Roman" w:eastAsia="Calibri" w:hAnsi="Times New Roman" w:cs="Times New Roman" w:hint="default"/>
        </w:rPr>
        <w:t>š</w:t>
      </w:r>
      <w:r w:rsidRPr="00A53EAC" w:rsidR="00B1528F">
        <w:rPr>
          <w:rFonts w:ascii="Times New Roman" w:eastAsia="Calibri" w:hAnsi="Times New Roman" w:cs="Times New Roman" w:hint="default"/>
        </w:rPr>
        <w:t>tá</w:t>
      </w:r>
      <w:r w:rsidRPr="00A53EAC" w:rsidR="00B1528F">
        <w:rPr>
          <w:rFonts w:ascii="Times New Roman" w:eastAsia="Calibri" w:hAnsi="Times New Roman" w:cs="Times New Roman" w:hint="default"/>
        </w:rPr>
        <w:t xml:space="preserve">tu za predaj ropy </w:t>
      </w:r>
      <w:r w:rsidRPr="00A53EAC">
        <w:rPr>
          <w:rFonts w:ascii="Times New Roman" w:eastAsia="Calibri" w:hAnsi="Times New Roman" w:cs="Times New Roman" w:hint="default"/>
        </w:rPr>
        <w:t>(465 208 tis. eur), ná</w:t>
      </w:r>
      <w:r w:rsidRPr="00A53EAC">
        <w:rPr>
          <w:rFonts w:ascii="Times New Roman" w:eastAsia="Calibri" w:hAnsi="Times New Roman" w:cs="Times New Roman" w:hint="default"/>
        </w:rPr>
        <w:t>vra</w:t>
      </w:r>
      <w:r w:rsidRPr="00A53EAC">
        <w:rPr>
          <w:rFonts w:ascii="Times New Roman" w:eastAsia="Calibri" w:hAnsi="Times New Roman" w:cs="Times New Roman" w:hint="default"/>
        </w:rPr>
        <w:t>tnej finanč</w:t>
      </w:r>
      <w:r w:rsidRPr="00A53EAC">
        <w:rPr>
          <w:rFonts w:ascii="Times New Roman" w:eastAsia="Calibri" w:hAnsi="Times New Roman" w:cs="Times New Roman" w:hint="default"/>
        </w:rPr>
        <w:t>nej vý</w:t>
      </w:r>
      <w:r w:rsidRPr="00A53EAC">
        <w:rPr>
          <w:rFonts w:ascii="Times New Roman" w:eastAsia="Calibri" w:hAnsi="Times New Roman" w:cs="Times New Roman" w:hint="default"/>
        </w:rPr>
        <w:t>pomoci Agentú</w:t>
      </w:r>
      <w:r w:rsidRPr="00A53EAC">
        <w:rPr>
          <w:rFonts w:ascii="Times New Roman" w:eastAsia="Calibri" w:hAnsi="Times New Roman" w:cs="Times New Roman" w:hint="default"/>
        </w:rPr>
        <w:t>re pre nú</w:t>
      </w:r>
      <w:r w:rsidRPr="00A53EAC">
        <w:rPr>
          <w:rFonts w:ascii="Times New Roman" w:eastAsia="Calibri" w:hAnsi="Times New Roman" w:cs="Times New Roman" w:hint="default"/>
        </w:rPr>
        <w:t>dzové</w:t>
      </w:r>
      <w:r w:rsidRPr="00A53EAC">
        <w:rPr>
          <w:rFonts w:ascii="Times New Roman" w:eastAsia="Calibri" w:hAnsi="Times New Roman" w:cs="Times New Roman" w:hint="default"/>
        </w:rPr>
        <w:t xml:space="preserve"> zá</w:t>
      </w:r>
      <w:r w:rsidRPr="00A53EAC">
        <w:rPr>
          <w:rFonts w:ascii="Times New Roman" w:eastAsia="Calibri" w:hAnsi="Times New Roman" w:cs="Times New Roman" w:hint="default"/>
        </w:rPr>
        <w:t>soby ropy a ropný</w:t>
      </w:r>
      <w:r w:rsidRPr="00A53EAC">
        <w:rPr>
          <w:rFonts w:ascii="Times New Roman" w:eastAsia="Calibri" w:hAnsi="Times New Roman" w:cs="Times New Roman" w:hint="default"/>
        </w:rPr>
        <w:t>ch vý</w:t>
      </w:r>
      <w:r w:rsidRPr="00A53EAC">
        <w:rPr>
          <w:rFonts w:ascii="Times New Roman" w:eastAsia="Calibri" w:hAnsi="Times New Roman" w:cs="Times New Roman" w:hint="default"/>
        </w:rPr>
        <w:t>robkov zo š</w:t>
      </w:r>
      <w:r w:rsidRPr="00A53EAC">
        <w:rPr>
          <w:rFonts w:ascii="Times New Roman" w:eastAsia="Calibri" w:hAnsi="Times New Roman" w:cs="Times New Roman" w:hint="default"/>
        </w:rPr>
        <w:t>tá</w:t>
      </w:r>
      <w:r w:rsidRPr="00A53EAC" w:rsidR="0008237F">
        <w:rPr>
          <w:rFonts w:ascii="Times New Roman" w:eastAsia="Calibri" w:hAnsi="Times New Roman" w:cs="Times New Roman" w:hint="default"/>
        </w:rPr>
        <w:t>tnych finanč</w:t>
      </w:r>
      <w:r w:rsidRPr="00A53EAC" w:rsidR="0008237F">
        <w:rPr>
          <w:rFonts w:ascii="Times New Roman" w:eastAsia="Calibri" w:hAnsi="Times New Roman" w:cs="Times New Roman" w:hint="default"/>
        </w:rPr>
        <w:t>ný</w:t>
      </w:r>
      <w:r w:rsidRPr="00A53EAC" w:rsidR="0008237F">
        <w:rPr>
          <w:rFonts w:ascii="Times New Roman" w:eastAsia="Calibri" w:hAnsi="Times New Roman" w:cs="Times New Roman" w:hint="default"/>
        </w:rPr>
        <w:t>ch aktí</w:t>
      </w:r>
      <w:r w:rsidRPr="00A53EAC" w:rsidR="0008237F">
        <w:rPr>
          <w:rFonts w:ascii="Times New Roman" w:eastAsia="Calibri" w:hAnsi="Times New Roman" w:cs="Times New Roman" w:hint="default"/>
        </w:rPr>
        <w:t>v (520 000 </w:t>
      </w:r>
      <w:r w:rsidRPr="00A53EAC">
        <w:rPr>
          <w:rFonts w:ascii="Times New Roman" w:eastAsia="Calibri" w:hAnsi="Times New Roman" w:cs="Times New Roman" w:hint="default"/>
        </w:rPr>
        <w:t>tis. eur), ná</w:t>
      </w:r>
      <w:r w:rsidRPr="00A53EAC">
        <w:rPr>
          <w:rFonts w:ascii="Times New Roman" w:eastAsia="Calibri" w:hAnsi="Times New Roman" w:cs="Times New Roman" w:hint="default"/>
        </w:rPr>
        <w:t>vratný</w:t>
      </w:r>
      <w:r w:rsidRPr="00A53EAC">
        <w:rPr>
          <w:rFonts w:ascii="Times New Roman" w:eastAsia="Calibri" w:hAnsi="Times New Roman" w:cs="Times New Roman" w:hint="default"/>
        </w:rPr>
        <w:t>ch finanč</w:t>
      </w:r>
      <w:r w:rsidRPr="00A53EAC">
        <w:rPr>
          <w:rFonts w:ascii="Times New Roman" w:eastAsia="Calibri" w:hAnsi="Times New Roman" w:cs="Times New Roman" w:hint="default"/>
        </w:rPr>
        <w:t>ný</w:t>
      </w:r>
      <w:r w:rsidRPr="00A53EAC">
        <w:rPr>
          <w:rFonts w:ascii="Times New Roman" w:eastAsia="Calibri" w:hAnsi="Times New Roman" w:cs="Times New Roman" w:hint="default"/>
        </w:rPr>
        <w:t>ch vý</w:t>
      </w:r>
      <w:r w:rsidRPr="00A53EAC">
        <w:rPr>
          <w:rFonts w:ascii="Times New Roman" w:eastAsia="Calibri" w:hAnsi="Times New Roman" w:cs="Times New Roman" w:hint="default"/>
        </w:rPr>
        <w:t>pomocí</w:t>
      </w:r>
      <w:r w:rsidRPr="00A53EAC">
        <w:rPr>
          <w:rFonts w:ascii="Times New Roman" w:eastAsia="Calibri" w:hAnsi="Times New Roman" w:cs="Times New Roman" w:hint="default"/>
        </w:rPr>
        <w:t xml:space="preserve"> poskytnutý</w:t>
      </w:r>
      <w:r w:rsidRPr="00A53EAC">
        <w:rPr>
          <w:rFonts w:ascii="Times New Roman" w:eastAsia="Calibri" w:hAnsi="Times New Roman" w:cs="Times New Roman" w:hint="default"/>
        </w:rPr>
        <w:t>ch zo š</w:t>
      </w:r>
      <w:r w:rsidRPr="00A53EAC">
        <w:rPr>
          <w:rFonts w:ascii="Times New Roman" w:eastAsia="Calibri" w:hAnsi="Times New Roman" w:cs="Times New Roman" w:hint="default"/>
        </w:rPr>
        <w:t>tá</w:t>
      </w:r>
      <w:r w:rsidRPr="00A53EAC">
        <w:rPr>
          <w:rFonts w:ascii="Times New Roman" w:eastAsia="Calibri" w:hAnsi="Times New Roman" w:cs="Times New Roman" w:hint="default"/>
        </w:rPr>
        <w:t>tnych finanč</w:t>
      </w:r>
      <w:r w:rsidRPr="00A53EAC" w:rsidR="0008237F">
        <w:rPr>
          <w:rFonts w:ascii="Times New Roman" w:eastAsia="Calibri" w:hAnsi="Times New Roman" w:cs="Times New Roman" w:hint="default"/>
        </w:rPr>
        <w:t>ný</w:t>
      </w:r>
      <w:r w:rsidRPr="00A53EAC" w:rsidR="0008237F">
        <w:rPr>
          <w:rFonts w:ascii="Times New Roman" w:eastAsia="Calibri" w:hAnsi="Times New Roman" w:cs="Times New Roman" w:hint="default"/>
        </w:rPr>
        <w:t>ch aktí</w:t>
      </w:r>
      <w:r w:rsidRPr="00A53EAC" w:rsidR="0008237F">
        <w:rPr>
          <w:rFonts w:ascii="Times New Roman" w:eastAsia="Calibri" w:hAnsi="Times New Roman" w:cs="Times New Roman" w:hint="default"/>
        </w:rPr>
        <w:t>v mestu Ž</w:t>
      </w:r>
      <w:r w:rsidRPr="00A53EAC" w:rsidR="0008237F">
        <w:rPr>
          <w:rFonts w:ascii="Times New Roman" w:eastAsia="Calibri" w:hAnsi="Times New Roman" w:cs="Times New Roman" w:hint="default"/>
        </w:rPr>
        <w:t>ilina (11 733 </w:t>
      </w:r>
      <w:r w:rsidRPr="00A53EAC">
        <w:rPr>
          <w:rFonts w:ascii="Times New Roman" w:eastAsia="Calibri" w:hAnsi="Times New Roman" w:cs="Times New Roman"/>
        </w:rPr>
        <w:t>tis. eur) a </w:t>
      </w:r>
      <w:r w:rsidRPr="00A53EAC">
        <w:rPr>
          <w:rFonts w:ascii="Times New Roman" w:eastAsia="Calibri" w:hAnsi="Times New Roman" w:cs="Times New Roman" w:hint="default"/>
        </w:rPr>
        <w:t>ostatný</w:t>
      </w:r>
      <w:r w:rsidRPr="00A53EAC">
        <w:rPr>
          <w:rFonts w:ascii="Times New Roman" w:eastAsia="Calibri" w:hAnsi="Times New Roman" w:cs="Times New Roman" w:hint="default"/>
        </w:rPr>
        <w:t>m obciam (3 164 ti</w:t>
      </w:r>
      <w:r w:rsidRPr="00A53EAC">
        <w:rPr>
          <w:rFonts w:ascii="Times New Roman" w:eastAsia="Calibri" w:hAnsi="Times New Roman" w:cs="Times New Roman" w:hint="default"/>
        </w:rPr>
        <w:t>s. eur), pôž</w:t>
      </w:r>
      <w:r w:rsidRPr="00A53EAC">
        <w:rPr>
          <w:rFonts w:ascii="Times New Roman" w:eastAsia="Calibri" w:hAnsi="Times New Roman" w:cs="Times New Roman" w:hint="default"/>
        </w:rPr>
        <w:t>ič</w:t>
      </w:r>
      <w:r w:rsidRPr="00A53EAC">
        <w:rPr>
          <w:rFonts w:ascii="Times New Roman" w:eastAsia="Calibri" w:hAnsi="Times New Roman" w:cs="Times New Roman" w:hint="default"/>
        </w:rPr>
        <w:t>ky Ministerstva pô</w:t>
      </w:r>
      <w:r w:rsidRPr="00A53EAC">
        <w:rPr>
          <w:rFonts w:ascii="Times New Roman" w:eastAsia="Calibri" w:hAnsi="Times New Roman" w:cs="Times New Roman" w:hint="default"/>
        </w:rPr>
        <w:t>dohospodá</w:t>
      </w:r>
      <w:r w:rsidRPr="00A53EAC">
        <w:rPr>
          <w:rFonts w:ascii="Times New Roman" w:eastAsia="Calibri" w:hAnsi="Times New Roman" w:cs="Times New Roman" w:hint="default"/>
        </w:rPr>
        <w:t>rstva a rozvoja vidieka SR Agentú</w:t>
      </w:r>
      <w:r w:rsidRPr="00A53EAC">
        <w:rPr>
          <w:rFonts w:ascii="Times New Roman" w:eastAsia="Calibri" w:hAnsi="Times New Roman" w:cs="Times New Roman" w:hint="default"/>
        </w:rPr>
        <w:t>re pre rozvoj vidieka (610 tis. eur), ná</w:t>
      </w:r>
      <w:r w:rsidRPr="00A53EAC">
        <w:rPr>
          <w:rFonts w:ascii="Times New Roman" w:eastAsia="Calibri" w:hAnsi="Times New Roman" w:cs="Times New Roman" w:hint="default"/>
        </w:rPr>
        <w:t>vratný</w:t>
      </w:r>
      <w:r w:rsidRPr="00A53EAC">
        <w:rPr>
          <w:rFonts w:ascii="Times New Roman" w:eastAsia="Calibri" w:hAnsi="Times New Roman" w:cs="Times New Roman" w:hint="default"/>
        </w:rPr>
        <w:t>ch finanč</w:t>
      </w:r>
      <w:r w:rsidRPr="00A53EAC">
        <w:rPr>
          <w:rFonts w:ascii="Times New Roman" w:eastAsia="Calibri" w:hAnsi="Times New Roman" w:cs="Times New Roman" w:hint="default"/>
        </w:rPr>
        <w:t>ný</w:t>
      </w:r>
      <w:r w:rsidRPr="00A53EAC">
        <w:rPr>
          <w:rFonts w:ascii="Times New Roman" w:eastAsia="Calibri" w:hAnsi="Times New Roman" w:cs="Times New Roman" w:hint="default"/>
        </w:rPr>
        <w:t>ch vý</w:t>
      </w:r>
      <w:r w:rsidRPr="00A53EAC">
        <w:rPr>
          <w:rFonts w:ascii="Times New Roman" w:eastAsia="Calibri" w:hAnsi="Times New Roman" w:cs="Times New Roman" w:hint="default"/>
        </w:rPr>
        <w:t>pomocí</w:t>
      </w:r>
      <w:r w:rsidRPr="00A53EAC">
        <w:rPr>
          <w:rFonts w:ascii="Times New Roman" w:eastAsia="Calibri" w:hAnsi="Times New Roman" w:cs="Times New Roman" w:hint="default"/>
        </w:rPr>
        <w:t xml:space="preserve"> nemocniciam (4 402 tis. </w:t>
      </w:r>
      <w:r w:rsidRPr="00A53EAC">
        <w:rPr>
          <w:rFonts w:ascii="Times New Roman" w:eastAsia="Calibri" w:hAnsi="Times New Roman" w:cs="Times New Roman" w:hint="default"/>
        </w:rPr>
        <w:t>eur), ná</w:t>
      </w:r>
      <w:r w:rsidRPr="00A53EAC">
        <w:rPr>
          <w:rFonts w:ascii="Times New Roman" w:eastAsia="Calibri" w:hAnsi="Times New Roman" w:cs="Times New Roman" w:hint="default"/>
        </w:rPr>
        <w:t>vratný</w:t>
      </w:r>
      <w:r w:rsidRPr="00A53EAC">
        <w:rPr>
          <w:rFonts w:ascii="Times New Roman" w:eastAsia="Calibri" w:hAnsi="Times New Roman" w:cs="Times New Roman" w:hint="default"/>
        </w:rPr>
        <w:t>ch finanč</w:t>
      </w:r>
      <w:r w:rsidRPr="00A53EAC">
        <w:rPr>
          <w:rFonts w:ascii="Times New Roman" w:eastAsia="Calibri" w:hAnsi="Times New Roman" w:cs="Times New Roman" w:hint="default"/>
        </w:rPr>
        <w:t>ný</w:t>
      </w:r>
      <w:r w:rsidRPr="00A53EAC">
        <w:rPr>
          <w:rFonts w:ascii="Times New Roman" w:eastAsia="Calibri" w:hAnsi="Times New Roman" w:cs="Times New Roman" w:hint="default"/>
        </w:rPr>
        <w:t>ch vý</w:t>
      </w:r>
      <w:r w:rsidRPr="00A53EAC">
        <w:rPr>
          <w:rFonts w:ascii="Times New Roman" w:eastAsia="Calibri" w:hAnsi="Times New Roman" w:cs="Times New Roman" w:hint="default"/>
        </w:rPr>
        <w:t>pomocí</w:t>
      </w:r>
      <w:r w:rsidRPr="00A53EAC">
        <w:rPr>
          <w:rFonts w:ascii="Times New Roman" w:eastAsia="Calibri" w:hAnsi="Times New Roman" w:cs="Times New Roman" w:hint="default"/>
        </w:rPr>
        <w:t xml:space="preserve"> prí</w:t>
      </w:r>
      <w:r w:rsidRPr="00A53EAC">
        <w:rPr>
          <w:rFonts w:ascii="Times New Roman" w:eastAsia="Calibri" w:hAnsi="Times New Roman" w:cs="Times New Roman" w:hint="default"/>
        </w:rPr>
        <w:t>spevkový</w:t>
      </w:r>
      <w:r w:rsidRPr="00A53EAC">
        <w:rPr>
          <w:rFonts w:ascii="Times New Roman" w:eastAsia="Calibri" w:hAnsi="Times New Roman" w:cs="Times New Roman" w:hint="default"/>
        </w:rPr>
        <w:t>m organizá</w:t>
      </w:r>
      <w:r w:rsidRPr="00A53EAC">
        <w:rPr>
          <w:rFonts w:ascii="Times New Roman" w:eastAsia="Calibri" w:hAnsi="Times New Roman" w:cs="Times New Roman" w:hint="default"/>
        </w:rPr>
        <w:t>ciá</w:t>
      </w:r>
      <w:r w:rsidRPr="00A53EAC">
        <w:rPr>
          <w:rFonts w:ascii="Times New Roman" w:eastAsia="Calibri" w:hAnsi="Times New Roman" w:cs="Times New Roman" w:hint="default"/>
        </w:rPr>
        <w:t>m obcí</w:t>
      </w:r>
      <w:r w:rsidRPr="00A53EAC">
        <w:rPr>
          <w:rFonts w:ascii="Times New Roman" w:eastAsia="Calibri" w:hAnsi="Times New Roman" w:cs="Times New Roman" w:hint="default"/>
        </w:rPr>
        <w:t xml:space="preserve"> (25 tis. eur), ná</w:t>
      </w:r>
      <w:r w:rsidRPr="00A53EAC">
        <w:rPr>
          <w:rFonts w:ascii="Times New Roman" w:eastAsia="Calibri" w:hAnsi="Times New Roman" w:cs="Times New Roman" w:hint="default"/>
        </w:rPr>
        <w:t>vra</w:t>
      </w:r>
      <w:r w:rsidRPr="00A53EAC">
        <w:rPr>
          <w:rFonts w:ascii="Times New Roman" w:eastAsia="Calibri" w:hAnsi="Times New Roman" w:cs="Times New Roman" w:hint="default"/>
        </w:rPr>
        <w:t>t</w:t>
      </w:r>
      <w:r w:rsidRPr="00A53EAC">
        <w:rPr>
          <w:rFonts w:ascii="Times New Roman" w:eastAsia="Calibri" w:hAnsi="Times New Roman" w:cs="Times New Roman" w:hint="default"/>
        </w:rPr>
        <w:t>nej finanč</w:t>
      </w:r>
      <w:r w:rsidRPr="00A53EAC">
        <w:rPr>
          <w:rFonts w:ascii="Times New Roman" w:eastAsia="Calibri" w:hAnsi="Times New Roman" w:cs="Times New Roman" w:hint="default"/>
        </w:rPr>
        <w:t xml:space="preserve">nej </w:t>
      </w:r>
      <w:r w:rsidR="005B0C7F">
        <w:rPr>
          <w:rFonts w:ascii="Times New Roman" w:eastAsia="Calibri" w:hAnsi="Times New Roman" w:cs="Times New Roman" w:hint="default"/>
        </w:rPr>
        <w:t>vý</w:t>
      </w:r>
      <w:r w:rsidR="005B0C7F">
        <w:rPr>
          <w:rFonts w:ascii="Times New Roman" w:eastAsia="Calibri" w:hAnsi="Times New Roman" w:cs="Times New Roman" w:hint="default"/>
        </w:rPr>
        <w:t>pomoci spoloč</w:t>
      </w:r>
      <w:r w:rsidR="005B0C7F">
        <w:rPr>
          <w:rFonts w:ascii="Times New Roman" w:eastAsia="Calibri" w:hAnsi="Times New Roman" w:cs="Times New Roman" w:hint="default"/>
        </w:rPr>
        <w:t>nosti MH Invest,</w:t>
        <w:br/>
      </w:r>
      <w:r w:rsidRPr="00A53EAC">
        <w:rPr>
          <w:rFonts w:ascii="Times New Roman" w:eastAsia="Calibri" w:hAnsi="Times New Roman" w:cs="Times New Roman" w:hint="default"/>
        </w:rPr>
        <w:t>s. r. o. (2 720 tis. eur) a pôž</w:t>
      </w:r>
      <w:r w:rsidRPr="00A53EAC">
        <w:rPr>
          <w:rFonts w:ascii="Times New Roman" w:eastAsia="Calibri" w:hAnsi="Times New Roman" w:cs="Times New Roman" w:hint="default"/>
        </w:rPr>
        <w:t>ič</w:t>
      </w:r>
      <w:r w:rsidRPr="00A53EAC">
        <w:rPr>
          <w:rFonts w:ascii="Times New Roman" w:eastAsia="Calibri" w:hAnsi="Times New Roman" w:cs="Times New Roman" w:hint="default"/>
        </w:rPr>
        <w:t>iek zo Š</w:t>
      </w:r>
      <w:r w:rsidRPr="00A53EAC">
        <w:rPr>
          <w:rFonts w:ascii="Times New Roman" w:eastAsia="Calibri" w:hAnsi="Times New Roman" w:cs="Times New Roman" w:hint="default"/>
        </w:rPr>
        <w:t>tá</w:t>
      </w:r>
      <w:r w:rsidRPr="00A53EAC">
        <w:rPr>
          <w:rFonts w:ascii="Times New Roman" w:eastAsia="Calibri" w:hAnsi="Times New Roman" w:cs="Times New Roman" w:hint="default"/>
        </w:rPr>
        <w:t>tneho fondu rozvoja bý</w:t>
      </w:r>
      <w:r w:rsidRPr="00A53EAC">
        <w:rPr>
          <w:rFonts w:ascii="Times New Roman" w:eastAsia="Calibri" w:hAnsi="Times New Roman" w:cs="Times New Roman" w:hint="default"/>
        </w:rPr>
        <w:t>vania obciam (626 783 tis. eur).</w:t>
      </w:r>
      <w:bookmarkEnd w:id="24"/>
      <w:bookmarkEnd w:id="25"/>
      <w:bookmarkEnd w:id="26"/>
      <w:bookmarkEnd w:id="27"/>
      <w:bookmarkEnd w:id="28"/>
    </w:p>
    <w:tbl>
      <w:tblPr>
        <w:tblStyle w:val="TableNormal"/>
        <w:tblW w:w="5079" w:type="pct"/>
        <w:tblCellMar>
          <w:left w:w="70" w:type="dxa"/>
          <w:right w:w="70" w:type="dxa"/>
        </w:tblCellMar>
        <w:tblLook w:val="04A0"/>
      </w:tblPr>
      <w:tblGrid>
        <w:gridCol w:w="4671"/>
        <w:gridCol w:w="1220"/>
        <w:gridCol w:w="1220"/>
        <w:gridCol w:w="1220"/>
        <w:gridCol w:w="1026"/>
      </w:tblGrid>
      <w:tr>
        <w:tblPrEx>
          <w:tblW w:w="5079" w:type="pct"/>
          <w:tblCellMar>
            <w:left w:w="70" w:type="dxa"/>
            <w:right w:w="70" w:type="dxa"/>
          </w:tblCellMar>
          <w:tblLook w:val="04A0"/>
        </w:tblPrEx>
        <w:trPr>
          <w:trHeight w:val="255"/>
        </w:trPr>
        <w:tc>
          <w:tcPr>
            <w:tcW w:w="5000" w:type="pct"/>
            <w:gridSpan w:val="5"/>
            <w:tcBorders>
              <w:top w:val="single" w:sz="4" w:space="0" w:color="auto"/>
              <w:left w:val="nil"/>
              <w:bottom w:val="single" w:sz="4" w:space="0" w:color="auto"/>
              <w:right w:val="nil"/>
            </w:tcBorders>
            <w:shd w:val="clear" w:color="000000" w:fill="000000"/>
            <w:noWrap/>
            <w:textDirection w:val="lrTb"/>
            <w:vAlign w:val="center"/>
            <w:hideMark/>
          </w:tcPr>
          <w:p w:rsidR="00963A09" w:rsidRPr="00A53EAC" w:rsidP="00954081">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Dlh verejnej správy podľa jednotlivých subjektov (tis. eur)</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w:t>
            </w:r>
          </w:p>
        </w:tc>
        <w:tc>
          <w:tcPr>
            <w:tcW w:w="652"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k 31.12.2012</w:t>
            </w:r>
          </w:p>
        </w:tc>
        <w:tc>
          <w:tcPr>
            <w:tcW w:w="652"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k 31.12.2013</w:t>
            </w:r>
          </w:p>
        </w:tc>
        <w:tc>
          <w:tcPr>
            <w:tcW w:w="652"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k 31.12.2014</w:t>
            </w:r>
          </w:p>
        </w:tc>
        <w:tc>
          <w:tcPr>
            <w:tcW w:w="548"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Zmena</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w:t>
            </w:r>
          </w:p>
        </w:tc>
        <w:tc>
          <w:tcPr>
            <w:tcW w:w="652"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1</w:t>
            </w:r>
          </w:p>
        </w:tc>
        <w:tc>
          <w:tcPr>
            <w:tcW w:w="652"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2</w:t>
            </w:r>
          </w:p>
        </w:tc>
        <w:tc>
          <w:tcPr>
            <w:tcW w:w="652"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3</w:t>
            </w:r>
          </w:p>
        </w:tc>
        <w:tc>
          <w:tcPr>
            <w:tcW w:w="548" w:type="pct"/>
            <w:tcBorders>
              <w:top w:val="nil"/>
              <w:left w:val="nil"/>
              <w:bottom w:val="nil"/>
              <w:right w:val="nil"/>
            </w:tcBorders>
            <w:shd w:val="clear" w:color="000000" w:fill="BFBFBF"/>
            <w:noWrap/>
            <w:textDirection w:val="lrTb"/>
            <w:vAlign w:val="bottom"/>
            <w:hideMark/>
          </w:tcPr>
          <w:p w:rsidR="00963A09" w:rsidRPr="00A53EAC" w:rsidP="00954081">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4=(3-2)</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 xml:space="preserve">Ústredné rozpočtové organizácie  </w:t>
            </w:r>
            <w:r w:rsidRPr="00A53EAC">
              <w:rPr>
                <w:rFonts w:ascii="Times New Roman" w:hAnsi="Times New Roman" w:cs="Times New Roman"/>
                <w:sz w:val="20"/>
                <w:szCs w:val="20"/>
                <w:vertAlign w:val="superscript"/>
                <w:lang w:eastAsia="sk-SK"/>
              </w:rPr>
              <w:t>1)</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35 936 462</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38 642 551</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39 288 509</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645 958</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Fond národného majetku SR</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15 693</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15 543</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15 415</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-128</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Verejné vysoké školy</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Rozhlas a televízia Slovenska</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36</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Príspevkové organizácie štátne</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1 256</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1 091</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1 038</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-53</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center"/>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Neziskové organizácie štátu</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center"/>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Železnice Slovenskej republiky</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194 188</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63 685</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63 074</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-611</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center"/>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Národná diaľničná spoločnosť</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371 776</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394 633</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340 751</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-53 882</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center"/>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Agentúra pre núdzové zásoby ropy a ropných výrobkov</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520 000</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520 000</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center"/>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Exportno-importná banka Slovenskej republiky</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1 700</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76 172</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87 381</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11 209</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center"/>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Dopravné podniky</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84 731</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84 731</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center"/>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Nemocnice</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35 950</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36 473</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28 012</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-8 461</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Vyššie územné celky</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423 381</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401 982</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363 586</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-38 396</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Príspevkové organizácie VÚC</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82</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32</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12</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-20</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Obce</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1 258 627</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1 233 831</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1 236 742</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2 911</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Príspevkové organizácie obcí</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1 228</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906</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661</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-245</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Neziskové organizácie obcí</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34</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47</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-47</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Ostatné subjekty verejnej správy</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8 517</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8 517</w:t>
            </w:r>
          </w:p>
        </w:tc>
      </w:tr>
      <w:tr>
        <w:tblPrEx>
          <w:tblW w:w="5079" w:type="pct"/>
          <w:tblCellMar>
            <w:left w:w="70" w:type="dxa"/>
            <w:right w:w="70" w:type="dxa"/>
          </w:tblCellMar>
          <w:tblLook w:val="04A0"/>
        </w:tblPrEx>
        <w:trPr>
          <w:trHeight w:val="255"/>
        </w:trPr>
        <w:tc>
          <w:tcPr>
            <w:tcW w:w="2496" w:type="pct"/>
            <w:tcBorders>
              <w:top w:val="nil"/>
              <w:left w:val="nil"/>
              <w:bottom w:val="nil"/>
              <w:right w:val="nil"/>
            </w:tcBorders>
            <w:noWrap/>
            <w:textDirection w:val="lrTb"/>
            <w:vAlign w:val="bottom"/>
            <w:hideMark/>
          </w:tcPr>
          <w:p w:rsidR="00963A09" w:rsidRPr="00A53EAC" w:rsidP="00954081">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Verejná správa spolu</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38 240 416</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41 386 949</w:t>
            </w:r>
          </w:p>
        </w:tc>
        <w:tc>
          <w:tcPr>
            <w:tcW w:w="652"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42 038 432</w:t>
            </w:r>
          </w:p>
        </w:tc>
        <w:tc>
          <w:tcPr>
            <w:tcW w:w="548" w:type="pct"/>
            <w:tcBorders>
              <w:top w:val="nil"/>
              <w:left w:val="nil"/>
              <w:bottom w:val="nil"/>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651 483</w:t>
            </w:r>
          </w:p>
        </w:tc>
      </w:tr>
      <w:tr>
        <w:tblPrEx>
          <w:tblW w:w="5079" w:type="pct"/>
          <w:tblCellMar>
            <w:left w:w="70" w:type="dxa"/>
            <w:right w:w="70" w:type="dxa"/>
          </w:tblCellMar>
          <w:tblLook w:val="04A0"/>
        </w:tblPrEx>
        <w:trPr>
          <w:trHeight w:val="255"/>
        </w:trPr>
        <w:tc>
          <w:tcPr>
            <w:tcW w:w="2496" w:type="pct"/>
            <w:tcBorders>
              <w:top w:val="nil"/>
              <w:left w:val="nil"/>
              <w:bottom w:val="single" w:sz="4" w:space="0" w:color="auto"/>
              <w:right w:val="nil"/>
            </w:tcBorders>
            <w:noWrap/>
            <w:textDirection w:val="lrTb"/>
            <w:vAlign w:val="bottom"/>
            <w:hideMark/>
          </w:tcPr>
          <w:p w:rsidR="00963A09"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 xml:space="preserve">Konsolidácia </w:t>
            </w:r>
            <w:r w:rsidRPr="00A53EAC">
              <w:rPr>
                <w:rFonts w:ascii="Times New Roman" w:hAnsi="Times New Roman" w:cs="Times New Roman"/>
                <w:sz w:val="20"/>
                <w:szCs w:val="20"/>
                <w:vertAlign w:val="superscript"/>
                <w:lang w:eastAsia="sk-SK"/>
              </w:rPr>
              <w:t xml:space="preserve"> 2)</w:t>
            </w:r>
          </w:p>
        </w:tc>
        <w:tc>
          <w:tcPr>
            <w:tcW w:w="652" w:type="pct"/>
            <w:tcBorders>
              <w:top w:val="nil"/>
              <w:left w:val="nil"/>
              <w:bottom w:val="single" w:sz="4" w:space="0" w:color="auto"/>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626 752</w:t>
            </w:r>
          </w:p>
        </w:tc>
        <w:tc>
          <w:tcPr>
            <w:tcW w:w="652" w:type="pct"/>
            <w:tcBorders>
              <w:top w:val="nil"/>
              <w:left w:val="nil"/>
              <w:bottom w:val="single" w:sz="4" w:space="0" w:color="auto"/>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1 102 658</w:t>
            </w:r>
          </w:p>
        </w:tc>
        <w:tc>
          <w:tcPr>
            <w:tcW w:w="652" w:type="pct"/>
            <w:tcBorders>
              <w:top w:val="nil"/>
              <w:left w:val="nil"/>
              <w:bottom w:val="single" w:sz="4" w:space="0" w:color="auto"/>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1 634 645</w:t>
            </w:r>
          </w:p>
        </w:tc>
        <w:tc>
          <w:tcPr>
            <w:tcW w:w="548" w:type="pct"/>
            <w:tcBorders>
              <w:top w:val="nil"/>
              <w:left w:val="nil"/>
              <w:bottom w:val="single" w:sz="4" w:space="0" w:color="auto"/>
              <w:right w:val="nil"/>
            </w:tcBorders>
            <w:noWrap/>
            <w:textDirection w:val="lrTb"/>
            <w:vAlign w:val="bottom"/>
            <w:hideMark/>
          </w:tcPr>
          <w:p w:rsidR="00963A09"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531 987</w:t>
            </w:r>
          </w:p>
        </w:tc>
      </w:tr>
      <w:tr>
        <w:tblPrEx>
          <w:tblW w:w="5079" w:type="pct"/>
          <w:tblCellMar>
            <w:left w:w="70" w:type="dxa"/>
            <w:right w:w="70" w:type="dxa"/>
          </w:tblCellMar>
          <w:tblLook w:val="04A0"/>
        </w:tblPrEx>
        <w:trPr>
          <w:trHeight w:val="255"/>
        </w:trPr>
        <w:tc>
          <w:tcPr>
            <w:tcW w:w="2496" w:type="pct"/>
            <w:tcBorders>
              <w:top w:val="single" w:sz="4" w:space="0" w:color="auto"/>
              <w:left w:val="nil"/>
              <w:bottom w:val="none" w:sz="0" w:space="0" w:color="auto"/>
              <w:right w:val="nil"/>
            </w:tcBorders>
            <w:shd w:val="clear" w:color="000000" w:fill="BFBFBF"/>
            <w:noWrap/>
            <w:textDirection w:val="lrTb"/>
            <w:vAlign w:val="bottom"/>
            <w:hideMark/>
          </w:tcPr>
          <w:p w:rsidR="00963A09" w:rsidRPr="00A53EAC" w:rsidP="00954081">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Verejná správa spolu konsolidovaná</w:t>
            </w:r>
          </w:p>
        </w:tc>
        <w:tc>
          <w:tcPr>
            <w:tcW w:w="652" w:type="pct"/>
            <w:tcBorders>
              <w:top w:val="single" w:sz="4" w:space="0" w:color="auto"/>
              <w:left w:val="nil"/>
              <w:bottom w:val="none" w:sz="0" w:space="0" w:color="auto"/>
              <w:right w:val="nil"/>
            </w:tcBorders>
            <w:shd w:val="clear" w:color="000000" w:fill="BFBFBF"/>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37 613 664</w:t>
            </w:r>
          </w:p>
        </w:tc>
        <w:tc>
          <w:tcPr>
            <w:tcW w:w="652" w:type="pct"/>
            <w:tcBorders>
              <w:top w:val="single" w:sz="4" w:space="0" w:color="auto"/>
              <w:left w:val="nil"/>
              <w:bottom w:val="none" w:sz="0" w:space="0" w:color="auto"/>
              <w:right w:val="nil"/>
            </w:tcBorders>
            <w:shd w:val="clear" w:color="000000" w:fill="BFBFBF"/>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40 284 291</w:t>
            </w:r>
          </w:p>
        </w:tc>
        <w:tc>
          <w:tcPr>
            <w:tcW w:w="652" w:type="pct"/>
            <w:tcBorders>
              <w:top w:val="single" w:sz="4" w:space="0" w:color="auto"/>
              <w:left w:val="nil"/>
              <w:bottom w:val="none" w:sz="0" w:space="0" w:color="auto"/>
              <w:right w:val="nil"/>
            </w:tcBorders>
            <w:shd w:val="clear" w:color="000000" w:fill="BFBFBF"/>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40 403 787</w:t>
            </w:r>
          </w:p>
        </w:tc>
        <w:tc>
          <w:tcPr>
            <w:tcW w:w="548" w:type="pct"/>
            <w:tcBorders>
              <w:top w:val="single" w:sz="4" w:space="0" w:color="auto"/>
              <w:left w:val="nil"/>
              <w:bottom w:val="none" w:sz="0" w:space="0" w:color="auto"/>
              <w:right w:val="nil"/>
            </w:tcBorders>
            <w:shd w:val="clear" w:color="000000" w:fill="BFBFBF"/>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119 496</w:t>
            </w:r>
          </w:p>
        </w:tc>
      </w:tr>
      <w:tr>
        <w:tblPrEx>
          <w:tblW w:w="5079" w:type="pct"/>
          <w:tblCellMar>
            <w:left w:w="70" w:type="dxa"/>
            <w:right w:w="70" w:type="dxa"/>
          </w:tblCellMar>
          <w:tblLook w:val="04A0"/>
        </w:tblPrEx>
        <w:trPr>
          <w:trHeight w:val="255"/>
        </w:trPr>
        <w:tc>
          <w:tcPr>
            <w:tcW w:w="2496" w:type="pct"/>
            <w:tcBorders>
              <w:top w:val="none" w:sz="0" w:space="0" w:color="auto"/>
              <w:left w:val="nil"/>
              <w:bottom w:val="single" w:sz="4" w:space="0" w:color="auto"/>
              <w:right w:val="nil"/>
            </w:tcBorders>
            <w:shd w:val="clear" w:color="000000" w:fill="BFBFBF"/>
            <w:noWrap/>
            <w:textDirection w:val="lrTb"/>
            <w:vAlign w:val="bottom"/>
            <w:hideMark/>
          </w:tcPr>
          <w:p w:rsidR="00963A09" w:rsidRPr="00A53EAC" w:rsidP="00954081">
            <w:pPr>
              <w:bidi w:val="0"/>
              <w:spacing w:after="0" w:line="240" w:lineRule="auto"/>
              <w:ind w:firstLine="400" w:firstLineChars="200"/>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v % HDP</w:t>
            </w:r>
          </w:p>
        </w:tc>
        <w:tc>
          <w:tcPr>
            <w:tcW w:w="652" w:type="pct"/>
            <w:tcBorders>
              <w:top w:val="none" w:sz="0" w:space="0" w:color="auto"/>
              <w:left w:val="nil"/>
              <w:bottom w:val="single" w:sz="4" w:space="0" w:color="auto"/>
              <w:right w:val="nil"/>
            </w:tcBorders>
            <w:shd w:val="clear" w:color="000000" w:fill="BFBFBF"/>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51,9</w:t>
            </w:r>
          </w:p>
        </w:tc>
        <w:tc>
          <w:tcPr>
            <w:tcW w:w="652" w:type="pct"/>
            <w:tcBorders>
              <w:top w:val="none" w:sz="0" w:space="0" w:color="auto"/>
              <w:left w:val="nil"/>
              <w:bottom w:val="single" w:sz="4" w:space="0" w:color="auto"/>
              <w:right w:val="nil"/>
            </w:tcBorders>
            <w:shd w:val="clear" w:color="000000" w:fill="BFBFBF"/>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54,6</w:t>
            </w:r>
          </w:p>
        </w:tc>
        <w:tc>
          <w:tcPr>
            <w:tcW w:w="652" w:type="pct"/>
            <w:tcBorders>
              <w:top w:val="none" w:sz="0" w:space="0" w:color="auto"/>
              <w:left w:val="nil"/>
              <w:bottom w:val="single" w:sz="4" w:space="0" w:color="auto"/>
              <w:right w:val="nil"/>
            </w:tcBorders>
            <w:shd w:val="clear" w:color="000000" w:fill="BFBFBF"/>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53,5</w:t>
            </w:r>
          </w:p>
        </w:tc>
        <w:tc>
          <w:tcPr>
            <w:tcW w:w="548" w:type="pct"/>
            <w:tcBorders>
              <w:top w:val="none" w:sz="0" w:space="0" w:color="auto"/>
              <w:left w:val="nil"/>
              <w:bottom w:val="single" w:sz="4" w:space="0" w:color="auto"/>
              <w:right w:val="nil"/>
            </w:tcBorders>
            <w:shd w:val="clear" w:color="000000" w:fill="BFBFBF"/>
            <w:noWrap/>
            <w:textDirection w:val="lrTb"/>
            <w:vAlign w:val="bottom"/>
            <w:hideMark/>
          </w:tcPr>
          <w:p w:rsidR="00963A09"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-1,1</w:t>
            </w:r>
          </w:p>
        </w:tc>
      </w:tr>
    </w:tbl>
    <w:p w:rsidR="003B78F1" w:rsidRPr="00A53EAC" w:rsidP="00963A09">
      <w:pPr>
        <w:bidi w:val="0"/>
        <w:spacing w:before="240" w:after="120" w:line="336" w:lineRule="auto"/>
        <w:jc w:val="both"/>
        <w:rPr>
          <w:rFonts w:ascii="Times New Roman" w:eastAsia="Calibri" w:hAnsi="Times New Roman" w:cs="Times New Roman" w:hint="default"/>
        </w:rPr>
      </w:pPr>
      <w:r w:rsidRPr="00A53EAC">
        <w:rPr>
          <w:rFonts w:ascii="Times New Roman" w:eastAsia="Calibri" w:hAnsi="Times New Roman" w:cs="Times New Roman" w:hint="default"/>
          <w:b/>
        </w:rPr>
        <w:t>Dlh verejnej sprá</w:t>
      </w:r>
      <w:r w:rsidRPr="00A53EAC">
        <w:rPr>
          <w:rFonts w:ascii="Times New Roman" w:eastAsia="Calibri" w:hAnsi="Times New Roman" w:cs="Times New Roman" w:hint="default"/>
          <w:b/>
        </w:rPr>
        <w:t>vy sa v </w:t>
      </w:r>
      <w:r w:rsidRPr="00A53EAC">
        <w:rPr>
          <w:rFonts w:ascii="Times New Roman" w:eastAsia="Calibri" w:hAnsi="Times New Roman" w:cs="Times New Roman" w:hint="default"/>
          <w:b/>
        </w:rPr>
        <w:t>roku 2014 oproti roku 2013 zvýš</w:t>
      </w:r>
      <w:r w:rsidRPr="00A53EAC">
        <w:rPr>
          <w:rFonts w:ascii="Times New Roman" w:eastAsia="Calibri" w:hAnsi="Times New Roman" w:cs="Times New Roman" w:hint="default"/>
          <w:b/>
        </w:rPr>
        <w:t>il o </w:t>
      </w:r>
      <w:r w:rsidRPr="00A53EAC">
        <w:rPr>
          <w:rFonts w:ascii="Times New Roman" w:eastAsia="Calibri" w:hAnsi="Times New Roman" w:cs="Times New Roman"/>
          <w:b/>
          <w:bCs/>
        </w:rPr>
        <w:t xml:space="preserve">651 483 </w:t>
      </w:r>
      <w:r w:rsidRPr="00A53EAC">
        <w:rPr>
          <w:rFonts w:ascii="Times New Roman" w:eastAsia="Calibri" w:hAnsi="Times New Roman" w:cs="Times New Roman" w:hint="default"/>
          <w:b/>
        </w:rPr>
        <w:t>tis. eur, č</w:t>
      </w:r>
      <w:r w:rsidRPr="00A53EAC">
        <w:rPr>
          <w:rFonts w:ascii="Times New Roman" w:eastAsia="Calibri" w:hAnsi="Times New Roman" w:cs="Times New Roman" w:hint="default"/>
          <w:b/>
        </w:rPr>
        <w:t>o</w:t>
      </w:r>
      <w:r w:rsidR="009A4C5C">
        <w:rPr>
          <w:rFonts w:ascii="Times New Roman" w:eastAsia="Calibri" w:hAnsi="Times New Roman" w:cs="Times New Roman" w:hint="default"/>
          <w:b/>
        </w:rPr>
        <w:t xml:space="preserve"> vš</w:t>
      </w:r>
      <w:r w:rsidR="009A4C5C">
        <w:rPr>
          <w:rFonts w:ascii="Times New Roman" w:eastAsia="Calibri" w:hAnsi="Times New Roman" w:cs="Times New Roman" w:hint="default"/>
          <w:b/>
        </w:rPr>
        <w:t>ak</w:t>
      </w:r>
      <w:r w:rsidRPr="00A53EAC">
        <w:rPr>
          <w:rFonts w:ascii="Times New Roman" w:eastAsia="Calibri" w:hAnsi="Times New Roman" w:cs="Times New Roman" w:hint="default"/>
          <w:b/>
        </w:rPr>
        <w:t xml:space="preserve"> zodpovedá</w:t>
      </w:r>
      <w:r w:rsidRPr="00A53EAC">
        <w:rPr>
          <w:rFonts w:ascii="Times New Roman" w:eastAsia="Calibri" w:hAnsi="Times New Roman" w:cs="Times New Roman" w:hint="default"/>
          <w:b/>
        </w:rPr>
        <w:t xml:space="preserve"> poklesu jeho podielu na HDP o 1,1 p. b.</w:t>
      </w:r>
      <w:r w:rsidRPr="00A53EAC">
        <w:rPr>
          <w:rFonts w:ascii="Times New Roman" w:eastAsia="Calibri" w:hAnsi="Times New Roman" w:cs="Times New Roman"/>
        </w:rPr>
        <w:t xml:space="preserve"> </w:t>
      </w:r>
      <w:r w:rsidR="00C06207">
        <w:rPr>
          <w:rFonts w:ascii="Times New Roman" w:eastAsia="Calibri" w:hAnsi="Times New Roman" w:cs="Times New Roman"/>
        </w:rPr>
        <w:t>N</w:t>
      </w:r>
      <w:r w:rsidRPr="00C06207" w:rsidR="00C06207">
        <w:rPr>
          <w:rFonts w:ascii="Times New Roman" w:eastAsia="Calibri" w:hAnsi="Times New Roman" w:cs="Times New Roman" w:hint="default"/>
        </w:rPr>
        <w:t>a konsolidovanej bá</w:t>
      </w:r>
      <w:r w:rsidRPr="00C06207" w:rsidR="00C06207">
        <w:rPr>
          <w:rFonts w:ascii="Times New Roman" w:eastAsia="Calibri" w:hAnsi="Times New Roman" w:cs="Times New Roman" w:hint="default"/>
        </w:rPr>
        <w:t>ze doš</w:t>
      </w:r>
      <w:r w:rsidRPr="00C06207" w:rsidR="00C06207">
        <w:rPr>
          <w:rFonts w:ascii="Times New Roman" w:eastAsia="Calibri" w:hAnsi="Times New Roman" w:cs="Times New Roman" w:hint="default"/>
        </w:rPr>
        <w:t>lo v roku 2014 v absolú</w:t>
      </w:r>
      <w:r w:rsidRPr="00C06207" w:rsidR="00C06207">
        <w:rPr>
          <w:rFonts w:ascii="Times New Roman" w:eastAsia="Calibri" w:hAnsi="Times New Roman" w:cs="Times New Roman" w:hint="default"/>
        </w:rPr>
        <w:t>tnom vyjadrení</w:t>
      </w:r>
      <w:r w:rsidRPr="00C06207" w:rsidR="00C06207">
        <w:rPr>
          <w:rFonts w:ascii="Times New Roman" w:eastAsia="Calibri" w:hAnsi="Times New Roman" w:cs="Times New Roman" w:hint="default"/>
        </w:rPr>
        <w:t xml:space="preserve"> k jedné</w:t>
      </w:r>
      <w:r w:rsidRPr="00C06207" w:rsidR="00C06207">
        <w:rPr>
          <w:rFonts w:ascii="Times New Roman" w:eastAsia="Calibri" w:hAnsi="Times New Roman" w:cs="Times New Roman" w:hint="default"/>
        </w:rPr>
        <w:t>mu z najnižší</w:t>
      </w:r>
      <w:r w:rsidRPr="00C06207" w:rsidR="00C06207">
        <w:rPr>
          <w:rFonts w:ascii="Times New Roman" w:eastAsia="Calibri" w:hAnsi="Times New Roman" w:cs="Times New Roman" w:hint="default"/>
        </w:rPr>
        <w:t>ch prí</w:t>
      </w:r>
      <w:r w:rsidRPr="00C06207" w:rsidR="00C06207">
        <w:rPr>
          <w:rFonts w:ascii="Times New Roman" w:eastAsia="Calibri" w:hAnsi="Times New Roman" w:cs="Times New Roman" w:hint="default"/>
        </w:rPr>
        <w:t>rastkov verejné</w:t>
      </w:r>
      <w:r w:rsidRPr="00C06207" w:rsidR="00C06207">
        <w:rPr>
          <w:rFonts w:ascii="Times New Roman" w:eastAsia="Calibri" w:hAnsi="Times New Roman" w:cs="Times New Roman" w:hint="default"/>
        </w:rPr>
        <w:t>ho dlhu v histó</w:t>
      </w:r>
      <w:r w:rsidRPr="00C06207" w:rsidR="00C06207">
        <w:rPr>
          <w:rFonts w:ascii="Times New Roman" w:eastAsia="Calibri" w:hAnsi="Times New Roman" w:cs="Times New Roman" w:hint="default"/>
        </w:rPr>
        <w:t>rii SR v objeme 119 496 tis. eur.</w:t>
      </w:r>
      <w:r w:rsidR="00C06207">
        <w:rPr>
          <w:rFonts w:ascii="Times New Roman" w:eastAsia="Calibri" w:hAnsi="Times New Roman" w:cs="Times New Roman"/>
        </w:rPr>
        <w:t xml:space="preserve"> </w:t>
      </w:r>
      <w:r w:rsidRPr="00A53EAC">
        <w:rPr>
          <w:rFonts w:ascii="Times New Roman" w:eastAsia="Calibri" w:hAnsi="Times New Roman" w:cs="Times New Roman"/>
        </w:rPr>
        <w:t>V roku 2014 prispel k </w:t>
      </w:r>
      <w:r w:rsidRPr="00A53EAC">
        <w:rPr>
          <w:rFonts w:ascii="Times New Roman" w:eastAsia="Calibri" w:hAnsi="Times New Roman" w:cs="Times New Roman" w:hint="default"/>
        </w:rPr>
        <w:t>ná</w:t>
      </w:r>
      <w:r w:rsidRPr="00A53EAC">
        <w:rPr>
          <w:rFonts w:ascii="Times New Roman" w:eastAsia="Calibri" w:hAnsi="Times New Roman" w:cs="Times New Roman" w:hint="default"/>
        </w:rPr>
        <w:t>rastu dlhu najviac hotovost</w:t>
      </w:r>
      <w:r w:rsidRPr="00A53EAC">
        <w:rPr>
          <w:rFonts w:ascii="Times New Roman" w:eastAsia="Calibri" w:hAnsi="Times New Roman" w:cs="Times New Roman" w:hint="default"/>
        </w:rPr>
        <w:t>ný</w:t>
      </w:r>
      <w:r w:rsidRPr="00A53EAC">
        <w:rPr>
          <w:rFonts w:ascii="Times New Roman" w:eastAsia="Calibri" w:hAnsi="Times New Roman" w:cs="Times New Roman" w:hint="default"/>
        </w:rPr>
        <w:t xml:space="preserve"> schodok š</w:t>
      </w:r>
      <w:r w:rsidRPr="00A53EAC">
        <w:rPr>
          <w:rFonts w:ascii="Times New Roman" w:eastAsia="Calibri" w:hAnsi="Times New Roman" w:cs="Times New Roman" w:hint="default"/>
        </w:rPr>
        <w:t>tá</w:t>
      </w:r>
      <w:r w:rsidRPr="00A53EAC">
        <w:rPr>
          <w:rFonts w:ascii="Times New Roman" w:eastAsia="Calibri" w:hAnsi="Times New Roman" w:cs="Times New Roman" w:hint="default"/>
        </w:rPr>
        <w:t>tneho rozpoč</w:t>
      </w:r>
      <w:r w:rsidRPr="00A53EAC">
        <w:rPr>
          <w:rFonts w:ascii="Times New Roman" w:eastAsia="Calibri" w:hAnsi="Times New Roman" w:cs="Times New Roman" w:hint="default"/>
        </w:rPr>
        <w:t>tu vo výš</w:t>
      </w:r>
      <w:r w:rsidRPr="00A53EAC">
        <w:rPr>
          <w:rFonts w:ascii="Times New Roman" w:eastAsia="Calibri" w:hAnsi="Times New Roman" w:cs="Times New Roman" w:hint="default"/>
        </w:rPr>
        <w:t>ke 2 923 371 tis. eur (3,9 % HDP).</w:t>
      </w:r>
    </w:p>
    <w:p w:rsidR="00AE2FCA" w:rsidRPr="00A53EAC" w:rsidP="00AE2FCA">
      <w:pPr>
        <w:bidi w:val="0"/>
        <w:spacing w:before="240" w:after="120" w:line="336" w:lineRule="auto"/>
        <w:jc w:val="both"/>
        <w:rPr>
          <w:rFonts w:ascii="Times New Roman" w:eastAsia="Calibri" w:hAnsi="Times New Roman" w:cs="Times New Roman"/>
        </w:rPr>
      </w:pPr>
      <w:r w:rsidRPr="00A53EAC">
        <w:rPr>
          <w:rFonts w:ascii="Times New Roman" w:eastAsia="Calibri" w:hAnsi="Times New Roman" w:cs="Times New Roman" w:hint="default"/>
        </w:rPr>
        <w:t>Zá</w:t>
      </w:r>
      <w:r w:rsidRPr="00A53EAC">
        <w:rPr>
          <w:rFonts w:ascii="Times New Roman" w:eastAsia="Calibri" w:hAnsi="Times New Roman" w:cs="Times New Roman" w:hint="default"/>
        </w:rPr>
        <w:t>vä</w:t>
      </w:r>
      <w:r w:rsidRPr="00A53EAC">
        <w:rPr>
          <w:rFonts w:ascii="Times New Roman" w:eastAsia="Calibri" w:hAnsi="Times New Roman" w:cs="Times New Roman" w:hint="default"/>
        </w:rPr>
        <w:t>zky Slovenskej republiky vyplý</w:t>
      </w:r>
      <w:r w:rsidRPr="00A53EAC">
        <w:rPr>
          <w:rFonts w:ascii="Times New Roman" w:eastAsia="Calibri" w:hAnsi="Times New Roman" w:cs="Times New Roman" w:hint="default"/>
        </w:rPr>
        <w:t>vajú</w:t>
      </w:r>
      <w:r w:rsidRPr="00A53EAC">
        <w:rPr>
          <w:rFonts w:ascii="Times New Roman" w:eastAsia="Calibri" w:hAnsi="Times New Roman" w:cs="Times New Roman" w:hint="default"/>
        </w:rPr>
        <w:t>ce z </w:t>
      </w:r>
      <w:r w:rsidRPr="00A53EAC">
        <w:rPr>
          <w:rFonts w:ascii="Times New Roman" w:eastAsia="Calibri" w:hAnsi="Times New Roman" w:cs="Times New Roman" w:hint="default"/>
        </w:rPr>
        <w:t>úč</w:t>
      </w:r>
      <w:r w:rsidRPr="00A53EAC">
        <w:rPr>
          <w:rFonts w:ascii="Times New Roman" w:eastAsia="Calibri" w:hAnsi="Times New Roman" w:cs="Times New Roman" w:hint="default"/>
        </w:rPr>
        <w:t>asti na zá</w:t>
      </w:r>
      <w:r w:rsidRPr="00A53EAC">
        <w:rPr>
          <w:rFonts w:ascii="Times New Roman" w:eastAsia="Calibri" w:hAnsi="Times New Roman" w:cs="Times New Roman" w:hint="default"/>
        </w:rPr>
        <w:t>chranný</w:t>
      </w:r>
      <w:r w:rsidRPr="00A53EAC">
        <w:rPr>
          <w:rFonts w:ascii="Times New Roman" w:eastAsia="Calibri" w:hAnsi="Times New Roman" w:cs="Times New Roman" w:hint="default"/>
        </w:rPr>
        <w:t>ch finanč</w:t>
      </w:r>
      <w:r w:rsidRPr="00A53EAC">
        <w:rPr>
          <w:rFonts w:ascii="Times New Roman" w:eastAsia="Calibri" w:hAnsi="Times New Roman" w:cs="Times New Roman" w:hint="default"/>
        </w:rPr>
        <w:t>ný</w:t>
      </w:r>
      <w:r w:rsidRPr="00A53EAC">
        <w:rPr>
          <w:rFonts w:ascii="Times New Roman" w:eastAsia="Calibri" w:hAnsi="Times New Roman" w:cs="Times New Roman" w:hint="default"/>
        </w:rPr>
        <w:t>ch mechanizmoch eurozó</w:t>
      </w:r>
      <w:r w:rsidRPr="00A53EAC">
        <w:rPr>
          <w:rFonts w:ascii="Times New Roman" w:eastAsia="Calibri" w:hAnsi="Times New Roman" w:cs="Times New Roman" w:hint="default"/>
        </w:rPr>
        <w:t>ny prispeli k </w:t>
      </w:r>
      <w:r w:rsidRPr="00A53EAC">
        <w:rPr>
          <w:rFonts w:ascii="Times New Roman" w:eastAsia="Calibri" w:hAnsi="Times New Roman" w:cs="Times New Roman" w:hint="default"/>
        </w:rPr>
        <w:t>ná</w:t>
      </w:r>
      <w:r w:rsidRPr="00A53EAC">
        <w:rPr>
          <w:rFonts w:ascii="Times New Roman" w:eastAsia="Calibri" w:hAnsi="Times New Roman" w:cs="Times New Roman" w:hint="default"/>
        </w:rPr>
        <w:t>rastu dlhu v sú</w:t>
      </w:r>
      <w:r w:rsidRPr="00A53EAC">
        <w:rPr>
          <w:rFonts w:ascii="Times New Roman" w:eastAsia="Calibri" w:hAnsi="Times New Roman" w:cs="Times New Roman" w:hint="default"/>
        </w:rPr>
        <w:t>hrnnej výš</w:t>
      </w:r>
      <w:r w:rsidRPr="00A53EAC">
        <w:rPr>
          <w:rFonts w:ascii="Times New Roman" w:eastAsia="Calibri" w:hAnsi="Times New Roman" w:cs="Times New Roman" w:hint="default"/>
        </w:rPr>
        <w:t xml:space="preserve">ke 234 044 tis. eur (0,3 % HDP). Podiel Slovenska </w:t>
      </w:r>
      <w:r w:rsidRPr="00A53EAC">
        <w:rPr>
          <w:rFonts w:ascii="Times New Roman" w:eastAsia="Calibri" w:hAnsi="Times New Roman" w:cs="Times New Roman" w:hint="default"/>
        </w:rPr>
        <w:t>na pôž</w:t>
      </w:r>
      <w:r w:rsidRPr="00A53EAC">
        <w:rPr>
          <w:rFonts w:ascii="Times New Roman" w:eastAsia="Calibri" w:hAnsi="Times New Roman" w:cs="Times New Roman" w:hint="default"/>
        </w:rPr>
        <w:t>ič</w:t>
      </w:r>
      <w:r w:rsidRPr="00A53EAC">
        <w:rPr>
          <w:rFonts w:ascii="Times New Roman" w:eastAsia="Calibri" w:hAnsi="Times New Roman" w:cs="Times New Roman" w:hint="default"/>
        </w:rPr>
        <w:t>ká</w:t>
      </w:r>
      <w:r w:rsidRPr="00A53EAC">
        <w:rPr>
          <w:rFonts w:ascii="Times New Roman" w:eastAsia="Calibri" w:hAnsi="Times New Roman" w:cs="Times New Roman" w:hint="default"/>
        </w:rPr>
        <w:t>ch Euró</w:t>
      </w:r>
      <w:r w:rsidRPr="00A53EAC">
        <w:rPr>
          <w:rFonts w:ascii="Times New Roman" w:eastAsia="Calibri" w:hAnsi="Times New Roman" w:cs="Times New Roman" w:hint="default"/>
        </w:rPr>
        <w:t>pskeho ná</w:t>
      </w:r>
      <w:r w:rsidRPr="00A53EAC">
        <w:rPr>
          <w:rFonts w:ascii="Times New Roman" w:eastAsia="Calibri" w:hAnsi="Times New Roman" w:cs="Times New Roman" w:hint="default"/>
        </w:rPr>
        <w:t>stroja finanč</w:t>
      </w:r>
      <w:r w:rsidRPr="00A53EAC">
        <w:rPr>
          <w:rFonts w:ascii="Times New Roman" w:eastAsia="Calibri" w:hAnsi="Times New Roman" w:cs="Times New Roman" w:hint="default"/>
        </w:rPr>
        <w:t>nej stability (EFSF) vzrá</w:t>
      </w:r>
      <w:r w:rsidRPr="00A53EAC">
        <w:rPr>
          <w:rFonts w:ascii="Times New Roman" w:eastAsia="Calibri" w:hAnsi="Times New Roman" w:cs="Times New Roman" w:hint="default"/>
        </w:rPr>
        <w:t>stol v roku 2014 o 102 204 </w:t>
      </w:r>
      <w:r w:rsidRPr="00A53EAC">
        <w:rPr>
          <w:rFonts w:ascii="Times New Roman" w:eastAsia="Calibri" w:hAnsi="Times New Roman" w:cs="Times New Roman" w:hint="default"/>
        </w:rPr>
        <w:t>tis. eur a bol spô</w:t>
      </w:r>
      <w:r w:rsidRPr="00A53EAC">
        <w:rPr>
          <w:rFonts w:ascii="Times New Roman" w:eastAsia="Calibri" w:hAnsi="Times New Roman" w:cs="Times New Roman" w:hint="default"/>
        </w:rPr>
        <w:t>sobený</w:t>
      </w:r>
      <w:r w:rsidRPr="00A53EAC">
        <w:rPr>
          <w:rFonts w:ascii="Times New Roman" w:eastAsia="Calibri" w:hAnsi="Times New Roman" w:cs="Times New Roman" w:hint="default"/>
        </w:rPr>
        <w:t xml:space="preserve"> poskytnutí</w:t>
      </w:r>
      <w:r w:rsidRPr="00A53EAC">
        <w:rPr>
          <w:rFonts w:ascii="Times New Roman" w:eastAsia="Calibri" w:hAnsi="Times New Roman" w:cs="Times New Roman" w:hint="default"/>
        </w:rPr>
        <w:t xml:space="preserve">m </w:t>
      </w:r>
      <w:r w:rsidRPr="00A53EAC">
        <w:rPr>
          <w:rFonts w:ascii="Times New Roman" w:hAnsi="Times New Roman" w:cs="Times New Roman"/>
          <w:szCs w:val="22"/>
        </w:rPr>
        <w:t>troch tranží finančnej stabilizačnej pomoci pre Grécko.</w:t>
      </w:r>
      <w:r w:rsidRPr="00A53EAC">
        <w:rPr>
          <w:rFonts w:ascii="Times New Roman" w:eastAsia="Calibri" w:hAnsi="Times New Roman" w:cs="Times New Roman"/>
        </w:rPr>
        <w:t xml:space="preserve"> </w:t>
      </w:r>
      <w:r w:rsidRPr="00A53EAC" w:rsidR="003A3EF9">
        <w:rPr>
          <w:rFonts w:ascii="Times New Roman" w:eastAsia="Calibri" w:hAnsi="Times New Roman" w:cs="Times New Roman"/>
        </w:rPr>
        <w:t>P</w:t>
      </w:r>
      <w:r w:rsidRPr="00A53EAC">
        <w:rPr>
          <w:rFonts w:ascii="Times New Roman" w:eastAsia="Calibri" w:hAnsi="Times New Roman" w:cs="Times New Roman" w:hint="default"/>
        </w:rPr>
        <w:t>osledná</w:t>
      </w:r>
      <w:r w:rsidRPr="00A53EAC">
        <w:rPr>
          <w:rFonts w:ascii="Times New Roman" w:eastAsia="Calibri" w:hAnsi="Times New Roman" w:cs="Times New Roman" w:hint="default"/>
        </w:rPr>
        <w:t xml:space="preserve"> splá</w:t>
      </w:r>
      <w:r w:rsidRPr="00A53EAC">
        <w:rPr>
          <w:rFonts w:ascii="Times New Roman" w:eastAsia="Calibri" w:hAnsi="Times New Roman" w:cs="Times New Roman" w:hint="default"/>
        </w:rPr>
        <w:t>tka Slovenska za splatný</w:t>
      </w:r>
      <w:r w:rsidRPr="00A53EAC">
        <w:rPr>
          <w:rFonts w:ascii="Times New Roman" w:eastAsia="Calibri" w:hAnsi="Times New Roman" w:cs="Times New Roman" w:hint="default"/>
        </w:rPr>
        <w:t xml:space="preserve"> kapitá</w:t>
      </w:r>
      <w:r w:rsidRPr="00A53EAC">
        <w:rPr>
          <w:rFonts w:ascii="Times New Roman" w:eastAsia="Calibri" w:hAnsi="Times New Roman" w:cs="Times New Roman" w:hint="default"/>
        </w:rPr>
        <w:t>l Euró</w:t>
      </w:r>
      <w:r w:rsidRPr="00A53EAC">
        <w:rPr>
          <w:rFonts w:ascii="Times New Roman" w:eastAsia="Calibri" w:hAnsi="Times New Roman" w:cs="Times New Roman" w:hint="default"/>
        </w:rPr>
        <w:t xml:space="preserve">pskeho mechanizmu pre </w:t>
      </w:r>
      <w:r w:rsidRPr="00A53EAC">
        <w:rPr>
          <w:rFonts w:ascii="Times New Roman" w:eastAsia="Calibri" w:hAnsi="Times New Roman" w:cs="Times New Roman" w:hint="default"/>
        </w:rPr>
        <w:t>stabilitu (ESM) zvýš</w:t>
      </w:r>
      <w:r w:rsidRPr="00A53EAC">
        <w:rPr>
          <w:rFonts w:ascii="Times New Roman" w:eastAsia="Calibri" w:hAnsi="Times New Roman" w:cs="Times New Roman" w:hint="default"/>
        </w:rPr>
        <w:t>ila dlh o 131 840 </w:t>
      </w:r>
      <w:r w:rsidRPr="00A53EAC" w:rsidR="004A3B5E">
        <w:rPr>
          <w:rFonts w:ascii="Times New Roman" w:eastAsia="Calibri" w:hAnsi="Times New Roman" w:cs="Times New Roman"/>
        </w:rPr>
        <w:t>tis. eur</w:t>
      </w:r>
      <w:r w:rsidRPr="00A53EAC">
        <w:rPr>
          <w:rFonts w:ascii="Times New Roman" w:eastAsia="Calibri" w:hAnsi="Times New Roman" w:cs="Times New Roman"/>
        </w:rPr>
        <w:t xml:space="preserve">. </w:t>
      </w:r>
      <w:r w:rsidRPr="00A53EAC" w:rsidR="003A3EF9">
        <w:rPr>
          <w:rFonts w:ascii="Times New Roman" w:eastAsia="Calibri" w:hAnsi="Times New Roman" w:cs="Times New Roman"/>
        </w:rPr>
        <w:t>Svoj p</w:t>
      </w:r>
      <w:r w:rsidRPr="00A53EAC" w:rsidR="004A3B5E">
        <w:rPr>
          <w:rFonts w:ascii="Times New Roman" w:eastAsia="Calibri" w:hAnsi="Times New Roman" w:cs="Times New Roman" w:hint="default"/>
        </w:rPr>
        <w:t>odiel na splatnom kapitá</w:t>
      </w:r>
      <w:r w:rsidRPr="00A53EAC" w:rsidR="004A3B5E">
        <w:rPr>
          <w:rFonts w:ascii="Times New Roman" w:eastAsia="Calibri" w:hAnsi="Times New Roman" w:cs="Times New Roman" w:hint="default"/>
        </w:rPr>
        <w:t>li ESM splá</w:t>
      </w:r>
      <w:r w:rsidRPr="00A53EAC" w:rsidR="004A3B5E">
        <w:rPr>
          <w:rFonts w:ascii="Times New Roman" w:eastAsia="Calibri" w:hAnsi="Times New Roman" w:cs="Times New Roman" w:hint="default"/>
        </w:rPr>
        <w:t xml:space="preserve">calo Slovensko </w:t>
      </w:r>
      <w:r w:rsidRPr="00A53EAC" w:rsidR="003A3EF9">
        <w:rPr>
          <w:rFonts w:ascii="Times New Roman" w:eastAsia="Calibri" w:hAnsi="Times New Roman" w:cs="Times New Roman"/>
        </w:rPr>
        <w:t>v </w:t>
      </w:r>
      <w:r w:rsidRPr="00A53EAC" w:rsidR="003A3EF9">
        <w:rPr>
          <w:rFonts w:ascii="Times New Roman" w:eastAsia="Calibri" w:hAnsi="Times New Roman" w:cs="Times New Roman" w:hint="default"/>
        </w:rPr>
        <w:t>piatich splá</w:t>
      </w:r>
      <w:r w:rsidRPr="00A53EAC" w:rsidR="003A3EF9">
        <w:rPr>
          <w:rFonts w:ascii="Times New Roman" w:eastAsia="Calibri" w:hAnsi="Times New Roman" w:cs="Times New Roman" w:hint="default"/>
        </w:rPr>
        <w:t xml:space="preserve">tkach </w:t>
      </w:r>
      <w:r w:rsidRPr="00A53EAC" w:rsidR="004A3B5E">
        <w:rPr>
          <w:rFonts w:ascii="Times New Roman" w:eastAsia="Calibri" w:hAnsi="Times New Roman" w:cs="Times New Roman" w:hint="default"/>
        </w:rPr>
        <w:t>poč</w:t>
      </w:r>
      <w:r w:rsidRPr="00A53EAC" w:rsidR="004A3B5E">
        <w:rPr>
          <w:rFonts w:ascii="Times New Roman" w:eastAsia="Calibri" w:hAnsi="Times New Roman" w:cs="Times New Roman" w:hint="default"/>
        </w:rPr>
        <w:t>as troch rokov 2012-2014</w:t>
      </w:r>
      <w:r w:rsidRPr="00A53EAC" w:rsidR="003A3EF9">
        <w:rPr>
          <w:rFonts w:ascii="Times New Roman" w:eastAsia="Calibri" w:hAnsi="Times New Roman" w:cs="Times New Roman"/>
        </w:rPr>
        <w:t xml:space="preserve"> v </w:t>
      </w:r>
      <w:r w:rsidRPr="00A53EAC" w:rsidR="003A3EF9">
        <w:rPr>
          <w:rFonts w:ascii="Times New Roman" w:eastAsia="Calibri" w:hAnsi="Times New Roman" w:cs="Times New Roman" w:hint="default"/>
        </w:rPr>
        <w:t>celkovej výš</w:t>
      </w:r>
      <w:r w:rsidRPr="00A53EAC" w:rsidR="003A3EF9">
        <w:rPr>
          <w:rFonts w:ascii="Times New Roman" w:eastAsia="Calibri" w:hAnsi="Times New Roman" w:cs="Times New Roman" w:hint="default"/>
        </w:rPr>
        <w:t>ke 659 </w:t>
      </w:r>
      <w:r w:rsidRPr="00A53EAC" w:rsidR="003A3EF9">
        <w:rPr>
          <w:rFonts w:ascii="Times New Roman" w:eastAsia="Calibri" w:hAnsi="Times New Roman" w:cs="Times New Roman" w:hint="default"/>
        </w:rPr>
        <w:t>200 tis. eur. Tieto splá</w:t>
      </w:r>
      <w:r w:rsidRPr="00A53EAC" w:rsidR="003A3EF9">
        <w:rPr>
          <w:rFonts w:ascii="Times New Roman" w:eastAsia="Calibri" w:hAnsi="Times New Roman" w:cs="Times New Roman" w:hint="default"/>
        </w:rPr>
        <w:t>tky zniž</w:t>
      </w:r>
      <w:r w:rsidRPr="00A53EAC" w:rsidR="003A3EF9">
        <w:rPr>
          <w:rFonts w:ascii="Times New Roman" w:eastAsia="Calibri" w:hAnsi="Times New Roman" w:cs="Times New Roman" w:hint="default"/>
        </w:rPr>
        <w:t>ovali disponibilné</w:t>
      </w:r>
      <w:r w:rsidRPr="00A53EAC" w:rsidR="003A3EF9">
        <w:rPr>
          <w:rFonts w:ascii="Times New Roman" w:eastAsia="Calibri" w:hAnsi="Times New Roman" w:cs="Times New Roman" w:hint="default"/>
        </w:rPr>
        <w:t xml:space="preserve"> prostriedky využ</w:t>
      </w:r>
      <w:r w:rsidRPr="00A53EAC" w:rsidR="003A3EF9">
        <w:rPr>
          <w:rFonts w:ascii="Times New Roman" w:eastAsia="Calibri" w:hAnsi="Times New Roman" w:cs="Times New Roman" w:hint="default"/>
        </w:rPr>
        <w:t>iteľ</w:t>
      </w:r>
      <w:r w:rsidRPr="00A53EAC" w:rsidR="003A3EF9">
        <w:rPr>
          <w:rFonts w:ascii="Times New Roman" w:eastAsia="Calibri" w:hAnsi="Times New Roman" w:cs="Times New Roman" w:hint="default"/>
        </w:rPr>
        <w:t>né</w:t>
      </w:r>
      <w:r w:rsidRPr="00A53EAC" w:rsidR="003A3EF9">
        <w:rPr>
          <w:rFonts w:ascii="Times New Roman" w:eastAsia="Calibri" w:hAnsi="Times New Roman" w:cs="Times New Roman" w:hint="default"/>
        </w:rPr>
        <w:t xml:space="preserve"> pre finan</w:t>
      </w:r>
      <w:r w:rsidRPr="00A53EAC" w:rsidR="003A3EF9">
        <w:rPr>
          <w:rFonts w:ascii="Times New Roman" w:eastAsia="Calibri" w:hAnsi="Times New Roman" w:cs="Times New Roman" w:hint="default"/>
        </w:rPr>
        <w:t xml:space="preserve">covanie </w:t>
      </w:r>
      <w:r w:rsidR="009A4C5C">
        <w:rPr>
          <w:rFonts w:ascii="Times New Roman" w:eastAsia="Calibri" w:hAnsi="Times New Roman" w:cs="Times New Roman" w:hint="default"/>
        </w:rPr>
        <w:t>iný</w:t>
      </w:r>
      <w:r w:rsidR="009A4C5C">
        <w:rPr>
          <w:rFonts w:ascii="Times New Roman" w:eastAsia="Calibri" w:hAnsi="Times New Roman" w:cs="Times New Roman" w:hint="default"/>
        </w:rPr>
        <w:t xml:space="preserve">ch </w:t>
      </w:r>
      <w:r w:rsidRPr="00A53EAC" w:rsidR="003A3EF9">
        <w:rPr>
          <w:rFonts w:ascii="Times New Roman" w:eastAsia="Calibri" w:hAnsi="Times New Roman" w:cs="Times New Roman" w:hint="default"/>
        </w:rPr>
        <w:t>potrieb š</w:t>
      </w:r>
      <w:r w:rsidRPr="00A53EAC" w:rsidR="003A3EF9">
        <w:rPr>
          <w:rFonts w:ascii="Times New Roman" w:eastAsia="Calibri" w:hAnsi="Times New Roman" w:cs="Times New Roman" w:hint="default"/>
        </w:rPr>
        <w:t>tá</w:t>
      </w:r>
      <w:r w:rsidRPr="00A53EAC" w:rsidR="003A3EF9">
        <w:rPr>
          <w:rFonts w:ascii="Times New Roman" w:eastAsia="Calibri" w:hAnsi="Times New Roman" w:cs="Times New Roman" w:hint="default"/>
        </w:rPr>
        <w:t>tu, čí</w:t>
      </w:r>
      <w:r w:rsidRPr="00A53EAC" w:rsidR="003A3EF9">
        <w:rPr>
          <w:rFonts w:ascii="Times New Roman" w:eastAsia="Calibri" w:hAnsi="Times New Roman" w:cs="Times New Roman" w:hint="default"/>
        </w:rPr>
        <w:t>m prispievali k </w:t>
      </w:r>
      <w:r w:rsidRPr="00A53EAC" w:rsidR="003A3EF9">
        <w:rPr>
          <w:rFonts w:ascii="Times New Roman" w:eastAsia="Calibri" w:hAnsi="Times New Roman" w:cs="Times New Roman" w:hint="default"/>
        </w:rPr>
        <w:t>ná</w:t>
      </w:r>
      <w:r w:rsidRPr="00A53EAC" w:rsidR="003A3EF9">
        <w:rPr>
          <w:rFonts w:ascii="Times New Roman" w:eastAsia="Calibri" w:hAnsi="Times New Roman" w:cs="Times New Roman" w:hint="default"/>
        </w:rPr>
        <w:t>rastu hrubé</w:t>
      </w:r>
      <w:r w:rsidRPr="00A53EAC" w:rsidR="003A3EF9">
        <w:rPr>
          <w:rFonts w:ascii="Times New Roman" w:eastAsia="Calibri" w:hAnsi="Times New Roman" w:cs="Times New Roman" w:hint="default"/>
        </w:rPr>
        <w:t>ho dlhu.</w:t>
      </w:r>
    </w:p>
    <w:p w:rsidR="009A4C5C" w:rsidRPr="009A4C5C" w:rsidP="009A4C5C">
      <w:pPr>
        <w:bidi w:val="0"/>
        <w:spacing w:before="240" w:after="120" w:line="336" w:lineRule="auto"/>
        <w:jc w:val="both"/>
        <w:rPr>
          <w:rFonts w:ascii="Times New Roman" w:eastAsia="Calibri" w:hAnsi="Times New Roman" w:cs="Times New Roman" w:hint="default"/>
        </w:rPr>
      </w:pPr>
      <w:r w:rsidRPr="009A4C5C">
        <w:rPr>
          <w:rFonts w:ascii="Times New Roman" w:eastAsia="Calibri" w:hAnsi="Times New Roman" w:cs="Times New Roman"/>
        </w:rPr>
        <w:t>Naopak, k poklesu dlhu o 3,1 </w:t>
      </w:r>
      <w:r w:rsidRPr="009A4C5C">
        <w:rPr>
          <w:rFonts w:ascii="Times New Roman" w:eastAsia="Calibri" w:hAnsi="Times New Roman" w:cs="Times New Roman" w:hint="default"/>
        </w:rPr>
        <w:t>% HDP prispelo vyšš</w:t>
      </w:r>
      <w:r w:rsidRPr="009A4C5C">
        <w:rPr>
          <w:rFonts w:ascii="Times New Roman" w:eastAsia="Calibri" w:hAnsi="Times New Roman" w:cs="Times New Roman" w:hint="default"/>
        </w:rPr>
        <w:t>ie použ</w:t>
      </w:r>
      <w:r w:rsidRPr="009A4C5C">
        <w:rPr>
          <w:rFonts w:ascii="Times New Roman" w:eastAsia="Calibri" w:hAnsi="Times New Roman" w:cs="Times New Roman" w:hint="default"/>
        </w:rPr>
        <w:t>itie prostriedkov systé</w:t>
      </w:r>
      <w:r w:rsidRPr="009A4C5C">
        <w:rPr>
          <w:rFonts w:ascii="Times New Roman" w:eastAsia="Calibri" w:hAnsi="Times New Roman" w:cs="Times New Roman" w:hint="default"/>
        </w:rPr>
        <w:t>mu š</w:t>
      </w:r>
      <w:r w:rsidRPr="009A4C5C">
        <w:rPr>
          <w:rFonts w:ascii="Times New Roman" w:eastAsia="Calibri" w:hAnsi="Times New Roman" w:cs="Times New Roman" w:hint="default"/>
        </w:rPr>
        <w:t>tá</w:t>
      </w:r>
      <w:r w:rsidRPr="009A4C5C">
        <w:rPr>
          <w:rFonts w:ascii="Times New Roman" w:eastAsia="Calibri" w:hAnsi="Times New Roman" w:cs="Times New Roman" w:hint="default"/>
        </w:rPr>
        <w:t>tnej pokladnice na financovanie dlhu, č</w:t>
      </w:r>
      <w:r w:rsidRPr="009A4C5C">
        <w:rPr>
          <w:rFonts w:ascii="Times New Roman" w:eastAsia="Calibri" w:hAnsi="Times New Roman" w:cs="Times New Roman" w:hint="default"/>
        </w:rPr>
        <w:t>o zníž</w:t>
      </w:r>
      <w:r w:rsidRPr="009A4C5C">
        <w:rPr>
          <w:rFonts w:ascii="Times New Roman" w:eastAsia="Calibri" w:hAnsi="Times New Roman" w:cs="Times New Roman" w:hint="default"/>
        </w:rPr>
        <w:t>ilo hotovostnú</w:t>
      </w:r>
      <w:r w:rsidRPr="009A4C5C">
        <w:rPr>
          <w:rFonts w:ascii="Times New Roman" w:eastAsia="Calibri" w:hAnsi="Times New Roman" w:cs="Times New Roman" w:hint="default"/>
        </w:rPr>
        <w:t xml:space="preserve"> rezervu š</w:t>
      </w:r>
      <w:r w:rsidRPr="009A4C5C">
        <w:rPr>
          <w:rFonts w:ascii="Times New Roman" w:eastAsia="Calibri" w:hAnsi="Times New Roman" w:cs="Times New Roman" w:hint="default"/>
        </w:rPr>
        <w:t>tá</w:t>
      </w:r>
      <w:r w:rsidRPr="009A4C5C">
        <w:rPr>
          <w:rFonts w:ascii="Times New Roman" w:eastAsia="Calibri" w:hAnsi="Times New Roman" w:cs="Times New Roman" w:hint="default"/>
        </w:rPr>
        <w:t>tu o 2 376 697 tis. eur. Ministe</w:t>
      </w:r>
      <w:r w:rsidRPr="009A4C5C">
        <w:rPr>
          <w:rFonts w:ascii="Times New Roman" w:eastAsia="Calibri" w:hAnsi="Times New Roman" w:cs="Times New Roman" w:hint="default"/>
        </w:rPr>
        <w:t>rstvo financií</w:t>
      </w:r>
      <w:r w:rsidRPr="009A4C5C">
        <w:rPr>
          <w:rFonts w:ascii="Times New Roman" w:eastAsia="Calibri" w:hAnsi="Times New Roman" w:cs="Times New Roman" w:hint="default"/>
        </w:rPr>
        <w:t xml:space="preserve"> SR v </w:t>
      </w:r>
      <w:r w:rsidRPr="009A4C5C">
        <w:rPr>
          <w:rFonts w:ascii="Times New Roman" w:eastAsia="Calibri" w:hAnsi="Times New Roman" w:cs="Times New Roman" w:hint="default"/>
        </w:rPr>
        <w:t>zastú</w:t>
      </w:r>
      <w:r w:rsidRPr="009A4C5C">
        <w:rPr>
          <w:rFonts w:ascii="Times New Roman" w:eastAsia="Calibri" w:hAnsi="Times New Roman" w:cs="Times New Roman" w:hint="default"/>
        </w:rPr>
        <w:t>pení</w:t>
      </w:r>
      <w:r w:rsidRPr="009A4C5C">
        <w:rPr>
          <w:rFonts w:ascii="Times New Roman" w:eastAsia="Calibri" w:hAnsi="Times New Roman" w:cs="Times New Roman" w:hint="default"/>
        </w:rPr>
        <w:t xml:space="preserve"> Agentú</w:t>
      </w:r>
      <w:r w:rsidRPr="009A4C5C">
        <w:rPr>
          <w:rFonts w:ascii="Times New Roman" w:eastAsia="Calibri" w:hAnsi="Times New Roman" w:cs="Times New Roman" w:hint="default"/>
        </w:rPr>
        <w:t>ry pre riadenie dlhu a </w:t>
      </w:r>
      <w:r w:rsidRPr="009A4C5C">
        <w:rPr>
          <w:rFonts w:ascii="Times New Roman" w:eastAsia="Calibri" w:hAnsi="Times New Roman" w:cs="Times New Roman" w:hint="default"/>
        </w:rPr>
        <w:t>likvidity (ARDAL) zefektí</w:t>
      </w:r>
      <w:r w:rsidRPr="009A4C5C">
        <w:rPr>
          <w:rFonts w:ascii="Times New Roman" w:eastAsia="Calibri" w:hAnsi="Times New Roman" w:cs="Times New Roman" w:hint="default"/>
        </w:rPr>
        <w:t>vň</w:t>
      </w:r>
      <w:r w:rsidRPr="009A4C5C">
        <w:rPr>
          <w:rFonts w:ascii="Times New Roman" w:eastAsia="Calibri" w:hAnsi="Times New Roman" w:cs="Times New Roman" w:hint="default"/>
        </w:rPr>
        <w:t>uje riadenie š</w:t>
      </w:r>
      <w:r w:rsidRPr="009A4C5C">
        <w:rPr>
          <w:rFonts w:ascii="Times New Roman" w:eastAsia="Calibri" w:hAnsi="Times New Roman" w:cs="Times New Roman" w:hint="default"/>
        </w:rPr>
        <w:t>tá</w:t>
      </w:r>
      <w:r w:rsidRPr="009A4C5C">
        <w:rPr>
          <w:rFonts w:ascii="Times New Roman" w:eastAsia="Calibri" w:hAnsi="Times New Roman" w:cs="Times New Roman" w:hint="default"/>
        </w:rPr>
        <w:t>tneho dlhu aktí</w:t>
      </w:r>
      <w:r w:rsidRPr="009A4C5C">
        <w:rPr>
          <w:rFonts w:ascii="Times New Roman" w:eastAsia="Calibri" w:hAnsi="Times New Roman" w:cs="Times New Roman" w:hint="default"/>
        </w:rPr>
        <w:t>vnym využí</w:t>
      </w:r>
      <w:r w:rsidRPr="009A4C5C">
        <w:rPr>
          <w:rFonts w:ascii="Times New Roman" w:eastAsia="Calibri" w:hAnsi="Times New Roman" w:cs="Times New Roman" w:hint="default"/>
        </w:rPr>
        <w:t>vaní</w:t>
      </w:r>
      <w:r w:rsidRPr="009A4C5C">
        <w:rPr>
          <w:rFonts w:ascii="Times New Roman" w:eastAsia="Calibri" w:hAnsi="Times New Roman" w:cs="Times New Roman" w:hint="default"/>
        </w:rPr>
        <w:t>m prostriedkov systé</w:t>
      </w:r>
      <w:r w:rsidRPr="009A4C5C">
        <w:rPr>
          <w:rFonts w:ascii="Times New Roman" w:eastAsia="Calibri" w:hAnsi="Times New Roman" w:cs="Times New Roman" w:hint="default"/>
        </w:rPr>
        <w:t>mu š</w:t>
      </w:r>
      <w:r w:rsidRPr="009A4C5C">
        <w:rPr>
          <w:rFonts w:ascii="Times New Roman" w:eastAsia="Calibri" w:hAnsi="Times New Roman" w:cs="Times New Roman" w:hint="default"/>
        </w:rPr>
        <w:t>tá</w:t>
      </w:r>
      <w:r w:rsidRPr="009A4C5C">
        <w:rPr>
          <w:rFonts w:ascii="Times New Roman" w:eastAsia="Calibri" w:hAnsi="Times New Roman" w:cs="Times New Roman" w:hint="default"/>
        </w:rPr>
        <w:t xml:space="preserve">tnej pokladnice. </w:t>
      </w:r>
    </w:p>
    <w:p w:rsidR="009A4C5C" w:rsidRPr="00A53EAC" w:rsidP="009A4C5C">
      <w:pPr>
        <w:bidi w:val="0"/>
        <w:spacing w:before="240" w:after="120" w:line="336" w:lineRule="auto"/>
        <w:jc w:val="both"/>
        <w:rPr>
          <w:rFonts w:ascii="Times New Roman" w:eastAsia="Calibri" w:hAnsi="Times New Roman" w:cs="Times New Roman"/>
        </w:rPr>
      </w:pPr>
      <w:r w:rsidRPr="009A4C5C">
        <w:rPr>
          <w:rFonts w:ascii="Times New Roman" w:eastAsia="Calibri" w:hAnsi="Times New Roman" w:cs="Times New Roman" w:hint="default"/>
        </w:rPr>
        <w:t>V </w:t>
      </w:r>
      <w:r w:rsidRPr="009A4C5C">
        <w:rPr>
          <w:rFonts w:ascii="Times New Roman" w:eastAsia="Calibri" w:hAnsi="Times New Roman" w:cs="Times New Roman" w:hint="default"/>
        </w:rPr>
        <w:t>roku 2013 bol na zá</w:t>
      </w:r>
      <w:r w:rsidRPr="009A4C5C">
        <w:rPr>
          <w:rFonts w:ascii="Times New Roman" w:eastAsia="Calibri" w:hAnsi="Times New Roman" w:cs="Times New Roman" w:hint="default"/>
        </w:rPr>
        <w:t>klade rozhodnutia Eurostatu bankový</w:t>
      </w:r>
      <w:r w:rsidRPr="009A4C5C">
        <w:rPr>
          <w:rFonts w:ascii="Times New Roman" w:eastAsia="Calibri" w:hAnsi="Times New Roman" w:cs="Times New Roman" w:hint="default"/>
        </w:rPr>
        <w:t xml:space="preserve"> ú</w:t>
      </w:r>
      <w:r w:rsidRPr="009A4C5C">
        <w:rPr>
          <w:rFonts w:ascii="Times New Roman" w:eastAsia="Calibri" w:hAnsi="Times New Roman" w:cs="Times New Roman" w:hint="default"/>
        </w:rPr>
        <w:t>ver Agentú</w:t>
      </w:r>
      <w:r w:rsidRPr="009A4C5C">
        <w:rPr>
          <w:rFonts w:ascii="Times New Roman" w:eastAsia="Calibri" w:hAnsi="Times New Roman" w:cs="Times New Roman" w:hint="default"/>
        </w:rPr>
        <w:t>ry pre nú</w:t>
      </w:r>
      <w:r w:rsidRPr="009A4C5C">
        <w:rPr>
          <w:rFonts w:ascii="Times New Roman" w:eastAsia="Calibri" w:hAnsi="Times New Roman" w:cs="Times New Roman" w:hint="default"/>
        </w:rPr>
        <w:t>dzov</w:t>
      </w:r>
      <w:r w:rsidRPr="009A4C5C">
        <w:rPr>
          <w:rFonts w:ascii="Times New Roman" w:eastAsia="Calibri" w:hAnsi="Times New Roman" w:cs="Times New Roman" w:hint="default"/>
        </w:rPr>
        <w:t>é</w:t>
      </w:r>
      <w:r w:rsidRPr="009A4C5C">
        <w:rPr>
          <w:rFonts w:ascii="Times New Roman" w:eastAsia="Calibri" w:hAnsi="Times New Roman" w:cs="Times New Roman" w:hint="default"/>
        </w:rPr>
        <w:t xml:space="preserve"> zá</w:t>
      </w:r>
      <w:r w:rsidRPr="009A4C5C">
        <w:rPr>
          <w:rFonts w:ascii="Times New Roman" w:eastAsia="Calibri" w:hAnsi="Times New Roman" w:cs="Times New Roman" w:hint="default"/>
        </w:rPr>
        <w:t>soby ropy a ropný</w:t>
      </w:r>
      <w:r w:rsidRPr="009A4C5C">
        <w:rPr>
          <w:rFonts w:ascii="Times New Roman" w:eastAsia="Calibri" w:hAnsi="Times New Roman" w:cs="Times New Roman" w:hint="default"/>
        </w:rPr>
        <w:t>ch vý</w:t>
      </w:r>
      <w:r w:rsidRPr="009A4C5C">
        <w:rPr>
          <w:rFonts w:ascii="Times New Roman" w:eastAsia="Calibri" w:hAnsi="Times New Roman" w:cs="Times New Roman" w:hint="default"/>
        </w:rPr>
        <w:t>robkov vyká</w:t>
      </w:r>
      <w:r w:rsidRPr="009A4C5C">
        <w:rPr>
          <w:rFonts w:ascii="Times New Roman" w:eastAsia="Calibri" w:hAnsi="Times New Roman" w:cs="Times New Roman" w:hint="default"/>
        </w:rPr>
        <w:t>zaný</w:t>
      </w:r>
      <w:r w:rsidRPr="009A4C5C">
        <w:rPr>
          <w:rFonts w:ascii="Times New Roman" w:eastAsia="Calibri" w:hAnsi="Times New Roman" w:cs="Times New Roman" w:hint="default"/>
        </w:rPr>
        <w:t xml:space="preserve"> ako súč</w:t>
      </w:r>
      <w:r w:rsidRPr="009A4C5C">
        <w:rPr>
          <w:rFonts w:ascii="Times New Roman" w:eastAsia="Calibri" w:hAnsi="Times New Roman" w:cs="Times New Roman" w:hint="default"/>
        </w:rPr>
        <w:t>asť</w:t>
      </w:r>
      <w:r w:rsidRPr="009A4C5C">
        <w:rPr>
          <w:rFonts w:ascii="Times New Roman" w:eastAsia="Calibri" w:hAnsi="Times New Roman" w:cs="Times New Roman" w:hint="default"/>
        </w:rPr>
        <w:t xml:space="preserve"> verejné</w:t>
      </w:r>
      <w:r w:rsidRPr="009A4C5C">
        <w:rPr>
          <w:rFonts w:ascii="Times New Roman" w:eastAsia="Calibri" w:hAnsi="Times New Roman" w:cs="Times New Roman" w:hint="default"/>
        </w:rPr>
        <w:t>ho dlhu vo výš</w:t>
      </w:r>
      <w:r w:rsidRPr="009A4C5C">
        <w:rPr>
          <w:rFonts w:ascii="Times New Roman" w:eastAsia="Calibri" w:hAnsi="Times New Roman" w:cs="Times New Roman" w:hint="default"/>
        </w:rPr>
        <w:t>ke 520 000 tis. eur. V </w:t>
      </w:r>
      <w:r w:rsidRPr="009A4C5C">
        <w:rPr>
          <w:rFonts w:ascii="Times New Roman" w:eastAsia="Calibri" w:hAnsi="Times New Roman" w:cs="Times New Roman" w:hint="default"/>
        </w:rPr>
        <w:t>roku 2014 bol ú</w:t>
      </w:r>
      <w:r w:rsidRPr="009A4C5C">
        <w:rPr>
          <w:rFonts w:ascii="Times New Roman" w:eastAsia="Calibri" w:hAnsi="Times New Roman" w:cs="Times New Roman" w:hint="default"/>
        </w:rPr>
        <w:t>ver splatený</w:t>
      </w:r>
      <w:r w:rsidRPr="009A4C5C">
        <w:rPr>
          <w:rFonts w:ascii="Times New Roman" w:eastAsia="Calibri" w:hAnsi="Times New Roman" w:cs="Times New Roman" w:hint="default"/>
        </w:rPr>
        <w:t>, č</w:t>
      </w:r>
      <w:r w:rsidRPr="009A4C5C">
        <w:rPr>
          <w:rFonts w:ascii="Times New Roman" w:eastAsia="Calibri" w:hAnsi="Times New Roman" w:cs="Times New Roman" w:hint="default"/>
        </w:rPr>
        <w:t>o zníž</w:t>
      </w:r>
      <w:r w:rsidRPr="009A4C5C">
        <w:rPr>
          <w:rFonts w:ascii="Times New Roman" w:eastAsia="Calibri" w:hAnsi="Times New Roman" w:cs="Times New Roman" w:hint="default"/>
        </w:rPr>
        <w:t>ilo verejný</w:t>
      </w:r>
      <w:r w:rsidRPr="009A4C5C">
        <w:rPr>
          <w:rFonts w:ascii="Times New Roman" w:eastAsia="Calibri" w:hAnsi="Times New Roman" w:cs="Times New Roman" w:hint="default"/>
        </w:rPr>
        <w:t xml:space="preserve"> dlh k 31.12.2014 o 0,7 </w:t>
      </w:r>
      <w:r w:rsidRPr="009A4C5C">
        <w:rPr>
          <w:rFonts w:ascii="Times New Roman" w:eastAsia="Calibri" w:hAnsi="Times New Roman" w:cs="Times New Roman" w:hint="default"/>
        </w:rPr>
        <w:t>% HDP. Zdrojom ú</w:t>
      </w:r>
      <w:r w:rsidRPr="009A4C5C">
        <w:rPr>
          <w:rFonts w:ascii="Times New Roman" w:eastAsia="Calibri" w:hAnsi="Times New Roman" w:cs="Times New Roman" w:hint="default"/>
        </w:rPr>
        <w:t>hrady ú</w:t>
      </w:r>
      <w:r w:rsidRPr="009A4C5C">
        <w:rPr>
          <w:rFonts w:ascii="Times New Roman" w:eastAsia="Calibri" w:hAnsi="Times New Roman" w:cs="Times New Roman" w:hint="default"/>
        </w:rPr>
        <w:t>veru bola ná</w:t>
      </w:r>
      <w:r w:rsidRPr="009A4C5C">
        <w:rPr>
          <w:rFonts w:ascii="Times New Roman" w:eastAsia="Calibri" w:hAnsi="Times New Roman" w:cs="Times New Roman" w:hint="default"/>
        </w:rPr>
        <w:t>vratná</w:t>
      </w:r>
      <w:r w:rsidRPr="009A4C5C">
        <w:rPr>
          <w:rFonts w:ascii="Times New Roman" w:eastAsia="Calibri" w:hAnsi="Times New Roman" w:cs="Times New Roman" w:hint="default"/>
        </w:rPr>
        <w:t xml:space="preserve"> finanč</w:t>
      </w:r>
      <w:r w:rsidRPr="009A4C5C">
        <w:rPr>
          <w:rFonts w:ascii="Times New Roman" w:eastAsia="Calibri" w:hAnsi="Times New Roman" w:cs="Times New Roman" w:hint="default"/>
        </w:rPr>
        <w:t>ná</w:t>
      </w:r>
      <w:r w:rsidRPr="009A4C5C">
        <w:rPr>
          <w:rFonts w:ascii="Times New Roman" w:eastAsia="Calibri" w:hAnsi="Times New Roman" w:cs="Times New Roman" w:hint="default"/>
        </w:rPr>
        <w:t xml:space="preserve"> vý</w:t>
      </w:r>
      <w:r w:rsidRPr="009A4C5C">
        <w:rPr>
          <w:rFonts w:ascii="Times New Roman" w:eastAsia="Calibri" w:hAnsi="Times New Roman" w:cs="Times New Roman" w:hint="default"/>
        </w:rPr>
        <w:t>pomoc zo š</w:t>
      </w:r>
      <w:r w:rsidRPr="009A4C5C">
        <w:rPr>
          <w:rFonts w:ascii="Times New Roman" w:eastAsia="Calibri" w:hAnsi="Times New Roman" w:cs="Times New Roman" w:hint="default"/>
        </w:rPr>
        <w:t>tá</w:t>
      </w:r>
      <w:r w:rsidRPr="009A4C5C">
        <w:rPr>
          <w:rFonts w:ascii="Times New Roman" w:eastAsia="Calibri" w:hAnsi="Times New Roman" w:cs="Times New Roman" w:hint="default"/>
        </w:rPr>
        <w:t>tnych finanč</w:t>
      </w:r>
      <w:r w:rsidRPr="009A4C5C">
        <w:rPr>
          <w:rFonts w:ascii="Times New Roman" w:eastAsia="Calibri" w:hAnsi="Times New Roman" w:cs="Times New Roman" w:hint="default"/>
        </w:rPr>
        <w:t>ný</w:t>
      </w:r>
      <w:r w:rsidRPr="009A4C5C">
        <w:rPr>
          <w:rFonts w:ascii="Times New Roman" w:eastAsia="Calibri" w:hAnsi="Times New Roman" w:cs="Times New Roman" w:hint="default"/>
        </w:rPr>
        <w:t>ch aktí</w:t>
      </w:r>
      <w:r w:rsidRPr="009A4C5C">
        <w:rPr>
          <w:rFonts w:ascii="Times New Roman" w:eastAsia="Calibri" w:hAnsi="Times New Roman" w:cs="Times New Roman" w:hint="default"/>
        </w:rPr>
        <w:t>v</w:t>
      </w:r>
      <w:r w:rsidRPr="009A4C5C">
        <w:rPr>
          <w:rFonts w:ascii="Times New Roman" w:eastAsia="Calibri" w:hAnsi="Times New Roman" w:cs="Times New Roman" w:hint="default"/>
        </w:rPr>
        <w:t xml:space="preserve"> </w:t>
      </w:r>
      <w:r w:rsidRPr="009A4C5C">
        <w:rPr>
          <w:rFonts w:ascii="Times New Roman" w:eastAsia="Calibri" w:hAnsi="Times New Roman" w:cs="Times New Roman" w:hint="default"/>
        </w:rPr>
        <w:t>v </w:t>
      </w:r>
      <w:r w:rsidRPr="009A4C5C">
        <w:rPr>
          <w:rFonts w:ascii="Times New Roman" w:eastAsia="Calibri" w:hAnsi="Times New Roman" w:cs="Times New Roman" w:hint="default"/>
        </w:rPr>
        <w:t>rovnakej výš</w:t>
      </w:r>
      <w:r w:rsidRPr="009A4C5C">
        <w:rPr>
          <w:rFonts w:ascii="Times New Roman" w:eastAsia="Calibri" w:hAnsi="Times New Roman" w:cs="Times New Roman" w:hint="default"/>
        </w:rPr>
        <w:t>ke, ktorá</w:t>
      </w:r>
      <w:r w:rsidRPr="009A4C5C">
        <w:rPr>
          <w:rFonts w:ascii="Times New Roman" w:eastAsia="Calibri" w:hAnsi="Times New Roman" w:cs="Times New Roman" w:hint="default"/>
        </w:rPr>
        <w:t xml:space="preserve"> sa v </w:t>
      </w:r>
      <w:r w:rsidRPr="009A4C5C">
        <w:rPr>
          <w:rFonts w:ascii="Times New Roman" w:eastAsia="Calibri" w:hAnsi="Times New Roman" w:cs="Times New Roman" w:hint="default"/>
        </w:rPr>
        <w:t>rá</w:t>
      </w:r>
      <w:r w:rsidRPr="009A4C5C">
        <w:rPr>
          <w:rFonts w:ascii="Times New Roman" w:eastAsia="Calibri" w:hAnsi="Times New Roman" w:cs="Times New Roman" w:hint="default"/>
        </w:rPr>
        <w:t>mci dlhu verejnej sprá</w:t>
      </w:r>
      <w:r w:rsidRPr="009A4C5C">
        <w:rPr>
          <w:rFonts w:ascii="Times New Roman" w:eastAsia="Calibri" w:hAnsi="Times New Roman" w:cs="Times New Roman" w:hint="default"/>
        </w:rPr>
        <w:t>vy konsoliduje.</w:t>
      </w:r>
    </w:p>
    <w:p w:rsidR="00AE2FCA" w:rsidRPr="00A53EAC" w:rsidP="00AE2FCA">
      <w:pPr>
        <w:bidi w:val="0"/>
        <w:spacing w:before="240" w:after="120" w:line="336" w:lineRule="auto"/>
        <w:jc w:val="both"/>
        <w:rPr>
          <w:rFonts w:ascii="Times New Roman" w:eastAsia="Calibri" w:hAnsi="Times New Roman" w:cs="Times New Roman"/>
        </w:rPr>
      </w:pPr>
      <w:r w:rsidRPr="00A53EAC">
        <w:rPr>
          <w:rFonts w:ascii="Times New Roman" w:eastAsia="Calibri" w:hAnsi="Times New Roman" w:cs="Times New Roman" w:hint="default"/>
        </w:rPr>
        <w:t>Rast nominá</w:t>
      </w:r>
      <w:r w:rsidRPr="00A53EAC">
        <w:rPr>
          <w:rFonts w:ascii="Times New Roman" w:eastAsia="Calibri" w:hAnsi="Times New Roman" w:cs="Times New Roman" w:hint="default"/>
        </w:rPr>
        <w:t>lneho HDP prispel k </w:t>
      </w:r>
      <w:r w:rsidRPr="00A53EAC">
        <w:rPr>
          <w:rFonts w:ascii="Times New Roman" w:eastAsia="Calibri" w:hAnsi="Times New Roman" w:cs="Times New Roman" w:hint="default"/>
        </w:rPr>
        <w:t>medziroč</w:t>
      </w:r>
      <w:r w:rsidRPr="00A53EAC">
        <w:rPr>
          <w:rFonts w:ascii="Times New Roman" w:eastAsia="Calibri" w:hAnsi="Times New Roman" w:cs="Times New Roman" w:hint="default"/>
        </w:rPr>
        <w:t>né</w:t>
      </w:r>
      <w:r w:rsidRPr="00A53EAC">
        <w:rPr>
          <w:rFonts w:ascii="Times New Roman" w:eastAsia="Calibri" w:hAnsi="Times New Roman" w:cs="Times New Roman" w:hint="default"/>
        </w:rPr>
        <w:t>mu zníž</w:t>
      </w:r>
      <w:r w:rsidRPr="00A53EAC">
        <w:rPr>
          <w:rFonts w:ascii="Times New Roman" w:eastAsia="Calibri" w:hAnsi="Times New Roman" w:cs="Times New Roman" w:hint="default"/>
        </w:rPr>
        <w:t>eniu podielu dl</w:t>
      </w:r>
      <w:r w:rsidRPr="00A53EAC" w:rsidR="002A22D2">
        <w:rPr>
          <w:rFonts w:ascii="Times New Roman" w:eastAsia="Calibri" w:hAnsi="Times New Roman" w:cs="Times New Roman"/>
        </w:rPr>
        <w:t>hu na HDP o 1,2</w:t>
      </w:r>
      <w:r w:rsidRPr="00A53EAC">
        <w:rPr>
          <w:rFonts w:ascii="Times New Roman" w:eastAsia="Calibri" w:hAnsi="Times New Roman" w:cs="Times New Roman"/>
        </w:rPr>
        <w:t xml:space="preserve"> p. b.</w:t>
      </w:r>
    </w:p>
    <w:p w:rsidR="003B78F1" w:rsidRPr="00A53EAC" w:rsidP="003B78F1">
      <w:pPr>
        <w:bidi w:val="0"/>
        <w:spacing w:after="120" w:line="336" w:lineRule="auto"/>
        <w:jc w:val="both"/>
        <w:rPr>
          <w:rFonts w:ascii="Times New Roman" w:hAnsi="Times New Roman" w:cs="Times New Roman"/>
          <w:b/>
        </w:rPr>
      </w:pPr>
      <w:bookmarkStart w:id="29" w:name="_Toc401920010"/>
      <w:r w:rsidRPr="00A53EAC">
        <w:rPr>
          <w:rFonts w:ascii="Times New Roman" w:hAnsi="Times New Roman" w:cs="Times New Roman"/>
          <w:b/>
        </w:rPr>
        <w:t>Štruktúra dlhu verejnej správy k 31.12.2014 bola nasledovná:</w:t>
      </w:r>
    </w:p>
    <w:p w:rsidR="003B78F1" w:rsidRPr="00A53EAC" w:rsidP="003B78F1">
      <w:pPr>
        <w:pStyle w:val="ListParagraph"/>
        <w:numPr>
          <w:numId w:val="15"/>
        </w:numPr>
        <w:bidi w:val="0"/>
        <w:spacing w:after="120" w:line="336" w:lineRule="auto"/>
        <w:ind w:left="357" w:hanging="357"/>
        <w:jc w:val="both"/>
        <w:rPr>
          <w:rFonts w:ascii="Times New Roman" w:eastAsia="Calibri" w:hAnsi="Times New Roman" w:cs="Times New Roman" w:hint="default"/>
        </w:rPr>
      </w:pPr>
      <w:r w:rsidRPr="00A53EAC">
        <w:rPr>
          <w:rFonts w:ascii="Times New Roman" w:eastAsia="Calibri" w:hAnsi="Times New Roman" w:cs="Times New Roman"/>
        </w:rPr>
        <w:t>Z </w:t>
      </w:r>
      <w:r w:rsidRPr="00A53EAC">
        <w:rPr>
          <w:rFonts w:ascii="Times New Roman" w:eastAsia="Calibri" w:hAnsi="Times New Roman" w:cs="Times New Roman" w:hint="default"/>
        </w:rPr>
        <w:t>hľ</w:t>
      </w:r>
      <w:r w:rsidRPr="00A53EAC">
        <w:rPr>
          <w:rFonts w:ascii="Times New Roman" w:eastAsia="Calibri" w:hAnsi="Times New Roman" w:cs="Times New Roman" w:hint="default"/>
        </w:rPr>
        <w:t xml:space="preserve">adiska </w:t>
      </w:r>
      <w:r w:rsidR="009A4C5C">
        <w:rPr>
          <w:rFonts w:ascii="Times New Roman" w:eastAsia="Calibri" w:hAnsi="Times New Roman" w:cs="Times New Roman"/>
        </w:rPr>
        <w:t xml:space="preserve">zdrojov </w:t>
      </w:r>
      <w:r w:rsidRPr="00A53EAC">
        <w:rPr>
          <w:rFonts w:ascii="Times New Roman" w:eastAsia="Calibri" w:hAnsi="Times New Roman" w:cs="Times New Roman"/>
        </w:rPr>
        <w:t xml:space="preserve">financovania bol dlh </w:t>
      </w:r>
      <w:r w:rsidRPr="00A53EAC">
        <w:rPr>
          <w:rFonts w:ascii="Times New Roman" w:eastAsia="Calibri" w:hAnsi="Times New Roman" w:cs="Times New Roman" w:hint="default"/>
        </w:rPr>
        <w:t>financovaný</w:t>
      </w:r>
      <w:r w:rsidRPr="00A53EAC">
        <w:rPr>
          <w:rFonts w:ascii="Times New Roman" w:eastAsia="Calibri" w:hAnsi="Times New Roman" w:cs="Times New Roman" w:hint="default"/>
        </w:rPr>
        <w:t xml:space="preserve"> predovš</w:t>
      </w:r>
      <w:r w:rsidRPr="00A53EAC">
        <w:rPr>
          <w:rFonts w:ascii="Times New Roman" w:eastAsia="Calibri" w:hAnsi="Times New Roman" w:cs="Times New Roman" w:hint="default"/>
        </w:rPr>
        <w:t>etký</w:t>
      </w:r>
      <w:r w:rsidRPr="00A53EAC">
        <w:rPr>
          <w:rFonts w:ascii="Times New Roman" w:eastAsia="Calibri" w:hAnsi="Times New Roman" w:cs="Times New Roman" w:hint="default"/>
        </w:rPr>
        <w:t>m cenný</w:t>
      </w:r>
      <w:r w:rsidRPr="00A53EAC">
        <w:rPr>
          <w:rFonts w:ascii="Times New Roman" w:eastAsia="Calibri" w:hAnsi="Times New Roman" w:cs="Times New Roman" w:hint="default"/>
        </w:rPr>
        <w:t>mi papiermi (87,1 %) a </w:t>
      </w:r>
      <w:r w:rsidRPr="00A53EAC">
        <w:rPr>
          <w:rFonts w:ascii="Times New Roman" w:eastAsia="Calibri" w:hAnsi="Times New Roman" w:cs="Times New Roman" w:hint="default"/>
        </w:rPr>
        <w:t>bankový</w:t>
      </w:r>
      <w:r w:rsidRPr="00A53EAC">
        <w:rPr>
          <w:rFonts w:ascii="Times New Roman" w:eastAsia="Calibri" w:hAnsi="Times New Roman" w:cs="Times New Roman" w:hint="default"/>
        </w:rPr>
        <w:t>mi ú</w:t>
      </w:r>
      <w:r w:rsidRPr="00A53EAC">
        <w:rPr>
          <w:rFonts w:ascii="Times New Roman" w:eastAsia="Calibri" w:hAnsi="Times New Roman" w:cs="Times New Roman" w:hint="default"/>
        </w:rPr>
        <w:t>vermi a </w:t>
      </w:r>
      <w:r w:rsidRPr="00A53EAC">
        <w:rPr>
          <w:rFonts w:ascii="Times New Roman" w:eastAsia="Calibri" w:hAnsi="Times New Roman" w:cs="Times New Roman" w:hint="default"/>
        </w:rPr>
        <w:t>iný</w:t>
      </w:r>
      <w:r w:rsidRPr="00A53EAC">
        <w:rPr>
          <w:rFonts w:ascii="Times New Roman" w:eastAsia="Calibri" w:hAnsi="Times New Roman" w:cs="Times New Roman" w:hint="default"/>
        </w:rPr>
        <w:t>mi zá</w:t>
      </w:r>
      <w:r w:rsidRPr="00A53EAC">
        <w:rPr>
          <w:rFonts w:ascii="Times New Roman" w:eastAsia="Calibri" w:hAnsi="Times New Roman" w:cs="Times New Roman" w:hint="default"/>
        </w:rPr>
        <w:t>vä</w:t>
      </w:r>
      <w:r w:rsidRPr="00A53EAC">
        <w:rPr>
          <w:rFonts w:ascii="Times New Roman" w:eastAsia="Calibri" w:hAnsi="Times New Roman" w:cs="Times New Roman" w:hint="default"/>
        </w:rPr>
        <w:t>zkami (12,7 %), z </w:t>
      </w:r>
      <w:r w:rsidRPr="00A53EAC">
        <w:rPr>
          <w:rFonts w:ascii="Times New Roman" w:eastAsia="Calibri" w:hAnsi="Times New Roman" w:cs="Times New Roman" w:hint="default"/>
        </w:rPr>
        <w:t>ktorý</w:t>
      </w:r>
      <w:r w:rsidRPr="00A53EAC">
        <w:rPr>
          <w:rFonts w:ascii="Times New Roman" w:eastAsia="Calibri" w:hAnsi="Times New Roman" w:cs="Times New Roman" w:hint="default"/>
        </w:rPr>
        <w:t>ch 39,0 % predstavuje zá</w:t>
      </w:r>
      <w:r w:rsidRPr="00A53EAC">
        <w:rPr>
          <w:rFonts w:ascii="Times New Roman" w:eastAsia="Calibri" w:hAnsi="Times New Roman" w:cs="Times New Roman" w:hint="default"/>
        </w:rPr>
        <w:t>vä</w:t>
      </w:r>
      <w:r w:rsidRPr="00A53EAC">
        <w:rPr>
          <w:rFonts w:ascii="Times New Roman" w:eastAsia="Calibri" w:hAnsi="Times New Roman" w:cs="Times New Roman" w:hint="default"/>
        </w:rPr>
        <w:t>zok Slovenska z </w:t>
      </w:r>
      <w:r w:rsidRPr="00A53EAC">
        <w:rPr>
          <w:rFonts w:ascii="Times New Roman" w:eastAsia="Calibri" w:hAnsi="Times New Roman" w:cs="Times New Roman" w:hint="default"/>
        </w:rPr>
        <w:t>EFSF. Zostá</w:t>
      </w:r>
      <w:r w:rsidRPr="00A53EAC">
        <w:rPr>
          <w:rFonts w:ascii="Times New Roman" w:eastAsia="Calibri" w:hAnsi="Times New Roman" w:cs="Times New Roman" w:hint="default"/>
        </w:rPr>
        <w:t>vajú</w:t>
      </w:r>
      <w:r w:rsidRPr="00A53EAC">
        <w:rPr>
          <w:rFonts w:ascii="Times New Roman" w:eastAsia="Calibri" w:hAnsi="Times New Roman" w:cs="Times New Roman" w:hint="default"/>
        </w:rPr>
        <w:t>cich 0,3 % tvorili zá</w:t>
      </w:r>
      <w:r w:rsidRPr="00A53EAC">
        <w:rPr>
          <w:rFonts w:ascii="Times New Roman" w:eastAsia="Calibri" w:hAnsi="Times New Roman" w:cs="Times New Roman" w:hint="default"/>
        </w:rPr>
        <w:t>vä</w:t>
      </w:r>
      <w:r w:rsidRPr="00A53EAC">
        <w:rPr>
          <w:rFonts w:ascii="Times New Roman" w:eastAsia="Calibri" w:hAnsi="Times New Roman" w:cs="Times New Roman" w:hint="default"/>
        </w:rPr>
        <w:t>zky, ktoré</w:t>
      </w:r>
      <w:r w:rsidRPr="00A53EAC">
        <w:rPr>
          <w:rFonts w:ascii="Times New Roman" w:eastAsia="Calibri" w:hAnsi="Times New Roman" w:cs="Times New Roman" w:hint="default"/>
        </w:rPr>
        <w:t xml:space="preserve"> vyplý</w:t>
      </w:r>
      <w:r w:rsidRPr="00A53EAC">
        <w:rPr>
          <w:rFonts w:ascii="Times New Roman" w:eastAsia="Calibri" w:hAnsi="Times New Roman" w:cs="Times New Roman" w:hint="default"/>
        </w:rPr>
        <w:t>vajú</w:t>
      </w:r>
      <w:r w:rsidRPr="00A53EAC">
        <w:rPr>
          <w:rFonts w:ascii="Times New Roman" w:eastAsia="Calibri" w:hAnsi="Times New Roman" w:cs="Times New Roman" w:hint="default"/>
        </w:rPr>
        <w:t xml:space="preserve"> z </w:t>
      </w:r>
      <w:r w:rsidRPr="00A53EAC">
        <w:rPr>
          <w:rFonts w:ascii="Times New Roman" w:eastAsia="Calibri" w:hAnsi="Times New Roman" w:cs="Times New Roman" w:hint="default"/>
        </w:rPr>
        <w:t>vkladov peň</w:t>
      </w:r>
      <w:r w:rsidRPr="00A53EAC">
        <w:rPr>
          <w:rFonts w:ascii="Times New Roman" w:eastAsia="Calibri" w:hAnsi="Times New Roman" w:cs="Times New Roman" w:hint="default"/>
        </w:rPr>
        <w:t>až</w:t>
      </w:r>
      <w:r w:rsidRPr="00A53EAC">
        <w:rPr>
          <w:rFonts w:ascii="Times New Roman" w:eastAsia="Calibri" w:hAnsi="Times New Roman" w:cs="Times New Roman" w:hint="default"/>
        </w:rPr>
        <w:t>ný</w:t>
      </w:r>
      <w:r w:rsidRPr="00A53EAC">
        <w:rPr>
          <w:rFonts w:ascii="Times New Roman" w:eastAsia="Calibri" w:hAnsi="Times New Roman" w:cs="Times New Roman" w:hint="default"/>
        </w:rPr>
        <w:t>ch prostriedkov v </w:t>
      </w:r>
      <w:r w:rsidRPr="00A53EAC">
        <w:rPr>
          <w:rFonts w:ascii="Times New Roman" w:eastAsia="Calibri" w:hAnsi="Times New Roman" w:cs="Times New Roman" w:hint="default"/>
        </w:rPr>
        <w:t>Š</w:t>
      </w:r>
      <w:r w:rsidRPr="00A53EAC">
        <w:rPr>
          <w:rFonts w:ascii="Times New Roman" w:eastAsia="Calibri" w:hAnsi="Times New Roman" w:cs="Times New Roman" w:hint="default"/>
        </w:rPr>
        <w:t>tá</w:t>
      </w:r>
      <w:r w:rsidRPr="00A53EAC">
        <w:rPr>
          <w:rFonts w:ascii="Times New Roman" w:eastAsia="Calibri" w:hAnsi="Times New Roman" w:cs="Times New Roman" w:hint="default"/>
        </w:rPr>
        <w:t>tnej poklad</w:t>
      </w:r>
      <w:r w:rsidRPr="00A53EAC">
        <w:rPr>
          <w:rFonts w:ascii="Times New Roman" w:eastAsia="Calibri" w:hAnsi="Times New Roman" w:cs="Times New Roman" w:hint="default"/>
        </w:rPr>
        <w:t>n</w:t>
      </w:r>
      <w:r w:rsidRPr="00A53EAC">
        <w:rPr>
          <w:rFonts w:ascii="Times New Roman" w:eastAsia="Calibri" w:hAnsi="Times New Roman" w:cs="Times New Roman" w:hint="default"/>
        </w:rPr>
        <w:t>ici tý</w:t>
      </w:r>
      <w:r w:rsidRPr="00A53EAC">
        <w:rPr>
          <w:rFonts w:ascii="Times New Roman" w:eastAsia="Calibri" w:hAnsi="Times New Roman" w:cs="Times New Roman" w:hint="default"/>
        </w:rPr>
        <w:t>ch klientov, ktorí</w:t>
      </w:r>
      <w:r w:rsidRPr="00A53EAC">
        <w:rPr>
          <w:rFonts w:ascii="Times New Roman" w:eastAsia="Calibri" w:hAnsi="Times New Roman" w:cs="Times New Roman" w:hint="default"/>
        </w:rPr>
        <w:t xml:space="preserve"> nie sú</w:t>
      </w:r>
      <w:r w:rsidRPr="00A53EAC">
        <w:rPr>
          <w:rFonts w:ascii="Times New Roman" w:eastAsia="Calibri" w:hAnsi="Times New Roman" w:cs="Times New Roman" w:hint="default"/>
        </w:rPr>
        <w:t xml:space="preserve"> súč</w:t>
      </w:r>
      <w:r w:rsidRPr="00A53EAC">
        <w:rPr>
          <w:rFonts w:ascii="Times New Roman" w:eastAsia="Calibri" w:hAnsi="Times New Roman" w:cs="Times New Roman" w:hint="default"/>
        </w:rPr>
        <w:t>asť</w:t>
      </w:r>
      <w:r w:rsidRPr="00A53EAC">
        <w:rPr>
          <w:rFonts w:ascii="Times New Roman" w:eastAsia="Calibri" w:hAnsi="Times New Roman" w:cs="Times New Roman" w:hint="default"/>
        </w:rPr>
        <w:t>ou verejnej sprá</w:t>
      </w:r>
      <w:r w:rsidRPr="00A53EAC">
        <w:rPr>
          <w:rFonts w:ascii="Times New Roman" w:eastAsia="Calibri" w:hAnsi="Times New Roman" w:cs="Times New Roman" w:hint="default"/>
        </w:rPr>
        <w:t>vy.</w:t>
      </w:r>
    </w:p>
    <w:p w:rsidR="003B78F1" w:rsidRPr="00A53EAC" w:rsidP="003B78F1">
      <w:pPr>
        <w:pStyle w:val="ListParagraph"/>
        <w:numPr>
          <w:numId w:val="15"/>
        </w:numPr>
        <w:bidi w:val="0"/>
        <w:spacing w:after="120" w:line="336" w:lineRule="auto"/>
        <w:jc w:val="both"/>
        <w:rPr>
          <w:rFonts w:ascii="Times New Roman" w:eastAsia="Calibri" w:hAnsi="Times New Roman" w:cs="Times New Roman" w:hint="default"/>
        </w:rPr>
      </w:pPr>
      <w:r w:rsidRPr="00A53EAC">
        <w:rPr>
          <w:rFonts w:ascii="Times New Roman" w:eastAsia="Calibri" w:hAnsi="Times New Roman" w:cs="Times New Roman"/>
        </w:rPr>
        <w:t>Z </w:t>
      </w:r>
      <w:r w:rsidRPr="00A53EAC">
        <w:rPr>
          <w:rFonts w:ascii="Times New Roman" w:eastAsia="Calibri" w:hAnsi="Times New Roman" w:cs="Times New Roman" w:hint="default"/>
        </w:rPr>
        <w:t>hľ</w:t>
      </w:r>
      <w:r w:rsidRPr="00A53EAC">
        <w:rPr>
          <w:rFonts w:ascii="Times New Roman" w:eastAsia="Calibri" w:hAnsi="Times New Roman" w:cs="Times New Roman" w:hint="default"/>
        </w:rPr>
        <w:t>adiska meny bol dlh verejnej sprá</w:t>
      </w:r>
      <w:r w:rsidRPr="00A53EAC">
        <w:rPr>
          <w:rFonts w:ascii="Times New Roman" w:eastAsia="Calibri" w:hAnsi="Times New Roman" w:cs="Times New Roman" w:hint="default"/>
        </w:rPr>
        <w:t>vy v </w:t>
      </w:r>
      <w:r w:rsidRPr="00A53EAC">
        <w:rPr>
          <w:rFonts w:ascii="Times New Roman" w:eastAsia="Calibri" w:hAnsi="Times New Roman" w:cs="Times New Roman" w:hint="default"/>
        </w:rPr>
        <w:t>roku 2014 tvorený</w:t>
      </w:r>
      <w:r w:rsidRPr="00A53EAC">
        <w:rPr>
          <w:rFonts w:ascii="Times New Roman" w:eastAsia="Calibri" w:hAnsi="Times New Roman" w:cs="Times New Roman" w:hint="default"/>
        </w:rPr>
        <w:t xml:space="preserve"> z 92,0 % dlhom v </w:t>
      </w:r>
      <w:r w:rsidRPr="00A53EAC">
        <w:rPr>
          <w:rFonts w:ascii="Times New Roman" w:eastAsia="Calibri" w:hAnsi="Times New Roman" w:cs="Times New Roman" w:hint="default"/>
        </w:rPr>
        <w:t>eurá</w:t>
      </w:r>
      <w:r w:rsidRPr="00A53EAC">
        <w:rPr>
          <w:rFonts w:ascii="Times New Roman" w:eastAsia="Calibri" w:hAnsi="Times New Roman" w:cs="Times New Roman" w:hint="default"/>
        </w:rPr>
        <w:t>ch a 8,0 </w:t>
      </w:r>
      <w:r w:rsidRPr="00A53EAC">
        <w:rPr>
          <w:rFonts w:ascii="Times New Roman" w:eastAsia="Calibri" w:hAnsi="Times New Roman" w:cs="Times New Roman" w:hint="default"/>
        </w:rPr>
        <w:t>% dlhu pripadlo na iné</w:t>
      </w:r>
      <w:r w:rsidRPr="00A53EAC">
        <w:rPr>
          <w:rFonts w:ascii="Times New Roman" w:eastAsia="Calibri" w:hAnsi="Times New Roman" w:cs="Times New Roman" w:hint="default"/>
        </w:rPr>
        <w:t xml:space="preserve"> meny (japonské</w:t>
      </w:r>
      <w:r w:rsidRPr="00A53EAC">
        <w:rPr>
          <w:rFonts w:ascii="Times New Roman" w:eastAsia="Calibri" w:hAnsi="Times New Roman" w:cs="Times New Roman" w:hint="default"/>
        </w:rPr>
        <w:t xml:space="preserve"> jeny, americké</w:t>
      </w:r>
      <w:r w:rsidRPr="00A53EAC">
        <w:rPr>
          <w:rFonts w:ascii="Times New Roman" w:eastAsia="Calibri" w:hAnsi="Times New Roman" w:cs="Times New Roman" w:hint="default"/>
        </w:rPr>
        <w:t xml:space="preserve"> dolá</w:t>
      </w:r>
      <w:r w:rsidRPr="00A53EAC">
        <w:rPr>
          <w:rFonts w:ascii="Times New Roman" w:eastAsia="Calibri" w:hAnsi="Times New Roman" w:cs="Times New Roman" w:hint="default"/>
        </w:rPr>
        <w:t>re, š</w:t>
      </w:r>
      <w:r w:rsidRPr="00A53EAC">
        <w:rPr>
          <w:rFonts w:ascii="Times New Roman" w:eastAsia="Calibri" w:hAnsi="Times New Roman" w:cs="Times New Roman" w:hint="default"/>
        </w:rPr>
        <w:t>vajč</w:t>
      </w:r>
      <w:r w:rsidRPr="00A53EAC">
        <w:rPr>
          <w:rFonts w:ascii="Times New Roman" w:eastAsia="Calibri" w:hAnsi="Times New Roman" w:cs="Times New Roman" w:hint="default"/>
        </w:rPr>
        <w:t>iarske franky, č</w:t>
      </w:r>
      <w:r w:rsidRPr="00A53EAC">
        <w:rPr>
          <w:rFonts w:ascii="Times New Roman" w:eastAsia="Calibri" w:hAnsi="Times New Roman" w:cs="Times New Roman" w:hint="default"/>
        </w:rPr>
        <w:t>eské</w:t>
      </w:r>
      <w:r w:rsidRPr="00A53EAC">
        <w:rPr>
          <w:rFonts w:ascii="Times New Roman" w:eastAsia="Calibri" w:hAnsi="Times New Roman" w:cs="Times New Roman" w:hint="default"/>
        </w:rPr>
        <w:t xml:space="preserve"> koruny).</w:t>
      </w:r>
    </w:p>
    <w:p w:rsidR="003B78F1" w:rsidRPr="00A53EAC" w:rsidP="003B78F1">
      <w:pPr>
        <w:pStyle w:val="ListParagraph"/>
        <w:numPr>
          <w:numId w:val="15"/>
        </w:numPr>
        <w:bidi w:val="0"/>
        <w:spacing w:after="120" w:line="336" w:lineRule="auto"/>
        <w:jc w:val="both"/>
        <w:rPr>
          <w:rFonts w:ascii="Times New Roman" w:eastAsia="Calibri" w:hAnsi="Times New Roman" w:cs="Times New Roman" w:hint="default"/>
        </w:rPr>
      </w:pPr>
      <w:r w:rsidRPr="00A53EAC">
        <w:rPr>
          <w:rFonts w:ascii="Times New Roman" w:eastAsia="Calibri" w:hAnsi="Times New Roman" w:cs="Times New Roman" w:hint="default"/>
        </w:rPr>
        <w:t>Z </w:t>
      </w:r>
      <w:r w:rsidRPr="00A53EAC">
        <w:rPr>
          <w:rFonts w:ascii="Times New Roman" w:eastAsia="Calibri" w:hAnsi="Times New Roman" w:cs="Times New Roman" w:hint="default"/>
        </w:rPr>
        <w:t>hľ</w:t>
      </w:r>
      <w:r w:rsidRPr="00A53EAC">
        <w:rPr>
          <w:rFonts w:ascii="Times New Roman" w:eastAsia="Calibri" w:hAnsi="Times New Roman" w:cs="Times New Roman" w:hint="default"/>
        </w:rPr>
        <w:t>adiska p</w:t>
      </w:r>
      <w:r w:rsidRPr="00A53EAC">
        <w:rPr>
          <w:rFonts w:ascii="Times New Roman" w:eastAsia="Calibri" w:hAnsi="Times New Roman" w:cs="Times New Roman" w:hint="default"/>
        </w:rPr>
        <w:t>ô</w:t>
      </w:r>
      <w:r w:rsidRPr="00A53EAC">
        <w:rPr>
          <w:rFonts w:ascii="Times New Roman" w:eastAsia="Calibri" w:hAnsi="Times New Roman" w:cs="Times New Roman" w:hint="default"/>
        </w:rPr>
        <w:t>vodnej splatnosti dlh pozostá</w:t>
      </w:r>
      <w:r w:rsidRPr="00A53EAC">
        <w:rPr>
          <w:rFonts w:ascii="Times New Roman" w:eastAsia="Calibri" w:hAnsi="Times New Roman" w:cs="Times New Roman" w:hint="default"/>
        </w:rPr>
        <w:t>val z dlhodobé</w:t>
      </w:r>
      <w:r w:rsidRPr="00A53EAC">
        <w:rPr>
          <w:rFonts w:ascii="Times New Roman" w:eastAsia="Calibri" w:hAnsi="Times New Roman" w:cs="Times New Roman" w:hint="default"/>
        </w:rPr>
        <w:t>ho dlhu so splatnosť</w:t>
      </w:r>
      <w:r w:rsidRPr="00A53EAC">
        <w:rPr>
          <w:rFonts w:ascii="Times New Roman" w:eastAsia="Calibri" w:hAnsi="Times New Roman" w:cs="Times New Roman" w:hint="default"/>
        </w:rPr>
        <w:t>ou dlhš</w:t>
      </w:r>
      <w:r w:rsidRPr="00A53EAC">
        <w:rPr>
          <w:rFonts w:ascii="Times New Roman" w:eastAsia="Calibri" w:hAnsi="Times New Roman" w:cs="Times New Roman" w:hint="default"/>
        </w:rPr>
        <w:t>ou ako jeden rok vo výš</w:t>
      </w:r>
      <w:r w:rsidRPr="00A53EAC">
        <w:rPr>
          <w:rFonts w:ascii="Times New Roman" w:eastAsia="Calibri" w:hAnsi="Times New Roman" w:cs="Times New Roman" w:hint="default"/>
        </w:rPr>
        <w:t>ke 99,5 % a z </w:t>
      </w:r>
      <w:r w:rsidRPr="00A53EAC">
        <w:rPr>
          <w:rFonts w:ascii="Times New Roman" w:eastAsia="Calibri" w:hAnsi="Times New Roman" w:cs="Times New Roman" w:hint="default"/>
        </w:rPr>
        <w:t>krá</w:t>
      </w:r>
      <w:r w:rsidRPr="00A53EAC">
        <w:rPr>
          <w:rFonts w:ascii="Times New Roman" w:eastAsia="Calibri" w:hAnsi="Times New Roman" w:cs="Times New Roman" w:hint="default"/>
        </w:rPr>
        <w:t>tkodobé</w:t>
      </w:r>
      <w:r w:rsidRPr="00A53EAC">
        <w:rPr>
          <w:rFonts w:ascii="Times New Roman" w:eastAsia="Calibri" w:hAnsi="Times New Roman" w:cs="Times New Roman" w:hint="default"/>
        </w:rPr>
        <w:t>ho dlhu vo výš</w:t>
      </w:r>
      <w:r w:rsidRPr="00A53EAC">
        <w:rPr>
          <w:rFonts w:ascii="Times New Roman" w:eastAsia="Calibri" w:hAnsi="Times New Roman" w:cs="Times New Roman" w:hint="default"/>
        </w:rPr>
        <w:t>ke 0,5 %.</w:t>
      </w:r>
    </w:p>
    <w:p w:rsidR="003B78F1" w:rsidRPr="00A53EAC" w:rsidP="003B78F1">
      <w:pPr>
        <w:pStyle w:val="ListParagraph"/>
        <w:numPr>
          <w:numId w:val="15"/>
        </w:numPr>
        <w:bidi w:val="0"/>
        <w:spacing w:after="120" w:line="336" w:lineRule="auto"/>
        <w:jc w:val="both"/>
        <w:rPr>
          <w:rFonts w:ascii="Times New Roman" w:eastAsia="Calibri" w:hAnsi="Times New Roman" w:cs="Times New Roman" w:hint="default"/>
        </w:rPr>
      </w:pPr>
      <w:r w:rsidRPr="00A53EAC">
        <w:rPr>
          <w:rFonts w:ascii="Times New Roman" w:eastAsia="Calibri" w:hAnsi="Times New Roman" w:cs="Times New Roman" w:hint="default"/>
        </w:rPr>
        <w:t>Z </w:t>
      </w:r>
      <w:r w:rsidRPr="00A53EAC">
        <w:rPr>
          <w:rFonts w:ascii="Times New Roman" w:eastAsia="Calibri" w:hAnsi="Times New Roman" w:cs="Times New Roman" w:hint="default"/>
        </w:rPr>
        <w:t>hľ</w:t>
      </w:r>
      <w:r w:rsidRPr="00A53EAC">
        <w:rPr>
          <w:rFonts w:ascii="Times New Roman" w:eastAsia="Calibri" w:hAnsi="Times New Roman" w:cs="Times New Roman" w:hint="default"/>
        </w:rPr>
        <w:t>adiska teritoriá</w:t>
      </w:r>
      <w:r w:rsidRPr="00A53EAC">
        <w:rPr>
          <w:rFonts w:ascii="Times New Roman" w:eastAsia="Calibri" w:hAnsi="Times New Roman" w:cs="Times New Roman" w:hint="default"/>
        </w:rPr>
        <w:t>lnej š</w:t>
      </w:r>
      <w:r w:rsidRPr="00A53EAC">
        <w:rPr>
          <w:rFonts w:ascii="Times New Roman" w:eastAsia="Calibri" w:hAnsi="Times New Roman" w:cs="Times New Roman" w:hint="default"/>
        </w:rPr>
        <w:t>truktú</w:t>
      </w:r>
      <w:r w:rsidRPr="00A53EAC">
        <w:rPr>
          <w:rFonts w:ascii="Times New Roman" w:eastAsia="Calibri" w:hAnsi="Times New Roman" w:cs="Times New Roman" w:hint="default"/>
        </w:rPr>
        <w:t>ry pripadalo na tuzemský</w:t>
      </w:r>
      <w:r w:rsidRPr="00A53EAC">
        <w:rPr>
          <w:rFonts w:ascii="Times New Roman" w:eastAsia="Calibri" w:hAnsi="Times New Roman" w:cs="Times New Roman" w:hint="default"/>
        </w:rPr>
        <w:t>ch veriteľ</w:t>
      </w:r>
      <w:r w:rsidRPr="00A53EAC">
        <w:rPr>
          <w:rFonts w:ascii="Times New Roman" w:eastAsia="Calibri" w:hAnsi="Times New Roman" w:cs="Times New Roman" w:hint="default"/>
        </w:rPr>
        <w:t>ov 39,2 % a na </w:t>
      </w:r>
      <w:r w:rsidRPr="00A53EAC">
        <w:rPr>
          <w:rFonts w:ascii="Times New Roman" w:eastAsia="Calibri" w:hAnsi="Times New Roman" w:cs="Times New Roman" w:hint="default"/>
        </w:rPr>
        <w:t>zahranič</w:t>
      </w:r>
      <w:r w:rsidRPr="00A53EAC">
        <w:rPr>
          <w:rFonts w:ascii="Times New Roman" w:eastAsia="Calibri" w:hAnsi="Times New Roman" w:cs="Times New Roman" w:hint="default"/>
        </w:rPr>
        <w:t>ný</w:t>
      </w:r>
      <w:r w:rsidRPr="00A53EAC">
        <w:rPr>
          <w:rFonts w:ascii="Times New Roman" w:eastAsia="Calibri" w:hAnsi="Times New Roman" w:cs="Times New Roman" w:hint="default"/>
        </w:rPr>
        <w:t>ch veriteľ</w:t>
      </w:r>
      <w:r w:rsidRPr="00A53EAC">
        <w:rPr>
          <w:rFonts w:ascii="Times New Roman" w:eastAsia="Calibri" w:hAnsi="Times New Roman" w:cs="Times New Roman" w:hint="default"/>
        </w:rPr>
        <w:t>ov 60,8 % z c</w:t>
      </w:r>
      <w:r w:rsidRPr="00A53EAC">
        <w:rPr>
          <w:rFonts w:ascii="Times New Roman" w:eastAsia="Calibri" w:hAnsi="Times New Roman" w:cs="Times New Roman" w:hint="default"/>
        </w:rPr>
        <w:t>elkové</w:t>
      </w:r>
      <w:r w:rsidRPr="00A53EAC">
        <w:rPr>
          <w:rFonts w:ascii="Times New Roman" w:eastAsia="Calibri" w:hAnsi="Times New Roman" w:cs="Times New Roman" w:hint="default"/>
        </w:rPr>
        <w:t>ho dlhu. Tuzemský</w:t>
      </w:r>
      <w:r w:rsidRPr="00A53EAC">
        <w:rPr>
          <w:rFonts w:ascii="Times New Roman" w:eastAsia="Calibri" w:hAnsi="Times New Roman" w:cs="Times New Roman" w:hint="default"/>
        </w:rPr>
        <w:t>mi veriteľ</w:t>
      </w:r>
      <w:r w:rsidRPr="00A53EAC">
        <w:rPr>
          <w:rFonts w:ascii="Times New Roman" w:eastAsia="Calibri" w:hAnsi="Times New Roman" w:cs="Times New Roman" w:hint="default"/>
        </w:rPr>
        <w:t>mi sú</w:t>
      </w:r>
      <w:r w:rsidRPr="00A53EAC">
        <w:rPr>
          <w:rFonts w:ascii="Times New Roman" w:eastAsia="Calibri" w:hAnsi="Times New Roman" w:cs="Times New Roman" w:hint="default"/>
        </w:rPr>
        <w:t xml:space="preserve"> predovš</w:t>
      </w:r>
      <w:r w:rsidRPr="00A53EAC">
        <w:rPr>
          <w:rFonts w:ascii="Times New Roman" w:eastAsia="Calibri" w:hAnsi="Times New Roman" w:cs="Times New Roman" w:hint="default"/>
        </w:rPr>
        <w:t>etký</w:t>
      </w:r>
      <w:r w:rsidRPr="00A53EAC">
        <w:rPr>
          <w:rFonts w:ascii="Times New Roman" w:eastAsia="Calibri" w:hAnsi="Times New Roman" w:cs="Times New Roman" w:hint="default"/>
        </w:rPr>
        <w:t>m finanč</w:t>
      </w:r>
      <w:r w:rsidRPr="00A53EAC">
        <w:rPr>
          <w:rFonts w:ascii="Times New Roman" w:eastAsia="Calibri" w:hAnsi="Times New Roman" w:cs="Times New Roman" w:hint="default"/>
        </w:rPr>
        <w:t>né</w:t>
      </w:r>
      <w:r w:rsidRPr="00A53EAC">
        <w:rPr>
          <w:rFonts w:ascii="Times New Roman" w:eastAsia="Calibri" w:hAnsi="Times New Roman" w:cs="Times New Roman" w:hint="default"/>
        </w:rPr>
        <w:t xml:space="preserve"> korporá</w:t>
      </w:r>
      <w:r w:rsidRPr="00A53EAC">
        <w:rPr>
          <w:rFonts w:ascii="Times New Roman" w:eastAsia="Calibri" w:hAnsi="Times New Roman" w:cs="Times New Roman" w:hint="default"/>
        </w:rPr>
        <w:t>cie, ktorý</w:t>
      </w:r>
      <w:r w:rsidRPr="00A53EAC">
        <w:rPr>
          <w:rFonts w:ascii="Times New Roman" w:eastAsia="Calibri" w:hAnsi="Times New Roman" w:cs="Times New Roman" w:hint="default"/>
        </w:rPr>
        <w:t>ch podiel na celkovom dlhu predstavuje 38,6 %.</w:t>
      </w:r>
    </w:p>
    <w:p w:rsidR="003A760D" w:rsidRPr="0094291A" w:rsidP="001767F0">
      <w:pPr>
        <w:pStyle w:val="Heading2"/>
        <w:bidi w:val="0"/>
        <w:spacing w:before="120" w:after="120" w:line="336" w:lineRule="auto"/>
        <w:ind w:left="425" w:hanging="425"/>
        <w:rPr>
          <w:rFonts w:eastAsiaTheme="minorHAnsi"/>
        </w:rPr>
      </w:pPr>
      <w:bookmarkStart w:id="30" w:name="_Toc433099270"/>
      <w:bookmarkStart w:id="31" w:name="_Toc433099558"/>
      <w:r w:rsidRPr="0094291A">
        <w:rPr>
          <w:rFonts w:eastAsiaTheme="minorHAnsi"/>
        </w:rPr>
        <w:t>Porovnanie salda a dlhu verejnej správy v rámci Európskej únie</w:t>
      </w:r>
      <w:bookmarkEnd w:id="23"/>
      <w:bookmarkEnd w:id="29"/>
      <w:bookmarkEnd w:id="30"/>
      <w:bookmarkEnd w:id="31"/>
    </w:p>
    <w:p w:rsidR="0094291A" w:rsidRPr="008F41B1" w:rsidP="00785F44">
      <w:pPr>
        <w:bidi w:val="0"/>
        <w:spacing w:after="120" w:line="336" w:lineRule="auto"/>
        <w:jc w:val="both"/>
        <w:rPr>
          <w:rFonts w:ascii="Times New Roman" w:eastAsia="Calibri" w:hAnsi="Times New Roman" w:cs="Times New Roman" w:hint="default"/>
          <w:b/>
        </w:rPr>
      </w:pPr>
      <w:bookmarkStart w:id="32" w:name="_Toc399324360"/>
      <w:r w:rsidRPr="001E6B33">
        <w:rPr>
          <w:rFonts w:ascii="Times New Roman" w:eastAsia="Calibri" w:hAnsi="Times New Roman" w:cs="Times New Roman"/>
        </w:rPr>
        <w:t>V </w:t>
      </w:r>
      <w:r w:rsidRPr="001E6B33">
        <w:rPr>
          <w:rFonts w:ascii="Times New Roman" w:eastAsia="Calibri" w:hAnsi="Times New Roman" w:cs="Times New Roman" w:hint="default"/>
        </w:rPr>
        <w:t>rá</w:t>
      </w:r>
      <w:r w:rsidRPr="001E6B33">
        <w:rPr>
          <w:rFonts w:ascii="Times New Roman" w:eastAsia="Calibri" w:hAnsi="Times New Roman" w:cs="Times New Roman" w:hint="default"/>
        </w:rPr>
        <w:t>mci Euró</w:t>
      </w:r>
      <w:r w:rsidRPr="001E6B33">
        <w:rPr>
          <w:rFonts w:ascii="Times New Roman" w:eastAsia="Calibri" w:hAnsi="Times New Roman" w:cs="Times New Roman" w:hint="default"/>
        </w:rPr>
        <w:t>pskej ú</w:t>
      </w:r>
      <w:r w:rsidRPr="001E6B33">
        <w:rPr>
          <w:rFonts w:ascii="Times New Roman" w:eastAsia="Calibri" w:hAnsi="Times New Roman" w:cs="Times New Roman" w:hint="default"/>
        </w:rPr>
        <w:t>nie (28 krají</w:t>
      </w:r>
      <w:r w:rsidRPr="001E6B33">
        <w:rPr>
          <w:rFonts w:ascii="Times New Roman" w:eastAsia="Calibri" w:hAnsi="Times New Roman" w:cs="Times New Roman" w:hint="default"/>
        </w:rPr>
        <w:t>n) v roku 201</w:t>
      </w:r>
      <w:r>
        <w:rPr>
          <w:rFonts w:ascii="Times New Roman" w:eastAsia="Calibri" w:hAnsi="Times New Roman" w:cs="Times New Roman"/>
        </w:rPr>
        <w:t>4</w:t>
      </w:r>
      <w:r w:rsidRPr="001E6B33">
        <w:rPr>
          <w:rFonts w:ascii="Times New Roman" w:eastAsia="Calibri" w:hAnsi="Times New Roman" w:cs="Times New Roman"/>
        </w:rPr>
        <w:t xml:space="preserve"> dosiahlo </w:t>
      </w:r>
      <w:r>
        <w:rPr>
          <w:rFonts w:ascii="Times New Roman" w:eastAsia="Calibri" w:hAnsi="Times New Roman" w:cs="Times New Roman"/>
        </w:rPr>
        <w:t>1</w:t>
      </w:r>
      <w:r w:rsidR="007E6F46">
        <w:rPr>
          <w:rFonts w:ascii="Times New Roman" w:eastAsia="Calibri" w:hAnsi="Times New Roman" w:cs="Times New Roman"/>
        </w:rPr>
        <w:t>4</w:t>
      </w:r>
      <w:r w:rsidRPr="001E6B33">
        <w:rPr>
          <w:rFonts w:ascii="Times New Roman" w:eastAsia="Calibri" w:hAnsi="Times New Roman" w:cs="Times New Roman" w:hint="default"/>
        </w:rPr>
        <w:t xml:space="preserve"> krají</w:t>
      </w:r>
      <w:r w:rsidRPr="001E6B33">
        <w:rPr>
          <w:rFonts w:ascii="Times New Roman" w:eastAsia="Calibri" w:hAnsi="Times New Roman" w:cs="Times New Roman" w:hint="default"/>
        </w:rPr>
        <w:t>n vyšší</w:t>
      </w:r>
      <w:r w:rsidRPr="001E6B33">
        <w:rPr>
          <w:rFonts w:ascii="Times New Roman" w:eastAsia="Calibri" w:hAnsi="Times New Roman" w:cs="Times New Roman" w:hint="default"/>
        </w:rPr>
        <w:t xml:space="preserve"> schodok a </w:t>
      </w:r>
      <w:r>
        <w:rPr>
          <w:rFonts w:ascii="Times New Roman" w:eastAsia="Calibri" w:hAnsi="Times New Roman" w:cs="Times New Roman"/>
        </w:rPr>
        <w:t>1</w:t>
      </w:r>
      <w:r w:rsidR="007E6F46">
        <w:rPr>
          <w:rFonts w:ascii="Times New Roman" w:eastAsia="Calibri" w:hAnsi="Times New Roman" w:cs="Times New Roman"/>
        </w:rPr>
        <w:t>7</w:t>
      </w:r>
      <w:r w:rsidRPr="001E6B33">
        <w:rPr>
          <w:rFonts w:ascii="Times New Roman" w:eastAsia="Calibri" w:hAnsi="Times New Roman" w:cs="Times New Roman" w:hint="default"/>
        </w:rPr>
        <w:t xml:space="preserve"> krají</w:t>
      </w:r>
      <w:r w:rsidRPr="001E6B33">
        <w:rPr>
          <w:rFonts w:ascii="Times New Roman" w:eastAsia="Calibri" w:hAnsi="Times New Roman" w:cs="Times New Roman" w:hint="default"/>
        </w:rPr>
        <w:t>n dosiahlo vyšší</w:t>
      </w:r>
      <w:r w:rsidRPr="001E6B33">
        <w:rPr>
          <w:rFonts w:ascii="Times New Roman" w:eastAsia="Calibri" w:hAnsi="Times New Roman" w:cs="Times New Roman" w:hint="default"/>
        </w:rPr>
        <w:t xml:space="preserve"> dlh verejnej sprá</w:t>
      </w:r>
      <w:r w:rsidRPr="001E6B33">
        <w:rPr>
          <w:rFonts w:ascii="Times New Roman" w:eastAsia="Calibri" w:hAnsi="Times New Roman" w:cs="Times New Roman" w:hint="default"/>
        </w:rPr>
        <w:t>vy ako Slovenská</w:t>
      </w:r>
      <w:r w:rsidRPr="001E6B33">
        <w:rPr>
          <w:rFonts w:ascii="Times New Roman" w:eastAsia="Calibri" w:hAnsi="Times New Roman" w:cs="Times New Roman" w:hint="default"/>
        </w:rPr>
        <w:t xml:space="preserve"> republika. </w:t>
      </w:r>
      <w:r w:rsidRPr="008F41B1">
        <w:rPr>
          <w:rFonts w:ascii="Times New Roman" w:eastAsia="Calibri" w:hAnsi="Times New Roman" w:cs="Times New Roman" w:hint="default"/>
          <w:b/>
        </w:rPr>
        <w:t>Priemerný</w:t>
      </w:r>
      <w:r w:rsidRPr="008F41B1">
        <w:rPr>
          <w:rFonts w:ascii="Times New Roman" w:eastAsia="Calibri" w:hAnsi="Times New Roman" w:cs="Times New Roman" w:hint="default"/>
          <w:b/>
        </w:rPr>
        <w:t xml:space="preserve"> schodok EÚ </w:t>
      </w:r>
      <w:r w:rsidRPr="008F41B1">
        <w:rPr>
          <w:rFonts w:ascii="Times New Roman" w:eastAsia="Calibri" w:hAnsi="Times New Roman" w:cs="Times New Roman" w:hint="default"/>
          <w:b/>
        </w:rPr>
        <w:t>28 bol 3,0 % HDP (Slovensko 2,8 % HDP) a </w:t>
      </w:r>
      <w:r w:rsidRPr="008F41B1">
        <w:rPr>
          <w:rFonts w:ascii="Times New Roman" w:eastAsia="Calibri" w:hAnsi="Times New Roman" w:cs="Times New Roman" w:hint="default"/>
          <w:b/>
        </w:rPr>
        <w:t>priemerný</w:t>
      </w:r>
      <w:r w:rsidRPr="008F41B1">
        <w:rPr>
          <w:rFonts w:ascii="Times New Roman" w:eastAsia="Calibri" w:hAnsi="Times New Roman" w:cs="Times New Roman" w:hint="default"/>
          <w:b/>
        </w:rPr>
        <w:t xml:space="preserve"> dlh verejnej sprá</w:t>
      </w:r>
      <w:r w:rsidRPr="008F41B1">
        <w:rPr>
          <w:rFonts w:ascii="Times New Roman" w:eastAsia="Calibri" w:hAnsi="Times New Roman" w:cs="Times New Roman" w:hint="default"/>
          <w:b/>
        </w:rPr>
        <w:t>vy EÚ </w:t>
      </w:r>
      <w:r w:rsidRPr="008F41B1">
        <w:rPr>
          <w:rFonts w:ascii="Times New Roman" w:eastAsia="Calibri" w:hAnsi="Times New Roman" w:cs="Times New Roman" w:hint="default"/>
          <w:b/>
        </w:rPr>
        <w:t>28 bol 86,8 % HDP (Slovensko 53,5 % HDP) v roku 2014.</w:t>
      </w:r>
    </w:p>
    <w:p w:rsidR="0094291A" w:rsidRPr="001E6B33" w:rsidP="00785F44">
      <w:pPr>
        <w:bidi w:val="0"/>
        <w:spacing w:after="120" w:line="336" w:lineRule="auto"/>
        <w:jc w:val="both"/>
        <w:rPr>
          <w:rFonts w:ascii="Times New Roman" w:eastAsia="Calibri" w:hAnsi="Times New Roman" w:cs="Times New Roman"/>
        </w:rPr>
      </w:pPr>
      <w:r w:rsidRPr="001E6B33">
        <w:rPr>
          <w:rFonts w:ascii="Times New Roman" w:eastAsia="Calibri" w:hAnsi="Times New Roman" w:cs="Times New Roman" w:hint="default"/>
        </w:rPr>
        <w:t>Najvyšš</w:t>
      </w:r>
      <w:r w:rsidRPr="001E6B33">
        <w:rPr>
          <w:rFonts w:ascii="Times New Roman" w:eastAsia="Calibri" w:hAnsi="Times New Roman" w:cs="Times New Roman" w:hint="default"/>
        </w:rPr>
        <w:t>ie sch</w:t>
      </w:r>
      <w:r w:rsidRPr="001E6B33">
        <w:rPr>
          <w:rFonts w:ascii="Times New Roman" w:eastAsia="Calibri" w:hAnsi="Times New Roman" w:cs="Times New Roman" w:hint="default"/>
        </w:rPr>
        <w:t>odky verejnej sprá</w:t>
      </w:r>
      <w:r w:rsidRPr="001E6B33">
        <w:rPr>
          <w:rFonts w:ascii="Times New Roman" w:eastAsia="Calibri" w:hAnsi="Times New Roman" w:cs="Times New Roman" w:hint="default"/>
        </w:rPr>
        <w:t>vy v </w:t>
      </w:r>
      <w:r w:rsidRPr="001E6B33">
        <w:rPr>
          <w:rFonts w:ascii="Times New Roman" w:eastAsia="Calibri" w:hAnsi="Times New Roman" w:cs="Times New Roman" w:hint="default"/>
        </w:rPr>
        <w:t>rá</w:t>
      </w:r>
      <w:r w:rsidRPr="001E6B33">
        <w:rPr>
          <w:rFonts w:ascii="Times New Roman" w:eastAsia="Calibri" w:hAnsi="Times New Roman" w:cs="Times New Roman" w:hint="default"/>
        </w:rPr>
        <w:t>mci EÚ </w:t>
      </w:r>
      <w:r w:rsidRPr="001E6B33">
        <w:rPr>
          <w:rFonts w:ascii="Times New Roman" w:eastAsia="Calibri" w:hAnsi="Times New Roman" w:cs="Times New Roman" w:hint="default"/>
        </w:rPr>
        <w:t>28 v roku 201</w:t>
      </w:r>
      <w:r>
        <w:rPr>
          <w:rFonts w:ascii="Times New Roman" w:eastAsia="Calibri" w:hAnsi="Times New Roman" w:cs="Times New Roman"/>
        </w:rPr>
        <w:t>4</w:t>
      </w:r>
      <w:r w:rsidRPr="001E6B33">
        <w:rPr>
          <w:rFonts w:ascii="Times New Roman" w:eastAsia="Calibri" w:hAnsi="Times New Roman" w:cs="Times New Roman" w:hint="default"/>
        </w:rPr>
        <w:t xml:space="preserve"> vyká</w:t>
      </w:r>
      <w:r w:rsidRPr="001E6B33">
        <w:rPr>
          <w:rFonts w:ascii="Times New Roman" w:eastAsia="Calibri" w:hAnsi="Times New Roman" w:cs="Times New Roman" w:hint="default"/>
        </w:rPr>
        <w:t xml:space="preserve">zali </w:t>
      </w:r>
      <w:r w:rsidR="008F41B1">
        <w:rPr>
          <w:rFonts w:ascii="Times New Roman" w:eastAsia="Calibri" w:hAnsi="Times New Roman" w:cs="Times New Roman"/>
        </w:rPr>
        <w:t xml:space="preserve">rovnako </w:t>
      </w:r>
      <w:r w:rsidRPr="001E6B33">
        <w:rPr>
          <w:rFonts w:ascii="Times New Roman" w:eastAsia="Calibri" w:hAnsi="Times New Roman" w:cs="Times New Roman"/>
        </w:rPr>
        <w:t>ako v </w:t>
      </w:r>
      <w:r w:rsidRPr="001E6B33">
        <w:rPr>
          <w:rFonts w:ascii="Times New Roman" w:eastAsia="Calibri" w:hAnsi="Times New Roman" w:cs="Times New Roman" w:hint="default"/>
        </w:rPr>
        <w:t>predchá</w:t>
      </w:r>
      <w:r w:rsidRPr="001E6B33">
        <w:rPr>
          <w:rFonts w:ascii="Times New Roman" w:eastAsia="Calibri" w:hAnsi="Times New Roman" w:cs="Times New Roman" w:hint="default"/>
        </w:rPr>
        <w:t>dzajú</w:t>
      </w:r>
      <w:r w:rsidRPr="001E6B33">
        <w:rPr>
          <w:rFonts w:ascii="Times New Roman" w:eastAsia="Calibri" w:hAnsi="Times New Roman" w:cs="Times New Roman" w:hint="default"/>
        </w:rPr>
        <w:t>com roku krajiny najviac postihnuté</w:t>
      </w:r>
      <w:r w:rsidRPr="001E6B33">
        <w:rPr>
          <w:rFonts w:ascii="Times New Roman" w:eastAsia="Calibri" w:hAnsi="Times New Roman" w:cs="Times New Roman" w:hint="default"/>
        </w:rPr>
        <w:t xml:space="preserve"> ekonomickou a </w:t>
      </w:r>
      <w:r w:rsidRPr="001E6B33">
        <w:rPr>
          <w:rFonts w:ascii="Times New Roman" w:eastAsia="Calibri" w:hAnsi="Times New Roman" w:cs="Times New Roman" w:hint="default"/>
        </w:rPr>
        <w:t>finanč</w:t>
      </w:r>
      <w:r w:rsidRPr="001E6B33">
        <w:rPr>
          <w:rFonts w:ascii="Times New Roman" w:eastAsia="Calibri" w:hAnsi="Times New Roman" w:cs="Times New Roman" w:hint="default"/>
        </w:rPr>
        <w:t>nou krí</w:t>
      </w:r>
      <w:r w:rsidRPr="001E6B33">
        <w:rPr>
          <w:rFonts w:ascii="Times New Roman" w:eastAsia="Calibri" w:hAnsi="Times New Roman" w:cs="Times New Roman" w:hint="default"/>
        </w:rPr>
        <w:t>zou, hoci podobne ako Slovensku sa im podarilo schodky pomerne vý</w:t>
      </w:r>
      <w:r w:rsidRPr="001E6B33">
        <w:rPr>
          <w:rFonts w:ascii="Times New Roman" w:eastAsia="Calibri" w:hAnsi="Times New Roman" w:cs="Times New Roman" w:hint="default"/>
        </w:rPr>
        <w:t>razne zníž</w:t>
      </w:r>
      <w:r w:rsidRPr="001E6B33">
        <w:rPr>
          <w:rFonts w:ascii="Times New Roman" w:eastAsia="Calibri" w:hAnsi="Times New Roman" w:cs="Times New Roman" w:hint="default"/>
        </w:rPr>
        <w:t>iť</w:t>
      </w:r>
      <w:r w:rsidRPr="001E6B33">
        <w:rPr>
          <w:rFonts w:ascii="Times New Roman" w:eastAsia="Calibri" w:hAnsi="Times New Roman" w:cs="Times New Roman" w:hint="default"/>
        </w:rPr>
        <w:t>. Gré</w:t>
      </w:r>
      <w:r w:rsidRPr="001E6B33">
        <w:rPr>
          <w:rFonts w:ascii="Times New Roman" w:eastAsia="Calibri" w:hAnsi="Times New Roman" w:cs="Times New Roman" w:hint="default"/>
        </w:rPr>
        <w:t xml:space="preserve">cko dosiahlo schodok </w:t>
      </w:r>
      <w:r>
        <w:rPr>
          <w:rFonts w:ascii="Times New Roman" w:eastAsia="Calibri" w:hAnsi="Times New Roman" w:cs="Times New Roman"/>
        </w:rPr>
        <w:t>3,6</w:t>
      </w:r>
      <w:r w:rsidRPr="001E6B33">
        <w:rPr>
          <w:rFonts w:ascii="Times New Roman" w:eastAsia="Calibri" w:hAnsi="Times New Roman" w:cs="Times New Roman"/>
        </w:rPr>
        <w:t> </w:t>
      </w:r>
      <w:r w:rsidRPr="001E6B33">
        <w:rPr>
          <w:rFonts w:ascii="Times New Roman" w:eastAsia="Calibri" w:hAnsi="Times New Roman" w:cs="Times New Roman"/>
        </w:rPr>
        <w:t>%</w:t>
      </w:r>
      <w:r>
        <w:rPr>
          <w:rFonts w:ascii="Times New Roman" w:eastAsia="Calibri" w:hAnsi="Times New Roman" w:cs="Times New Roman"/>
        </w:rPr>
        <w:t> </w:t>
      </w:r>
      <w:r w:rsidRPr="001E6B33">
        <w:rPr>
          <w:rFonts w:ascii="Times New Roman" w:eastAsia="Calibri" w:hAnsi="Times New Roman" w:cs="Times New Roman"/>
        </w:rPr>
        <w:t>HD</w:t>
      </w:r>
      <w:r w:rsidRPr="001E6B33">
        <w:rPr>
          <w:rFonts w:ascii="Times New Roman" w:eastAsia="Calibri" w:hAnsi="Times New Roman" w:cs="Times New Roman" w:hint="default"/>
        </w:rPr>
        <w:t>P, Š</w:t>
      </w:r>
      <w:r w:rsidRPr="001E6B33">
        <w:rPr>
          <w:rFonts w:ascii="Times New Roman" w:eastAsia="Calibri" w:hAnsi="Times New Roman" w:cs="Times New Roman" w:hint="default"/>
        </w:rPr>
        <w:t xml:space="preserve">panielsko </w:t>
      </w:r>
      <w:r>
        <w:rPr>
          <w:rFonts w:ascii="Times New Roman" w:eastAsia="Calibri" w:hAnsi="Times New Roman" w:cs="Times New Roman"/>
        </w:rPr>
        <w:t xml:space="preserve">5,9 % HDP, </w:t>
      </w:r>
      <w:r w:rsidRPr="001E6B33">
        <w:rPr>
          <w:rFonts w:ascii="Times New Roman" w:eastAsia="Calibri" w:hAnsi="Times New Roman" w:cs="Times New Roman" w:hint="default"/>
        </w:rPr>
        <w:t>Í</w:t>
      </w:r>
      <w:r w:rsidRPr="001E6B33">
        <w:rPr>
          <w:rFonts w:ascii="Times New Roman" w:eastAsia="Calibri" w:hAnsi="Times New Roman" w:cs="Times New Roman" w:hint="default"/>
        </w:rPr>
        <w:t xml:space="preserve">rsko </w:t>
      </w:r>
      <w:r>
        <w:rPr>
          <w:rFonts w:ascii="Times New Roman" w:eastAsia="Calibri" w:hAnsi="Times New Roman" w:cs="Times New Roman"/>
        </w:rPr>
        <w:t>3,9</w:t>
      </w:r>
      <w:r w:rsidRPr="001E6B33">
        <w:rPr>
          <w:rFonts w:ascii="Times New Roman" w:eastAsia="Calibri" w:hAnsi="Times New Roman" w:cs="Times New Roman"/>
        </w:rPr>
        <w:t> </w:t>
      </w:r>
      <w:r w:rsidRPr="001E6B33">
        <w:rPr>
          <w:rFonts w:ascii="Times New Roman" w:eastAsia="Calibri" w:hAnsi="Times New Roman" w:cs="Times New Roman" w:hint="default"/>
        </w:rPr>
        <w:t>% HDP. Ú</w:t>
      </w:r>
      <w:r w:rsidRPr="001E6B33">
        <w:rPr>
          <w:rFonts w:ascii="Times New Roman" w:eastAsia="Calibri" w:hAnsi="Times New Roman" w:cs="Times New Roman" w:hint="default"/>
        </w:rPr>
        <w:t>plne najvyšší</w:t>
      </w:r>
      <w:r w:rsidRPr="001E6B33">
        <w:rPr>
          <w:rFonts w:ascii="Times New Roman" w:eastAsia="Calibri" w:hAnsi="Times New Roman" w:cs="Times New Roman" w:hint="default"/>
        </w:rPr>
        <w:t xml:space="preserve"> schodok v roku 201</w:t>
      </w:r>
      <w:r>
        <w:rPr>
          <w:rFonts w:ascii="Times New Roman" w:eastAsia="Calibri" w:hAnsi="Times New Roman" w:cs="Times New Roman"/>
        </w:rPr>
        <w:t>4</w:t>
      </w:r>
      <w:r w:rsidRPr="001E6B33">
        <w:rPr>
          <w:rFonts w:ascii="Times New Roman" w:eastAsia="Calibri" w:hAnsi="Times New Roman" w:cs="Times New Roman" w:hint="default"/>
        </w:rPr>
        <w:t xml:space="preserve"> vyká</w:t>
      </w:r>
      <w:r w:rsidRPr="001E6B33">
        <w:rPr>
          <w:rFonts w:ascii="Times New Roman" w:eastAsia="Calibri" w:hAnsi="Times New Roman" w:cs="Times New Roman" w:hint="default"/>
        </w:rPr>
        <w:t xml:space="preserve">zal </w:t>
      </w:r>
      <w:r>
        <w:rPr>
          <w:rFonts w:ascii="Times New Roman" w:eastAsia="Calibri" w:hAnsi="Times New Roman" w:cs="Times New Roman"/>
        </w:rPr>
        <w:t>Cyprus</w:t>
      </w:r>
      <w:r w:rsidRPr="001E6B33">
        <w:rPr>
          <w:rFonts w:ascii="Times New Roman" w:eastAsia="Calibri" w:hAnsi="Times New Roman" w:cs="Times New Roman" w:hint="default"/>
        </w:rPr>
        <w:t xml:space="preserve"> vo výš</w:t>
      </w:r>
      <w:r w:rsidRPr="001E6B33">
        <w:rPr>
          <w:rFonts w:ascii="Times New Roman" w:eastAsia="Calibri" w:hAnsi="Times New Roman" w:cs="Times New Roman" w:hint="default"/>
        </w:rPr>
        <w:t xml:space="preserve">ke </w:t>
      </w:r>
      <w:r>
        <w:rPr>
          <w:rFonts w:ascii="Times New Roman" w:eastAsia="Calibri" w:hAnsi="Times New Roman" w:cs="Times New Roman"/>
        </w:rPr>
        <w:t>8,9</w:t>
      </w:r>
      <w:r w:rsidRPr="001E6B33">
        <w:rPr>
          <w:rFonts w:ascii="Times New Roman" w:eastAsia="Calibri" w:hAnsi="Times New Roman" w:cs="Times New Roman"/>
        </w:rPr>
        <w:t> </w:t>
      </w:r>
      <w:r w:rsidRPr="001E6B33">
        <w:rPr>
          <w:rFonts w:ascii="Times New Roman" w:eastAsia="Calibri" w:hAnsi="Times New Roman" w:cs="Times New Roman"/>
        </w:rPr>
        <w:t>% HDP</w:t>
      </w:r>
      <w:r>
        <w:rPr>
          <w:rFonts w:ascii="Times New Roman" w:eastAsia="Calibri" w:hAnsi="Times New Roman" w:cs="Times New Roman"/>
        </w:rPr>
        <w:t xml:space="preserve">. </w:t>
      </w:r>
      <w:r w:rsidRPr="001E6B33">
        <w:rPr>
          <w:rFonts w:ascii="Times New Roman" w:eastAsia="Calibri" w:hAnsi="Times New Roman" w:cs="Times New Roman"/>
        </w:rPr>
        <w:t>Medzi krajiny s </w:t>
      </w:r>
      <w:r w:rsidRPr="001E6B33">
        <w:rPr>
          <w:rFonts w:ascii="Times New Roman" w:eastAsia="Calibri" w:hAnsi="Times New Roman" w:cs="Times New Roman" w:hint="default"/>
        </w:rPr>
        <w:t>najnižší</w:t>
      </w:r>
      <w:r w:rsidRPr="001E6B33">
        <w:rPr>
          <w:rFonts w:ascii="Times New Roman" w:eastAsia="Calibri" w:hAnsi="Times New Roman" w:cs="Times New Roman" w:hint="default"/>
        </w:rPr>
        <w:t>m schodkom patrili tradič</w:t>
      </w:r>
      <w:r w:rsidRPr="001E6B33">
        <w:rPr>
          <w:rFonts w:ascii="Times New Roman" w:eastAsia="Calibri" w:hAnsi="Times New Roman" w:cs="Times New Roman" w:hint="default"/>
        </w:rPr>
        <w:t>ne severské</w:t>
      </w:r>
      <w:r w:rsidRPr="001E6B33">
        <w:rPr>
          <w:rFonts w:ascii="Times New Roman" w:eastAsia="Calibri" w:hAnsi="Times New Roman" w:cs="Times New Roman" w:hint="default"/>
        </w:rPr>
        <w:t xml:space="preserve"> a </w:t>
      </w:r>
      <w:r w:rsidRPr="001E6B33">
        <w:rPr>
          <w:rFonts w:ascii="Times New Roman" w:eastAsia="Calibri" w:hAnsi="Times New Roman" w:cs="Times New Roman" w:hint="default"/>
        </w:rPr>
        <w:t>pobaltské</w:t>
      </w:r>
      <w:r w:rsidRPr="001E6B33">
        <w:rPr>
          <w:rFonts w:ascii="Times New Roman" w:eastAsia="Calibri" w:hAnsi="Times New Roman" w:cs="Times New Roman" w:hint="default"/>
        </w:rPr>
        <w:t xml:space="preserve"> krajiny. </w:t>
      </w:r>
      <w:r>
        <w:rPr>
          <w:rFonts w:ascii="Times New Roman" w:eastAsia="Calibri" w:hAnsi="Times New Roman" w:cs="Times New Roman" w:hint="default"/>
        </w:rPr>
        <w:t>Dá</w:t>
      </w:r>
      <w:r>
        <w:rPr>
          <w:rFonts w:ascii="Times New Roman" w:eastAsia="Calibri" w:hAnsi="Times New Roman" w:cs="Times New Roman" w:hint="default"/>
        </w:rPr>
        <w:t xml:space="preserve">nsko, </w:t>
      </w:r>
      <w:r w:rsidRPr="001E6B33">
        <w:rPr>
          <w:rFonts w:ascii="Times New Roman" w:eastAsia="Calibri" w:hAnsi="Times New Roman" w:cs="Times New Roman"/>
        </w:rPr>
        <w:t>Luxembursko</w:t>
      </w:r>
      <w:r>
        <w:rPr>
          <w:rFonts w:ascii="Times New Roman" w:eastAsia="Calibri" w:hAnsi="Times New Roman" w:cs="Times New Roman" w:hint="default"/>
        </w:rPr>
        <w:t>, Estó</w:t>
      </w:r>
      <w:r>
        <w:rPr>
          <w:rFonts w:ascii="Times New Roman" w:eastAsia="Calibri" w:hAnsi="Times New Roman" w:cs="Times New Roman" w:hint="default"/>
        </w:rPr>
        <w:t>nsko</w:t>
      </w:r>
      <w:r w:rsidRPr="001E6B33">
        <w:rPr>
          <w:rFonts w:ascii="Times New Roman" w:eastAsia="Calibri" w:hAnsi="Times New Roman" w:cs="Times New Roman"/>
        </w:rPr>
        <w:t xml:space="preserve"> a </w:t>
      </w:r>
      <w:r w:rsidRPr="001E6B33">
        <w:rPr>
          <w:rFonts w:ascii="Times New Roman" w:eastAsia="Calibri" w:hAnsi="Times New Roman" w:cs="Times New Roman" w:hint="default"/>
        </w:rPr>
        <w:t>Nemecko boli jediný</w:t>
      </w:r>
      <w:r w:rsidRPr="001E6B33">
        <w:rPr>
          <w:rFonts w:ascii="Times New Roman" w:eastAsia="Calibri" w:hAnsi="Times New Roman" w:cs="Times New Roman" w:hint="default"/>
        </w:rPr>
        <w:t>mi krajinam</w:t>
      </w:r>
      <w:r w:rsidRPr="001E6B33">
        <w:rPr>
          <w:rFonts w:ascii="Times New Roman" w:eastAsia="Calibri" w:hAnsi="Times New Roman" w:cs="Times New Roman" w:hint="default"/>
        </w:rPr>
        <w:t xml:space="preserve">i </w:t>
      </w:r>
      <w:r>
        <w:rPr>
          <w:rFonts w:ascii="Times New Roman" w:eastAsia="Calibri" w:hAnsi="Times New Roman" w:cs="Times New Roman"/>
        </w:rPr>
        <w:t>v </w:t>
      </w:r>
      <w:r>
        <w:rPr>
          <w:rFonts w:ascii="Times New Roman" w:eastAsia="Calibri" w:hAnsi="Times New Roman" w:cs="Times New Roman" w:hint="default"/>
        </w:rPr>
        <w:t>rá</w:t>
      </w:r>
      <w:r>
        <w:rPr>
          <w:rFonts w:ascii="Times New Roman" w:eastAsia="Calibri" w:hAnsi="Times New Roman" w:cs="Times New Roman" w:hint="default"/>
        </w:rPr>
        <w:t>mci EÚ </w:t>
      </w:r>
      <w:r>
        <w:rPr>
          <w:rFonts w:ascii="Times New Roman" w:eastAsia="Calibri" w:hAnsi="Times New Roman" w:cs="Times New Roman" w:hint="default"/>
        </w:rPr>
        <w:t>28, ktoré</w:t>
      </w:r>
      <w:r>
        <w:rPr>
          <w:rFonts w:ascii="Times New Roman" w:eastAsia="Calibri" w:hAnsi="Times New Roman" w:cs="Times New Roman" w:hint="default"/>
        </w:rPr>
        <w:t xml:space="preserve"> za rok 2014</w:t>
      </w:r>
      <w:r w:rsidRPr="001E6B33">
        <w:rPr>
          <w:rFonts w:ascii="Times New Roman" w:eastAsia="Calibri" w:hAnsi="Times New Roman" w:cs="Times New Roman" w:hint="default"/>
        </w:rPr>
        <w:t xml:space="preserve"> vyká</w:t>
      </w:r>
      <w:r w:rsidRPr="001E6B33">
        <w:rPr>
          <w:rFonts w:ascii="Times New Roman" w:eastAsia="Calibri" w:hAnsi="Times New Roman" w:cs="Times New Roman" w:hint="default"/>
        </w:rPr>
        <w:t xml:space="preserve">zali prebytok. </w:t>
      </w:r>
      <w:r>
        <w:rPr>
          <w:rFonts w:ascii="Times New Roman" w:eastAsia="Calibri" w:hAnsi="Times New Roman" w:cs="Times New Roman" w:hint="default"/>
        </w:rPr>
        <w:t>Dá</w:t>
      </w:r>
      <w:r>
        <w:rPr>
          <w:rFonts w:ascii="Times New Roman" w:eastAsia="Calibri" w:hAnsi="Times New Roman" w:cs="Times New Roman" w:hint="default"/>
        </w:rPr>
        <w:t>nsko vo výš</w:t>
      </w:r>
      <w:r>
        <w:rPr>
          <w:rFonts w:ascii="Times New Roman" w:eastAsia="Calibri" w:hAnsi="Times New Roman" w:cs="Times New Roman" w:hint="default"/>
        </w:rPr>
        <w:t xml:space="preserve">ke 1,5 % HDP, </w:t>
      </w:r>
      <w:r w:rsidRPr="001E6B33">
        <w:rPr>
          <w:rFonts w:ascii="Times New Roman" w:eastAsia="Calibri" w:hAnsi="Times New Roman" w:cs="Times New Roman" w:hint="default"/>
        </w:rPr>
        <w:t>Luxembursko vo výš</w:t>
      </w:r>
      <w:r w:rsidRPr="001E6B33">
        <w:rPr>
          <w:rFonts w:ascii="Times New Roman" w:eastAsia="Calibri" w:hAnsi="Times New Roman" w:cs="Times New Roman" w:hint="default"/>
        </w:rPr>
        <w:t xml:space="preserve">ke </w:t>
      </w:r>
      <w:r>
        <w:rPr>
          <w:rFonts w:ascii="Times New Roman" w:eastAsia="Calibri" w:hAnsi="Times New Roman" w:cs="Times New Roman"/>
        </w:rPr>
        <w:t>1,4</w:t>
      </w:r>
      <w:r w:rsidRPr="001E6B33">
        <w:rPr>
          <w:rFonts w:ascii="Times New Roman" w:eastAsia="Calibri" w:hAnsi="Times New Roman" w:cs="Times New Roman"/>
        </w:rPr>
        <w:t xml:space="preserve">% HDP, </w:t>
      </w:r>
      <w:r>
        <w:rPr>
          <w:rFonts w:ascii="Times New Roman" w:eastAsia="Calibri" w:hAnsi="Times New Roman" w:cs="Times New Roman" w:hint="default"/>
        </w:rPr>
        <w:t>Estó</w:t>
      </w:r>
      <w:r>
        <w:rPr>
          <w:rFonts w:ascii="Times New Roman" w:eastAsia="Calibri" w:hAnsi="Times New Roman" w:cs="Times New Roman" w:hint="default"/>
        </w:rPr>
        <w:t>nsko vo výš</w:t>
      </w:r>
      <w:r>
        <w:rPr>
          <w:rFonts w:ascii="Times New Roman" w:eastAsia="Calibri" w:hAnsi="Times New Roman" w:cs="Times New Roman" w:hint="default"/>
        </w:rPr>
        <w:t>ke 0,7</w:t>
      </w:r>
      <w:r w:rsidRPr="001E6B33">
        <w:rPr>
          <w:rFonts w:ascii="Times New Roman" w:eastAsia="Calibri" w:hAnsi="Times New Roman" w:cs="Times New Roman"/>
        </w:rPr>
        <w:t> </w:t>
      </w:r>
      <w:r w:rsidRPr="001E6B33">
        <w:rPr>
          <w:rFonts w:ascii="Times New Roman" w:eastAsia="Calibri" w:hAnsi="Times New Roman" w:cs="Times New Roman"/>
        </w:rPr>
        <w:t>% HDP</w:t>
      </w:r>
      <w:r>
        <w:rPr>
          <w:rFonts w:ascii="Times New Roman" w:eastAsia="Calibri" w:hAnsi="Times New Roman" w:cs="Times New Roman"/>
        </w:rPr>
        <w:t xml:space="preserve"> a</w:t>
      </w:r>
      <w:r w:rsidRPr="001E6B33">
        <w:rPr>
          <w:rFonts w:ascii="Times New Roman" w:eastAsia="Calibri" w:hAnsi="Times New Roman" w:cs="Times New Roman"/>
        </w:rPr>
        <w:t xml:space="preserve"> </w:t>
      </w:r>
      <w:r>
        <w:rPr>
          <w:rFonts w:ascii="Times New Roman" w:eastAsia="Calibri" w:hAnsi="Times New Roman" w:cs="Times New Roman" w:hint="default"/>
        </w:rPr>
        <w:t>Nemecko vo výš</w:t>
      </w:r>
      <w:r>
        <w:rPr>
          <w:rFonts w:ascii="Times New Roman" w:eastAsia="Calibri" w:hAnsi="Times New Roman" w:cs="Times New Roman" w:hint="default"/>
        </w:rPr>
        <w:t>ke 0,3</w:t>
      </w:r>
      <w:r w:rsidRPr="001E6B33">
        <w:rPr>
          <w:rFonts w:ascii="Times New Roman" w:eastAsia="Calibri" w:hAnsi="Times New Roman" w:cs="Times New Roman"/>
        </w:rPr>
        <w:t> </w:t>
      </w:r>
      <w:r w:rsidRPr="001E6B33">
        <w:rPr>
          <w:rFonts w:ascii="Times New Roman" w:eastAsia="Calibri" w:hAnsi="Times New Roman" w:cs="Times New Roman"/>
        </w:rPr>
        <w:t>% HDP.</w:t>
      </w:r>
    </w:p>
    <w:p w:rsidR="0094291A" w:rsidP="0094291A">
      <w:pPr>
        <w:pStyle w:val="Heading3"/>
        <w:numPr>
          <w:ilvl w:val="0"/>
          <w:numId w:val="0"/>
        </w:numPr>
        <w:bidi w:val="0"/>
        <w:ind w:firstLine="0"/>
        <w:rPr>
          <w:rFonts w:eastAsiaTheme="minorHAnsi"/>
          <w:b w:val="0"/>
          <w:szCs w:val="36"/>
          <w:lang w:eastAsia="en-US"/>
        </w:rPr>
      </w:pPr>
      <w:bookmarkStart w:id="33" w:name="_Toc401920011"/>
      <w:r w:rsidRPr="001E6B33">
        <w:rPr>
          <w:rFonts w:eastAsiaTheme="minorHAnsi"/>
          <w:b w:val="0"/>
          <w:szCs w:val="36"/>
          <w:lang w:eastAsia="en-US"/>
        </w:rPr>
        <w:t>Pohľad na najvyšší dlh verejnej správy ukazuje podobný výsledok ako pohľad na schodky, teda najvyššie dlhy vykázali krajiny najviac postihnuté ekonomickou a finančnou krízou, pričom sa medzi nimi nachádzajú aj krajiny s dlhodobo vysokými dlhmi ako Taliansko a Belgicko. Najvyšší</w:t>
      </w:r>
      <w:r>
        <w:rPr>
          <w:rFonts w:eastAsiaTheme="minorHAnsi"/>
          <w:b w:val="0"/>
          <w:szCs w:val="36"/>
          <w:lang w:eastAsia="en-US"/>
        </w:rPr>
        <w:t xml:space="preserve"> dlh verejnej správy v roku 2014</w:t>
      </w:r>
      <w:r w:rsidRPr="001E6B33">
        <w:rPr>
          <w:rFonts w:eastAsiaTheme="minorHAnsi"/>
          <w:b w:val="0"/>
          <w:szCs w:val="36"/>
          <w:lang w:eastAsia="en-US"/>
        </w:rPr>
        <w:t xml:space="preserve"> vykázalo Grécko </w:t>
      </w:r>
      <w:r>
        <w:rPr>
          <w:rFonts w:eastAsiaTheme="minorHAnsi"/>
          <w:b w:val="0"/>
          <w:szCs w:val="36"/>
          <w:lang w:eastAsia="en-US"/>
        </w:rPr>
        <w:t>178,6</w:t>
      </w:r>
      <w:r w:rsidRPr="001E6B33">
        <w:rPr>
          <w:rFonts w:eastAsiaTheme="minorHAnsi"/>
          <w:b w:val="0"/>
          <w:szCs w:val="36"/>
          <w:lang w:eastAsia="en-US"/>
        </w:rPr>
        <w:t xml:space="preserve"> % HDP, Taliansko </w:t>
      </w:r>
      <w:r>
        <w:rPr>
          <w:rFonts w:eastAsiaTheme="minorHAnsi"/>
          <w:b w:val="0"/>
          <w:szCs w:val="36"/>
          <w:lang w:eastAsia="en-US"/>
        </w:rPr>
        <w:t>132,3</w:t>
      </w:r>
      <w:r w:rsidRPr="001E6B33">
        <w:rPr>
          <w:rFonts w:eastAsiaTheme="minorHAnsi"/>
          <w:b w:val="0"/>
          <w:szCs w:val="36"/>
          <w:lang w:eastAsia="en-US"/>
        </w:rPr>
        <w:t> % HDP</w:t>
      </w:r>
      <w:r>
        <w:rPr>
          <w:rFonts w:eastAsiaTheme="minorHAnsi"/>
          <w:b w:val="0"/>
          <w:szCs w:val="36"/>
          <w:lang w:eastAsia="en-US"/>
        </w:rPr>
        <w:t xml:space="preserve"> a </w:t>
      </w:r>
      <w:r w:rsidRPr="001E6B33">
        <w:rPr>
          <w:rFonts w:eastAsiaTheme="minorHAnsi"/>
          <w:b w:val="0"/>
          <w:szCs w:val="36"/>
          <w:lang w:eastAsia="en-US"/>
        </w:rPr>
        <w:t xml:space="preserve">Portugalsko </w:t>
      </w:r>
      <w:r>
        <w:rPr>
          <w:rFonts w:eastAsiaTheme="minorHAnsi"/>
          <w:b w:val="0"/>
          <w:szCs w:val="36"/>
          <w:lang w:eastAsia="en-US"/>
        </w:rPr>
        <w:t>130,2</w:t>
      </w:r>
      <w:r w:rsidRPr="001E6B33">
        <w:rPr>
          <w:rFonts w:eastAsiaTheme="minorHAnsi"/>
          <w:b w:val="0"/>
          <w:szCs w:val="36"/>
          <w:lang w:eastAsia="en-US"/>
        </w:rPr>
        <w:t> %</w:t>
      </w:r>
      <w:r>
        <w:rPr>
          <w:rFonts w:eastAsiaTheme="minorHAnsi"/>
          <w:b w:val="0"/>
          <w:szCs w:val="36"/>
          <w:lang w:eastAsia="en-US"/>
        </w:rPr>
        <w:t> </w:t>
      </w:r>
      <w:r w:rsidRPr="001E6B33">
        <w:rPr>
          <w:rFonts w:eastAsiaTheme="minorHAnsi"/>
          <w:b w:val="0"/>
          <w:szCs w:val="36"/>
          <w:lang w:eastAsia="en-US"/>
        </w:rPr>
        <w:t xml:space="preserve">HDP. Najnižší dlh vykázalo Estónsko vo výške </w:t>
      </w:r>
      <w:r w:rsidR="007E6F46">
        <w:rPr>
          <w:rFonts w:eastAsiaTheme="minorHAnsi"/>
          <w:b w:val="0"/>
          <w:szCs w:val="36"/>
          <w:lang w:eastAsia="en-US"/>
        </w:rPr>
        <w:t>10</w:t>
      </w:r>
      <w:r>
        <w:rPr>
          <w:rFonts w:eastAsiaTheme="minorHAnsi"/>
          <w:b w:val="0"/>
          <w:szCs w:val="36"/>
          <w:lang w:eastAsia="en-US"/>
        </w:rPr>
        <w:t>,</w:t>
      </w:r>
      <w:r w:rsidR="007E6F46">
        <w:rPr>
          <w:rFonts w:eastAsiaTheme="minorHAnsi"/>
          <w:b w:val="0"/>
          <w:szCs w:val="36"/>
          <w:lang w:eastAsia="en-US"/>
        </w:rPr>
        <w:t>4</w:t>
      </w:r>
      <w:r>
        <w:rPr>
          <w:rFonts w:eastAsiaTheme="minorHAnsi"/>
          <w:b w:val="0"/>
          <w:szCs w:val="36"/>
          <w:lang w:eastAsia="en-US"/>
        </w:rPr>
        <w:t> </w:t>
      </w:r>
      <w:r w:rsidRPr="001E6B33">
        <w:rPr>
          <w:rFonts w:eastAsiaTheme="minorHAnsi"/>
          <w:b w:val="0"/>
          <w:szCs w:val="36"/>
          <w:lang w:eastAsia="en-US"/>
        </w:rPr>
        <w:t xml:space="preserve">% HDP. Slovensko so svojím dlhom </w:t>
      </w:r>
      <w:r>
        <w:rPr>
          <w:rFonts w:eastAsiaTheme="minorHAnsi"/>
          <w:b w:val="0"/>
          <w:szCs w:val="36"/>
          <w:lang w:eastAsia="en-US"/>
        </w:rPr>
        <w:t>53,5 % H</w:t>
      </w:r>
      <w:r w:rsidRPr="001E6B33">
        <w:rPr>
          <w:rFonts w:eastAsiaTheme="minorHAnsi"/>
          <w:b w:val="0"/>
          <w:szCs w:val="36"/>
          <w:lang w:eastAsia="en-US"/>
        </w:rPr>
        <w:t xml:space="preserve">DP patrí </w:t>
      </w:r>
      <w:r w:rsidR="008F41B1">
        <w:rPr>
          <w:rFonts w:eastAsiaTheme="minorHAnsi"/>
          <w:b w:val="0"/>
          <w:szCs w:val="36"/>
          <w:lang w:eastAsia="en-US"/>
        </w:rPr>
        <w:t>naďalej</w:t>
      </w:r>
      <w:r w:rsidRPr="001E6B33">
        <w:rPr>
          <w:rFonts w:eastAsiaTheme="minorHAnsi"/>
          <w:b w:val="0"/>
          <w:szCs w:val="36"/>
          <w:lang w:eastAsia="en-US"/>
        </w:rPr>
        <w:t xml:space="preserve"> medzi krajiny s nižším dlhom, čo je dôležité z pohľadu dlhodobej udržateľnosti verejných financií.</w:t>
      </w:r>
      <w:bookmarkEnd w:id="33"/>
    </w:p>
    <w:tbl>
      <w:tblPr>
        <w:tblStyle w:val="TableNormal"/>
        <w:tblW w:w="5000" w:type="pct"/>
        <w:tblCellMar>
          <w:left w:w="70" w:type="dxa"/>
          <w:right w:w="70" w:type="dxa"/>
        </w:tblCellMar>
        <w:tblLook w:val="04A0"/>
      </w:tblPr>
      <w:tblGrid>
        <w:gridCol w:w="2190"/>
        <w:gridCol w:w="1026"/>
        <w:gridCol w:w="1026"/>
        <w:gridCol w:w="995"/>
        <w:gridCol w:w="289"/>
        <w:gridCol w:w="1229"/>
        <w:gridCol w:w="1227"/>
        <w:gridCol w:w="1229"/>
      </w:tblGrid>
      <w:tr>
        <w:tblPrEx>
          <w:tblW w:w="5000" w:type="pct"/>
          <w:tblCellMar>
            <w:left w:w="70" w:type="dxa"/>
            <w:right w:w="70" w:type="dxa"/>
          </w:tblCellMar>
          <w:tblLook w:val="04A0"/>
        </w:tblPrEx>
        <w:trPr>
          <w:trHeight w:val="330"/>
        </w:trPr>
        <w:tc>
          <w:tcPr>
            <w:tcW w:w="5000" w:type="pct"/>
            <w:gridSpan w:val="8"/>
            <w:tcBorders>
              <w:top w:val="nil"/>
              <w:left w:val="nil"/>
              <w:bottom w:val="nil"/>
              <w:right w:val="nil"/>
            </w:tcBorders>
            <w:shd w:val="clear" w:color="000000" w:fill="000000"/>
            <w:noWrap/>
            <w:textDirection w:val="lrTb"/>
            <w:vAlign w:val="center"/>
            <w:hideMark/>
          </w:tcPr>
          <w:p w:rsidR="0094291A" w:rsidRPr="0094291A" w:rsidP="0094291A">
            <w:pPr>
              <w:bidi w:val="0"/>
              <w:spacing w:after="0" w:line="240" w:lineRule="auto"/>
              <w:rPr>
                <w:rFonts w:ascii="Times New Roman" w:hAnsi="Times New Roman" w:cs="Times New Roman"/>
                <w:b/>
                <w:bCs/>
                <w:color w:val="FFFFFF"/>
                <w:sz w:val="20"/>
                <w:szCs w:val="20"/>
                <w:lang w:eastAsia="sk-SK"/>
              </w:rPr>
            </w:pPr>
            <w:r w:rsidRPr="0094291A">
              <w:rPr>
                <w:rFonts w:ascii="Times New Roman" w:hAnsi="Times New Roman" w:cs="Times New Roman"/>
                <w:b/>
                <w:bCs/>
                <w:color w:val="FFFFFF"/>
                <w:sz w:val="20"/>
                <w:szCs w:val="20"/>
                <w:lang w:eastAsia="sk-SK"/>
              </w:rPr>
              <w:t>Saldo a dlh verejnej správy v EÚ 28 (% HDP)</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 </w:t>
            </w:r>
          </w:p>
        </w:tc>
        <w:tc>
          <w:tcPr>
            <w:tcW w:w="1654" w:type="pct"/>
            <w:gridSpan w:val="3"/>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 xml:space="preserve">Saldo verejnej správy </w:t>
            </w:r>
          </w:p>
        </w:tc>
        <w:tc>
          <w:tcPr>
            <w:tcW w:w="157"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 </w:t>
            </w:r>
          </w:p>
        </w:tc>
        <w:tc>
          <w:tcPr>
            <w:tcW w:w="2000" w:type="pct"/>
            <w:gridSpan w:val="3"/>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 xml:space="preserve">Hrubý dlh verejnej správy </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 </w:t>
            </w:r>
          </w:p>
        </w:tc>
        <w:tc>
          <w:tcPr>
            <w:tcW w:w="557"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2012</w:t>
            </w:r>
          </w:p>
        </w:tc>
        <w:tc>
          <w:tcPr>
            <w:tcW w:w="557"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2013</w:t>
            </w:r>
          </w:p>
        </w:tc>
        <w:tc>
          <w:tcPr>
            <w:tcW w:w="540"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2014</w:t>
            </w:r>
          </w:p>
        </w:tc>
        <w:tc>
          <w:tcPr>
            <w:tcW w:w="157"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 </w:t>
            </w:r>
          </w:p>
        </w:tc>
        <w:tc>
          <w:tcPr>
            <w:tcW w:w="667"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2012</w:t>
            </w:r>
          </w:p>
        </w:tc>
        <w:tc>
          <w:tcPr>
            <w:tcW w:w="666"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2013</w:t>
            </w:r>
          </w:p>
        </w:tc>
        <w:tc>
          <w:tcPr>
            <w:tcW w:w="666" w:type="pct"/>
            <w:tcBorders>
              <w:top w:val="nil"/>
              <w:left w:val="nil"/>
              <w:bottom w:val="nil"/>
              <w:right w:val="nil"/>
            </w:tcBorders>
            <w:shd w:val="clear" w:color="000000" w:fill="C0C0C0"/>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2014</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EÚ (28 krajín)</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-4,3</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-3,3</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-3,0</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83,8</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85,5</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86,8</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Euro zóna</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-3,7</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-3,0</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-2,6</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89,3</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91,1</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92,1</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Belgicko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-4,1</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-2,9</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-3,1</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104,1</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105,1</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106,7</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Bulharsko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-0,6</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-0,8</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-5,8</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17,6</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18,0</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27,0</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Česká republika</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-4,0</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-1,3</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-1,9</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44,7</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45,2</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42,7</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Dánsko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-3,6</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-1,3</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1,5</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45,6</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45,0</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45,1</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Nemecko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-0,1</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-0,1</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0,3</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79,7</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77,4</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74,9</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Estónsko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-0,3</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-0,1</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0,7</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9,5</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9,9</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10,4</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Írsko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-8,0</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-5,7</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-3,9</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120,2</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120,0</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107,5</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Grécko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-8,8</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-12,4</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-3,6</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159,4</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177,0</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178,6</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Španielsko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-10,4</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-6,9</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-5,9</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85,4</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93,7</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99,3</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Francúzsko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-4,8</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-4,1</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-3,9</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89,6</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92,3</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95,6</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Chorvátsko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-5,3</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-5,4</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-5,6</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69,2</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80,8</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85,1</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Taliansko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-3,0</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-2,9</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-3,0</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123,2</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128,8</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132,3</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Cyprus</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-5,8</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-4,9</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-8,9</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79,3</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102,5</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108,2</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Lotyšsko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-0,8</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-0,9</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-1,5</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41,4</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39,1</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40,6</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Litva</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-3,1</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-2,6</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-0,7</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39,8</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38,8</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40,7</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Luxembursko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0,2</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0,7</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1,4</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22,1</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23,4</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23,0</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Maďarsko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-2,3</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-2,5</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-2,5</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78,3</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76,8</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76,2</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Malta</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-3,6</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-2,6</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-2,1</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67,6</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69,6</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68,3</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Holandsko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-3,9</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-2,4</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-2,4</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66,4</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67,9</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68,2</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Rakúsko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-2,2</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-1,3</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-2,7</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81,6</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80,8</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84,2</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Poľsko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-3,7</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-4,0</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-3,3</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54,0</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55,9</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50,4</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Portugalsko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-5,7</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-4,8</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-7,2</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126,2</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129,0</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130,2</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Rumunsko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-3,2</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-2,2</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-1,4</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37,4</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38,0</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39,9</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Slovinsko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-4,1</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-15,0</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-5,0</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53,7</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70,8</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80,8</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Slovensko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-4,2</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-2,6</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-2,8</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51,9</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54,6</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b/>
                <w:bCs/>
                <w:sz w:val="20"/>
                <w:szCs w:val="20"/>
                <w:lang w:eastAsia="sk-SK"/>
              </w:rPr>
            </w:pPr>
            <w:r w:rsidRPr="0094291A">
              <w:rPr>
                <w:rFonts w:ascii="Times New Roman" w:hAnsi="Times New Roman" w:cs="Times New Roman"/>
                <w:b/>
                <w:bCs/>
                <w:sz w:val="20"/>
                <w:szCs w:val="20"/>
                <w:lang w:eastAsia="sk-SK"/>
              </w:rPr>
              <w:t>53,5</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Fínsko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-2,1</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-2,5</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-3,3</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52,9</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55,6</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59,3</w:t>
            </w:r>
          </w:p>
        </w:tc>
      </w:tr>
      <w:tr>
        <w:tblPrEx>
          <w:tblW w:w="5000" w:type="pct"/>
          <w:tblCellMar>
            <w:left w:w="70" w:type="dxa"/>
            <w:right w:w="70" w:type="dxa"/>
          </w:tblCellMar>
          <w:tblLook w:val="04A0"/>
        </w:tblPrEx>
        <w:trPr>
          <w:trHeight w:val="330"/>
        </w:trPr>
        <w:tc>
          <w:tcPr>
            <w:tcW w:w="1189" w:type="pct"/>
            <w:tcBorders>
              <w:top w:val="nil"/>
              <w:left w:val="nil"/>
              <w:bottom w:val="nil"/>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Švédsko</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-0,9</w:t>
            </w:r>
          </w:p>
        </w:tc>
        <w:tc>
          <w:tcPr>
            <w:tcW w:w="5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-1,4</w:t>
            </w:r>
          </w:p>
        </w:tc>
        <w:tc>
          <w:tcPr>
            <w:tcW w:w="540"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-1,7</w:t>
            </w:r>
          </w:p>
        </w:tc>
        <w:tc>
          <w:tcPr>
            <w:tcW w:w="15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37,2</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39,8</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44,9</w:t>
            </w:r>
          </w:p>
        </w:tc>
      </w:tr>
      <w:tr>
        <w:tblPrEx>
          <w:tblW w:w="5000" w:type="pct"/>
          <w:tblCellMar>
            <w:left w:w="70" w:type="dxa"/>
            <w:right w:w="70" w:type="dxa"/>
          </w:tblCellMar>
          <w:tblLook w:val="04A0"/>
        </w:tblPrEx>
        <w:trPr>
          <w:trHeight w:val="330"/>
        </w:trPr>
        <w:tc>
          <w:tcPr>
            <w:tcW w:w="1189" w:type="pct"/>
            <w:tcBorders>
              <w:top w:val="nil"/>
              <w:left w:val="nil"/>
              <w:bottom w:val="single" w:sz="4" w:space="0" w:color="000000"/>
              <w:right w:val="nil"/>
            </w:tcBorders>
            <w:noWrap/>
            <w:textDirection w:val="lrTb"/>
            <w:vAlign w:val="center"/>
            <w:hideMark/>
          </w:tcPr>
          <w:p w:rsidR="0094291A" w:rsidRPr="0094291A" w:rsidP="0094291A">
            <w:pPr>
              <w:bidi w:val="0"/>
              <w:spacing w:after="0" w:line="240" w:lineRule="auto"/>
              <w:rPr>
                <w:rFonts w:ascii="Times New Roman" w:hAnsi="Times New Roman" w:cs="Times New Roman"/>
                <w:sz w:val="20"/>
                <w:szCs w:val="20"/>
                <w:lang w:eastAsia="sk-SK"/>
              </w:rPr>
            </w:pPr>
            <w:r w:rsidRPr="0094291A">
              <w:rPr>
                <w:rFonts w:ascii="Times New Roman" w:hAnsi="Times New Roman" w:cs="Times New Roman"/>
                <w:sz w:val="20"/>
                <w:szCs w:val="20"/>
                <w:lang w:eastAsia="sk-SK"/>
              </w:rPr>
              <w:t>Veľká Británia</w:t>
            </w:r>
          </w:p>
        </w:tc>
        <w:tc>
          <w:tcPr>
            <w:tcW w:w="557" w:type="pct"/>
            <w:tcBorders>
              <w:top w:val="nil"/>
              <w:left w:val="nil"/>
              <w:bottom w:val="single" w:sz="4" w:space="0" w:color="auto"/>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-8,3</w:t>
            </w:r>
          </w:p>
        </w:tc>
        <w:tc>
          <w:tcPr>
            <w:tcW w:w="557" w:type="pct"/>
            <w:tcBorders>
              <w:top w:val="nil"/>
              <w:left w:val="nil"/>
              <w:bottom w:val="single" w:sz="4" w:space="0" w:color="auto"/>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-5,7</w:t>
            </w:r>
          </w:p>
        </w:tc>
        <w:tc>
          <w:tcPr>
            <w:tcW w:w="540" w:type="pct"/>
            <w:tcBorders>
              <w:top w:val="nil"/>
              <w:left w:val="nil"/>
              <w:bottom w:val="single" w:sz="4" w:space="0" w:color="auto"/>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-5,7</w:t>
            </w:r>
          </w:p>
        </w:tc>
        <w:tc>
          <w:tcPr>
            <w:tcW w:w="157" w:type="pct"/>
            <w:tcBorders>
              <w:top w:val="nil"/>
              <w:left w:val="nil"/>
              <w:bottom w:val="single" w:sz="4" w:space="0" w:color="auto"/>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 </w:t>
            </w:r>
          </w:p>
        </w:tc>
        <w:tc>
          <w:tcPr>
            <w:tcW w:w="667" w:type="pct"/>
            <w:tcBorders>
              <w:top w:val="nil"/>
              <w:left w:val="nil"/>
              <w:bottom w:val="single" w:sz="4" w:space="0" w:color="auto"/>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85,3</w:t>
            </w:r>
          </w:p>
        </w:tc>
        <w:tc>
          <w:tcPr>
            <w:tcW w:w="666" w:type="pct"/>
            <w:tcBorders>
              <w:top w:val="nil"/>
              <w:left w:val="nil"/>
              <w:bottom w:val="single" w:sz="4" w:space="0" w:color="auto"/>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86,2</w:t>
            </w:r>
          </w:p>
        </w:tc>
        <w:tc>
          <w:tcPr>
            <w:tcW w:w="666" w:type="pct"/>
            <w:tcBorders>
              <w:top w:val="nil"/>
              <w:left w:val="nil"/>
              <w:bottom w:val="nil"/>
              <w:right w:val="nil"/>
            </w:tcBorders>
            <w:noWrap/>
            <w:textDirection w:val="lrTb"/>
            <w:vAlign w:val="center"/>
            <w:hideMark/>
          </w:tcPr>
          <w:p w:rsidR="0094291A" w:rsidRPr="0094291A" w:rsidP="0094291A">
            <w:pPr>
              <w:bidi w:val="0"/>
              <w:spacing w:after="0" w:line="240" w:lineRule="auto"/>
              <w:jc w:val="center"/>
              <w:rPr>
                <w:rFonts w:ascii="Times New Roman" w:hAnsi="Times New Roman" w:cs="Times New Roman"/>
                <w:sz w:val="20"/>
                <w:szCs w:val="20"/>
                <w:lang w:eastAsia="sk-SK"/>
              </w:rPr>
            </w:pPr>
            <w:r w:rsidRPr="0094291A">
              <w:rPr>
                <w:rFonts w:ascii="Times New Roman" w:hAnsi="Times New Roman" w:cs="Times New Roman"/>
                <w:sz w:val="20"/>
                <w:szCs w:val="20"/>
                <w:lang w:eastAsia="sk-SK"/>
              </w:rPr>
              <w:t>88,2</w:t>
            </w:r>
          </w:p>
        </w:tc>
      </w:tr>
      <w:tr>
        <w:tblPrEx>
          <w:tblW w:w="5000" w:type="pct"/>
          <w:tblCellMar>
            <w:left w:w="70" w:type="dxa"/>
            <w:right w:w="70" w:type="dxa"/>
          </w:tblCellMar>
          <w:tblLook w:val="04A0"/>
        </w:tblPrEx>
        <w:trPr>
          <w:trHeight w:val="225"/>
        </w:trPr>
        <w:tc>
          <w:tcPr>
            <w:tcW w:w="1189" w:type="pct"/>
            <w:tcBorders>
              <w:top w:val="nil"/>
              <w:left w:val="nil"/>
              <w:bottom w:val="nil"/>
              <w:right w:val="nil"/>
            </w:tcBorders>
            <w:noWrap/>
            <w:textDirection w:val="lrTb"/>
            <w:vAlign w:val="bottom"/>
            <w:hideMark/>
          </w:tcPr>
          <w:p w:rsidR="0094291A" w:rsidRPr="0094291A" w:rsidP="0094291A">
            <w:pPr>
              <w:bidi w:val="0"/>
              <w:spacing w:after="0" w:line="240" w:lineRule="auto"/>
              <w:jc w:val="center"/>
              <w:rPr>
                <w:rFonts w:ascii="Times New Roman" w:hAnsi="Times New Roman" w:cs="Times New Roman"/>
                <w:sz w:val="20"/>
                <w:szCs w:val="20"/>
                <w:lang w:eastAsia="sk-SK"/>
              </w:rPr>
            </w:pPr>
          </w:p>
        </w:tc>
        <w:tc>
          <w:tcPr>
            <w:tcW w:w="557" w:type="pct"/>
            <w:tcBorders>
              <w:top w:val="nil"/>
              <w:left w:val="nil"/>
              <w:bottom w:val="nil"/>
              <w:right w:val="nil"/>
            </w:tcBorders>
            <w:noWrap/>
            <w:textDirection w:val="lrTb"/>
            <w:vAlign w:val="bottom"/>
            <w:hideMark/>
          </w:tcPr>
          <w:p w:rsidR="0094291A" w:rsidRPr="0094291A" w:rsidP="0094291A">
            <w:pPr>
              <w:bidi w:val="0"/>
              <w:spacing w:after="0" w:line="240" w:lineRule="auto"/>
              <w:rPr>
                <w:rFonts w:ascii="Times New Roman" w:hAnsi="Times New Roman" w:cs="Times New Roman"/>
                <w:sz w:val="20"/>
                <w:szCs w:val="20"/>
                <w:lang w:eastAsia="sk-SK"/>
              </w:rPr>
            </w:pPr>
          </w:p>
        </w:tc>
        <w:tc>
          <w:tcPr>
            <w:tcW w:w="557" w:type="pct"/>
            <w:tcBorders>
              <w:top w:val="nil"/>
              <w:left w:val="nil"/>
              <w:bottom w:val="nil"/>
              <w:right w:val="nil"/>
            </w:tcBorders>
            <w:noWrap/>
            <w:textDirection w:val="lrTb"/>
            <w:vAlign w:val="bottom"/>
            <w:hideMark/>
          </w:tcPr>
          <w:p w:rsidR="0094291A" w:rsidRPr="0094291A" w:rsidP="0094291A">
            <w:pPr>
              <w:bidi w:val="0"/>
              <w:spacing w:after="0" w:line="240" w:lineRule="auto"/>
              <w:rPr>
                <w:rFonts w:ascii="Times New Roman" w:hAnsi="Times New Roman" w:cs="Times New Roman"/>
                <w:sz w:val="20"/>
                <w:szCs w:val="20"/>
                <w:lang w:eastAsia="sk-SK"/>
              </w:rPr>
            </w:pPr>
          </w:p>
        </w:tc>
        <w:tc>
          <w:tcPr>
            <w:tcW w:w="540" w:type="pct"/>
            <w:tcBorders>
              <w:top w:val="nil"/>
              <w:left w:val="nil"/>
              <w:bottom w:val="nil"/>
              <w:right w:val="nil"/>
            </w:tcBorders>
            <w:noWrap/>
            <w:textDirection w:val="lrTb"/>
            <w:vAlign w:val="bottom"/>
            <w:hideMark/>
          </w:tcPr>
          <w:p w:rsidR="0094291A" w:rsidRPr="0094291A" w:rsidP="0094291A">
            <w:pPr>
              <w:bidi w:val="0"/>
              <w:spacing w:after="0" w:line="240" w:lineRule="auto"/>
              <w:rPr>
                <w:rFonts w:ascii="Times New Roman" w:hAnsi="Times New Roman" w:cs="Times New Roman"/>
                <w:sz w:val="20"/>
                <w:szCs w:val="20"/>
                <w:lang w:eastAsia="sk-SK"/>
              </w:rPr>
            </w:pPr>
          </w:p>
        </w:tc>
        <w:tc>
          <w:tcPr>
            <w:tcW w:w="157" w:type="pct"/>
            <w:tcBorders>
              <w:top w:val="nil"/>
              <w:left w:val="nil"/>
              <w:bottom w:val="nil"/>
              <w:right w:val="nil"/>
            </w:tcBorders>
            <w:noWrap/>
            <w:textDirection w:val="lrTb"/>
            <w:vAlign w:val="bottom"/>
            <w:hideMark/>
          </w:tcPr>
          <w:p w:rsidR="0094291A" w:rsidRPr="0094291A" w:rsidP="0094291A">
            <w:pPr>
              <w:bidi w:val="0"/>
              <w:spacing w:after="0" w:line="240" w:lineRule="auto"/>
              <w:rPr>
                <w:rFonts w:ascii="Times New Roman" w:hAnsi="Times New Roman" w:cs="Times New Roman"/>
                <w:sz w:val="20"/>
                <w:szCs w:val="20"/>
                <w:lang w:eastAsia="sk-SK"/>
              </w:rPr>
            </w:pPr>
          </w:p>
        </w:tc>
        <w:tc>
          <w:tcPr>
            <w:tcW w:w="667" w:type="pct"/>
            <w:tcBorders>
              <w:top w:val="nil"/>
              <w:left w:val="nil"/>
              <w:bottom w:val="nil"/>
              <w:right w:val="nil"/>
            </w:tcBorders>
            <w:noWrap/>
            <w:textDirection w:val="lrTb"/>
            <w:vAlign w:val="bottom"/>
            <w:hideMark/>
          </w:tcPr>
          <w:p w:rsidR="0094291A" w:rsidRPr="0094291A" w:rsidP="0094291A">
            <w:pPr>
              <w:bidi w:val="0"/>
              <w:spacing w:after="0" w:line="240" w:lineRule="auto"/>
              <w:rPr>
                <w:rFonts w:ascii="Times New Roman" w:hAnsi="Times New Roman" w:cs="Times New Roman"/>
                <w:sz w:val="20"/>
                <w:szCs w:val="20"/>
                <w:lang w:eastAsia="sk-SK"/>
              </w:rPr>
            </w:pPr>
          </w:p>
        </w:tc>
        <w:tc>
          <w:tcPr>
            <w:tcW w:w="1332" w:type="pct"/>
            <w:gridSpan w:val="2"/>
            <w:tcBorders>
              <w:top w:val="single" w:sz="4" w:space="0" w:color="auto"/>
              <w:left w:val="nil"/>
              <w:bottom w:val="nil"/>
              <w:right w:val="nil"/>
            </w:tcBorders>
            <w:noWrap/>
            <w:textDirection w:val="lrTb"/>
            <w:vAlign w:val="bottom"/>
            <w:hideMark/>
          </w:tcPr>
          <w:p w:rsidR="0094291A" w:rsidRPr="0094291A" w:rsidP="0094291A">
            <w:pPr>
              <w:bidi w:val="0"/>
              <w:spacing w:after="0" w:line="240" w:lineRule="auto"/>
              <w:jc w:val="right"/>
              <w:rPr>
                <w:rFonts w:ascii="Times New Roman" w:hAnsi="Times New Roman" w:cs="Times New Roman"/>
                <w:i/>
                <w:iCs/>
                <w:color w:val="000000"/>
                <w:sz w:val="16"/>
                <w:szCs w:val="16"/>
                <w:lang w:eastAsia="sk-SK"/>
              </w:rPr>
            </w:pPr>
            <w:r w:rsidRPr="0094291A">
              <w:rPr>
                <w:rFonts w:ascii="Times New Roman" w:hAnsi="Times New Roman" w:cs="Times New Roman"/>
                <w:i/>
                <w:iCs/>
                <w:color w:val="000000"/>
                <w:sz w:val="16"/>
                <w:szCs w:val="16"/>
                <w:lang w:eastAsia="sk-SK"/>
              </w:rPr>
              <w:t>Zdroj: Eurostat</w:t>
            </w:r>
          </w:p>
        </w:tc>
      </w:tr>
    </w:tbl>
    <w:p w:rsidR="003A760D" w:rsidRPr="00A53EAC" w:rsidP="001767F0">
      <w:pPr>
        <w:pStyle w:val="Heading2"/>
        <w:bidi w:val="0"/>
        <w:spacing w:before="120" w:after="120" w:line="336" w:lineRule="auto"/>
        <w:ind w:left="425" w:hanging="425"/>
        <w:rPr>
          <w:rFonts w:eastAsiaTheme="minorHAnsi"/>
        </w:rPr>
      </w:pPr>
      <w:bookmarkStart w:id="34" w:name="_Toc401920012"/>
      <w:bookmarkStart w:id="35" w:name="_Toc433099560"/>
      <w:r w:rsidRPr="00A53EAC">
        <w:rPr>
          <w:rFonts w:eastAsiaTheme="minorHAnsi"/>
        </w:rPr>
        <w:t>Rozdiely medzi októbrovou a aprílovou notifikáciou údajov</w:t>
      </w:r>
      <w:bookmarkEnd w:id="32"/>
      <w:bookmarkEnd w:id="34"/>
      <w:bookmarkEnd w:id="35"/>
      <w:r w:rsidRPr="00A53EAC">
        <w:rPr>
          <w:rFonts w:eastAsiaTheme="minorHAnsi"/>
        </w:rPr>
        <w:t xml:space="preserve"> </w:t>
      </w:r>
    </w:p>
    <w:p w:rsidR="00D32F0E" w:rsidRPr="00A53EAC" w:rsidP="0069786C">
      <w:pPr>
        <w:bidi w:val="0"/>
        <w:spacing w:after="120" w:line="336" w:lineRule="auto"/>
        <w:jc w:val="both"/>
        <w:rPr>
          <w:rFonts w:ascii="Times New Roman" w:hAnsi="Times New Roman" w:cs="Times New Roman"/>
        </w:rPr>
      </w:pPr>
      <w:bookmarkStart w:id="36" w:name="_Toc399324361"/>
      <w:r w:rsidRPr="00A53EAC" w:rsidR="0069786C">
        <w:rPr>
          <w:rFonts w:ascii="Times New Roman" w:hAnsi="Times New Roman" w:cs="Times New Roman"/>
        </w:rPr>
        <w:t xml:space="preserve">Nariadenie Rady (ES) o uplatňovaní Protokolu o postupe pri nadmernom schodku </w:t>
      </w:r>
      <w:r w:rsidRPr="00A53EAC" w:rsidR="00954081">
        <w:rPr>
          <w:rFonts w:ascii="Times New Roman" w:hAnsi="Times New Roman" w:cs="Times New Roman"/>
        </w:rPr>
        <w:t>stanovuje</w:t>
      </w:r>
      <w:r w:rsidRPr="00A53EAC" w:rsidR="0069786C">
        <w:rPr>
          <w:rFonts w:ascii="Times New Roman" w:hAnsi="Times New Roman" w:cs="Times New Roman"/>
        </w:rPr>
        <w:t xml:space="preserve"> podrobné pravidlá pre organizovanie rýchleho a pravidelného vykazovania plánovaných a skutočných výsledkov hospodárenia s financiami verejnej správy. Podľa tohto nariadenia sa Európskej komisii (Eurostatu) predkladajú výsledky </w:t>
      </w:r>
      <w:r w:rsidRPr="00A53EAC" w:rsidR="003B78F1">
        <w:rPr>
          <w:rFonts w:ascii="Times New Roman" w:hAnsi="Times New Roman" w:cs="Times New Roman"/>
        </w:rPr>
        <w:t xml:space="preserve">hospodárenia verejnej správy za uplynulé obdobie </w:t>
      </w:r>
      <w:r w:rsidRPr="00A53EAC" w:rsidR="0069786C">
        <w:rPr>
          <w:rFonts w:ascii="Times New Roman" w:hAnsi="Times New Roman" w:cs="Times New Roman"/>
        </w:rPr>
        <w:t xml:space="preserve">dvakrát ročne, prvýkrát </w:t>
      </w:r>
      <w:r w:rsidRPr="00A53EAC" w:rsidR="002142C6">
        <w:rPr>
          <w:rFonts w:ascii="Times New Roman" w:hAnsi="Times New Roman" w:cs="Times New Roman"/>
        </w:rPr>
        <w:t>do 1.</w:t>
      </w:r>
      <w:r w:rsidRPr="00A53EAC" w:rsidR="0008237F">
        <w:rPr>
          <w:rFonts w:ascii="Times New Roman" w:hAnsi="Times New Roman" w:cs="Times New Roman"/>
        </w:rPr>
        <w:t> </w:t>
      </w:r>
      <w:r w:rsidRPr="00A53EAC" w:rsidR="002142C6">
        <w:rPr>
          <w:rFonts w:ascii="Times New Roman" w:hAnsi="Times New Roman" w:cs="Times New Roman"/>
        </w:rPr>
        <w:t>apríla bežného roka (tzv. </w:t>
      </w:r>
      <w:r w:rsidRPr="00A53EAC" w:rsidR="0069786C">
        <w:rPr>
          <w:rFonts w:ascii="Times New Roman" w:hAnsi="Times New Roman" w:cs="Times New Roman"/>
        </w:rPr>
        <w:t>aprílová notifikácia) a</w:t>
      </w:r>
      <w:r w:rsidRPr="00A53EAC" w:rsidR="003B78F1">
        <w:rPr>
          <w:rFonts w:ascii="Times New Roman" w:hAnsi="Times New Roman" w:cs="Times New Roman"/>
        </w:rPr>
        <w:t xml:space="preserve"> aktualizované údaje </w:t>
      </w:r>
      <w:r w:rsidRPr="00A53EAC" w:rsidR="0008237F">
        <w:rPr>
          <w:rFonts w:ascii="Times New Roman" w:hAnsi="Times New Roman" w:cs="Times New Roman"/>
        </w:rPr>
        <w:t>druhýkrát do 1. </w:t>
      </w:r>
      <w:r w:rsidRPr="00A53EAC" w:rsidR="0069786C">
        <w:rPr>
          <w:rFonts w:ascii="Times New Roman" w:hAnsi="Times New Roman" w:cs="Times New Roman"/>
        </w:rPr>
        <w:t>októbra bežného roka (tzv. októbrová notifikácia).</w:t>
      </w:r>
    </w:p>
    <w:p w:rsidR="00954081" w:rsidRPr="00A53EAC" w:rsidP="00954081">
      <w:pPr>
        <w:bidi w:val="0"/>
        <w:spacing w:after="120" w:line="336" w:lineRule="auto"/>
        <w:jc w:val="both"/>
        <w:rPr>
          <w:rFonts w:ascii="Times New Roman" w:eastAsia="Calibri" w:hAnsi="Times New Roman" w:cs="Times New Roman" w:hint="default"/>
        </w:rPr>
      </w:pPr>
      <w:bookmarkStart w:id="37" w:name="_Toc399324362"/>
      <w:bookmarkStart w:id="38" w:name="_Toc401920015"/>
      <w:bookmarkEnd w:id="36"/>
      <w:r w:rsidRPr="00A53EAC">
        <w:rPr>
          <w:rFonts w:ascii="Times New Roman" w:eastAsia="Calibri" w:hAnsi="Times New Roman" w:cs="Times New Roman" w:hint="default"/>
        </w:rPr>
        <w:t>Schodok hospodá</w:t>
      </w:r>
      <w:r w:rsidRPr="00A53EAC">
        <w:rPr>
          <w:rFonts w:ascii="Times New Roman" w:eastAsia="Calibri" w:hAnsi="Times New Roman" w:cs="Times New Roman" w:hint="default"/>
        </w:rPr>
        <w:t>renia, ktorý</w:t>
      </w:r>
      <w:r w:rsidRPr="00A53EAC">
        <w:rPr>
          <w:rFonts w:ascii="Times New Roman" w:eastAsia="Calibri" w:hAnsi="Times New Roman" w:cs="Times New Roman" w:hint="default"/>
        </w:rPr>
        <w:t xml:space="preserve"> bol vyká</w:t>
      </w:r>
      <w:r w:rsidRPr="00A53EAC">
        <w:rPr>
          <w:rFonts w:ascii="Times New Roman" w:eastAsia="Calibri" w:hAnsi="Times New Roman" w:cs="Times New Roman" w:hint="default"/>
        </w:rPr>
        <w:t>zaný</w:t>
      </w:r>
      <w:r w:rsidRPr="00A53EAC">
        <w:rPr>
          <w:rFonts w:ascii="Times New Roman" w:eastAsia="Calibri" w:hAnsi="Times New Roman" w:cs="Times New Roman" w:hint="default"/>
        </w:rPr>
        <w:t xml:space="preserve"> k </w:t>
      </w:r>
      <w:r w:rsidRPr="00A53EAC">
        <w:rPr>
          <w:rFonts w:ascii="Times New Roman" w:eastAsia="Calibri" w:hAnsi="Times New Roman" w:cs="Times New Roman" w:hint="default"/>
        </w:rPr>
        <w:t>1. aprí</w:t>
      </w:r>
      <w:r w:rsidRPr="00A53EAC">
        <w:rPr>
          <w:rFonts w:ascii="Times New Roman" w:eastAsia="Calibri" w:hAnsi="Times New Roman" w:cs="Times New Roman" w:hint="default"/>
        </w:rPr>
        <w:t>lu 2015 sa zníž</w:t>
      </w:r>
      <w:r w:rsidRPr="00A53EAC">
        <w:rPr>
          <w:rFonts w:ascii="Times New Roman" w:eastAsia="Calibri" w:hAnsi="Times New Roman" w:cs="Times New Roman" w:hint="default"/>
        </w:rPr>
        <w:t>il o 0,1 </w:t>
      </w:r>
      <w:r w:rsidRPr="00A53EAC">
        <w:rPr>
          <w:rFonts w:ascii="Times New Roman" w:eastAsia="Calibri" w:hAnsi="Times New Roman" w:cs="Times New Roman" w:hint="default"/>
        </w:rPr>
        <w:t>% HDP. Jednotlivé</w:t>
      </w:r>
      <w:r w:rsidRPr="00A53EAC">
        <w:rPr>
          <w:rFonts w:ascii="Times New Roman" w:eastAsia="Calibri" w:hAnsi="Times New Roman" w:cs="Times New Roman" w:hint="default"/>
        </w:rPr>
        <w:t xml:space="preserve"> polož</w:t>
      </w:r>
      <w:r w:rsidRPr="00A53EAC">
        <w:rPr>
          <w:rFonts w:ascii="Times New Roman" w:eastAsia="Calibri" w:hAnsi="Times New Roman" w:cs="Times New Roman" w:hint="default"/>
        </w:rPr>
        <w:t>ky aktualizá</w:t>
      </w:r>
      <w:r w:rsidRPr="00A53EAC">
        <w:rPr>
          <w:rFonts w:ascii="Times New Roman" w:eastAsia="Calibri" w:hAnsi="Times New Roman" w:cs="Times New Roman" w:hint="default"/>
        </w:rPr>
        <w:t>cie ukazuje nasledovná</w:t>
      </w:r>
      <w:r w:rsidRPr="00A53EAC">
        <w:rPr>
          <w:rFonts w:ascii="Times New Roman" w:eastAsia="Calibri" w:hAnsi="Times New Roman" w:cs="Times New Roman" w:hint="default"/>
        </w:rPr>
        <w:t xml:space="preserve"> tabuľ</w:t>
      </w:r>
      <w:r w:rsidRPr="00A53EAC">
        <w:rPr>
          <w:rFonts w:ascii="Times New Roman" w:eastAsia="Calibri" w:hAnsi="Times New Roman" w:cs="Times New Roman" w:hint="default"/>
        </w:rPr>
        <w:t>ka.</w:t>
      </w:r>
    </w:p>
    <w:tbl>
      <w:tblPr>
        <w:tblStyle w:val="TableNormal"/>
        <w:tblW w:w="9214" w:type="dxa"/>
        <w:tblCellMar>
          <w:left w:w="70" w:type="dxa"/>
          <w:right w:w="70" w:type="dxa"/>
        </w:tblCellMar>
        <w:tblLook w:val="04A0"/>
      </w:tblPr>
      <w:tblGrid>
        <w:gridCol w:w="4111"/>
        <w:gridCol w:w="1021"/>
        <w:gridCol w:w="680"/>
        <w:gridCol w:w="3402"/>
      </w:tblGrid>
      <w:tr>
        <w:tblPrEx>
          <w:tblW w:w="9214" w:type="dxa"/>
          <w:tblCellMar>
            <w:left w:w="70" w:type="dxa"/>
            <w:right w:w="70" w:type="dxa"/>
          </w:tblCellMar>
          <w:tblLook w:val="04A0"/>
        </w:tblPrEx>
        <w:trPr>
          <w:trHeight w:val="255"/>
        </w:trPr>
        <w:tc>
          <w:tcPr>
            <w:tcW w:w="9214" w:type="dxa"/>
            <w:gridSpan w:val="4"/>
            <w:tcBorders>
              <w:top w:val="single" w:sz="4" w:space="0" w:color="auto"/>
              <w:left w:val="nil"/>
              <w:bottom w:val="single" w:sz="4" w:space="0" w:color="auto"/>
              <w:right w:val="nil"/>
            </w:tcBorders>
            <w:shd w:val="clear" w:color="000000" w:fill="000000"/>
            <w:noWrap/>
            <w:textDirection w:val="lrTb"/>
            <w:vAlign w:val="center"/>
            <w:hideMark/>
          </w:tcPr>
          <w:p w:rsidR="00954081" w:rsidRPr="00A53EAC" w:rsidP="00954081">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Úpravy schodku za rok 2014 pri októbrovej notifikácii v metodike ESA 2010</w:t>
            </w:r>
          </w:p>
        </w:tc>
      </w:tr>
      <w:tr>
        <w:tblPrEx>
          <w:tblW w:w="9214" w:type="dxa"/>
          <w:tblCellMar>
            <w:left w:w="70" w:type="dxa"/>
            <w:right w:w="70" w:type="dxa"/>
          </w:tblCellMar>
          <w:tblLook w:val="04A0"/>
        </w:tblPrEx>
        <w:trPr>
          <w:trHeight w:val="510"/>
        </w:trPr>
        <w:tc>
          <w:tcPr>
            <w:tcW w:w="4111" w:type="dxa"/>
            <w:tcBorders>
              <w:top w:val="nil"/>
              <w:left w:val="nil"/>
              <w:bottom w:val="nil"/>
              <w:right w:val="nil"/>
            </w:tcBorders>
            <w:shd w:val="clear" w:color="000000" w:fill="808080"/>
            <w:textDirection w:val="lrTb"/>
            <w:vAlign w:val="center"/>
            <w:hideMark/>
          </w:tcPr>
          <w:p w:rsidR="00954081" w:rsidRPr="00A53EAC" w:rsidP="00954081">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Upravené položky</w:t>
            </w:r>
          </w:p>
        </w:tc>
        <w:tc>
          <w:tcPr>
            <w:tcW w:w="1021" w:type="dxa"/>
            <w:tcBorders>
              <w:top w:val="nil"/>
              <w:left w:val="nil"/>
              <w:bottom w:val="nil"/>
              <w:right w:val="nil"/>
            </w:tcBorders>
            <w:shd w:val="clear" w:color="000000" w:fill="808080"/>
            <w:textDirection w:val="lrTb"/>
            <w:vAlign w:val="center"/>
            <w:hideMark/>
          </w:tcPr>
          <w:p w:rsidR="00954081" w:rsidRPr="00A53EAC" w:rsidP="00954081">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tis. €</w:t>
            </w:r>
          </w:p>
        </w:tc>
        <w:tc>
          <w:tcPr>
            <w:tcW w:w="680" w:type="dxa"/>
            <w:tcBorders>
              <w:top w:val="nil"/>
              <w:left w:val="nil"/>
              <w:bottom w:val="nil"/>
              <w:right w:val="nil"/>
            </w:tcBorders>
            <w:shd w:val="clear" w:color="000000" w:fill="808080"/>
            <w:textDirection w:val="lrTb"/>
            <w:vAlign w:val="center"/>
            <w:hideMark/>
          </w:tcPr>
          <w:p w:rsidR="00954081" w:rsidRPr="00A53EAC" w:rsidP="00954081">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xml:space="preserve">% </w:t>
              <w:br/>
              <w:t>HDP</w:t>
            </w:r>
          </w:p>
        </w:tc>
        <w:tc>
          <w:tcPr>
            <w:tcW w:w="3402" w:type="dxa"/>
            <w:tcBorders>
              <w:top w:val="nil"/>
              <w:left w:val="nil"/>
              <w:bottom w:val="nil"/>
              <w:right w:val="nil"/>
            </w:tcBorders>
            <w:shd w:val="clear" w:color="000000" w:fill="808080"/>
            <w:textDirection w:val="lrTb"/>
            <w:vAlign w:val="center"/>
            <w:hideMark/>
          </w:tcPr>
          <w:p w:rsidR="00954081" w:rsidRPr="00A53EAC" w:rsidP="00954081">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Zdôvodnenie úprav</w:t>
            </w:r>
          </w:p>
        </w:tc>
      </w:tr>
      <w:tr>
        <w:tblPrEx>
          <w:tblW w:w="9214" w:type="dxa"/>
          <w:tblCellMar>
            <w:left w:w="70" w:type="dxa"/>
            <w:right w:w="70" w:type="dxa"/>
          </w:tblCellMar>
          <w:tblLook w:val="04A0"/>
        </w:tblPrEx>
        <w:trPr>
          <w:trHeight w:val="255"/>
        </w:trPr>
        <w:tc>
          <w:tcPr>
            <w:tcW w:w="4111" w:type="dxa"/>
            <w:tcBorders>
              <w:top w:val="single" w:sz="4" w:space="0" w:color="auto"/>
              <w:left w:val="nil"/>
              <w:bottom w:val="single" w:sz="4" w:space="0" w:color="auto"/>
              <w:right w:val="nil"/>
            </w:tcBorders>
            <w:shd w:val="clear" w:color="000000" w:fill="BFBFBF"/>
            <w:noWrap/>
            <w:textDirection w:val="lrTb"/>
            <w:vAlign w:val="center"/>
            <w:hideMark/>
          </w:tcPr>
          <w:p w:rsidR="00954081" w:rsidRPr="00A53EAC" w:rsidP="00954081">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Schodok VS - apríl 2015</w:t>
            </w:r>
          </w:p>
        </w:tc>
        <w:tc>
          <w:tcPr>
            <w:tcW w:w="1021" w:type="dxa"/>
            <w:tcBorders>
              <w:top w:val="single" w:sz="4" w:space="0" w:color="auto"/>
              <w:left w:val="nil"/>
              <w:bottom w:val="single" w:sz="4" w:space="0" w:color="auto"/>
              <w:right w:val="nil"/>
            </w:tcBorders>
            <w:shd w:val="clear" w:color="000000" w:fill="BFBFBF"/>
            <w:noWrap/>
            <w:textDirection w:val="lrTb"/>
            <w:vAlign w:val="center"/>
            <w:hideMark/>
          </w:tcPr>
          <w:p w:rsidR="00954081"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-2 156 870</w:t>
            </w:r>
          </w:p>
        </w:tc>
        <w:tc>
          <w:tcPr>
            <w:tcW w:w="680" w:type="dxa"/>
            <w:tcBorders>
              <w:top w:val="single" w:sz="4" w:space="0" w:color="auto"/>
              <w:left w:val="nil"/>
              <w:bottom w:val="single" w:sz="4" w:space="0" w:color="auto"/>
              <w:right w:val="nil"/>
            </w:tcBorders>
            <w:shd w:val="clear" w:color="000000" w:fill="BFBFBF"/>
            <w:noWrap/>
            <w:textDirection w:val="lrTb"/>
            <w:vAlign w:val="center"/>
            <w:hideMark/>
          </w:tcPr>
          <w:p w:rsidR="00954081"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-2,868</w:t>
            </w:r>
          </w:p>
        </w:tc>
        <w:tc>
          <w:tcPr>
            <w:tcW w:w="3402" w:type="dxa"/>
            <w:tcBorders>
              <w:top w:val="single" w:sz="4" w:space="0" w:color="auto"/>
              <w:left w:val="nil"/>
              <w:bottom w:val="single" w:sz="4" w:space="0" w:color="auto"/>
              <w:right w:val="nil"/>
            </w:tcBorders>
            <w:shd w:val="clear" w:color="000000" w:fill="BFBFBF"/>
            <w:noWrap/>
            <w:textDirection w:val="lrTb"/>
            <w:vAlign w:val="center"/>
            <w:hideMark/>
          </w:tcPr>
          <w:p w:rsidR="00954081" w:rsidRPr="00A53EAC" w:rsidP="00954081">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Slovenská konsolidačná, a.s.</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-4 564</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-0,006</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účtovných závierok</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Verejné vysoké školy</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-689</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-0,001</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účtovných závierok</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Rozhlas a televízia Slovenska</w:t>
            </w:r>
          </w:p>
        </w:tc>
        <w:tc>
          <w:tcPr>
            <w:tcW w:w="1021" w:type="dxa"/>
            <w:tcBorders>
              <w:top w:val="nil"/>
              <w:left w:val="nil"/>
              <w:bottom w:val="nil"/>
              <w:right w:val="nil"/>
            </w:tcBorders>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123</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0,000</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účtovných závierok</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Železnice SR</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5 052</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0,007</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účtovných závierok</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Národná diaľničná spoločnosť, a.s.</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-19 844</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-0,026</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účtovných závierok</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Sociálna poisťovňa</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0,000</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účtovných závierok</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Neziskové organizácie štátu</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0,000</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účtovných závierok</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Eximbanka</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-625</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-0,001</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účtovných závierok</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Zmena stavu pohľadávky voči EÚ</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0,000</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účtovných závierok</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Zníženie pohľadávky voči EÚ</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-97 743</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-0,129</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údajov z dôvodu korekcií</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Daňové a odvodové príjmy</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151 483</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0,200</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aktualizácia z daňových priznaní</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Fond na podporu vzdelávania</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202</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0,000</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zahrnutie subjektu do verejnej správy</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Recyklačný fond</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301</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0,000</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zahrnutie subjektu do verejnej správy</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Príspevkové organizácie mimo sektora VS</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76</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0,000</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zahrnutie subjektov do verejnej správy</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Zábezpeky Eximbanky</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12 815</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0,017</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 xml:space="preserve">preradenie záväzkov zo zábezpek </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Výdavok Národnej diaľničnej spoločnosti</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16 667</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0,022</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preklasifik. výdavku na splátku úveru</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Emisné kvóty Ministerstva životného prostredia</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-3 143</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-0,004</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revízia zaznamenávania emisných kvót</w:t>
            </w:r>
          </w:p>
        </w:tc>
      </w:tr>
      <w:tr>
        <w:tblPrEx>
          <w:tblW w:w="9214" w:type="dxa"/>
          <w:tblCellMar>
            <w:left w:w="70" w:type="dxa"/>
            <w:right w:w="70" w:type="dxa"/>
          </w:tblCellMar>
          <w:tblLook w:val="04A0"/>
        </w:tblPrEx>
        <w:trPr>
          <w:trHeight w:val="255"/>
        </w:trPr>
        <w:tc>
          <w:tcPr>
            <w:tcW w:w="411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Emisné kvóty Environfondu</w:t>
            </w:r>
          </w:p>
        </w:tc>
        <w:tc>
          <w:tcPr>
            <w:tcW w:w="1021"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-786</w:t>
            </w:r>
          </w:p>
        </w:tc>
        <w:tc>
          <w:tcPr>
            <w:tcW w:w="680"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-0,001</w:t>
            </w:r>
          </w:p>
        </w:tc>
        <w:tc>
          <w:tcPr>
            <w:tcW w:w="3402" w:type="dxa"/>
            <w:tcBorders>
              <w:top w:val="nil"/>
              <w:left w:val="nil"/>
              <w:bottom w:val="nil"/>
              <w:right w:val="nil"/>
            </w:tcBorders>
            <w:shd w:val="clear" w:color="000000" w:fill="FFFFFF"/>
            <w:noWrap/>
            <w:textDirection w:val="lrTb"/>
            <w:vAlign w:val="center"/>
            <w:hideMark/>
          </w:tcPr>
          <w:p w:rsidR="00954081" w:rsidRPr="00A53EAC" w:rsidP="00954081">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revízia zaznamenávania emisných kvót</w:t>
            </w:r>
          </w:p>
        </w:tc>
      </w:tr>
      <w:tr>
        <w:tblPrEx>
          <w:tblW w:w="9214" w:type="dxa"/>
          <w:tblCellMar>
            <w:left w:w="70" w:type="dxa"/>
            <w:right w:w="70" w:type="dxa"/>
          </w:tblCellMar>
          <w:tblLook w:val="04A0"/>
        </w:tblPrEx>
        <w:trPr>
          <w:trHeight w:val="255"/>
        </w:trPr>
        <w:tc>
          <w:tcPr>
            <w:tcW w:w="4111" w:type="dxa"/>
            <w:tcBorders>
              <w:top w:val="single" w:sz="4" w:space="0" w:color="auto"/>
              <w:left w:val="nil"/>
              <w:bottom w:val="single" w:sz="4" w:space="0" w:color="auto"/>
              <w:right w:val="nil"/>
            </w:tcBorders>
            <w:shd w:val="clear" w:color="000000" w:fill="BFBFBF"/>
            <w:textDirection w:val="lrTb"/>
            <w:vAlign w:val="center"/>
            <w:hideMark/>
          </w:tcPr>
          <w:p w:rsidR="00954081" w:rsidRPr="00A53EAC" w:rsidP="00954081">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xml:space="preserve">Schodok VS - september 2015 </w:t>
            </w:r>
          </w:p>
        </w:tc>
        <w:tc>
          <w:tcPr>
            <w:tcW w:w="1021" w:type="dxa"/>
            <w:tcBorders>
              <w:top w:val="single" w:sz="4" w:space="0" w:color="auto"/>
              <w:left w:val="nil"/>
              <w:bottom w:val="single" w:sz="4" w:space="0" w:color="auto"/>
              <w:right w:val="nil"/>
            </w:tcBorders>
            <w:shd w:val="clear" w:color="000000" w:fill="BFBFBF"/>
            <w:textDirection w:val="lrTb"/>
            <w:vAlign w:val="center"/>
            <w:hideMark/>
          </w:tcPr>
          <w:p w:rsidR="00954081"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-2 097 552</w:t>
            </w:r>
          </w:p>
        </w:tc>
        <w:tc>
          <w:tcPr>
            <w:tcW w:w="680" w:type="dxa"/>
            <w:tcBorders>
              <w:top w:val="single" w:sz="4" w:space="0" w:color="auto"/>
              <w:left w:val="nil"/>
              <w:bottom w:val="single" w:sz="4" w:space="0" w:color="auto"/>
              <w:right w:val="nil"/>
            </w:tcBorders>
            <w:shd w:val="clear" w:color="000000" w:fill="BFBFBF"/>
            <w:textDirection w:val="lrTb"/>
            <w:vAlign w:val="center"/>
            <w:hideMark/>
          </w:tcPr>
          <w:p w:rsidR="00954081" w:rsidRPr="00A53EAC" w:rsidP="00954081">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-2,776</w:t>
            </w:r>
          </w:p>
        </w:tc>
        <w:tc>
          <w:tcPr>
            <w:tcW w:w="3402" w:type="dxa"/>
            <w:tcBorders>
              <w:top w:val="single" w:sz="4" w:space="0" w:color="auto"/>
              <w:left w:val="nil"/>
              <w:bottom w:val="single" w:sz="4" w:space="0" w:color="auto"/>
              <w:right w:val="nil"/>
            </w:tcBorders>
            <w:shd w:val="clear" w:color="000000" w:fill="BFBFBF"/>
            <w:noWrap/>
            <w:textDirection w:val="lrTb"/>
            <w:vAlign w:val="center"/>
            <w:hideMark/>
          </w:tcPr>
          <w:p w:rsidR="00954081" w:rsidRPr="00A53EAC" w:rsidP="00954081">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w:t>
            </w:r>
          </w:p>
        </w:tc>
      </w:tr>
    </w:tbl>
    <w:p w:rsidR="00954081" w:rsidRPr="00A53EAC" w:rsidP="001D45CC">
      <w:pPr>
        <w:bidi w:val="0"/>
        <w:spacing w:before="240" w:after="0" w:line="336" w:lineRule="auto"/>
        <w:jc w:val="both"/>
        <w:rPr>
          <w:rFonts w:ascii="Times New Roman" w:eastAsia="Calibri" w:hAnsi="Times New Roman" w:cs="Times New Roman" w:hint="default"/>
        </w:rPr>
      </w:pPr>
      <w:r w:rsidRPr="00A53EAC">
        <w:rPr>
          <w:rFonts w:ascii="Times New Roman" w:eastAsia="Calibri" w:hAnsi="Times New Roman" w:cs="Times New Roman" w:hint="default"/>
        </w:rPr>
        <w:t>Okrem aktualizá</w:t>
      </w:r>
      <w:r w:rsidRPr="00A53EAC">
        <w:rPr>
          <w:rFonts w:ascii="Times New Roman" w:eastAsia="Calibri" w:hAnsi="Times New Roman" w:cs="Times New Roman" w:hint="default"/>
        </w:rPr>
        <w:t>cie ú</w:t>
      </w:r>
      <w:r w:rsidRPr="00A53EAC">
        <w:rPr>
          <w:rFonts w:ascii="Times New Roman" w:eastAsia="Calibri" w:hAnsi="Times New Roman" w:cs="Times New Roman" w:hint="default"/>
        </w:rPr>
        <w:t>dajov z </w:t>
      </w:r>
      <w:r w:rsidRPr="00A53EAC">
        <w:rPr>
          <w:rFonts w:ascii="Times New Roman" w:eastAsia="Calibri" w:hAnsi="Times New Roman" w:cs="Times New Roman" w:hint="default"/>
        </w:rPr>
        <w:t>úč</w:t>
      </w:r>
      <w:r w:rsidRPr="00A53EAC">
        <w:rPr>
          <w:rFonts w:ascii="Times New Roman" w:eastAsia="Calibri" w:hAnsi="Times New Roman" w:cs="Times New Roman" w:hint="default"/>
        </w:rPr>
        <w:t>tovný</w:t>
      </w:r>
      <w:r w:rsidRPr="00A53EAC">
        <w:rPr>
          <w:rFonts w:ascii="Times New Roman" w:eastAsia="Calibri" w:hAnsi="Times New Roman" w:cs="Times New Roman" w:hint="default"/>
        </w:rPr>
        <w:t xml:space="preserve">ch </w:t>
      </w:r>
      <w:r w:rsidRPr="00A53EAC">
        <w:rPr>
          <w:rFonts w:ascii="Times New Roman" w:eastAsia="Calibri" w:hAnsi="Times New Roman" w:cs="Times New Roman" w:hint="default"/>
        </w:rPr>
        <w:t>zá</w:t>
      </w:r>
      <w:r w:rsidRPr="00A53EAC">
        <w:rPr>
          <w:rFonts w:ascii="Times New Roman" w:eastAsia="Calibri" w:hAnsi="Times New Roman" w:cs="Times New Roman" w:hint="default"/>
        </w:rPr>
        <w:t>vierok malo vplyv na schodok verejnej sprá</w:t>
      </w:r>
      <w:r w:rsidRPr="00A53EAC">
        <w:rPr>
          <w:rFonts w:ascii="Times New Roman" w:eastAsia="Calibri" w:hAnsi="Times New Roman" w:cs="Times New Roman" w:hint="default"/>
        </w:rPr>
        <w:t>vy:</w:t>
      </w:r>
    </w:p>
    <w:p w:rsidR="009A4C5C" w:rsidRPr="009A4C5C" w:rsidP="009A4C5C">
      <w:pPr>
        <w:pStyle w:val="ListParagraph"/>
        <w:numPr>
          <w:numId w:val="18"/>
        </w:numPr>
        <w:bidi w:val="0"/>
        <w:spacing w:line="336" w:lineRule="auto"/>
        <w:contextualSpacing w:val="0"/>
        <w:jc w:val="both"/>
        <w:rPr>
          <w:rFonts w:ascii="Times New Roman" w:hAnsi="Times New Roman" w:cs="Times New Roman"/>
        </w:rPr>
      </w:pPr>
      <w:r w:rsidRPr="009A4C5C">
        <w:rPr>
          <w:rFonts w:ascii="Times New Roman" w:hAnsi="Times New Roman" w:cs="Times New Roman"/>
        </w:rPr>
        <w:t>zníženie pohľadávky voči EU z dôvodu aktualizácie výšky korekcií (zvýšenie schodku o 97 743 tis. eur);</w:t>
      </w:r>
    </w:p>
    <w:p w:rsidR="009A4C5C" w:rsidRPr="009A4C5C" w:rsidP="009A4C5C">
      <w:pPr>
        <w:pStyle w:val="ListParagraph"/>
        <w:numPr>
          <w:numId w:val="18"/>
        </w:numPr>
        <w:bidi w:val="0"/>
        <w:spacing w:line="336" w:lineRule="auto"/>
        <w:contextualSpacing w:val="0"/>
        <w:jc w:val="both"/>
        <w:rPr>
          <w:rFonts w:ascii="Times New Roman" w:hAnsi="Times New Roman" w:cs="Times New Roman"/>
        </w:rPr>
      </w:pPr>
      <w:r w:rsidRPr="009A4C5C">
        <w:rPr>
          <w:rFonts w:ascii="Times New Roman" w:hAnsi="Times New Roman" w:cs="Times New Roman"/>
        </w:rPr>
        <w:t>aktualizované údaje o výške akruálnych daňových a odvodových príjmov (zníženie schodku o 151 483 tis. eur);</w:t>
      </w:r>
    </w:p>
    <w:p w:rsidR="00954081" w:rsidRPr="00A53EAC" w:rsidP="00954081">
      <w:pPr>
        <w:numPr>
          <w:numId w:val="18"/>
        </w:numPr>
        <w:bidi w:val="0"/>
        <w:spacing w:after="0" w:line="336" w:lineRule="auto"/>
        <w:jc w:val="both"/>
        <w:rPr>
          <w:rFonts w:ascii="Times New Roman" w:hAnsi="Times New Roman" w:cs="Times New Roman"/>
          <w:szCs w:val="22"/>
          <w:lang w:eastAsia="sk-SK"/>
        </w:rPr>
      </w:pPr>
      <w:r w:rsidRPr="00A53EAC">
        <w:rPr>
          <w:rFonts w:ascii="Times New Roman" w:hAnsi="Times New Roman" w:cs="Times New Roman"/>
          <w:szCs w:val="22"/>
          <w:lang w:eastAsia="sk-SK"/>
        </w:rPr>
        <w:t>zahrnutie Fondu na podporu vzdelávania do sektora verejnej sprá</w:t>
      </w:r>
      <w:r w:rsidR="00CE1C18">
        <w:rPr>
          <w:rFonts w:ascii="Times New Roman" w:hAnsi="Times New Roman" w:cs="Times New Roman"/>
          <w:szCs w:val="22"/>
          <w:lang w:eastAsia="sk-SK"/>
        </w:rPr>
        <w:t>vy (zníženie schodku o 202 tis. </w:t>
      </w:r>
      <w:r w:rsidRPr="00A53EAC">
        <w:rPr>
          <w:rFonts w:ascii="Times New Roman" w:hAnsi="Times New Roman" w:cs="Times New Roman"/>
          <w:szCs w:val="22"/>
          <w:lang w:eastAsia="sk-SK"/>
        </w:rPr>
        <w:t>eur);</w:t>
      </w:r>
    </w:p>
    <w:p w:rsidR="00954081" w:rsidRPr="00A53EAC" w:rsidP="00954081">
      <w:pPr>
        <w:numPr>
          <w:numId w:val="18"/>
        </w:numPr>
        <w:bidi w:val="0"/>
        <w:spacing w:after="0" w:line="336" w:lineRule="auto"/>
        <w:jc w:val="both"/>
        <w:rPr>
          <w:rFonts w:ascii="Times New Roman" w:hAnsi="Times New Roman" w:cs="Times New Roman"/>
          <w:szCs w:val="22"/>
          <w:lang w:eastAsia="sk-SK"/>
        </w:rPr>
      </w:pPr>
      <w:r w:rsidRPr="00A53EAC">
        <w:rPr>
          <w:rFonts w:ascii="Times New Roman" w:hAnsi="Times New Roman" w:cs="Times New Roman"/>
          <w:szCs w:val="22"/>
          <w:lang w:eastAsia="sk-SK"/>
        </w:rPr>
        <w:t>zahrnutie Recyklačného fondu do sektora verejnej správy (zníženie schodku o 301 tis. eur);</w:t>
      </w:r>
    </w:p>
    <w:p w:rsidR="00954081" w:rsidRPr="00A53EAC" w:rsidP="00954081">
      <w:pPr>
        <w:numPr>
          <w:numId w:val="18"/>
        </w:numPr>
        <w:bidi w:val="0"/>
        <w:spacing w:after="0" w:line="336" w:lineRule="auto"/>
        <w:jc w:val="both"/>
        <w:rPr>
          <w:rFonts w:ascii="Times New Roman" w:hAnsi="Times New Roman" w:cs="Times New Roman"/>
          <w:szCs w:val="22"/>
          <w:lang w:eastAsia="sk-SK"/>
        </w:rPr>
      </w:pPr>
      <w:r w:rsidRPr="00A53EAC">
        <w:rPr>
          <w:rFonts w:ascii="Times New Roman" w:hAnsi="Times New Roman" w:cs="Times New Roman"/>
          <w:szCs w:val="22"/>
          <w:lang w:eastAsia="sk-SK"/>
        </w:rPr>
        <w:t>zahrnutie príspevkových organizácií do sektora verejnej správy (zníženie schodku o 76 tis, eur);</w:t>
      </w:r>
    </w:p>
    <w:p w:rsidR="00954081" w:rsidRPr="00A53EAC" w:rsidP="00954081">
      <w:pPr>
        <w:numPr>
          <w:numId w:val="18"/>
        </w:numPr>
        <w:bidi w:val="0"/>
        <w:spacing w:after="0" w:line="336" w:lineRule="auto"/>
        <w:jc w:val="both"/>
        <w:rPr>
          <w:rFonts w:ascii="Times New Roman" w:hAnsi="Times New Roman" w:cs="Times New Roman"/>
          <w:szCs w:val="22"/>
          <w:lang w:eastAsia="sk-SK"/>
        </w:rPr>
      </w:pPr>
      <w:r w:rsidRPr="00A53EAC">
        <w:rPr>
          <w:rFonts w:ascii="Times New Roman" w:hAnsi="Times New Roman" w:cs="Times New Roman"/>
          <w:szCs w:val="22"/>
          <w:lang w:eastAsia="sk-SK"/>
        </w:rPr>
        <w:t>preradenie záväzkov zo zábezpek z finančného nástroja „ostatné záväzky“ Eximbanky do dlhu (zníženie schodku o 12 815 tis, eur);</w:t>
      </w:r>
    </w:p>
    <w:p w:rsidR="00954081" w:rsidRPr="00A53EAC" w:rsidP="00954081">
      <w:pPr>
        <w:numPr>
          <w:numId w:val="18"/>
        </w:numPr>
        <w:bidi w:val="0"/>
        <w:spacing w:after="0" w:line="336" w:lineRule="auto"/>
        <w:jc w:val="both"/>
        <w:rPr>
          <w:rFonts w:ascii="Times New Roman" w:hAnsi="Times New Roman" w:cs="Times New Roman"/>
          <w:szCs w:val="22"/>
          <w:lang w:eastAsia="sk-SK"/>
        </w:rPr>
      </w:pPr>
      <w:r w:rsidRPr="00A53EAC">
        <w:rPr>
          <w:rFonts w:ascii="Times New Roman" w:hAnsi="Times New Roman" w:cs="Times New Roman"/>
          <w:szCs w:val="22"/>
          <w:lang w:eastAsia="sk-SK"/>
        </w:rPr>
        <w:t xml:space="preserve">preradenie záväzku Národnej diaľničnej spoločnosti, a.s. voči dodávateľovi (SkyToll) z finančného nástroja „ostatné záväzky“ do dlhu (zvýšenie schodku o 16 667 tis. eur) a zároveň preklasifikovanie výdavku za služby na splátku úveru (zníženie schodku o 16 667 tis. eur); </w:t>
      </w:r>
    </w:p>
    <w:p w:rsidR="00954081" w:rsidRPr="00A53EAC" w:rsidP="00954081">
      <w:pPr>
        <w:numPr>
          <w:numId w:val="18"/>
        </w:numPr>
        <w:bidi w:val="0"/>
        <w:spacing w:after="120" w:line="336" w:lineRule="auto"/>
        <w:contextualSpacing/>
        <w:jc w:val="both"/>
        <w:rPr>
          <w:rFonts w:ascii="Times New Roman" w:hAnsi="Times New Roman" w:cs="Times New Roman"/>
          <w:szCs w:val="22"/>
          <w:lang w:eastAsia="sk-SK"/>
        </w:rPr>
      </w:pPr>
      <w:r w:rsidRPr="00A53EAC">
        <w:rPr>
          <w:rFonts w:ascii="Times New Roman" w:hAnsi="Times New Roman" w:cs="Times New Roman"/>
          <w:szCs w:val="22"/>
          <w:lang w:eastAsia="sk-SK"/>
        </w:rPr>
        <w:t xml:space="preserve">revízia zaznamenávania emisných kvót Ministerstva životného prostredia </w:t>
      </w:r>
      <w:r w:rsidRPr="00A53EAC" w:rsidR="0008237F">
        <w:rPr>
          <w:rFonts w:ascii="Times New Roman" w:hAnsi="Times New Roman" w:cs="Times New Roman"/>
          <w:szCs w:val="22"/>
          <w:lang w:eastAsia="sk-SK"/>
        </w:rPr>
        <w:t xml:space="preserve">SR </w:t>
      </w:r>
      <w:r w:rsidRPr="00A53EAC">
        <w:rPr>
          <w:rFonts w:ascii="Times New Roman" w:hAnsi="Times New Roman" w:cs="Times New Roman"/>
          <w:szCs w:val="22"/>
          <w:lang w:eastAsia="sk-SK"/>
        </w:rPr>
        <w:t>(zvýšenie schodku o 3 143 tis. eur);</w:t>
      </w:r>
    </w:p>
    <w:p w:rsidR="002920B8" w:rsidRPr="00A53EAC" w:rsidP="00954081">
      <w:pPr>
        <w:numPr>
          <w:numId w:val="18"/>
        </w:numPr>
        <w:bidi w:val="0"/>
        <w:spacing w:after="120" w:line="336" w:lineRule="auto"/>
        <w:contextualSpacing/>
        <w:jc w:val="both"/>
        <w:rPr>
          <w:rFonts w:ascii="Times New Roman" w:hAnsi="Times New Roman" w:cs="Times New Roman"/>
          <w:szCs w:val="22"/>
          <w:lang w:eastAsia="sk-SK"/>
        </w:rPr>
      </w:pPr>
      <w:r w:rsidRPr="00A53EAC" w:rsidR="00954081">
        <w:rPr>
          <w:rFonts w:ascii="Times New Roman" w:eastAsia="Calibri" w:hAnsi="Times New Roman" w:cs="Times New Roman" w:hint="default"/>
        </w:rPr>
        <w:t>reví</w:t>
      </w:r>
      <w:r w:rsidRPr="00A53EAC" w:rsidR="00954081">
        <w:rPr>
          <w:rFonts w:ascii="Times New Roman" w:eastAsia="Calibri" w:hAnsi="Times New Roman" w:cs="Times New Roman" w:hint="default"/>
        </w:rPr>
        <w:t>zia zaznamená</w:t>
      </w:r>
      <w:r w:rsidRPr="00A53EAC" w:rsidR="00954081">
        <w:rPr>
          <w:rFonts w:ascii="Times New Roman" w:eastAsia="Calibri" w:hAnsi="Times New Roman" w:cs="Times New Roman" w:hint="default"/>
        </w:rPr>
        <w:t>vania emisný</w:t>
      </w:r>
      <w:r w:rsidRPr="00A53EAC" w:rsidR="00954081">
        <w:rPr>
          <w:rFonts w:ascii="Times New Roman" w:eastAsia="Calibri" w:hAnsi="Times New Roman" w:cs="Times New Roman" w:hint="default"/>
        </w:rPr>
        <w:t>ch kvó</w:t>
      </w:r>
      <w:r w:rsidRPr="00A53EAC" w:rsidR="00954081">
        <w:rPr>
          <w:rFonts w:ascii="Times New Roman" w:eastAsia="Calibri" w:hAnsi="Times New Roman" w:cs="Times New Roman" w:hint="default"/>
        </w:rPr>
        <w:t>t Environfondu (zvýš</w:t>
      </w:r>
      <w:r w:rsidRPr="00A53EAC" w:rsidR="00954081">
        <w:rPr>
          <w:rFonts w:ascii="Times New Roman" w:eastAsia="Calibri" w:hAnsi="Times New Roman" w:cs="Times New Roman" w:hint="default"/>
        </w:rPr>
        <w:t>enie schodku o 786 tis. eur).</w:t>
      </w:r>
    </w:p>
    <w:p w:rsidR="00C30406" w:rsidRPr="00A53EAC" w:rsidP="00C30406">
      <w:pPr>
        <w:bidi w:val="0"/>
        <w:spacing w:before="240" w:after="0" w:line="336" w:lineRule="auto"/>
        <w:jc w:val="both"/>
        <w:rPr>
          <w:rFonts w:ascii="Times New Roman" w:hAnsi="Times New Roman" w:cs="Times New Roman"/>
        </w:rPr>
      </w:pPr>
      <w:r w:rsidRPr="00A53EAC">
        <w:rPr>
          <w:rFonts w:ascii="Times New Roman" w:hAnsi="Times New Roman" w:cs="Times New Roman"/>
        </w:rPr>
        <w:t>Zníženie d</w:t>
      </w:r>
      <w:r w:rsidRPr="00A53EAC" w:rsidR="001D45CC">
        <w:rPr>
          <w:rFonts w:ascii="Times New Roman" w:hAnsi="Times New Roman" w:cs="Times New Roman"/>
        </w:rPr>
        <w:t>lh</w:t>
      </w:r>
      <w:r w:rsidRPr="00A53EAC">
        <w:rPr>
          <w:rFonts w:ascii="Times New Roman" w:hAnsi="Times New Roman" w:cs="Times New Roman"/>
        </w:rPr>
        <w:t>u</w:t>
      </w:r>
      <w:r w:rsidRPr="00A53EAC" w:rsidR="001D45CC">
        <w:rPr>
          <w:rFonts w:ascii="Times New Roman" w:hAnsi="Times New Roman" w:cs="Times New Roman"/>
        </w:rPr>
        <w:t xml:space="preserve"> verejnej správy pri októbrovej notifikácii oproti aprílu </w:t>
      </w:r>
      <w:r w:rsidRPr="00A53EAC">
        <w:rPr>
          <w:rFonts w:ascii="Times New Roman" w:hAnsi="Times New Roman" w:cs="Times New Roman"/>
        </w:rPr>
        <w:t>o 0,1 % HDP spôsobili nasledovné faktory:</w:t>
      </w:r>
    </w:p>
    <w:p w:rsidR="00C30406" w:rsidRPr="00A53EAC" w:rsidP="00C30406">
      <w:pPr>
        <w:pStyle w:val="ListParagraph"/>
        <w:numPr>
          <w:numId w:val="18"/>
        </w:numPr>
        <w:bidi w:val="0"/>
        <w:spacing w:line="336" w:lineRule="auto"/>
        <w:contextualSpacing w:val="0"/>
        <w:jc w:val="both"/>
        <w:rPr>
          <w:rFonts w:ascii="Times New Roman" w:hAnsi="Times New Roman" w:cs="Times New Roman"/>
        </w:rPr>
      </w:pPr>
      <w:r w:rsidRPr="00A53EAC">
        <w:rPr>
          <w:rFonts w:ascii="Times New Roman" w:hAnsi="Times New Roman" w:cs="Times New Roman"/>
        </w:rPr>
        <w:t>zvýšenie dlhu Národnej diaľničnej spoločnosti, a.s. z dôvodu postúpenia záväzku voči spoločnosti SkyToll, a.s. na banku vo výške 43 333 tis. eur;</w:t>
      </w:r>
    </w:p>
    <w:p w:rsidR="00C30406" w:rsidRPr="00A53EAC" w:rsidP="00C30406">
      <w:pPr>
        <w:pStyle w:val="ListParagraph"/>
        <w:numPr>
          <w:numId w:val="18"/>
        </w:numPr>
        <w:bidi w:val="0"/>
        <w:spacing w:line="336" w:lineRule="auto"/>
        <w:contextualSpacing w:val="0"/>
        <w:jc w:val="both"/>
        <w:rPr>
          <w:rFonts w:ascii="Times New Roman" w:hAnsi="Times New Roman" w:cs="Times New Roman"/>
        </w:rPr>
      </w:pPr>
      <w:r w:rsidRPr="00A53EAC">
        <w:rPr>
          <w:rFonts w:ascii="Times New Roman" w:hAnsi="Times New Roman" w:cs="Times New Roman"/>
        </w:rPr>
        <w:t>navýšenie dlhu Exportno-importnej banky o 63 581 tis. eur z dôvodu reklasifikácie záväzkov voči klientom.</w:t>
      </w:r>
    </w:p>
    <w:tbl>
      <w:tblPr>
        <w:tblStyle w:val="TableNormal"/>
        <w:tblW w:w="5000" w:type="pct"/>
        <w:tblCellMar>
          <w:left w:w="70" w:type="dxa"/>
          <w:right w:w="70" w:type="dxa"/>
        </w:tblCellMar>
        <w:tblLook w:val="04A0"/>
      </w:tblPr>
      <w:tblGrid>
        <w:gridCol w:w="3751"/>
        <w:gridCol w:w="1092"/>
        <w:gridCol w:w="626"/>
        <w:gridCol w:w="3742"/>
      </w:tblGrid>
      <w:tr>
        <w:tblPrEx>
          <w:tblW w:w="5000" w:type="pct"/>
          <w:tblCellMar>
            <w:left w:w="70" w:type="dxa"/>
            <w:right w:w="70" w:type="dxa"/>
          </w:tblCellMar>
          <w:tblLook w:val="04A0"/>
        </w:tblPrEx>
        <w:trPr>
          <w:trHeight w:val="255"/>
        </w:trPr>
        <w:tc>
          <w:tcPr>
            <w:tcW w:w="5000" w:type="pct"/>
            <w:gridSpan w:val="4"/>
            <w:tcBorders>
              <w:top w:val="single" w:sz="4" w:space="0" w:color="auto"/>
              <w:left w:val="nil"/>
              <w:bottom w:val="single" w:sz="4" w:space="0" w:color="auto"/>
              <w:right w:val="nil"/>
            </w:tcBorders>
            <w:shd w:val="clear" w:color="000000" w:fill="000000"/>
            <w:noWrap/>
            <w:textDirection w:val="lrTb"/>
            <w:vAlign w:val="center"/>
            <w:hideMark/>
          </w:tcPr>
          <w:p w:rsidR="00C30406" w:rsidRPr="00A53EAC" w:rsidP="0025486C">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Úpravy dlhu za rok 2014 pri októbrovej notifikácii</w:t>
            </w:r>
            <w:r w:rsidRPr="00A53EAC" w:rsidR="00767A95">
              <w:rPr>
                <w:rFonts w:ascii="Times New Roman" w:hAnsi="Times New Roman" w:cs="Times New Roman"/>
                <w:b/>
                <w:bCs/>
                <w:color w:val="FFFFFF"/>
                <w:sz w:val="20"/>
                <w:szCs w:val="20"/>
                <w:lang w:eastAsia="sk-SK"/>
              </w:rPr>
              <w:t xml:space="preserve"> v metodike ESA 2010</w:t>
            </w:r>
          </w:p>
        </w:tc>
      </w:tr>
      <w:tr>
        <w:tblPrEx>
          <w:tblW w:w="5000" w:type="pct"/>
          <w:tblCellMar>
            <w:left w:w="70" w:type="dxa"/>
            <w:right w:w="70" w:type="dxa"/>
          </w:tblCellMar>
          <w:tblLook w:val="04A0"/>
        </w:tblPrEx>
        <w:trPr>
          <w:trHeight w:val="510"/>
        </w:trPr>
        <w:tc>
          <w:tcPr>
            <w:tcW w:w="2036" w:type="pct"/>
            <w:tcBorders>
              <w:top w:val="nil"/>
              <w:left w:val="nil"/>
              <w:bottom w:val="nil"/>
              <w:right w:val="nil"/>
            </w:tcBorders>
            <w:shd w:val="clear" w:color="000000" w:fill="808080"/>
            <w:textDirection w:val="lrTb"/>
            <w:vAlign w:val="center"/>
            <w:hideMark/>
          </w:tcPr>
          <w:p w:rsidR="00C30406" w:rsidRPr="00A53EAC" w:rsidP="0025486C">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Upravené položky</w:t>
            </w:r>
          </w:p>
        </w:tc>
        <w:tc>
          <w:tcPr>
            <w:tcW w:w="593" w:type="pct"/>
            <w:tcBorders>
              <w:top w:val="nil"/>
              <w:left w:val="nil"/>
              <w:bottom w:val="nil"/>
              <w:right w:val="nil"/>
            </w:tcBorders>
            <w:shd w:val="clear" w:color="000000" w:fill="808080"/>
            <w:textDirection w:val="lrTb"/>
            <w:vAlign w:val="center"/>
            <w:hideMark/>
          </w:tcPr>
          <w:p w:rsidR="00C30406" w:rsidRPr="00A53EAC" w:rsidP="0025486C">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tis. €</w:t>
            </w:r>
          </w:p>
        </w:tc>
        <w:tc>
          <w:tcPr>
            <w:tcW w:w="340" w:type="pct"/>
            <w:tcBorders>
              <w:top w:val="nil"/>
              <w:left w:val="nil"/>
              <w:bottom w:val="nil"/>
              <w:right w:val="nil"/>
            </w:tcBorders>
            <w:shd w:val="clear" w:color="000000" w:fill="808080"/>
            <w:textDirection w:val="lrTb"/>
            <w:vAlign w:val="center"/>
            <w:hideMark/>
          </w:tcPr>
          <w:p w:rsidR="00C30406" w:rsidRPr="00A53EAC" w:rsidP="0025486C">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xml:space="preserve">% </w:t>
              <w:br/>
              <w:t>HDP</w:t>
            </w:r>
          </w:p>
        </w:tc>
        <w:tc>
          <w:tcPr>
            <w:tcW w:w="2031" w:type="pct"/>
            <w:tcBorders>
              <w:top w:val="nil"/>
              <w:left w:val="nil"/>
              <w:bottom w:val="nil"/>
              <w:right w:val="nil"/>
            </w:tcBorders>
            <w:shd w:val="clear" w:color="000000" w:fill="808080"/>
            <w:textDirection w:val="lrTb"/>
            <w:vAlign w:val="center"/>
            <w:hideMark/>
          </w:tcPr>
          <w:p w:rsidR="00C30406" w:rsidRPr="00A53EAC" w:rsidP="0025486C">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Zdôvodnenie úprav</w:t>
            </w:r>
          </w:p>
        </w:tc>
      </w:tr>
      <w:tr>
        <w:tblPrEx>
          <w:tblW w:w="5000" w:type="pct"/>
          <w:tblCellMar>
            <w:left w:w="70" w:type="dxa"/>
            <w:right w:w="70" w:type="dxa"/>
          </w:tblCellMar>
          <w:tblLook w:val="04A0"/>
        </w:tblPrEx>
        <w:trPr>
          <w:trHeight w:val="255"/>
        </w:trPr>
        <w:tc>
          <w:tcPr>
            <w:tcW w:w="2036" w:type="pct"/>
            <w:tcBorders>
              <w:top w:val="single" w:sz="4" w:space="0" w:color="auto"/>
              <w:left w:val="nil"/>
              <w:bottom w:val="single" w:sz="4" w:space="0" w:color="auto"/>
              <w:right w:val="nil"/>
            </w:tcBorders>
            <w:shd w:val="clear" w:color="000000" w:fill="BFBFBF"/>
            <w:noWrap/>
            <w:textDirection w:val="lrTb"/>
            <w:vAlign w:val="center"/>
            <w:hideMark/>
          </w:tcPr>
          <w:p w:rsidR="00C30406" w:rsidRPr="00A53EAC" w:rsidP="0025486C">
            <w:pPr>
              <w:bidi w:val="0"/>
              <w:spacing w:after="0" w:line="240" w:lineRule="auto"/>
              <w:rPr>
                <w:rFonts w:ascii="Times New Roman" w:hAnsi="Times New Roman" w:cs="Times New Roman"/>
                <w:b/>
                <w:bCs/>
                <w:sz w:val="20"/>
                <w:szCs w:val="20"/>
                <w:lang w:eastAsia="sk-SK"/>
              </w:rPr>
            </w:pPr>
            <w:r w:rsidRPr="00A53EAC" w:rsidR="00767A95">
              <w:rPr>
                <w:rFonts w:ascii="Times New Roman" w:hAnsi="Times New Roman" w:cs="Times New Roman"/>
                <w:b/>
                <w:bCs/>
                <w:sz w:val="20"/>
                <w:szCs w:val="20"/>
                <w:lang w:eastAsia="sk-SK"/>
              </w:rPr>
              <w:t>Dlh verejnej správy</w:t>
            </w:r>
            <w:r w:rsidRPr="00A53EAC">
              <w:rPr>
                <w:rFonts w:ascii="Times New Roman" w:hAnsi="Times New Roman" w:cs="Times New Roman"/>
                <w:b/>
                <w:bCs/>
                <w:sz w:val="20"/>
                <w:szCs w:val="20"/>
                <w:lang w:eastAsia="sk-SK"/>
              </w:rPr>
              <w:t xml:space="preserve"> - apríl 2015</w:t>
            </w:r>
          </w:p>
        </w:tc>
        <w:tc>
          <w:tcPr>
            <w:tcW w:w="593" w:type="pct"/>
            <w:tcBorders>
              <w:top w:val="single" w:sz="4" w:space="0" w:color="auto"/>
              <w:left w:val="nil"/>
              <w:bottom w:val="single" w:sz="4" w:space="0" w:color="auto"/>
              <w:right w:val="nil"/>
            </w:tcBorders>
            <w:shd w:val="clear" w:color="000000" w:fill="BFBFBF"/>
            <w:noWrap/>
            <w:textDirection w:val="lrTb"/>
            <w:vAlign w:val="center"/>
            <w:hideMark/>
          </w:tcPr>
          <w:p w:rsidR="00C30406" w:rsidRPr="00A53EAC" w:rsidP="0025486C">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40 296 873</w:t>
            </w:r>
          </w:p>
        </w:tc>
        <w:tc>
          <w:tcPr>
            <w:tcW w:w="340" w:type="pct"/>
            <w:tcBorders>
              <w:top w:val="single" w:sz="4" w:space="0" w:color="auto"/>
              <w:left w:val="nil"/>
              <w:bottom w:val="single" w:sz="4" w:space="0" w:color="auto"/>
              <w:right w:val="nil"/>
            </w:tcBorders>
            <w:shd w:val="clear" w:color="000000" w:fill="BFBFBF"/>
            <w:noWrap/>
            <w:textDirection w:val="lrTb"/>
            <w:vAlign w:val="center"/>
            <w:hideMark/>
          </w:tcPr>
          <w:p w:rsidR="00C30406" w:rsidRPr="00A53EAC" w:rsidP="0025486C">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53,58</w:t>
            </w:r>
          </w:p>
        </w:tc>
        <w:tc>
          <w:tcPr>
            <w:tcW w:w="2031" w:type="pct"/>
            <w:tcBorders>
              <w:top w:val="single" w:sz="4" w:space="0" w:color="auto"/>
              <w:left w:val="nil"/>
              <w:bottom w:val="single" w:sz="4" w:space="0" w:color="auto"/>
              <w:right w:val="nil"/>
            </w:tcBorders>
            <w:shd w:val="clear" w:color="000000" w:fill="BFBFBF"/>
            <w:noWrap/>
            <w:textDirection w:val="lrTb"/>
            <w:vAlign w:val="center"/>
            <w:hideMark/>
          </w:tcPr>
          <w:p w:rsidR="00C30406" w:rsidRPr="00A53EAC" w:rsidP="0025486C">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w:t>
            </w:r>
          </w:p>
        </w:tc>
      </w:tr>
      <w:tr>
        <w:tblPrEx>
          <w:tblW w:w="5000" w:type="pct"/>
          <w:tblCellMar>
            <w:left w:w="70" w:type="dxa"/>
            <w:right w:w="70" w:type="dxa"/>
          </w:tblCellMar>
          <w:tblLook w:val="04A0"/>
        </w:tblPrEx>
        <w:trPr>
          <w:trHeight w:val="255"/>
        </w:trPr>
        <w:tc>
          <w:tcPr>
            <w:tcW w:w="2036" w:type="pct"/>
            <w:tcBorders>
              <w:top w:val="nil"/>
              <w:left w:val="nil"/>
              <w:bottom w:val="nil"/>
              <w:right w:val="nil"/>
            </w:tcBorders>
            <w:noWrap/>
            <w:textDirection w:val="lrTb"/>
            <w:vAlign w:val="center"/>
            <w:hideMark/>
          </w:tcPr>
          <w:p w:rsidR="00C30406" w:rsidRPr="00A53EAC" w:rsidP="0025486C">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Národná diaľničná spoločnosť, a.s.</w:t>
            </w:r>
          </w:p>
        </w:tc>
        <w:tc>
          <w:tcPr>
            <w:tcW w:w="593" w:type="pct"/>
            <w:tcBorders>
              <w:top w:val="nil"/>
              <w:left w:val="nil"/>
              <w:bottom w:val="nil"/>
              <w:right w:val="nil"/>
            </w:tcBorders>
            <w:noWrap/>
            <w:textDirection w:val="lrTb"/>
            <w:vAlign w:val="center"/>
            <w:hideMark/>
          </w:tcPr>
          <w:p w:rsidR="00C30406" w:rsidRPr="00A53EAC" w:rsidP="0025486C">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43 333</w:t>
            </w:r>
          </w:p>
        </w:tc>
        <w:tc>
          <w:tcPr>
            <w:tcW w:w="340" w:type="pct"/>
            <w:tcBorders>
              <w:top w:val="nil"/>
              <w:left w:val="nil"/>
              <w:bottom w:val="nil"/>
              <w:right w:val="nil"/>
            </w:tcBorders>
            <w:noWrap/>
            <w:textDirection w:val="lrTb"/>
            <w:vAlign w:val="center"/>
            <w:hideMark/>
          </w:tcPr>
          <w:p w:rsidR="00C30406" w:rsidRPr="00A53EAC" w:rsidP="0025486C">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0,057</w:t>
            </w:r>
          </w:p>
        </w:tc>
        <w:tc>
          <w:tcPr>
            <w:tcW w:w="2031" w:type="pct"/>
            <w:tcBorders>
              <w:top w:val="nil"/>
              <w:left w:val="nil"/>
              <w:bottom w:val="nil"/>
              <w:right w:val="nil"/>
            </w:tcBorders>
            <w:noWrap/>
            <w:textDirection w:val="lrTb"/>
            <w:vAlign w:val="center"/>
            <w:hideMark/>
          </w:tcPr>
          <w:p w:rsidR="00C30406" w:rsidRPr="00A53EAC" w:rsidP="0025486C">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preklasifikovanie záväzku na bankový úver</w:t>
            </w:r>
          </w:p>
        </w:tc>
      </w:tr>
      <w:tr>
        <w:tblPrEx>
          <w:tblW w:w="5000" w:type="pct"/>
          <w:tblCellMar>
            <w:left w:w="70" w:type="dxa"/>
            <w:right w:w="70" w:type="dxa"/>
          </w:tblCellMar>
          <w:tblLook w:val="04A0"/>
        </w:tblPrEx>
        <w:trPr>
          <w:trHeight w:val="255"/>
        </w:trPr>
        <w:tc>
          <w:tcPr>
            <w:tcW w:w="2036" w:type="pct"/>
            <w:tcBorders>
              <w:top w:val="nil"/>
              <w:left w:val="nil"/>
              <w:bottom w:val="nil"/>
              <w:right w:val="nil"/>
            </w:tcBorders>
            <w:noWrap/>
            <w:textDirection w:val="lrTb"/>
            <w:vAlign w:val="center"/>
            <w:hideMark/>
          </w:tcPr>
          <w:p w:rsidR="00C30406" w:rsidRPr="00A53EAC" w:rsidP="0025486C">
            <w:pPr>
              <w:bidi w:val="0"/>
              <w:spacing w:after="0" w:line="240" w:lineRule="auto"/>
              <w:rPr>
                <w:rFonts w:ascii="Times New Roman" w:hAnsi="Times New Roman" w:cs="Times New Roman"/>
                <w:sz w:val="20"/>
                <w:szCs w:val="20"/>
                <w:lang w:eastAsia="sk-SK"/>
              </w:rPr>
            </w:pPr>
            <w:r w:rsidRPr="00A53EAC">
              <w:rPr>
                <w:rFonts w:ascii="Times New Roman" w:hAnsi="Times New Roman" w:cs="Times New Roman"/>
                <w:sz w:val="20"/>
                <w:szCs w:val="20"/>
                <w:lang w:eastAsia="sk-SK"/>
              </w:rPr>
              <w:t>Zábezpeky Eximbanky</w:t>
            </w:r>
          </w:p>
        </w:tc>
        <w:tc>
          <w:tcPr>
            <w:tcW w:w="593" w:type="pct"/>
            <w:tcBorders>
              <w:top w:val="nil"/>
              <w:left w:val="nil"/>
              <w:bottom w:val="nil"/>
              <w:right w:val="nil"/>
            </w:tcBorders>
            <w:noWrap/>
            <w:textDirection w:val="lrTb"/>
            <w:vAlign w:val="center"/>
            <w:hideMark/>
          </w:tcPr>
          <w:p w:rsidR="00C30406" w:rsidRPr="00A53EAC" w:rsidP="0025486C">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63 581</w:t>
            </w:r>
          </w:p>
        </w:tc>
        <w:tc>
          <w:tcPr>
            <w:tcW w:w="340" w:type="pct"/>
            <w:tcBorders>
              <w:top w:val="nil"/>
              <w:left w:val="nil"/>
              <w:bottom w:val="nil"/>
              <w:right w:val="nil"/>
            </w:tcBorders>
            <w:noWrap/>
            <w:textDirection w:val="lrTb"/>
            <w:vAlign w:val="center"/>
            <w:hideMark/>
          </w:tcPr>
          <w:p w:rsidR="00C30406" w:rsidRPr="00A53EAC" w:rsidP="0025486C">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0,084</w:t>
            </w:r>
          </w:p>
        </w:tc>
        <w:tc>
          <w:tcPr>
            <w:tcW w:w="2031" w:type="pct"/>
            <w:tcBorders>
              <w:top w:val="nil"/>
              <w:left w:val="nil"/>
              <w:bottom w:val="nil"/>
              <w:right w:val="nil"/>
            </w:tcBorders>
            <w:noWrap/>
            <w:textDirection w:val="lrTb"/>
            <w:vAlign w:val="center"/>
            <w:hideMark/>
          </w:tcPr>
          <w:p w:rsidR="00C30406" w:rsidRPr="00A53EAC" w:rsidP="0025486C">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preklasifikovanie záväzku zo zábezpek</w:t>
            </w:r>
          </w:p>
        </w:tc>
      </w:tr>
      <w:tr>
        <w:tblPrEx>
          <w:tblW w:w="5000" w:type="pct"/>
          <w:tblCellMar>
            <w:left w:w="70" w:type="dxa"/>
            <w:right w:w="70" w:type="dxa"/>
          </w:tblCellMar>
          <w:tblLook w:val="04A0"/>
        </w:tblPrEx>
        <w:trPr>
          <w:trHeight w:val="255"/>
        </w:trPr>
        <w:tc>
          <w:tcPr>
            <w:tcW w:w="2036" w:type="pct"/>
            <w:tcBorders>
              <w:top w:val="single" w:sz="4" w:space="0" w:color="auto"/>
              <w:left w:val="nil"/>
              <w:bottom w:val="single" w:sz="4" w:space="0" w:color="auto"/>
              <w:right w:val="nil"/>
            </w:tcBorders>
            <w:textDirection w:val="lrTb"/>
            <w:vAlign w:val="center"/>
            <w:hideMark/>
          </w:tcPr>
          <w:p w:rsidR="00C30406" w:rsidRPr="00A53EAC" w:rsidP="00767A95">
            <w:pPr>
              <w:bidi w:val="0"/>
              <w:spacing w:after="0" w:line="240" w:lineRule="auto"/>
              <w:rPr>
                <w:rFonts w:ascii="Times New Roman" w:hAnsi="Times New Roman" w:cs="Times New Roman"/>
                <w:b/>
                <w:bCs/>
                <w:sz w:val="20"/>
                <w:szCs w:val="20"/>
                <w:lang w:eastAsia="sk-SK"/>
              </w:rPr>
            </w:pPr>
            <w:r w:rsidRPr="00A53EAC" w:rsidR="00767A95">
              <w:rPr>
                <w:rFonts w:ascii="Times New Roman" w:hAnsi="Times New Roman" w:cs="Times New Roman"/>
                <w:b/>
                <w:bCs/>
                <w:sz w:val="20"/>
                <w:szCs w:val="20"/>
                <w:lang w:eastAsia="sk-SK"/>
              </w:rPr>
              <w:t>Dlh verejnej správy</w:t>
            </w:r>
            <w:r w:rsidRPr="00A53EAC">
              <w:rPr>
                <w:rFonts w:ascii="Times New Roman" w:hAnsi="Times New Roman" w:cs="Times New Roman"/>
                <w:b/>
                <w:bCs/>
                <w:sz w:val="20"/>
                <w:szCs w:val="20"/>
                <w:lang w:eastAsia="sk-SK"/>
              </w:rPr>
              <w:t xml:space="preserve"> - október 2015</w:t>
            </w:r>
          </w:p>
        </w:tc>
        <w:tc>
          <w:tcPr>
            <w:tcW w:w="593" w:type="pct"/>
            <w:tcBorders>
              <w:top w:val="single" w:sz="4" w:space="0" w:color="auto"/>
              <w:left w:val="nil"/>
              <w:bottom w:val="single" w:sz="4" w:space="0" w:color="auto"/>
              <w:right w:val="nil"/>
            </w:tcBorders>
            <w:textDirection w:val="lrTb"/>
            <w:vAlign w:val="center"/>
            <w:hideMark/>
          </w:tcPr>
          <w:p w:rsidR="00C30406" w:rsidRPr="00A53EAC" w:rsidP="0025486C">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40 403 787</w:t>
            </w:r>
          </w:p>
        </w:tc>
        <w:tc>
          <w:tcPr>
            <w:tcW w:w="340" w:type="pct"/>
            <w:tcBorders>
              <w:top w:val="single" w:sz="4" w:space="0" w:color="auto"/>
              <w:left w:val="nil"/>
              <w:bottom w:val="single" w:sz="4" w:space="0" w:color="auto"/>
              <w:right w:val="nil"/>
            </w:tcBorders>
            <w:textDirection w:val="lrTb"/>
            <w:vAlign w:val="center"/>
            <w:hideMark/>
          </w:tcPr>
          <w:p w:rsidR="00C30406" w:rsidRPr="00A53EAC" w:rsidP="0025486C">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53,47</w:t>
            </w:r>
          </w:p>
        </w:tc>
        <w:tc>
          <w:tcPr>
            <w:tcW w:w="2031" w:type="pct"/>
            <w:tcBorders>
              <w:top w:val="single" w:sz="4" w:space="0" w:color="auto"/>
              <w:left w:val="nil"/>
              <w:bottom w:val="single" w:sz="4" w:space="0" w:color="auto"/>
              <w:right w:val="nil"/>
            </w:tcBorders>
            <w:noWrap/>
            <w:textDirection w:val="lrTb"/>
            <w:vAlign w:val="center"/>
            <w:hideMark/>
          </w:tcPr>
          <w:p w:rsidR="00C30406" w:rsidRPr="00A53EAC" w:rsidP="0025486C">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w:t>
            </w:r>
          </w:p>
        </w:tc>
      </w:tr>
    </w:tbl>
    <w:p w:rsidR="00C30406" w:rsidRPr="00A53EAC" w:rsidP="00C30406">
      <w:pPr>
        <w:bidi w:val="0"/>
        <w:spacing w:line="336" w:lineRule="auto"/>
        <w:jc w:val="both"/>
        <w:rPr>
          <w:rFonts w:ascii="Times New Roman" w:hAnsi="Times New Roman" w:cs="Times New Roman"/>
        </w:rPr>
      </w:pPr>
    </w:p>
    <w:p w:rsidR="00C30406" w:rsidRPr="00A53EAC" w:rsidP="00C30406">
      <w:pPr>
        <w:bidi w:val="0"/>
        <w:spacing w:before="240" w:line="336" w:lineRule="auto"/>
        <w:jc w:val="both"/>
        <w:rPr>
          <w:rFonts w:ascii="Times New Roman" w:hAnsi="Times New Roman" w:cs="Times New Roman"/>
        </w:rPr>
      </w:pPr>
    </w:p>
    <w:p w:rsidR="00472200" w:rsidRPr="00A53EAC">
      <w:pPr>
        <w:bidi w:val="0"/>
        <w:rPr>
          <w:rFonts w:ascii="Times New Roman" w:hAnsi="Times New Roman" w:cs="Times New Roman"/>
        </w:rPr>
      </w:pPr>
      <w:r w:rsidRPr="00A53EAC" w:rsidR="001D45CC">
        <w:rPr>
          <w:rFonts w:ascii="Times New Roman" w:hAnsi="Times New Roman" w:cs="Times New Roman"/>
        </w:rPr>
        <w:t xml:space="preserve"> </w:t>
      </w:r>
      <w:r w:rsidRPr="00A53EAC">
        <w:rPr>
          <w:rFonts w:ascii="Times New Roman" w:hAnsi="Times New Roman" w:cs="Times New Roman"/>
        </w:rPr>
        <w:br w:type="page"/>
      </w:r>
    </w:p>
    <w:p w:rsidR="0035366F" w:rsidRPr="00A53EAC" w:rsidP="00BB7DF9">
      <w:pPr>
        <w:pStyle w:val="Heading1"/>
        <w:numPr>
          <w:numId w:val="3"/>
        </w:numPr>
        <w:bidi w:val="0"/>
        <w:spacing w:before="120" w:line="336" w:lineRule="auto"/>
        <w:ind w:left="425" w:hanging="425"/>
        <w:rPr>
          <w:rFonts w:hint="default"/>
        </w:rPr>
      </w:pPr>
      <w:bookmarkStart w:id="39" w:name="_Toc433099561"/>
      <w:r w:rsidRPr="00A53EAC">
        <w:rPr>
          <w:rFonts w:hint="default"/>
        </w:rPr>
        <w:t>Hospodá</w:t>
      </w:r>
      <w:r w:rsidRPr="00A53EAC">
        <w:rPr>
          <w:rFonts w:hint="default"/>
        </w:rPr>
        <w:t>renie verejnej sprá</w:t>
      </w:r>
      <w:r w:rsidRPr="00A53EAC">
        <w:rPr>
          <w:rFonts w:hint="default"/>
        </w:rPr>
        <w:t xml:space="preserve">vy </w:t>
      </w:r>
      <w:r w:rsidRPr="00A53EAC">
        <w:rPr>
          <w:rFonts w:hint="default"/>
        </w:rPr>
        <w:t>–</w:t>
      </w:r>
      <w:r w:rsidRPr="00A53EAC">
        <w:rPr>
          <w:rFonts w:hint="default"/>
        </w:rPr>
        <w:t xml:space="preserve"> pož</w:t>
      </w:r>
      <w:r w:rsidRPr="00A53EAC">
        <w:rPr>
          <w:rFonts w:hint="default"/>
        </w:rPr>
        <w:t>iadavky ú</w:t>
      </w:r>
      <w:r w:rsidRPr="00A53EAC">
        <w:rPr>
          <w:rFonts w:hint="default"/>
        </w:rPr>
        <w:t>stavné</w:t>
      </w:r>
      <w:r w:rsidRPr="00A53EAC">
        <w:rPr>
          <w:rFonts w:hint="default"/>
        </w:rPr>
        <w:t>ho zá</w:t>
      </w:r>
      <w:r w:rsidRPr="00A53EAC">
        <w:rPr>
          <w:rFonts w:hint="default"/>
        </w:rPr>
        <w:t>kona o </w:t>
      </w:r>
      <w:r w:rsidRPr="00A53EAC">
        <w:rPr>
          <w:rFonts w:hint="default"/>
        </w:rPr>
        <w:t>rozpoč</w:t>
      </w:r>
      <w:r w:rsidRPr="00A53EAC">
        <w:rPr>
          <w:rFonts w:hint="default"/>
        </w:rPr>
        <w:t>tovej zodpovednosti</w:t>
      </w:r>
      <w:bookmarkEnd w:id="37"/>
      <w:bookmarkEnd w:id="38"/>
      <w:bookmarkEnd w:id="39"/>
    </w:p>
    <w:p w:rsidR="00243B84" w:rsidRPr="00C77F62" w:rsidP="00243B84">
      <w:pPr>
        <w:bidi w:val="0"/>
        <w:spacing w:after="120" w:line="336" w:lineRule="auto"/>
        <w:jc w:val="both"/>
        <w:rPr>
          <w:rFonts w:ascii="Times New Roman" w:hAnsi="Times New Roman" w:cs="Times New Roman"/>
          <w:b/>
        </w:rPr>
      </w:pPr>
      <w:r w:rsidRPr="00A53EAC">
        <w:rPr>
          <w:rFonts w:ascii="Times New Roman" w:hAnsi="Times New Roman" w:cs="Times New Roman"/>
        </w:rPr>
        <w:t>Táto kapitola hodnotí vývoj verejnej správy najmä z pohľadu informácií, ktoré má obsahovať súhrnná správa na základe ústavného zákona o rozpočtovej zodpovednosti (bilancia rozpočtu verejnej správy, jednorazové vplyvy a vyhodnotenie stratégie riadenia štátneho dlhu). Špecifikom týchto údajov a informácií je fakt, že z väčšej časti</w:t>
      </w:r>
      <w:r>
        <w:rPr>
          <w:rStyle w:val="FootnoteReference"/>
          <w:rFonts w:ascii="Times New Roman" w:hAnsi="Times New Roman"/>
          <w:rtl w:val="0"/>
        </w:rPr>
        <w:footnoteReference w:id="2"/>
      </w:r>
      <w:r w:rsidRPr="00A53EAC">
        <w:rPr>
          <w:rFonts w:ascii="Times New Roman" w:hAnsi="Times New Roman" w:cs="Times New Roman"/>
        </w:rPr>
        <w:t xml:space="preserve"> nie sú založen</w:t>
      </w:r>
      <w:r w:rsidRPr="00A53EAC" w:rsidR="00630C72">
        <w:rPr>
          <w:rFonts w:ascii="Times New Roman" w:hAnsi="Times New Roman" w:cs="Times New Roman"/>
        </w:rPr>
        <w:t>é na štandardnej metodike ESA 2010</w:t>
      </w:r>
      <w:r w:rsidRPr="00A53EAC">
        <w:rPr>
          <w:rFonts w:ascii="Times New Roman" w:hAnsi="Times New Roman" w:cs="Times New Roman"/>
        </w:rPr>
        <w:t xml:space="preserve"> a v niektorých prípadoch sú postavené na odhadoch a metodike Ministerstva financií SR (jednorazové vplyvy, cyklická zložka, štrukturálne saldo), rozširujú však analytický pohľad na hospodárenie verejnej správy nad rámec salda a dlhu.</w:t>
      </w:r>
      <w:r w:rsidRPr="00C77F62">
        <w:rPr>
          <w:rFonts w:ascii="Times New Roman" w:hAnsi="Times New Roman" w:cs="Times New Roman"/>
        </w:rPr>
        <w:t xml:space="preserve"> </w:t>
      </w:r>
    </w:p>
    <w:p w:rsidR="00712D70" w:rsidRPr="00712D70" w:rsidP="001767F0">
      <w:pPr>
        <w:pStyle w:val="Heading2"/>
        <w:numPr>
          <w:numId w:val="3"/>
        </w:numPr>
        <w:bidi w:val="0"/>
        <w:spacing w:before="120" w:after="120"/>
        <w:ind w:left="425" w:hanging="425"/>
        <w:rPr>
          <w:rFonts w:hint="default"/>
        </w:rPr>
      </w:pPr>
      <w:bookmarkStart w:id="40" w:name="_Toc399324363"/>
      <w:bookmarkStart w:id="41" w:name="_Toc401920016"/>
      <w:bookmarkStart w:id="42" w:name="_Toc433099562"/>
      <w:bookmarkStart w:id="43" w:name="_Toc399324366"/>
      <w:bookmarkStart w:id="44" w:name="_Toc401920020"/>
      <w:r w:rsidRPr="00712D70">
        <w:rPr>
          <w:rFonts w:hint="default"/>
        </w:rPr>
        <w:t>Bilancia rozpoč</w:t>
      </w:r>
      <w:r w:rsidRPr="00712D70">
        <w:rPr>
          <w:rFonts w:hint="default"/>
        </w:rPr>
        <w:t>tu verejnej sprá</w:t>
      </w:r>
      <w:r w:rsidRPr="00712D70">
        <w:rPr>
          <w:rFonts w:hint="default"/>
        </w:rPr>
        <w:t>vy</w:t>
      </w:r>
      <w:bookmarkEnd w:id="40"/>
      <w:bookmarkEnd w:id="41"/>
      <w:bookmarkEnd w:id="42"/>
    </w:p>
    <w:p w:rsidR="00712D70" w:rsidRPr="00712D70" w:rsidP="00712D70">
      <w:pPr>
        <w:bidi w:val="0"/>
        <w:spacing w:before="240" w:after="120" w:line="336" w:lineRule="auto"/>
        <w:jc w:val="both"/>
        <w:rPr>
          <w:rFonts w:ascii="Times New Roman" w:hAnsi="Times New Roman" w:cs="Times New Roman"/>
        </w:rPr>
      </w:pPr>
      <w:r w:rsidRPr="00712D70">
        <w:rPr>
          <w:rFonts w:ascii="Times New Roman" w:hAnsi="Times New Roman" w:cs="Times New Roman"/>
        </w:rPr>
        <w:t>Bilancia rozpočtu verejnej správy poskytuje analytický pohľad na vývoj hlavných príjmových a výdavkových položiek verejnej správy ako celku za daný rok. Bilancia je konsolidovaná, teda sú vylúčené transakcie medzi jednotlivými subjektmi verejnej správy. Štruktúra prezentovanej bilancie pozostáva z kombinácie klasifikácie kódov ESA 2010 a rozpočtovej klasifikácie. Kombinácia metodík bola zvolená z dôvodu prezentovania analytických a zároveň medzinárodne porovnateľných údajov. Rozpočtová klasifikácia umožňuje vecný pohľad na jednotlivé kategórie príjmov a výdavkov a metodika ESA 2010 umožňuje medzinárodné porovnania a je konzistentná s makroekonomickými kategóriami národných účtov (HDP, spotreba verejnej správy).</w:t>
      </w:r>
    </w:p>
    <w:p w:rsidR="00712D70" w:rsidRPr="00712D70" w:rsidP="001767F0">
      <w:pPr>
        <w:pStyle w:val="Heading3"/>
        <w:bidi w:val="0"/>
        <w:spacing w:before="120"/>
        <w:ind w:left="1077"/>
        <w:rPr>
          <w:rFonts w:hint="default"/>
        </w:rPr>
      </w:pPr>
      <w:bookmarkStart w:id="45" w:name="_Toc399324364"/>
      <w:bookmarkStart w:id="46" w:name="_Toc401920017"/>
      <w:bookmarkStart w:id="47" w:name="_Toc433099563"/>
      <w:r w:rsidRPr="00712D70">
        <w:rPr>
          <w:rStyle w:val="Heading3Char"/>
          <w:rFonts w:eastAsiaTheme="minorHAnsi"/>
          <w:lang w:val="sk-SK"/>
        </w:rPr>
        <w:t>P</w:t>
      </w:r>
      <w:r w:rsidRPr="00712D70">
        <w:rPr>
          <w:rFonts w:hint="default"/>
        </w:rPr>
        <w:t>rí</w:t>
      </w:r>
      <w:r w:rsidRPr="00712D70">
        <w:rPr>
          <w:rFonts w:hint="default"/>
        </w:rPr>
        <w:t>jmy verejnej sprá</w:t>
      </w:r>
      <w:r w:rsidRPr="00712D70">
        <w:rPr>
          <w:rFonts w:hint="default"/>
        </w:rPr>
        <w:t>vy</w:t>
      </w:r>
      <w:bookmarkEnd w:id="45"/>
      <w:bookmarkEnd w:id="46"/>
      <w:bookmarkEnd w:id="47"/>
    </w:p>
    <w:p w:rsidR="00712D70" w:rsidRPr="00712D70" w:rsidP="00712D70">
      <w:pPr>
        <w:bidi w:val="0"/>
        <w:spacing w:after="120" w:line="336" w:lineRule="auto"/>
        <w:jc w:val="both"/>
        <w:rPr>
          <w:rFonts w:ascii="Times New Roman" w:hAnsi="Times New Roman" w:cs="Times New Roman"/>
        </w:rPr>
      </w:pPr>
      <w:bookmarkStart w:id="48" w:name="_Toc399324365"/>
      <w:r w:rsidRPr="00712D70">
        <w:rPr>
          <w:rFonts w:ascii="Times New Roman" w:hAnsi="Times New Roman" w:cs="Times New Roman"/>
          <w:b/>
        </w:rPr>
        <w:t xml:space="preserve">Celkové príjmy </w:t>
      </w:r>
      <w:r w:rsidRPr="00712D70">
        <w:rPr>
          <w:rFonts w:ascii="Times New Roman" w:hAnsi="Times New Roman" w:cs="Times New Roman"/>
        </w:rPr>
        <w:t>rozpočtu verejnej správy v metodike ESA 2010 dosiahli v roku 2014 výšku 29 363 974 tis. eur (38,9 % HDP), medziročne sa celkové príjmy zvýšili o 3,6 %. Pozitívny rast dosiahli daňové príjmy a odvody, naopak nedaňové príjmy, granty a transfery medziročne poklesli.</w:t>
      </w:r>
    </w:p>
    <w:p w:rsidR="00CB210E" w:rsidP="00712D70">
      <w:pPr>
        <w:bidi w:val="0"/>
        <w:spacing w:after="120" w:line="336" w:lineRule="auto"/>
        <w:jc w:val="both"/>
        <w:rPr>
          <w:rFonts w:ascii="Times New Roman" w:hAnsi="Times New Roman" w:cs="Times New Roman"/>
        </w:rPr>
      </w:pPr>
      <w:r w:rsidRPr="00712D70" w:rsidR="00712D70">
        <w:rPr>
          <w:rFonts w:ascii="Times New Roman" w:hAnsi="Times New Roman" w:cs="Times New Roman"/>
          <w:b/>
        </w:rPr>
        <w:t>Daňové a odvodové príjmy</w:t>
      </w:r>
      <w:r w:rsidRPr="00712D70" w:rsidR="00712D70">
        <w:rPr>
          <w:rFonts w:ascii="Times New Roman" w:hAnsi="Times New Roman" w:cs="Times New Roman"/>
        </w:rPr>
        <w:t xml:space="preserve"> v roku 2014 tvorili spolu 79,9 % všetkých príjmov verejnej správy a zaznamenali medziročný rast o 5,2 %. Priaznivý ekonomický vývoj, najmä zlepšenie na trhu práce ale aj rast konečnej spotreby domácností, prispel k uvedenému rastu 3,2 p.b. Zo všetkých makroekonomických základní bol zaznamenaný pokles iba v prípade úrokovej bázy (pokles úrokových sadzieb), ktorá negatívne ovplyvnila výnos dane z príjmov vyberanej zrážkou. Príspevok vyššej úspešnosti výberu k rastu daňových a odvodových príjmov bol 2,4 p.b. Vyššia efektívnosť výberu bola zaznamenaná najmä v prípade dane z pridanej hodnoty (DPH) a dane z príjmov právnických osôb. Legislatívne opatrenia a jednorazové efekty (najmä rýchlejšie uzatváranie kontrol a následné vyplácanie nadmerných odpočtov DPH) mali mierne negatívny vplyv na medziročný rast príjmov.</w:t>
      </w:r>
    </w:p>
    <w:p w:rsidR="00CB210E">
      <w:pPr>
        <w:bidi w:val="0"/>
        <w:rPr>
          <w:rFonts w:ascii="Times New Roman" w:hAnsi="Times New Roman" w:cs="Times New Roman"/>
        </w:rPr>
      </w:pPr>
      <w:r>
        <w:rPr>
          <w:rFonts w:ascii="Times New Roman" w:hAnsi="Times New Roman" w:cs="Times New Roman"/>
        </w:rPr>
        <w:br w:type="page"/>
      </w:r>
    </w:p>
    <w:tbl>
      <w:tblPr>
        <w:tblStyle w:val="TableNormal"/>
        <w:tblW w:w="5000" w:type="pct"/>
        <w:tblCellMar>
          <w:left w:w="70" w:type="dxa"/>
          <w:right w:w="70" w:type="dxa"/>
        </w:tblCellMar>
        <w:tblLook w:val="04A0"/>
      </w:tblPr>
      <w:tblGrid>
        <w:gridCol w:w="4656"/>
        <w:gridCol w:w="1040"/>
        <w:gridCol w:w="1041"/>
        <w:gridCol w:w="1078"/>
        <w:gridCol w:w="1396"/>
      </w:tblGrid>
      <w:tr>
        <w:tblPrEx>
          <w:tblW w:w="5000" w:type="pct"/>
          <w:tblCellMar>
            <w:left w:w="70" w:type="dxa"/>
            <w:right w:w="70" w:type="dxa"/>
          </w:tblCellMar>
          <w:tblLook w:val="04A0"/>
        </w:tblPrEx>
        <w:trPr>
          <w:trHeight w:val="255"/>
        </w:trPr>
        <w:tc>
          <w:tcPr>
            <w:tcW w:w="2528" w:type="pct"/>
            <w:tcBorders>
              <w:top w:val="nil"/>
              <w:left w:val="nil"/>
              <w:bottom w:val="nil"/>
              <w:right w:val="nil"/>
            </w:tcBorders>
            <w:shd w:val="clear" w:color="000000" w:fill="000000"/>
            <w:noWrap/>
            <w:textDirection w:val="lrTb"/>
            <w:vAlign w:val="center"/>
            <w:hideMark/>
          </w:tcPr>
          <w:p w:rsidR="00712D70" w:rsidRPr="00712D70" w:rsidP="004B7DC7">
            <w:pPr>
              <w:bidi w:val="0"/>
              <w:spacing w:after="0" w:line="240" w:lineRule="auto"/>
              <w:rPr>
                <w:rFonts w:ascii="Times New Roman" w:hAnsi="Times New Roman" w:cs="Times New Roman"/>
                <w:b/>
                <w:bCs/>
                <w:color w:val="FFFFFF"/>
                <w:sz w:val="20"/>
                <w:szCs w:val="20"/>
                <w:lang w:eastAsia="sk-SK"/>
              </w:rPr>
            </w:pPr>
            <w:r w:rsidRPr="00712D70">
              <w:rPr>
                <w:rFonts w:ascii="Times New Roman" w:hAnsi="Times New Roman" w:cs="Times New Roman"/>
                <w:b/>
                <w:bCs/>
                <w:color w:val="FFFFFF"/>
                <w:sz w:val="20"/>
                <w:szCs w:val="20"/>
                <w:lang w:eastAsia="sk-SK"/>
              </w:rPr>
              <w:t>Príjmy verejnej správy (ESA 2010, v tis. eur)</w:t>
            </w:r>
          </w:p>
        </w:tc>
        <w:tc>
          <w:tcPr>
            <w:tcW w:w="565" w:type="pct"/>
            <w:tcBorders>
              <w:top w:val="nil"/>
              <w:left w:val="nil"/>
              <w:bottom w:val="nil"/>
              <w:right w:val="nil"/>
            </w:tcBorders>
            <w:shd w:val="clear" w:color="000000" w:fill="000000"/>
            <w:noWrap/>
            <w:textDirection w:val="lrTb"/>
            <w:vAlign w:val="center"/>
            <w:hideMark/>
          </w:tcPr>
          <w:p w:rsidR="00712D70" w:rsidRPr="00712D70" w:rsidP="004B7DC7">
            <w:pPr>
              <w:bidi w:val="0"/>
              <w:spacing w:after="0" w:line="240" w:lineRule="auto"/>
              <w:rPr>
                <w:rFonts w:ascii="Times New Roman" w:hAnsi="Times New Roman" w:cs="Times New Roman"/>
                <w:b/>
                <w:bCs/>
                <w:color w:val="FFFFFF"/>
                <w:sz w:val="20"/>
                <w:szCs w:val="20"/>
                <w:lang w:eastAsia="sk-SK"/>
              </w:rPr>
            </w:pPr>
            <w:r w:rsidRPr="00712D70">
              <w:rPr>
                <w:rFonts w:ascii="Times New Roman" w:hAnsi="Times New Roman" w:cs="Times New Roman"/>
                <w:b/>
                <w:bCs/>
                <w:color w:val="FFFFFF"/>
                <w:sz w:val="20"/>
                <w:szCs w:val="20"/>
                <w:lang w:eastAsia="sk-SK"/>
              </w:rPr>
              <w:t> </w:t>
            </w:r>
          </w:p>
        </w:tc>
        <w:tc>
          <w:tcPr>
            <w:tcW w:w="565" w:type="pct"/>
            <w:tcBorders>
              <w:top w:val="nil"/>
              <w:left w:val="nil"/>
              <w:bottom w:val="nil"/>
              <w:right w:val="nil"/>
            </w:tcBorders>
            <w:shd w:val="clear" w:color="000000" w:fill="000000"/>
            <w:noWrap/>
            <w:textDirection w:val="lrTb"/>
            <w:vAlign w:val="center"/>
            <w:hideMark/>
          </w:tcPr>
          <w:p w:rsidR="00712D70" w:rsidRPr="00712D70" w:rsidP="004B7DC7">
            <w:pPr>
              <w:bidi w:val="0"/>
              <w:spacing w:after="0" w:line="240" w:lineRule="auto"/>
              <w:rPr>
                <w:rFonts w:ascii="Times New Roman" w:hAnsi="Times New Roman" w:cs="Times New Roman"/>
                <w:b/>
                <w:bCs/>
                <w:color w:val="FFFFFF"/>
                <w:sz w:val="20"/>
                <w:szCs w:val="20"/>
                <w:lang w:eastAsia="sk-SK"/>
              </w:rPr>
            </w:pPr>
            <w:r w:rsidRPr="00712D70">
              <w:rPr>
                <w:rFonts w:ascii="Times New Roman" w:hAnsi="Times New Roman" w:cs="Times New Roman"/>
                <w:b/>
                <w:bCs/>
                <w:color w:val="FFFFFF"/>
                <w:sz w:val="20"/>
                <w:szCs w:val="20"/>
                <w:lang w:eastAsia="sk-SK"/>
              </w:rPr>
              <w:t> </w:t>
            </w:r>
          </w:p>
        </w:tc>
        <w:tc>
          <w:tcPr>
            <w:tcW w:w="585" w:type="pct"/>
            <w:tcBorders>
              <w:top w:val="nil"/>
              <w:left w:val="nil"/>
              <w:bottom w:val="nil"/>
              <w:right w:val="nil"/>
            </w:tcBorders>
            <w:shd w:val="clear" w:color="000000" w:fill="000000"/>
            <w:noWrap/>
            <w:textDirection w:val="lrTb"/>
            <w:vAlign w:val="center"/>
            <w:hideMark/>
          </w:tcPr>
          <w:p w:rsidR="00712D70" w:rsidRPr="00712D70" w:rsidP="004B7DC7">
            <w:pPr>
              <w:bidi w:val="0"/>
              <w:spacing w:after="0" w:line="240" w:lineRule="auto"/>
              <w:rPr>
                <w:rFonts w:ascii="Times New Roman" w:hAnsi="Times New Roman" w:cs="Times New Roman"/>
                <w:b/>
                <w:bCs/>
                <w:color w:val="FFFFFF"/>
                <w:sz w:val="20"/>
                <w:szCs w:val="20"/>
                <w:lang w:eastAsia="sk-SK"/>
              </w:rPr>
            </w:pPr>
            <w:r w:rsidRPr="00712D70">
              <w:rPr>
                <w:rFonts w:ascii="Times New Roman" w:hAnsi="Times New Roman" w:cs="Times New Roman"/>
                <w:b/>
                <w:bCs/>
                <w:color w:val="FFFFFF"/>
                <w:sz w:val="20"/>
                <w:szCs w:val="20"/>
                <w:lang w:eastAsia="sk-SK"/>
              </w:rPr>
              <w:t> </w:t>
            </w:r>
          </w:p>
        </w:tc>
        <w:tc>
          <w:tcPr>
            <w:tcW w:w="758" w:type="pct"/>
            <w:tcBorders>
              <w:top w:val="nil"/>
              <w:left w:val="nil"/>
              <w:bottom w:val="nil"/>
              <w:right w:val="nil"/>
            </w:tcBorders>
            <w:shd w:val="clear" w:color="000000" w:fill="000000"/>
            <w:noWrap/>
            <w:textDirection w:val="lrTb"/>
            <w:vAlign w:val="center"/>
            <w:hideMark/>
          </w:tcPr>
          <w:p w:rsidR="00712D70" w:rsidRPr="00712D70" w:rsidP="004B7DC7">
            <w:pPr>
              <w:bidi w:val="0"/>
              <w:spacing w:after="0" w:line="240" w:lineRule="auto"/>
              <w:rPr>
                <w:rFonts w:ascii="Times New Roman" w:hAnsi="Times New Roman" w:cs="Times New Roman"/>
                <w:b/>
                <w:bCs/>
                <w:color w:val="FFFFFF"/>
                <w:sz w:val="20"/>
                <w:szCs w:val="20"/>
                <w:lang w:eastAsia="sk-SK"/>
              </w:rPr>
            </w:pPr>
            <w:r w:rsidRPr="00712D70">
              <w:rPr>
                <w:rFonts w:ascii="Times New Roman" w:hAnsi="Times New Roman" w:cs="Times New Roman"/>
                <w:b/>
                <w:bCs/>
                <w:color w:val="FFFFFF"/>
                <w:sz w:val="20"/>
                <w:szCs w:val="20"/>
                <w:lang w:eastAsia="sk-SK"/>
              </w:rPr>
              <w:t> </w:t>
            </w:r>
          </w:p>
        </w:tc>
      </w:tr>
      <w:tr>
        <w:tblPrEx>
          <w:tblW w:w="5000" w:type="pct"/>
          <w:tblCellMar>
            <w:left w:w="70" w:type="dxa"/>
            <w:right w:w="70" w:type="dxa"/>
          </w:tblCellMar>
          <w:tblLook w:val="04A0"/>
        </w:tblPrEx>
        <w:trPr>
          <w:trHeight w:val="255"/>
        </w:trPr>
        <w:tc>
          <w:tcPr>
            <w:tcW w:w="2528" w:type="pct"/>
            <w:tcBorders>
              <w:top w:val="single" w:sz="4" w:space="0" w:color="auto"/>
              <w:left w:val="nil"/>
              <w:bottom w:val="nil"/>
              <w:right w:val="nil"/>
            </w:tcBorders>
            <w:shd w:val="clear" w:color="000000" w:fill="BFBFBF"/>
            <w:noWrap/>
            <w:textDirection w:val="lrTb"/>
            <w:vAlign w:val="center"/>
            <w:hideMark/>
          </w:tcPr>
          <w:p w:rsidR="00712D70" w:rsidRPr="00712D70" w:rsidP="004B7DC7">
            <w:pPr>
              <w:bidi w:val="0"/>
              <w:spacing w:after="0" w:line="240" w:lineRule="auto"/>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 </w:t>
            </w:r>
          </w:p>
        </w:tc>
        <w:tc>
          <w:tcPr>
            <w:tcW w:w="565" w:type="pct"/>
            <w:tcBorders>
              <w:top w:val="single" w:sz="4" w:space="0" w:color="auto"/>
              <w:left w:val="nil"/>
              <w:bottom w:val="nil"/>
              <w:right w:val="nil"/>
            </w:tcBorders>
            <w:shd w:val="clear" w:color="000000" w:fill="BFBFBF"/>
            <w:noWrap/>
            <w:textDirection w:val="lrTb"/>
            <w:vAlign w:val="center"/>
            <w:hideMark/>
          </w:tcPr>
          <w:p w:rsidR="00712D70" w:rsidRPr="00712D70" w:rsidP="00BA1DE2">
            <w:pPr>
              <w:bidi w:val="0"/>
              <w:spacing w:after="0" w:line="240" w:lineRule="auto"/>
              <w:jc w:val="center"/>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2012</w:t>
            </w:r>
          </w:p>
        </w:tc>
        <w:tc>
          <w:tcPr>
            <w:tcW w:w="565" w:type="pct"/>
            <w:tcBorders>
              <w:top w:val="single" w:sz="4" w:space="0" w:color="auto"/>
              <w:left w:val="nil"/>
              <w:bottom w:val="nil"/>
              <w:right w:val="nil"/>
            </w:tcBorders>
            <w:shd w:val="clear" w:color="000000" w:fill="BFBFBF"/>
            <w:noWrap/>
            <w:textDirection w:val="lrTb"/>
            <w:vAlign w:val="center"/>
            <w:hideMark/>
          </w:tcPr>
          <w:p w:rsidR="00712D70" w:rsidRPr="00712D70" w:rsidP="00BA1DE2">
            <w:pPr>
              <w:bidi w:val="0"/>
              <w:spacing w:after="0" w:line="240" w:lineRule="auto"/>
              <w:jc w:val="center"/>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2013</w:t>
            </w:r>
          </w:p>
        </w:tc>
        <w:tc>
          <w:tcPr>
            <w:tcW w:w="585" w:type="pct"/>
            <w:tcBorders>
              <w:top w:val="single" w:sz="4" w:space="0" w:color="auto"/>
              <w:left w:val="nil"/>
              <w:bottom w:val="nil"/>
              <w:right w:val="nil"/>
            </w:tcBorders>
            <w:shd w:val="clear" w:color="000000" w:fill="BFBFBF"/>
            <w:noWrap/>
            <w:textDirection w:val="lrTb"/>
            <w:vAlign w:val="center"/>
            <w:hideMark/>
          </w:tcPr>
          <w:p w:rsidR="00712D70" w:rsidRPr="00712D70" w:rsidP="00BA1DE2">
            <w:pPr>
              <w:bidi w:val="0"/>
              <w:spacing w:after="0" w:line="240" w:lineRule="auto"/>
              <w:jc w:val="center"/>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2014</w:t>
            </w:r>
          </w:p>
        </w:tc>
        <w:tc>
          <w:tcPr>
            <w:tcW w:w="758" w:type="pct"/>
            <w:tcBorders>
              <w:top w:val="single" w:sz="4" w:space="0" w:color="auto"/>
              <w:left w:val="nil"/>
              <w:bottom w:val="nil"/>
              <w:right w:val="nil"/>
            </w:tcBorders>
            <w:shd w:val="clear" w:color="000000" w:fill="BFBFBF"/>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2014/2013 v %</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Daňové príjmy</w:t>
            </w:r>
          </w:p>
        </w:tc>
        <w:tc>
          <w:tcPr>
            <w:tcW w:w="56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11 391 065</w:t>
            </w:r>
          </w:p>
        </w:tc>
        <w:tc>
          <w:tcPr>
            <w:tcW w:w="56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12 346 804</w:t>
            </w:r>
          </w:p>
        </w:tc>
        <w:tc>
          <w:tcPr>
            <w:tcW w:w="58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13 165 380</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6,6</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Dane z produkcie a dovozu</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7 163 223</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7 632 281</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8 045 257</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5,4</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Daň z pridanej hodnoty</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4 327 702</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4 696 120</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5 021 131</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6,9</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Spotrebné dane</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1 973 341</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1 984 783</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2 014 994</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1,5</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Dovozné clo</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83</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58</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-7</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-112,1</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Dane z majetku a iné</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215 346</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222 652</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224 873</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1,0</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Bežné dane z dôchodkov, majetku</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4 227 830</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4 714 516</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5 120 119</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8,6</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Daň z príjmov fyzických osôb</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2 122 776</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2 175 025</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2 294 765</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5,5</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bottom"/>
            <w:hideMark/>
          </w:tcPr>
          <w:p w:rsidR="00712D70" w:rsidRPr="00712D70" w:rsidP="004B7DC7">
            <w:pPr>
              <w:bidi w:val="0"/>
              <w:spacing w:after="0" w:line="240" w:lineRule="auto"/>
              <w:ind w:firstLine="400" w:firstLineChars="2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zo závislej činnosti</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1 763 433</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1 788 044</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1 903 784</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6,5</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bottom"/>
            <w:hideMark/>
          </w:tcPr>
          <w:p w:rsidR="00712D70" w:rsidRPr="00712D70" w:rsidP="004B7DC7">
            <w:pPr>
              <w:bidi w:val="0"/>
              <w:spacing w:after="0" w:line="240" w:lineRule="auto"/>
              <w:ind w:firstLine="400" w:firstLineChars="2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z podnikania a inej samostatnej činnosti</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85 807</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79 712</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82 671</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3,7</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Daň z príjmov právnických osôb</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1 714 779</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2 117 833</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2 398 158</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13,2</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bottom"/>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Daň z príjmov vyberaná zrážkou </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167 144</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177 784</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175 061</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-1,5</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Dane z majetku a iné</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100 535</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104 579</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105 777</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1,1</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Dane z kapitálu</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12</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7</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4</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-42,9</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Príspevky na sociálne zabezpečenie</w:t>
            </w:r>
          </w:p>
        </w:tc>
        <w:tc>
          <w:tcPr>
            <w:tcW w:w="56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9 046 956</w:t>
            </w:r>
          </w:p>
        </w:tc>
        <w:tc>
          <w:tcPr>
            <w:tcW w:w="56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9 940 102</w:t>
            </w:r>
          </w:p>
        </w:tc>
        <w:tc>
          <w:tcPr>
            <w:tcW w:w="58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10 289 231</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3,5</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Skutočné príspevky na sociálne zabezpečenie</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8 928 930</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9 800 578</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10 138 042</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3,4</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Príspevky zamestnávateľov</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4 810 000</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5 491 614</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5 762 860</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4,9</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Príspevky zamestnancov</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2 159 192</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2 254 846</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2 289 497</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1,5</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Príspevky SZČO a nepracujúcich osôb</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1 959 738</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2 054 118</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2 085 685</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1,5</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Imputované príspevky na sociálne zabezpečenie</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118 026</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139 524</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151 189</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8,4</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Nedaňové príjmy</w:t>
            </w:r>
          </w:p>
        </w:tc>
        <w:tc>
          <w:tcPr>
            <w:tcW w:w="56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3 582 596</w:t>
            </w:r>
          </w:p>
        </w:tc>
        <w:tc>
          <w:tcPr>
            <w:tcW w:w="56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3 685 865</w:t>
            </w:r>
          </w:p>
        </w:tc>
        <w:tc>
          <w:tcPr>
            <w:tcW w:w="58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3 605 199</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-2,2</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Tržby</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2 751 009</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3 012 740</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2 956 760</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-1,9</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Produkcia trhová + pre vlastné konečné použitie</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2 725 058</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2 985 212</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2 927 493</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-1,9</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Platby za ostatnú netrhovú produkciu</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25 951</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27 528</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29 267</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6,3</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Dôchodky z majetku</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831 587</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673 125</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648 439</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-3,7</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Dividendy</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634 422</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460 009</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396 975</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-13,7</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 xml:space="preserve"> - Úroky</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148 754</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159 819</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194 744</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21,9</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Granty a transfery</w:t>
            </w:r>
          </w:p>
        </w:tc>
        <w:tc>
          <w:tcPr>
            <w:tcW w:w="56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2 016 777</w:t>
            </w:r>
          </w:p>
        </w:tc>
        <w:tc>
          <w:tcPr>
            <w:tcW w:w="56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2 357 329</w:t>
            </w:r>
          </w:p>
        </w:tc>
        <w:tc>
          <w:tcPr>
            <w:tcW w:w="585" w:type="pct"/>
            <w:tcBorders>
              <w:top w:val="nil"/>
              <w:left w:val="nil"/>
              <w:bottom w:val="nil"/>
              <w:right w:val="nil"/>
            </w:tcBorders>
            <w:noWrap/>
            <w:textDirection w:val="lrTb"/>
            <w:vAlign w:val="center"/>
            <w:hideMark/>
          </w:tcPr>
          <w:p w:rsidR="00712D70" w:rsidRPr="00712D70" w:rsidP="004B7DC7">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2 304 164</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-2,3</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z toho: z EÚ</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805 406</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808 674</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1 194 671</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47,7</w:t>
            </w:r>
          </w:p>
        </w:tc>
      </w:tr>
      <w:tr>
        <w:tblPrEx>
          <w:tblW w:w="5000" w:type="pct"/>
          <w:tblCellMar>
            <w:left w:w="70" w:type="dxa"/>
            <w:right w:w="70" w:type="dxa"/>
          </w:tblCellMar>
          <w:tblLook w:val="04A0"/>
        </w:tblPrEx>
        <w:trPr>
          <w:trHeight w:val="255"/>
        </w:trPr>
        <w:tc>
          <w:tcPr>
            <w:tcW w:w="2528" w:type="pct"/>
            <w:tcBorders>
              <w:top w:val="nil"/>
              <w:left w:val="nil"/>
              <w:bottom w:val="nil"/>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Ostatné bežné transfery</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1 347 222</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1 487 514</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1 509 573</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1,5</w:t>
            </w:r>
          </w:p>
        </w:tc>
      </w:tr>
      <w:tr>
        <w:tblPrEx>
          <w:tblW w:w="5000" w:type="pct"/>
          <w:tblCellMar>
            <w:left w:w="70" w:type="dxa"/>
            <w:right w:w="70" w:type="dxa"/>
          </w:tblCellMar>
          <w:tblLook w:val="04A0"/>
        </w:tblPrEx>
        <w:trPr>
          <w:trHeight w:val="255"/>
        </w:trPr>
        <w:tc>
          <w:tcPr>
            <w:tcW w:w="2528" w:type="pct"/>
            <w:tcBorders>
              <w:top w:val="nil"/>
              <w:left w:val="nil"/>
              <w:bottom w:val="single" w:sz="4" w:space="0" w:color="auto"/>
              <w:right w:val="nil"/>
            </w:tcBorders>
            <w:noWrap/>
            <w:textDirection w:val="lrTb"/>
            <w:vAlign w:val="center"/>
            <w:hideMark/>
          </w:tcPr>
          <w:p w:rsidR="00712D70" w:rsidRPr="00712D70" w:rsidP="004B7DC7">
            <w:pPr>
              <w:bidi w:val="0"/>
              <w:spacing w:after="0" w:line="240" w:lineRule="auto"/>
              <w:ind w:firstLine="200" w:firstLineChars="100"/>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Kapitálové transfery</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669 555</w:t>
            </w:r>
          </w:p>
        </w:tc>
        <w:tc>
          <w:tcPr>
            <w:tcW w:w="56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869 815</w:t>
            </w:r>
          </w:p>
        </w:tc>
        <w:tc>
          <w:tcPr>
            <w:tcW w:w="585" w:type="pct"/>
            <w:tcBorders>
              <w:top w:val="nil"/>
              <w:left w:val="nil"/>
              <w:bottom w:val="nil"/>
              <w:right w:val="nil"/>
            </w:tcBorders>
            <w:noWrap/>
            <w:textDirection w:val="lrTb"/>
            <w:vAlign w:val="bottom"/>
            <w:hideMark/>
          </w:tcPr>
          <w:p w:rsidR="00712D70" w:rsidRPr="00712D70" w:rsidP="004B7DC7">
            <w:pPr>
              <w:bidi w:val="0"/>
              <w:spacing w:after="0" w:line="240" w:lineRule="auto"/>
              <w:jc w:val="right"/>
              <w:rPr>
                <w:rFonts w:ascii="Times New Roman" w:hAnsi="Times New Roman" w:cs="Times New Roman"/>
                <w:color w:val="000000"/>
                <w:sz w:val="20"/>
                <w:szCs w:val="20"/>
                <w:lang w:eastAsia="sk-SK"/>
              </w:rPr>
            </w:pPr>
            <w:r w:rsidRPr="00712D70">
              <w:rPr>
                <w:rFonts w:ascii="Times New Roman" w:hAnsi="Times New Roman" w:cs="Times New Roman"/>
                <w:color w:val="000000"/>
                <w:sz w:val="20"/>
                <w:szCs w:val="20"/>
                <w:lang w:eastAsia="sk-SK"/>
              </w:rPr>
              <w:t>794 591</w:t>
            </w:r>
          </w:p>
        </w:tc>
        <w:tc>
          <w:tcPr>
            <w:tcW w:w="758" w:type="pct"/>
            <w:tcBorders>
              <w:top w:val="nil"/>
              <w:left w:val="nil"/>
              <w:bottom w:val="nil"/>
              <w:right w:val="nil"/>
            </w:tcBorders>
            <w:noWrap/>
            <w:textDirection w:val="lrTb"/>
            <w:vAlign w:val="center"/>
            <w:hideMark/>
          </w:tcPr>
          <w:p w:rsidR="00712D70" w:rsidRPr="00712D70" w:rsidP="009A4C5C">
            <w:pPr>
              <w:bidi w:val="0"/>
              <w:spacing w:after="0" w:line="240" w:lineRule="auto"/>
              <w:jc w:val="right"/>
              <w:rPr>
                <w:rFonts w:ascii="Times New Roman" w:hAnsi="Times New Roman" w:cs="Times New Roman"/>
                <w:sz w:val="20"/>
                <w:szCs w:val="20"/>
                <w:lang w:eastAsia="sk-SK"/>
              </w:rPr>
            </w:pPr>
            <w:r w:rsidRPr="00712D70">
              <w:rPr>
                <w:rFonts w:ascii="Times New Roman" w:hAnsi="Times New Roman" w:cs="Times New Roman"/>
                <w:sz w:val="20"/>
                <w:szCs w:val="20"/>
                <w:lang w:eastAsia="sk-SK"/>
              </w:rPr>
              <w:t>-8,6</w:t>
            </w:r>
          </w:p>
        </w:tc>
      </w:tr>
      <w:tr>
        <w:tblPrEx>
          <w:tblW w:w="5000" w:type="pct"/>
          <w:tblCellMar>
            <w:left w:w="70" w:type="dxa"/>
            <w:right w:w="70" w:type="dxa"/>
          </w:tblCellMar>
          <w:tblLook w:val="04A0"/>
        </w:tblPrEx>
        <w:trPr>
          <w:trHeight w:val="255"/>
        </w:trPr>
        <w:tc>
          <w:tcPr>
            <w:tcW w:w="2528" w:type="pct"/>
            <w:tcBorders>
              <w:top w:val="single" w:sz="4" w:space="0" w:color="auto"/>
              <w:left w:val="nil"/>
              <w:bottom w:val="nil"/>
              <w:right w:val="nil"/>
            </w:tcBorders>
            <w:shd w:val="clear" w:color="000000" w:fill="BFBFBF"/>
            <w:textDirection w:val="lrTb"/>
            <w:vAlign w:val="center"/>
            <w:hideMark/>
          </w:tcPr>
          <w:p w:rsidR="00712D70" w:rsidRPr="00712D70" w:rsidP="004B7DC7">
            <w:pPr>
              <w:bidi w:val="0"/>
              <w:spacing w:after="0" w:line="240" w:lineRule="auto"/>
              <w:jc w:val="both"/>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Príjmy spolu</w:t>
            </w:r>
          </w:p>
        </w:tc>
        <w:tc>
          <w:tcPr>
            <w:tcW w:w="565" w:type="pct"/>
            <w:tcBorders>
              <w:top w:val="single" w:sz="4" w:space="0" w:color="auto"/>
              <w:left w:val="nil"/>
              <w:bottom w:val="nil"/>
              <w:right w:val="nil"/>
            </w:tcBorders>
            <w:shd w:val="clear" w:color="000000" w:fill="BFBFBF"/>
            <w:noWrap/>
            <w:textDirection w:val="lrTb"/>
            <w:vAlign w:val="bottom"/>
            <w:hideMark/>
          </w:tcPr>
          <w:p w:rsidR="00712D70" w:rsidRPr="00712D70" w:rsidP="004B7DC7">
            <w:pPr>
              <w:bidi w:val="0"/>
              <w:spacing w:after="0" w:line="240" w:lineRule="auto"/>
              <w:jc w:val="right"/>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26 037 394</w:t>
            </w:r>
          </w:p>
        </w:tc>
        <w:tc>
          <w:tcPr>
            <w:tcW w:w="565" w:type="pct"/>
            <w:tcBorders>
              <w:top w:val="single" w:sz="4" w:space="0" w:color="auto"/>
              <w:left w:val="nil"/>
              <w:bottom w:val="nil"/>
              <w:right w:val="nil"/>
            </w:tcBorders>
            <w:shd w:val="clear" w:color="000000" w:fill="BFBFBF"/>
            <w:noWrap/>
            <w:textDirection w:val="lrTb"/>
            <w:vAlign w:val="bottom"/>
            <w:hideMark/>
          </w:tcPr>
          <w:p w:rsidR="00712D70" w:rsidRPr="00712D70" w:rsidP="004B7DC7">
            <w:pPr>
              <w:bidi w:val="0"/>
              <w:spacing w:after="0" w:line="240" w:lineRule="auto"/>
              <w:jc w:val="right"/>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28 330 100</w:t>
            </w:r>
          </w:p>
        </w:tc>
        <w:tc>
          <w:tcPr>
            <w:tcW w:w="585" w:type="pct"/>
            <w:tcBorders>
              <w:top w:val="single" w:sz="4" w:space="0" w:color="auto"/>
              <w:left w:val="nil"/>
              <w:bottom w:val="nil"/>
              <w:right w:val="nil"/>
            </w:tcBorders>
            <w:shd w:val="clear" w:color="000000" w:fill="BFBFBF"/>
            <w:noWrap/>
            <w:textDirection w:val="lrTb"/>
            <w:vAlign w:val="bottom"/>
            <w:hideMark/>
          </w:tcPr>
          <w:p w:rsidR="00712D70" w:rsidRPr="00712D70" w:rsidP="004B7DC7">
            <w:pPr>
              <w:bidi w:val="0"/>
              <w:spacing w:after="0" w:line="240" w:lineRule="auto"/>
              <w:jc w:val="right"/>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29 363 974</w:t>
            </w:r>
          </w:p>
        </w:tc>
        <w:tc>
          <w:tcPr>
            <w:tcW w:w="758" w:type="pct"/>
            <w:tcBorders>
              <w:top w:val="single" w:sz="4" w:space="0" w:color="auto"/>
              <w:left w:val="nil"/>
              <w:bottom w:val="nil"/>
              <w:right w:val="nil"/>
            </w:tcBorders>
            <w:shd w:val="clear" w:color="000000" w:fill="BFBFBF"/>
            <w:noWrap/>
            <w:textDirection w:val="lrTb"/>
            <w:vAlign w:val="center"/>
            <w:hideMark/>
          </w:tcPr>
          <w:p w:rsidR="00712D70" w:rsidRPr="00712D70" w:rsidP="009A4C5C">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3,6</w:t>
            </w:r>
          </w:p>
        </w:tc>
      </w:tr>
      <w:tr>
        <w:tblPrEx>
          <w:tblW w:w="5000" w:type="pct"/>
          <w:tblCellMar>
            <w:left w:w="70" w:type="dxa"/>
            <w:right w:w="70" w:type="dxa"/>
          </w:tblCellMar>
          <w:tblLook w:val="04A0"/>
        </w:tblPrEx>
        <w:trPr>
          <w:trHeight w:val="255"/>
        </w:trPr>
        <w:tc>
          <w:tcPr>
            <w:tcW w:w="2528" w:type="pct"/>
            <w:tcBorders>
              <w:top w:val="nil"/>
              <w:left w:val="nil"/>
              <w:bottom w:val="single" w:sz="4" w:space="0" w:color="auto"/>
              <w:right w:val="nil"/>
            </w:tcBorders>
            <w:shd w:val="clear" w:color="000000" w:fill="BFBFBF"/>
            <w:noWrap/>
            <w:textDirection w:val="lrTb"/>
            <w:vAlign w:val="center"/>
            <w:hideMark/>
          </w:tcPr>
          <w:p w:rsidR="00712D70" w:rsidRPr="00712D70" w:rsidP="004B7DC7">
            <w:pPr>
              <w:bidi w:val="0"/>
              <w:spacing w:after="0" w:line="240" w:lineRule="auto"/>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 xml:space="preserve">     % z HDP</w:t>
            </w:r>
          </w:p>
        </w:tc>
        <w:tc>
          <w:tcPr>
            <w:tcW w:w="565" w:type="pct"/>
            <w:tcBorders>
              <w:top w:val="nil"/>
              <w:left w:val="nil"/>
              <w:bottom w:val="single" w:sz="4" w:space="0" w:color="auto"/>
              <w:right w:val="nil"/>
            </w:tcBorders>
            <w:shd w:val="clear" w:color="000000" w:fill="BFBFBF"/>
            <w:noWrap/>
            <w:textDirection w:val="lrTb"/>
            <w:vAlign w:val="bottom"/>
            <w:hideMark/>
          </w:tcPr>
          <w:p w:rsidR="00712D70" w:rsidRPr="00712D70" w:rsidP="004B7DC7">
            <w:pPr>
              <w:bidi w:val="0"/>
              <w:spacing w:after="0" w:line="240" w:lineRule="auto"/>
              <w:jc w:val="right"/>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36,0</w:t>
            </w:r>
          </w:p>
        </w:tc>
        <w:tc>
          <w:tcPr>
            <w:tcW w:w="565" w:type="pct"/>
            <w:tcBorders>
              <w:top w:val="nil"/>
              <w:left w:val="nil"/>
              <w:bottom w:val="single" w:sz="4" w:space="0" w:color="auto"/>
              <w:right w:val="nil"/>
            </w:tcBorders>
            <w:shd w:val="clear" w:color="000000" w:fill="BFBFBF"/>
            <w:noWrap/>
            <w:textDirection w:val="lrTb"/>
            <w:vAlign w:val="bottom"/>
            <w:hideMark/>
          </w:tcPr>
          <w:p w:rsidR="00712D70" w:rsidRPr="00712D70" w:rsidP="004B7DC7">
            <w:pPr>
              <w:bidi w:val="0"/>
              <w:spacing w:after="0" w:line="240" w:lineRule="auto"/>
              <w:jc w:val="right"/>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38,4</w:t>
            </w:r>
          </w:p>
        </w:tc>
        <w:tc>
          <w:tcPr>
            <w:tcW w:w="585" w:type="pct"/>
            <w:tcBorders>
              <w:top w:val="nil"/>
              <w:left w:val="nil"/>
              <w:bottom w:val="single" w:sz="4" w:space="0" w:color="auto"/>
              <w:right w:val="nil"/>
            </w:tcBorders>
            <w:shd w:val="clear" w:color="000000" w:fill="BFBFBF"/>
            <w:noWrap/>
            <w:textDirection w:val="lrTb"/>
            <w:vAlign w:val="bottom"/>
            <w:hideMark/>
          </w:tcPr>
          <w:p w:rsidR="00712D70" w:rsidRPr="00712D70" w:rsidP="004B7DC7">
            <w:pPr>
              <w:bidi w:val="0"/>
              <w:spacing w:after="0" w:line="240" w:lineRule="auto"/>
              <w:jc w:val="right"/>
              <w:rPr>
                <w:rFonts w:ascii="Times New Roman" w:hAnsi="Times New Roman" w:cs="Times New Roman"/>
                <w:b/>
                <w:bCs/>
                <w:color w:val="000000"/>
                <w:sz w:val="20"/>
                <w:szCs w:val="20"/>
                <w:lang w:eastAsia="sk-SK"/>
              </w:rPr>
            </w:pPr>
            <w:r w:rsidRPr="00712D70">
              <w:rPr>
                <w:rFonts w:ascii="Times New Roman" w:hAnsi="Times New Roman" w:cs="Times New Roman"/>
                <w:b/>
                <w:bCs/>
                <w:color w:val="000000"/>
                <w:sz w:val="20"/>
                <w:szCs w:val="20"/>
                <w:lang w:eastAsia="sk-SK"/>
              </w:rPr>
              <w:t>38,9</w:t>
            </w:r>
          </w:p>
        </w:tc>
        <w:tc>
          <w:tcPr>
            <w:tcW w:w="758" w:type="pct"/>
            <w:tcBorders>
              <w:top w:val="nil"/>
              <w:left w:val="nil"/>
              <w:bottom w:val="single" w:sz="4" w:space="0" w:color="auto"/>
              <w:right w:val="nil"/>
            </w:tcBorders>
            <w:shd w:val="clear" w:color="000000" w:fill="BFBFBF"/>
            <w:noWrap/>
            <w:textDirection w:val="lrTb"/>
            <w:vAlign w:val="center"/>
            <w:hideMark/>
          </w:tcPr>
          <w:p w:rsidR="00712D70" w:rsidRPr="00712D70" w:rsidP="009A4C5C">
            <w:pPr>
              <w:bidi w:val="0"/>
              <w:spacing w:after="0" w:line="240" w:lineRule="auto"/>
              <w:jc w:val="right"/>
              <w:rPr>
                <w:rFonts w:ascii="Times New Roman" w:hAnsi="Times New Roman" w:cs="Times New Roman"/>
                <w:b/>
                <w:bCs/>
                <w:sz w:val="20"/>
                <w:szCs w:val="20"/>
                <w:lang w:eastAsia="sk-SK"/>
              </w:rPr>
            </w:pPr>
            <w:r w:rsidRPr="00712D70">
              <w:rPr>
                <w:rFonts w:ascii="Times New Roman" w:hAnsi="Times New Roman" w:cs="Times New Roman"/>
                <w:b/>
                <w:bCs/>
                <w:sz w:val="20"/>
                <w:szCs w:val="20"/>
                <w:lang w:eastAsia="sk-SK"/>
              </w:rPr>
              <w:t>0,5</w:t>
            </w:r>
          </w:p>
        </w:tc>
      </w:tr>
    </w:tbl>
    <w:p w:rsidR="00712D70" w:rsidRPr="00712D70" w:rsidP="00712D70">
      <w:pPr>
        <w:pStyle w:val="Heading3"/>
        <w:numPr>
          <w:ilvl w:val="0"/>
          <w:numId w:val="0"/>
        </w:numPr>
        <w:bidi w:val="0"/>
        <w:spacing w:before="240"/>
        <w:ind w:firstLine="0"/>
        <w:rPr>
          <w:rFonts w:eastAsia="Calibri" w:hint="default"/>
          <w:b w:val="0"/>
          <w:szCs w:val="36"/>
          <w:lang w:eastAsia="en-US"/>
        </w:rPr>
      </w:pPr>
      <w:bookmarkStart w:id="49" w:name="_Toc433099037"/>
      <w:bookmarkStart w:id="50" w:name="_Toc433099276"/>
      <w:bookmarkStart w:id="51" w:name="_Toc433099382"/>
      <w:bookmarkStart w:id="52" w:name="_Toc433099564"/>
      <w:r w:rsidRPr="00712D70">
        <w:rPr>
          <w:rFonts w:eastAsia="Calibri" w:hint="default"/>
          <w:b w:val="0"/>
          <w:szCs w:val="36"/>
          <w:lang w:eastAsia="en-US"/>
        </w:rPr>
        <w:t>Z pohľ</w:t>
      </w:r>
      <w:r w:rsidRPr="00712D70">
        <w:rPr>
          <w:rFonts w:eastAsia="Calibri" w:hint="default"/>
          <w:b w:val="0"/>
          <w:szCs w:val="36"/>
          <w:lang w:eastAsia="en-US"/>
        </w:rPr>
        <w:t>adu vý</w:t>
      </w:r>
      <w:r w:rsidRPr="00712D70">
        <w:rPr>
          <w:rFonts w:eastAsia="Calibri" w:hint="default"/>
          <w:b w:val="0"/>
          <w:szCs w:val="36"/>
          <w:lang w:eastAsia="en-US"/>
        </w:rPr>
        <w:t>nosu bola najvý</w:t>
      </w:r>
      <w:r w:rsidRPr="00712D70">
        <w:rPr>
          <w:rFonts w:eastAsia="Calibri" w:hint="default"/>
          <w:b w:val="0"/>
          <w:szCs w:val="36"/>
          <w:lang w:eastAsia="en-US"/>
        </w:rPr>
        <w:t>znamnejší</w:t>
      </w:r>
      <w:r w:rsidRPr="00712D70">
        <w:rPr>
          <w:rFonts w:eastAsia="Calibri" w:hint="default"/>
          <w:b w:val="0"/>
          <w:szCs w:val="36"/>
          <w:lang w:eastAsia="en-US"/>
        </w:rPr>
        <w:t>m daň</w:t>
      </w:r>
      <w:r w:rsidRPr="00712D70">
        <w:rPr>
          <w:rFonts w:eastAsia="Calibri" w:hint="default"/>
          <w:b w:val="0"/>
          <w:szCs w:val="36"/>
          <w:lang w:eastAsia="en-US"/>
        </w:rPr>
        <w:t>ový</w:t>
      </w:r>
      <w:r w:rsidRPr="00712D70">
        <w:rPr>
          <w:rFonts w:eastAsia="Calibri" w:hint="default"/>
          <w:b w:val="0"/>
          <w:szCs w:val="36"/>
          <w:lang w:eastAsia="en-US"/>
        </w:rPr>
        <w:t>m prí</w:t>
      </w:r>
      <w:r w:rsidRPr="00712D70">
        <w:rPr>
          <w:rFonts w:eastAsia="Calibri" w:hint="default"/>
          <w:b w:val="0"/>
          <w:szCs w:val="36"/>
          <w:lang w:eastAsia="en-US"/>
        </w:rPr>
        <w:t xml:space="preserve">jmom </w:t>
      </w:r>
      <w:r w:rsidRPr="00712D70">
        <w:rPr>
          <w:rFonts w:eastAsia="Calibri" w:hint="default"/>
          <w:szCs w:val="36"/>
          <w:lang w:eastAsia="en-US"/>
        </w:rPr>
        <w:t>daň</w:t>
      </w:r>
      <w:r w:rsidRPr="00712D70">
        <w:rPr>
          <w:rFonts w:eastAsia="Calibri" w:hint="default"/>
          <w:szCs w:val="36"/>
          <w:lang w:eastAsia="en-US"/>
        </w:rPr>
        <w:t xml:space="preserve"> z pridanej hodnoty (DPH)</w:t>
      </w:r>
      <w:r w:rsidRPr="00712D70">
        <w:rPr>
          <w:rFonts w:eastAsia="Calibri" w:hint="default"/>
          <w:b w:val="0"/>
          <w:szCs w:val="36"/>
          <w:lang w:eastAsia="en-US"/>
        </w:rPr>
        <w:t>, ktorá</w:t>
      </w:r>
      <w:r w:rsidRPr="00712D70">
        <w:rPr>
          <w:rFonts w:eastAsia="Calibri" w:hint="default"/>
          <w:b w:val="0"/>
          <w:szCs w:val="36"/>
          <w:lang w:eastAsia="en-US"/>
        </w:rPr>
        <w:t xml:space="preserve"> tvorila viac ako pä</w:t>
      </w:r>
      <w:r w:rsidRPr="00712D70">
        <w:rPr>
          <w:rFonts w:eastAsia="Calibri" w:hint="default"/>
          <w:b w:val="0"/>
          <w:szCs w:val="36"/>
          <w:lang w:eastAsia="en-US"/>
        </w:rPr>
        <w:t>tinu vš</w:t>
      </w:r>
      <w:r w:rsidRPr="00712D70">
        <w:rPr>
          <w:rFonts w:eastAsia="Calibri" w:hint="default"/>
          <w:b w:val="0"/>
          <w:szCs w:val="36"/>
          <w:lang w:eastAsia="en-US"/>
        </w:rPr>
        <w:t>etký</w:t>
      </w:r>
      <w:r w:rsidRPr="00712D70">
        <w:rPr>
          <w:rFonts w:eastAsia="Calibri" w:hint="default"/>
          <w:b w:val="0"/>
          <w:szCs w:val="36"/>
          <w:lang w:eastAsia="en-US"/>
        </w:rPr>
        <w:t>ch daň</w:t>
      </w:r>
      <w:r w:rsidRPr="00712D70">
        <w:rPr>
          <w:rFonts w:eastAsia="Calibri" w:hint="default"/>
          <w:b w:val="0"/>
          <w:szCs w:val="36"/>
          <w:lang w:eastAsia="en-US"/>
        </w:rPr>
        <w:t>ový</w:t>
      </w:r>
      <w:r w:rsidRPr="00712D70">
        <w:rPr>
          <w:rFonts w:eastAsia="Calibri" w:hint="default"/>
          <w:b w:val="0"/>
          <w:szCs w:val="36"/>
          <w:lang w:eastAsia="en-US"/>
        </w:rPr>
        <w:t>ch prí</w:t>
      </w:r>
      <w:r w:rsidRPr="00712D70">
        <w:rPr>
          <w:rFonts w:eastAsia="Calibri" w:hint="default"/>
          <w:b w:val="0"/>
          <w:szCs w:val="36"/>
          <w:lang w:eastAsia="en-US"/>
        </w:rPr>
        <w:t>jmov. Rast vý</w:t>
      </w:r>
      <w:r w:rsidRPr="00712D70">
        <w:rPr>
          <w:rFonts w:eastAsia="Calibri" w:hint="default"/>
          <w:b w:val="0"/>
          <w:szCs w:val="36"/>
          <w:lang w:eastAsia="en-US"/>
        </w:rPr>
        <w:t>nosu DPH o 6,9 % v </w:t>
      </w:r>
      <w:r w:rsidRPr="00712D70">
        <w:rPr>
          <w:rFonts w:eastAsia="Calibri" w:hint="default"/>
          <w:b w:val="0"/>
          <w:szCs w:val="36"/>
          <w:lang w:eastAsia="en-US"/>
        </w:rPr>
        <w:t>roku 2014 bol spô</w:t>
      </w:r>
      <w:r w:rsidRPr="00712D70">
        <w:rPr>
          <w:rFonts w:eastAsia="Calibri" w:hint="default"/>
          <w:b w:val="0"/>
          <w:szCs w:val="36"/>
          <w:lang w:eastAsia="en-US"/>
        </w:rPr>
        <w:t>sobený</w:t>
      </w:r>
      <w:r w:rsidRPr="00712D70">
        <w:rPr>
          <w:rFonts w:eastAsia="Calibri" w:hint="default"/>
          <w:b w:val="0"/>
          <w:szCs w:val="36"/>
          <w:lang w:eastAsia="en-US"/>
        </w:rPr>
        <w:t xml:space="preserve"> zvýš</w:t>
      </w:r>
      <w:r w:rsidRPr="00712D70">
        <w:rPr>
          <w:rFonts w:eastAsia="Calibri" w:hint="default"/>
          <w:b w:val="0"/>
          <w:szCs w:val="36"/>
          <w:lang w:eastAsia="en-US"/>
        </w:rPr>
        <w:t>enou efektivitou vý</w:t>
      </w:r>
      <w:r w:rsidRPr="00712D70">
        <w:rPr>
          <w:rFonts w:eastAsia="Calibri" w:hint="default"/>
          <w:b w:val="0"/>
          <w:szCs w:val="36"/>
          <w:lang w:eastAsia="en-US"/>
        </w:rPr>
        <w:t>beru dane a lepší</w:t>
      </w:r>
      <w:r w:rsidRPr="00712D70">
        <w:rPr>
          <w:rFonts w:eastAsia="Calibri" w:hint="default"/>
          <w:b w:val="0"/>
          <w:szCs w:val="36"/>
          <w:lang w:eastAsia="en-US"/>
        </w:rPr>
        <w:t>m ekonomický</w:t>
      </w:r>
      <w:r w:rsidRPr="00712D70">
        <w:rPr>
          <w:rFonts w:eastAsia="Calibri" w:hint="default"/>
          <w:b w:val="0"/>
          <w:szCs w:val="36"/>
          <w:lang w:eastAsia="en-US"/>
        </w:rPr>
        <w:t>m vý</w:t>
      </w:r>
      <w:r w:rsidRPr="00712D70">
        <w:rPr>
          <w:rFonts w:eastAsia="Calibri" w:hint="default"/>
          <w:b w:val="0"/>
          <w:szCs w:val="36"/>
          <w:lang w:eastAsia="en-US"/>
        </w:rPr>
        <w:t>vojom. Vď</w:t>
      </w:r>
      <w:r w:rsidRPr="00712D70">
        <w:rPr>
          <w:rFonts w:eastAsia="Calibri" w:hint="default"/>
          <w:b w:val="0"/>
          <w:szCs w:val="36"/>
          <w:lang w:eastAsia="en-US"/>
        </w:rPr>
        <w:t>aka prijatý</w:t>
      </w:r>
      <w:r w:rsidRPr="00712D70">
        <w:rPr>
          <w:rFonts w:eastAsia="Calibri" w:hint="default"/>
          <w:b w:val="0"/>
          <w:szCs w:val="36"/>
          <w:lang w:eastAsia="en-US"/>
        </w:rPr>
        <w:t>m opatreniam v boji proti daň</w:t>
      </w:r>
      <w:r w:rsidRPr="00712D70">
        <w:rPr>
          <w:rFonts w:eastAsia="Calibri" w:hint="default"/>
          <w:b w:val="0"/>
          <w:szCs w:val="36"/>
          <w:lang w:eastAsia="en-US"/>
        </w:rPr>
        <w:t>ový</w:t>
      </w:r>
      <w:r w:rsidRPr="00712D70">
        <w:rPr>
          <w:rFonts w:eastAsia="Calibri" w:hint="default"/>
          <w:b w:val="0"/>
          <w:szCs w:val="36"/>
          <w:lang w:eastAsia="en-US"/>
        </w:rPr>
        <w:t>m ú</w:t>
      </w:r>
      <w:r w:rsidRPr="00712D70">
        <w:rPr>
          <w:rFonts w:eastAsia="Calibri" w:hint="default"/>
          <w:b w:val="0"/>
          <w:szCs w:val="36"/>
          <w:lang w:eastAsia="en-US"/>
        </w:rPr>
        <w:t>nikom pokrač</w:t>
      </w:r>
      <w:r w:rsidRPr="00712D70">
        <w:rPr>
          <w:rFonts w:eastAsia="Calibri" w:hint="default"/>
          <w:b w:val="0"/>
          <w:szCs w:val="36"/>
          <w:lang w:eastAsia="en-US"/>
        </w:rPr>
        <w:t>oval rast efektí</w:t>
      </w:r>
      <w:r w:rsidRPr="00712D70">
        <w:rPr>
          <w:rFonts w:eastAsia="Calibri" w:hint="default"/>
          <w:b w:val="0"/>
          <w:szCs w:val="36"/>
          <w:lang w:eastAsia="en-US"/>
        </w:rPr>
        <w:t>vnej da</w:t>
      </w:r>
      <w:r w:rsidRPr="00712D70">
        <w:rPr>
          <w:rFonts w:eastAsia="Calibri" w:hint="default"/>
          <w:b w:val="0"/>
          <w:szCs w:val="36"/>
          <w:lang w:eastAsia="en-US"/>
        </w:rPr>
        <w:t>ň</w:t>
      </w:r>
      <w:r w:rsidRPr="00712D70">
        <w:rPr>
          <w:rFonts w:eastAsia="Calibri" w:hint="default"/>
          <w:b w:val="0"/>
          <w:szCs w:val="36"/>
          <w:lang w:eastAsia="en-US"/>
        </w:rPr>
        <w:t>ovej sadzby DPH. Vyšš</w:t>
      </w:r>
      <w:r w:rsidRPr="00712D70">
        <w:rPr>
          <w:rFonts w:eastAsia="Calibri" w:hint="default"/>
          <w:b w:val="0"/>
          <w:szCs w:val="36"/>
          <w:lang w:eastAsia="en-US"/>
        </w:rPr>
        <w:t>ia ú</w:t>
      </w:r>
      <w:r w:rsidRPr="00712D70">
        <w:rPr>
          <w:rFonts w:eastAsia="Calibri" w:hint="default"/>
          <w:b w:val="0"/>
          <w:szCs w:val="36"/>
          <w:lang w:eastAsia="en-US"/>
        </w:rPr>
        <w:t>speš</w:t>
      </w:r>
      <w:r w:rsidRPr="00712D70">
        <w:rPr>
          <w:rFonts w:eastAsia="Calibri" w:hint="default"/>
          <w:b w:val="0"/>
          <w:szCs w:val="36"/>
          <w:lang w:eastAsia="en-US"/>
        </w:rPr>
        <w:t>nosť</w:t>
      </w:r>
      <w:r w:rsidRPr="00712D70">
        <w:rPr>
          <w:rFonts w:eastAsia="Calibri" w:hint="default"/>
          <w:b w:val="0"/>
          <w:szCs w:val="36"/>
          <w:lang w:eastAsia="en-US"/>
        </w:rPr>
        <w:t xml:space="preserve"> prispela k rastu dane vo výš</w:t>
      </w:r>
      <w:r w:rsidRPr="00712D70">
        <w:rPr>
          <w:rFonts w:eastAsia="Calibri" w:hint="default"/>
          <w:b w:val="0"/>
          <w:szCs w:val="36"/>
          <w:lang w:eastAsia="en-US"/>
        </w:rPr>
        <w:t xml:space="preserve">ke 303 879 tis. eur. </w:t>
      </w:r>
      <w:r w:rsidR="00E324E7">
        <w:rPr>
          <w:rFonts w:eastAsia="Calibri" w:hint="default"/>
          <w:b w:val="0"/>
          <w:szCs w:val="36"/>
          <w:lang w:eastAsia="en-US"/>
        </w:rPr>
        <w:t>Na vý</w:t>
      </w:r>
      <w:r w:rsidR="00E324E7">
        <w:rPr>
          <w:rFonts w:eastAsia="Calibri" w:hint="default"/>
          <w:b w:val="0"/>
          <w:szCs w:val="36"/>
          <w:lang w:eastAsia="en-US"/>
        </w:rPr>
        <w:t xml:space="preserve">nos DPH </w:t>
      </w:r>
      <w:r w:rsidRPr="00712D70">
        <w:rPr>
          <w:rFonts w:eastAsia="Calibri"/>
          <w:b w:val="0"/>
          <w:szCs w:val="36"/>
          <w:lang w:eastAsia="en-US"/>
        </w:rPr>
        <w:t xml:space="preserve">v roku 2014 </w:t>
      </w:r>
      <w:r w:rsidR="00E324E7">
        <w:rPr>
          <w:rFonts w:eastAsia="Calibri" w:hint="default"/>
          <w:b w:val="0"/>
          <w:szCs w:val="36"/>
          <w:lang w:eastAsia="en-US"/>
        </w:rPr>
        <w:t>pô</w:t>
      </w:r>
      <w:r w:rsidR="00E324E7">
        <w:rPr>
          <w:rFonts w:eastAsia="Calibri" w:hint="default"/>
          <w:b w:val="0"/>
          <w:szCs w:val="36"/>
          <w:lang w:eastAsia="en-US"/>
        </w:rPr>
        <w:t>sobila</w:t>
      </w:r>
      <w:r w:rsidRPr="00712D70">
        <w:rPr>
          <w:rFonts w:eastAsia="Calibri"/>
          <w:b w:val="0"/>
          <w:szCs w:val="36"/>
          <w:lang w:eastAsia="en-US"/>
        </w:rPr>
        <w:t xml:space="preserve"> </w:t>
      </w:r>
      <w:r w:rsidR="00E324E7">
        <w:rPr>
          <w:rFonts w:eastAsia="Calibri" w:hint="default"/>
          <w:b w:val="0"/>
          <w:szCs w:val="36"/>
          <w:lang w:eastAsia="en-US"/>
        </w:rPr>
        <w:t>aj č</w:t>
      </w:r>
      <w:r w:rsidR="00E324E7">
        <w:rPr>
          <w:rFonts w:eastAsia="Calibri" w:hint="default"/>
          <w:b w:val="0"/>
          <w:szCs w:val="36"/>
          <w:lang w:eastAsia="en-US"/>
        </w:rPr>
        <w:t>innosť</w:t>
      </w:r>
      <w:r w:rsidR="00E324E7">
        <w:rPr>
          <w:rFonts w:eastAsia="Calibri" w:hint="default"/>
          <w:b w:val="0"/>
          <w:szCs w:val="36"/>
          <w:lang w:eastAsia="en-US"/>
        </w:rPr>
        <w:t xml:space="preserve"> Finanč</w:t>
      </w:r>
      <w:r w:rsidR="00E324E7">
        <w:rPr>
          <w:rFonts w:eastAsia="Calibri" w:hint="default"/>
          <w:b w:val="0"/>
          <w:szCs w:val="36"/>
          <w:lang w:eastAsia="en-US"/>
        </w:rPr>
        <w:t>nej sprá</w:t>
      </w:r>
      <w:r w:rsidR="00E324E7">
        <w:rPr>
          <w:rFonts w:eastAsia="Calibri" w:hint="default"/>
          <w:b w:val="0"/>
          <w:szCs w:val="36"/>
          <w:lang w:eastAsia="en-US"/>
        </w:rPr>
        <w:t>vy SR v </w:t>
      </w:r>
      <w:r w:rsidR="00E324E7">
        <w:rPr>
          <w:rFonts w:eastAsia="Calibri" w:hint="default"/>
          <w:b w:val="0"/>
          <w:szCs w:val="36"/>
          <w:lang w:eastAsia="en-US"/>
        </w:rPr>
        <w:t>oblasti ukonč</w:t>
      </w:r>
      <w:r w:rsidR="00E324E7">
        <w:rPr>
          <w:rFonts w:eastAsia="Calibri" w:hint="default"/>
          <w:b w:val="0"/>
          <w:szCs w:val="36"/>
          <w:lang w:eastAsia="en-US"/>
        </w:rPr>
        <w:t>ovania</w:t>
      </w:r>
      <w:r w:rsidRPr="00712D70">
        <w:rPr>
          <w:rFonts w:eastAsia="Calibri" w:hint="default"/>
          <w:b w:val="0"/>
          <w:szCs w:val="36"/>
          <w:lang w:eastAsia="en-US"/>
        </w:rPr>
        <w:t xml:space="preserve"> kontrol nadmerný</w:t>
      </w:r>
      <w:r w:rsidRPr="00712D70">
        <w:rPr>
          <w:rFonts w:eastAsia="Calibri" w:hint="default"/>
          <w:b w:val="0"/>
          <w:szCs w:val="36"/>
          <w:lang w:eastAsia="en-US"/>
        </w:rPr>
        <w:t>ch odpoč</w:t>
      </w:r>
      <w:r w:rsidRPr="00712D70">
        <w:rPr>
          <w:rFonts w:eastAsia="Calibri" w:hint="default"/>
          <w:b w:val="0"/>
          <w:szCs w:val="36"/>
          <w:lang w:eastAsia="en-US"/>
        </w:rPr>
        <w:t>tov z predchá</w:t>
      </w:r>
      <w:r w:rsidRPr="00712D70">
        <w:rPr>
          <w:rFonts w:eastAsia="Calibri" w:hint="default"/>
          <w:b w:val="0"/>
          <w:szCs w:val="36"/>
          <w:lang w:eastAsia="en-US"/>
        </w:rPr>
        <w:t>dzajú</w:t>
      </w:r>
      <w:r w:rsidRPr="00712D70">
        <w:rPr>
          <w:rFonts w:eastAsia="Calibri" w:hint="default"/>
          <w:b w:val="0"/>
          <w:szCs w:val="36"/>
          <w:lang w:eastAsia="en-US"/>
        </w:rPr>
        <w:t>cich rokov.</w:t>
      </w:r>
      <w:bookmarkEnd w:id="49"/>
      <w:bookmarkEnd w:id="50"/>
      <w:bookmarkEnd w:id="51"/>
      <w:bookmarkEnd w:id="52"/>
    </w:p>
    <w:p w:rsidR="00712D70" w:rsidRPr="00712D70" w:rsidP="00712D70">
      <w:pPr>
        <w:bidi w:val="0"/>
        <w:spacing w:after="120" w:line="336" w:lineRule="auto"/>
        <w:jc w:val="both"/>
        <w:rPr>
          <w:rFonts w:ascii="Times New Roman" w:hAnsi="Times New Roman" w:cs="Times New Roman"/>
        </w:rPr>
      </w:pPr>
      <w:r w:rsidRPr="00712D70">
        <w:rPr>
          <w:rFonts w:ascii="Times New Roman" w:hAnsi="Times New Roman" w:cs="Times New Roman"/>
          <w:b/>
        </w:rPr>
        <w:t>Spotrebné dane</w:t>
      </w:r>
      <w:r w:rsidRPr="00712D70">
        <w:rPr>
          <w:rFonts w:ascii="Times New Roman" w:hAnsi="Times New Roman" w:cs="Times New Roman"/>
        </w:rPr>
        <w:t xml:space="preserve"> zaznamenali medziročný nárast o 1,5 %. Najviac sa darilo spotrebnej dani z minerálnych olejov, ktorá vzrástla o 3,0 %. Vyšší ekonomický rast sa prejavil najmä na výnose dane z nafty. </w:t>
      </w:r>
    </w:p>
    <w:p w:rsidR="00712D70" w:rsidRPr="00712D70" w:rsidP="00712D70">
      <w:pPr>
        <w:bidi w:val="0"/>
        <w:spacing w:after="120" w:line="336" w:lineRule="auto"/>
        <w:jc w:val="both"/>
        <w:rPr>
          <w:rFonts w:ascii="Times New Roman" w:hAnsi="Times New Roman" w:cs="Times New Roman"/>
        </w:rPr>
      </w:pPr>
      <w:r w:rsidRPr="00712D70">
        <w:rPr>
          <w:rFonts w:ascii="Times New Roman" w:hAnsi="Times New Roman" w:cs="Times New Roman"/>
          <w:b/>
        </w:rPr>
        <w:t xml:space="preserve">Daň z príjmu fyzických osôb (DPFO) </w:t>
      </w:r>
      <w:r w:rsidRPr="00712D70">
        <w:rPr>
          <w:rFonts w:ascii="Times New Roman" w:hAnsi="Times New Roman" w:cs="Times New Roman"/>
        </w:rPr>
        <w:t>vzrástla o 6,1 %. Výnos dane sa zvýšil najmä vďaka DPFO zo závislej činnosti s medziročným rastom 6,4 %, zatiaľ čo DPFO z podnikania vzrástla len o 3,1 %.</w:t>
      </w:r>
      <w:r w:rsidR="00AC7136">
        <w:rPr>
          <w:rFonts w:ascii="Times New Roman" w:hAnsi="Times New Roman" w:cs="Times New Roman"/>
        </w:rPr>
        <w:t xml:space="preserve"> </w:t>
      </w:r>
      <w:r w:rsidRPr="00712D70">
        <w:rPr>
          <w:rFonts w:ascii="Times New Roman" w:hAnsi="Times New Roman" w:cs="Times New Roman"/>
        </w:rPr>
        <w:t>Dôvodom pozitívneho vývoja DPFO zo závislej činnosti bol najmä zlepšený vývoj mzdovej bázy, keď spoločne rástli mzdy i zamestnanosť.</w:t>
      </w:r>
    </w:p>
    <w:p w:rsidR="00712D70" w:rsidRPr="00712D70" w:rsidP="00712D70">
      <w:pPr>
        <w:bidi w:val="0"/>
        <w:spacing w:after="120" w:line="336" w:lineRule="auto"/>
        <w:jc w:val="both"/>
        <w:rPr>
          <w:rFonts w:ascii="Times New Roman" w:hAnsi="Times New Roman" w:cs="Times New Roman"/>
        </w:rPr>
      </w:pPr>
      <w:r w:rsidRPr="00712D70">
        <w:rPr>
          <w:rFonts w:ascii="Times New Roman" w:hAnsi="Times New Roman" w:cs="Times New Roman"/>
          <w:b/>
        </w:rPr>
        <w:t>Daň z príjmu právnických osôb (DPPO)</w:t>
      </w:r>
      <w:r w:rsidRPr="00712D70">
        <w:rPr>
          <w:rFonts w:ascii="Times New Roman" w:hAnsi="Times New Roman" w:cs="Times New Roman"/>
        </w:rPr>
        <w:t xml:space="preserve"> medziročne vzrástla o 13,2 %. Spolu s pozitívnym vplyvom ekonomického rastu prispela k nárastu výnosu aj efektívnosť výberu dane. K vyššej efektívnosti výberu dane pravdepodobne prispel aj boj proti daňovým únikom na DPH. Súčasťou DPPO podľa ESA metodiky je aj osobitný odvod z podnikania v regulovaných odvetviach, ktorého výnos medziročne poklesol o 36,1 % z dôvodu poklesu ziskov</w:t>
      </w:r>
      <w:r w:rsidR="008F41B1">
        <w:rPr>
          <w:rFonts w:ascii="Times New Roman" w:hAnsi="Times New Roman" w:cs="Times New Roman"/>
        </w:rPr>
        <w:t xml:space="preserve">osti v regulovaných odvetviach. </w:t>
      </w:r>
      <w:r w:rsidRPr="00712D70">
        <w:rPr>
          <w:rFonts w:ascii="Times New Roman" w:hAnsi="Times New Roman" w:cs="Times New Roman"/>
        </w:rPr>
        <w:t>Samotná DPPO bez osobitného odvodu vzrástla až o 15,4 %.</w:t>
      </w:r>
    </w:p>
    <w:p w:rsidR="00712D70" w:rsidRPr="00712D70" w:rsidP="00712D70">
      <w:pPr>
        <w:bidi w:val="0"/>
        <w:spacing w:after="120" w:line="336" w:lineRule="auto"/>
        <w:jc w:val="both"/>
        <w:rPr>
          <w:rFonts w:ascii="Times New Roman" w:eastAsia="Calibri" w:hAnsi="Times New Roman" w:cs="Times New Roman" w:hint="default"/>
        </w:rPr>
      </w:pPr>
      <w:r w:rsidRPr="00712D70">
        <w:rPr>
          <w:rFonts w:ascii="Times New Roman" w:eastAsia="Calibri" w:hAnsi="Times New Roman" w:cs="Times New Roman" w:hint="default"/>
          <w:b/>
        </w:rPr>
        <w:t>Daň</w:t>
      </w:r>
      <w:r w:rsidRPr="00712D70">
        <w:rPr>
          <w:rFonts w:ascii="Times New Roman" w:eastAsia="Calibri" w:hAnsi="Times New Roman" w:cs="Times New Roman" w:hint="default"/>
          <w:b/>
        </w:rPr>
        <w:t xml:space="preserve"> z pr</w:t>
      </w:r>
      <w:r w:rsidRPr="00712D70">
        <w:rPr>
          <w:rFonts w:ascii="Times New Roman" w:eastAsia="Calibri" w:hAnsi="Times New Roman" w:cs="Times New Roman" w:hint="default"/>
          <w:b/>
        </w:rPr>
        <w:t>í</w:t>
      </w:r>
      <w:r w:rsidRPr="00712D70">
        <w:rPr>
          <w:rFonts w:ascii="Times New Roman" w:eastAsia="Calibri" w:hAnsi="Times New Roman" w:cs="Times New Roman" w:hint="default"/>
          <w:b/>
        </w:rPr>
        <w:t>jmov vyberaná</w:t>
      </w:r>
      <w:r w:rsidRPr="00712D70">
        <w:rPr>
          <w:rFonts w:ascii="Times New Roman" w:eastAsia="Calibri" w:hAnsi="Times New Roman" w:cs="Times New Roman" w:hint="default"/>
          <w:b/>
        </w:rPr>
        <w:t xml:space="preserve"> zráž</w:t>
      </w:r>
      <w:r w:rsidRPr="00712D70">
        <w:rPr>
          <w:rFonts w:ascii="Times New Roman" w:eastAsia="Calibri" w:hAnsi="Times New Roman" w:cs="Times New Roman" w:hint="default"/>
          <w:b/>
        </w:rPr>
        <w:t>kou</w:t>
      </w:r>
      <w:r w:rsidRPr="00712D70">
        <w:rPr>
          <w:rFonts w:ascii="Times New Roman" w:eastAsia="Calibri" w:hAnsi="Times New Roman" w:cs="Times New Roman" w:hint="default"/>
        </w:rPr>
        <w:t xml:space="preserve"> oproti predchá</w:t>
      </w:r>
      <w:r w:rsidRPr="00712D70">
        <w:rPr>
          <w:rFonts w:ascii="Times New Roman" w:eastAsia="Calibri" w:hAnsi="Times New Roman" w:cs="Times New Roman" w:hint="default"/>
        </w:rPr>
        <w:t>dzajú</w:t>
      </w:r>
      <w:r w:rsidRPr="00712D70">
        <w:rPr>
          <w:rFonts w:ascii="Times New Roman" w:eastAsia="Calibri" w:hAnsi="Times New Roman" w:cs="Times New Roman" w:hint="default"/>
        </w:rPr>
        <w:t>cemu roku poklesla o 1,5 %. Hlavný</w:t>
      </w:r>
      <w:r w:rsidRPr="00712D70">
        <w:rPr>
          <w:rFonts w:ascii="Times New Roman" w:eastAsia="Calibri" w:hAnsi="Times New Roman" w:cs="Times New Roman" w:hint="default"/>
        </w:rPr>
        <w:t>m dô</w:t>
      </w:r>
      <w:r w:rsidRPr="00712D70">
        <w:rPr>
          <w:rFonts w:ascii="Times New Roman" w:eastAsia="Calibri" w:hAnsi="Times New Roman" w:cs="Times New Roman" w:hint="default"/>
        </w:rPr>
        <w:t>vodom je medziroč</w:t>
      </w:r>
      <w:r w:rsidRPr="00712D70">
        <w:rPr>
          <w:rFonts w:ascii="Times New Roman" w:eastAsia="Calibri" w:hAnsi="Times New Roman" w:cs="Times New Roman" w:hint="default"/>
        </w:rPr>
        <w:t>ný</w:t>
      </w:r>
      <w:r w:rsidRPr="00712D70">
        <w:rPr>
          <w:rFonts w:ascii="Times New Roman" w:eastAsia="Calibri" w:hAnsi="Times New Roman" w:cs="Times New Roman" w:hint="default"/>
        </w:rPr>
        <w:t xml:space="preserve"> pokles ú</w:t>
      </w:r>
      <w:r w:rsidRPr="00712D70">
        <w:rPr>
          <w:rFonts w:ascii="Times New Roman" w:eastAsia="Calibri" w:hAnsi="Times New Roman" w:cs="Times New Roman" w:hint="default"/>
        </w:rPr>
        <w:t>rokovej bá</w:t>
      </w:r>
      <w:r w:rsidRPr="00712D70">
        <w:rPr>
          <w:rFonts w:ascii="Times New Roman" w:eastAsia="Calibri" w:hAnsi="Times New Roman" w:cs="Times New Roman" w:hint="default"/>
        </w:rPr>
        <w:t>zy až</w:t>
      </w:r>
      <w:r w:rsidRPr="00712D70">
        <w:rPr>
          <w:rFonts w:ascii="Times New Roman" w:eastAsia="Calibri" w:hAnsi="Times New Roman" w:cs="Times New Roman" w:hint="default"/>
        </w:rPr>
        <w:t xml:space="preserve"> o 18,3 %, ktorý</w:t>
      </w:r>
      <w:r w:rsidRPr="00712D70">
        <w:rPr>
          <w:rFonts w:ascii="Times New Roman" w:eastAsia="Calibri" w:hAnsi="Times New Roman" w:cs="Times New Roman" w:hint="default"/>
        </w:rPr>
        <w:t xml:space="preserve"> bol do veľ</w:t>
      </w:r>
      <w:r w:rsidRPr="00712D70">
        <w:rPr>
          <w:rFonts w:ascii="Times New Roman" w:eastAsia="Calibri" w:hAnsi="Times New Roman" w:cs="Times New Roman" w:hint="default"/>
        </w:rPr>
        <w:t>kej miery kompenzovaný</w:t>
      </w:r>
      <w:r w:rsidRPr="00712D70">
        <w:rPr>
          <w:rFonts w:ascii="Times New Roman" w:eastAsia="Calibri" w:hAnsi="Times New Roman" w:cs="Times New Roman" w:hint="default"/>
        </w:rPr>
        <w:t xml:space="preserve"> jednorazový</w:t>
      </w:r>
      <w:r w:rsidRPr="00712D70">
        <w:rPr>
          <w:rFonts w:ascii="Times New Roman" w:eastAsia="Calibri" w:hAnsi="Times New Roman" w:cs="Times New Roman" w:hint="default"/>
        </w:rPr>
        <w:t>m neoč</w:t>
      </w:r>
      <w:r w:rsidRPr="00712D70">
        <w:rPr>
          <w:rFonts w:ascii="Times New Roman" w:eastAsia="Calibri" w:hAnsi="Times New Roman" w:cs="Times New Roman" w:hint="default"/>
        </w:rPr>
        <w:t>aká</w:t>
      </w:r>
      <w:r w:rsidRPr="00712D70">
        <w:rPr>
          <w:rFonts w:ascii="Times New Roman" w:eastAsia="Calibri" w:hAnsi="Times New Roman" w:cs="Times New Roman" w:hint="default"/>
        </w:rPr>
        <w:t>vaný</w:t>
      </w:r>
      <w:r w:rsidRPr="00712D70">
        <w:rPr>
          <w:rFonts w:ascii="Times New Roman" w:eastAsia="Calibri" w:hAnsi="Times New Roman" w:cs="Times New Roman" w:hint="default"/>
        </w:rPr>
        <w:t>m plnení</w:t>
      </w:r>
      <w:r w:rsidRPr="00712D70">
        <w:rPr>
          <w:rFonts w:ascii="Times New Roman" w:eastAsia="Calibri" w:hAnsi="Times New Roman" w:cs="Times New Roman" w:hint="default"/>
        </w:rPr>
        <w:t>m zráž</w:t>
      </w:r>
      <w:r w:rsidRPr="00712D70">
        <w:rPr>
          <w:rFonts w:ascii="Times New Roman" w:eastAsia="Calibri" w:hAnsi="Times New Roman" w:cs="Times New Roman" w:hint="default"/>
        </w:rPr>
        <w:t>kovej dane z licenč</w:t>
      </w:r>
      <w:r w:rsidRPr="00712D70">
        <w:rPr>
          <w:rFonts w:ascii="Times New Roman" w:eastAsia="Calibri" w:hAnsi="Times New Roman" w:cs="Times New Roman" w:hint="default"/>
        </w:rPr>
        <w:t>né</w:t>
      </w:r>
      <w:r w:rsidRPr="00712D70">
        <w:rPr>
          <w:rFonts w:ascii="Times New Roman" w:eastAsia="Calibri" w:hAnsi="Times New Roman" w:cs="Times New Roman" w:hint="default"/>
        </w:rPr>
        <w:t>ho poplatku v sumá</w:t>
      </w:r>
      <w:r w:rsidRPr="00712D70">
        <w:rPr>
          <w:rFonts w:ascii="Times New Roman" w:eastAsia="Calibri" w:hAnsi="Times New Roman" w:cs="Times New Roman" w:hint="default"/>
        </w:rPr>
        <w:t>rnej v</w:t>
      </w:r>
      <w:r w:rsidRPr="00712D70">
        <w:rPr>
          <w:rFonts w:ascii="Times New Roman" w:eastAsia="Calibri" w:hAnsi="Times New Roman" w:cs="Times New Roman" w:hint="default"/>
        </w:rPr>
        <w:t>ýš</w:t>
      </w:r>
      <w:r w:rsidRPr="00712D70">
        <w:rPr>
          <w:rFonts w:ascii="Times New Roman" w:eastAsia="Calibri" w:hAnsi="Times New Roman" w:cs="Times New Roman" w:hint="default"/>
        </w:rPr>
        <w:t>ke 18 900 tis. eur.</w:t>
      </w:r>
    </w:p>
    <w:p w:rsidR="00712D70" w:rsidRPr="00712D70" w:rsidP="00712D70">
      <w:pPr>
        <w:bidi w:val="0"/>
        <w:spacing w:after="120" w:line="336" w:lineRule="auto"/>
        <w:jc w:val="both"/>
        <w:rPr>
          <w:rFonts w:ascii="Times New Roman" w:eastAsia="Calibri" w:hAnsi="Times New Roman" w:cs="Times New Roman" w:hint="default"/>
        </w:rPr>
      </w:pPr>
      <w:r w:rsidRPr="00712D70">
        <w:rPr>
          <w:rFonts w:ascii="Times New Roman" w:eastAsia="Calibri" w:hAnsi="Times New Roman" w:cs="Times New Roman" w:hint="default"/>
        </w:rPr>
        <w:t>Medziroč</w:t>
      </w:r>
      <w:r w:rsidRPr="00712D70">
        <w:rPr>
          <w:rFonts w:ascii="Times New Roman" w:eastAsia="Calibri" w:hAnsi="Times New Roman" w:cs="Times New Roman" w:hint="default"/>
        </w:rPr>
        <w:t>ný</w:t>
      </w:r>
      <w:r w:rsidRPr="00712D70">
        <w:rPr>
          <w:rFonts w:ascii="Times New Roman" w:eastAsia="Calibri" w:hAnsi="Times New Roman" w:cs="Times New Roman" w:hint="default"/>
        </w:rPr>
        <w:t xml:space="preserve"> ná</w:t>
      </w:r>
      <w:r w:rsidRPr="00712D70">
        <w:rPr>
          <w:rFonts w:ascii="Times New Roman" w:eastAsia="Calibri" w:hAnsi="Times New Roman" w:cs="Times New Roman" w:hint="default"/>
        </w:rPr>
        <w:t xml:space="preserve">rast </w:t>
      </w:r>
      <w:r w:rsidRPr="00712D70">
        <w:rPr>
          <w:rFonts w:ascii="Times New Roman" w:eastAsia="Calibri" w:hAnsi="Times New Roman" w:cs="Times New Roman" w:hint="default"/>
          <w:b/>
        </w:rPr>
        <w:t>skutoč</w:t>
      </w:r>
      <w:r w:rsidRPr="00712D70">
        <w:rPr>
          <w:rFonts w:ascii="Times New Roman" w:eastAsia="Calibri" w:hAnsi="Times New Roman" w:cs="Times New Roman" w:hint="default"/>
          <w:b/>
        </w:rPr>
        <w:t>ný</w:t>
      </w:r>
      <w:r w:rsidRPr="00712D70">
        <w:rPr>
          <w:rFonts w:ascii="Times New Roman" w:eastAsia="Calibri" w:hAnsi="Times New Roman" w:cs="Times New Roman" w:hint="default"/>
          <w:b/>
        </w:rPr>
        <w:t>ch prí</w:t>
      </w:r>
      <w:r w:rsidRPr="00712D70">
        <w:rPr>
          <w:rFonts w:ascii="Times New Roman" w:eastAsia="Calibri" w:hAnsi="Times New Roman" w:cs="Times New Roman" w:hint="default"/>
          <w:b/>
        </w:rPr>
        <w:t>spevkov na sociá</w:t>
      </w:r>
      <w:r w:rsidRPr="00712D70">
        <w:rPr>
          <w:rFonts w:ascii="Times New Roman" w:eastAsia="Calibri" w:hAnsi="Times New Roman" w:cs="Times New Roman" w:hint="default"/>
          <w:b/>
        </w:rPr>
        <w:t>lne zabezpeč</w:t>
      </w:r>
      <w:r w:rsidRPr="00712D70">
        <w:rPr>
          <w:rFonts w:ascii="Times New Roman" w:eastAsia="Calibri" w:hAnsi="Times New Roman" w:cs="Times New Roman" w:hint="default"/>
          <w:b/>
        </w:rPr>
        <w:t>enie</w:t>
      </w:r>
      <w:r w:rsidRPr="00712D70">
        <w:rPr>
          <w:rFonts w:ascii="Times New Roman" w:eastAsia="Calibri" w:hAnsi="Times New Roman" w:cs="Times New Roman"/>
        </w:rPr>
        <w:t xml:space="preserve"> (odvodov) o 3,5 </w:t>
      </w:r>
      <w:r w:rsidRPr="00712D70">
        <w:rPr>
          <w:rFonts w:ascii="Times New Roman" w:eastAsia="Calibri" w:hAnsi="Times New Roman" w:cs="Times New Roman" w:hint="default"/>
        </w:rPr>
        <w:t>% mož</w:t>
      </w:r>
      <w:r w:rsidRPr="00712D70">
        <w:rPr>
          <w:rFonts w:ascii="Times New Roman" w:eastAsia="Calibri" w:hAnsi="Times New Roman" w:cs="Times New Roman" w:hint="default"/>
        </w:rPr>
        <w:t>no pripí</w:t>
      </w:r>
      <w:r w:rsidRPr="00712D70">
        <w:rPr>
          <w:rFonts w:ascii="Times New Roman" w:eastAsia="Calibri" w:hAnsi="Times New Roman" w:cs="Times New Roman" w:hint="default"/>
        </w:rPr>
        <w:t>sať</w:t>
      </w:r>
      <w:r w:rsidRPr="00712D70">
        <w:rPr>
          <w:rFonts w:ascii="Times New Roman" w:eastAsia="Calibri" w:hAnsi="Times New Roman" w:cs="Times New Roman" w:hint="default"/>
        </w:rPr>
        <w:t xml:space="preserve"> vý</w:t>
      </w:r>
      <w:r w:rsidRPr="00712D70">
        <w:rPr>
          <w:rFonts w:ascii="Times New Roman" w:eastAsia="Calibri" w:hAnsi="Times New Roman" w:cs="Times New Roman" w:hint="default"/>
        </w:rPr>
        <w:t>luč</w:t>
      </w:r>
      <w:r w:rsidRPr="00712D70">
        <w:rPr>
          <w:rFonts w:ascii="Times New Roman" w:eastAsia="Calibri" w:hAnsi="Times New Roman" w:cs="Times New Roman" w:hint="default"/>
        </w:rPr>
        <w:t>ne pozití</w:t>
      </w:r>
      <w:r w:rsidRPr="00712D70">
        <w:rPr>
          <w:rFonts w:ascii="Times New Roman" w:eastAsia="Calibri" w:hAnsi="Times New Roman" w:cs="Times New Roman" w:hint="default"/>
        </w:rPr>
        <w:t>vnemu vplyvu rastu mzdovej bá</w:t>
      </w:r>
      <w:r w:rsidRPr="00712D70">
        <w:rPr>
          <w:rFonts w:ascii="Times New Roman" w:eastAsia="Calibri" w:hAnsi="Times New Roman" w:cs="Times New Roman" w:hint="default"/>
        </w:rPr>
        <w:t>zy, ktorý</w:t>
      </w:r>
      <w:r w:rsidRPr="00712D70">
        <w:rPr>
          <w:rFonts w:ascii="Times New Roman" w:eastAsia="Calibri" w:hAnsi="Times New Roman" w:cs="Times New Roman" w:hint="default"/>
        </w:rPr>
        <w:t xml:space="preserve"> len minimá</w:t>
      </w:r>
      <w:r w:rsidRPr="00712D70">
        <w:rPr>
          <w:rFonts w:ascii="Times New Roman" w:eastAsia="Calibri" w:hAnsi="Times New Roman" w:cs="Times New Roman" w:hint="default"/>
        </w:rPr>
        <w:t>lne korigovala nižš</w:t>
      </w:r>
      <w:r w:rsidRPr="00712D70">
        <w:rPr>
          <w:rFonts w:ascii="Times New Roman" w:eastAsia="Calibri" w:hAnsi="Times New Roman" w:cs="Times New Roman" w:hint="default"/>
        </w:rPr>
        <w:t>ia efektivita vý</w:t>
      </w:r>
      <w:r w:rsidRPr="00712D70">
        <w:rPr>
          <w:rFonts w:ascii="Times New Roman" w:eastAsia="Calibri" w:hAnsi="Times New Roman" w:cs="Times New Roman" w:hint="default"/>
        </w:rPr>
        <w:t>beru.</w:t>
      </w:r>
    </w:p>
    <w:p w:rsidR="00712D70" w:rsidRPr="00712D70" w:rsidP="00712D70">
      <w:pPr>
        <w:bidi w:val="0"/>
        <w:spacing w:after="120" w:line="336" w:lineRule="auto"/>
        <w:jc w:val="both"/>
        <w:rPr>
          <w:rFonts w:ascii="Times New Roman" w:eastAsia="Calibri" w:hAnsi="Times New Roman" w:cs="Times New Roman" w:hint="default"/>
        </w:rPr>
      </w:pPr>
      <w:r w:rsidRPr="00712D70">
        <w:rPr>
          <w:rFonts w:ascii="Times New Roman" w:eastAsia="Calibri" w:hAnsi="Times New Roman" w:cs="Times New Roman" w:hint="default"/>
        </w:rPr>
        <w:t>V </w:t>
      </w:r>
      <w:r w:rsidRPr="00712D70">
        <w:rPr>
          <w:rFonts w:ascii="Times New Roman" w:eastAsia="Calibri" w:hAnsi="Times New Roman" w:cs="Times New Roman" w:hint="default"/>
        </w:rPr>
        <w:t>rá</w:t>
      </w:r>
      <w:r w:rsidRPr="00712D70">
        <w:rPr>
          <w:rFonts w:ascii="Times New Roman" w:eastAsia="Calibri" w:hAnsi="Times New Roman" w:cs="Times New Roman" w:hint="default"/>
        </w:rPr>
        <w:t>mci nedaň</w:t>
      </w:r>
      <w:r w:rsidRPr="00712D70">
        <w:rPr>
          <w:rFonts w:ascii="Times New Roman" w:eastAsia="Calibri" w:hAnsi="Times New Roman" w:cs="Times New Roman" w:hint="default"/>
        </w:rPr>
        <w:t>ový</w:t>
      </w:r>
      <w:r w:rsidRPr="00712D70">
        <w:rPr>
          <w:rFonts w:ascii="Times New Roman" w:eastAsia="Calibri" w:hAnsi="Times New Roman" w:cs="Times New Roman" w:hint="default"/>
        </w:rPr>
        <w:t>ch prí</w:t>
      </w:r>
      <w:r w:rsidRPr="00712D70">
        <w:rPr>
          <w:rFonts w:ascii="Times New Roman" w:eastAsia="Calibri" w:hAnsi="Times New Roman" w:cs="Times New Roman" w:hint="default"/>
        </w:rPr>
        <w:t>jmov kleso</w:t>
      </w:r>
      <w:r w:rsidRPr="00712D70">
        <w:rPr>
          <w:rFonts w:ascii="Times New Roman" w:eastAsia="Calibri" w:hAnsi="Times New Roman" w:cs="Times New Roman" w:hint="default"/>
        </w:rPr>
        <w:t>l v </w:t>
      </w:r>
      <w:r w:rsidRPr="00712D70">
        <w:rPr>
          <w:rFonts w:ascii="Times New Roman" w:eastAsia="Calibri" w:hAnsi="Times New Roman" w:cs="Times New Roman" w:hint="default"/>
        </w:rPr>
        <w:t>roku 2014 vý</w:t>
      </w:r>
      <w:r w:rsidRPr="00712D70">
        <w:rPr>
          <w:rFonts w:ascii="Times New Roman" w:eastAsia="Calibri" w:hAnsi="Times New Roman" w:cs="Times New Roman" w:hint="default"/>
        </w:rPr>
        <w:t>nos z </w:t>
      </w:r>
      <w:r w:rsidRPr="00712D70">
        <w:rPr>
          <w:rFonts w:ascii="Times New Roman" w:eastAsia="Calibri" w:hAnsi="Times New Roman" w:cs="Times New Roman" w:hint="default"/>
          <w:b/>
        </w:rPr>
        <w:t>trž</w:t>
      </w:r>
      <w:r w:rsidRPr="00712D70">
        <w:rPr>
          <w:rFonts w:ascii="Times New Roman" w:eastAsia="Calibri" w:hAnsi="Times New Roman" w:cs="Times New Roman" w:hint="default"/>
          <w:b/>
        </w:rPr>
        <w:t>ieb</w:t>
      </w:r>
      <w:r w:rsidRPr="00712D70">
        <w:rPr>
          <w:rFonts w:ascii="Times New Roman" w:eastAsia="Calibri" w:hAnsi="Times New Roman" w:cs="Times New Roman"/>
        </w:rPr>
        <w:t xml:space="preserve"> o 1,9 %. V </w:t>
      </w:r>
      <w:r w:rsidRPr="00712D70">
        <w:rPr>
          <w:rFonts w:ascii="Times New Roman" w:eastAsia="Calibri" w:hAnsi="Times New Roman" w:cs="Times New Roman" w:hint="default"/>
        </w:rPr>
        <w:t>uplynulý</w:t>
      </w:r>
      <w:r w:rsidRPr="00712D70">
        <w:rPr>
          <w:rFonts w:ascii="Times New Roman" w:eastAsia="Calibri" w:hAnsi="Times New Roman" w:cs="Times New Roman" w:hint="default"/>
        </w:rPr>
        <w:t>ch dvoch rokoch mala zá</w:t>
      </w:r>
      <w:r w:rsidRPr="00712D70">
        <w:rPr>
          <w:rFonts w:ascii="Times New Roman" w:eastAsia="Calibri" w:hAnsi="Times New Roman" w:cs="Times New Roman" w:hint="default"/>
        </w:rPr>
        <w:t>sadný</w:t>
      </w:r>
      <w:r w:rsidRPr="00712D70">
        <w:rPr>
          <w:rFonts w:ascii="Times New Roman" w:eastAsia="Calibri" w:hAnsi="Times New Roman" w:cs="Times New Roman" w:hint="default"/>
        </w:rPr>
        <w:t xml:space="preserve"> vplyv na tú</w:t>
      </w:r>
      <w:r w:rsidRPr="00712D70">
        <w:rPr>
          <w:rFonts w:ascii="Times New Roman" w:eastAsia="Calibri" w:hAnsi="Times New Roman" w:cs="Times New Roman" w:hint="default"/>
        </w:rPr>
        <w:t>to polož</w:t>
      </w:r>
      <w:r w:rsidRPr="00712D70">
        <w:rPr>
          <w:rFonts w:ascii="Times New Roman" w:eastAsia="Calibri" w:hAnsi="Times New Roman" w:cs="Times New Roman" w:hint="default"/>
        </w:rPr>
        <w:t>ku implementá</w:t>
      </w:r>
      <w:r w:rsidRPr="00712D70">
        <w:rPr>
          <w:rFonts w:ascii="Times New Roman" w:eastAsia="Calibri" w:hAnsi="Times New Roman" w:cs="Times New Roman" w:hint="default"/>
        </w:rPr>
        <w:t>cia novej metodiky ESA </w:t>
      </w:r>
      <w:r w:rsidRPr="00712D70">
        <w:rPr>
          <w:rFonts w:ascii="Times New Roman" w:eastAsia="Calibri" w:hAnsi="Times New Roman" w:cs="Times New Roman" w:hint="default"/>
        </w:rPr>
        <w:t>2010. Do sektora verejnej sprá</w:t>
      </w:r>
      <w:r w:rsidRPr="00712D70">
        <w:rPr>
          <w:rFonts w:ascii="Times New Roman" w:eastAsia="Calibri" w:hAnsi="Times New Roman" w:cs="Times New Roman" w:hint="default"/>
        </w:rPr>
        <w:t>vy boli preradené</w:t>
      </w:r>
      <w:r w:rsidRPr="00712D70">
        <w:rPr>
          <w:rFonts w:ascii="Times New Roman" w:eastAsia="Calibri" w:hAnsi="Times New Roman" w:cs="Times New Roman" w:hint="default"/>
        </w:rPr>
        <w:t xml:space="preserve"> pô</w:t>
      </w:r>
      <w:r w:rsidRPr="00712D70">
        <w:rPr>
          <w:rFonts w:ascii="Times New Roman" w:eastAsia="Calibri" w:hAnsi="Times New Roman" w:cs="Times New Roman" w:hint="default"/>
        </w:rPr>
        <w:t>vodne nefinanč</w:t>
      </w:r>
      <w:r w:rsidRPr="00712D70">
        <w:rPr>
          <w:rFonts w:ascii="Times New Roman" w:eastAsia="Calibri" w:hAnsi="Times New Roman" w:cs="Times New Roman" w:hint="default"/>
        </w:rPr>
        <w:t>né</w:t>
      </w:r>
      <w:r w:rsidRPr="00712D70">
        <w:rPr>
          <w:rFonts w:ascii="Times New Roman" w:eastAsia="Calibri" w:hAnsi="Times New Roman" w:cs="Times New Roman" w:hint="default"/>
        </w:rPr>
        <w:t xml:space="preserve"> a </w:t>
      </w:r>
      <w:r w:rsidRPr="00712D70">
        <w:rPr>
          <w:rFonts w:ascii="Times New Roman" w:eastAsia="Calibri" w:hAnsi="Times New Roman" w:cs="Times New Roman" w:hint="default"/>
        </w:rPr>
        <w:t>finanč</w:t>
      </w:r>
      <w:r w:rsidRPr="00712D70">
        <w:rPr>
          <w:rFonts w:ascii="Times New Roman" w:eastAsia="Calibri" w:hAnsi="Times New Roman" w:cs="Times New Roman" w:hint="default"/>
        </w:rPr>
        <w:t>né</w:t>
      </w:r>
      <w:r w:rsidRPr="00712D70">
        <w:rPr>
          <w:rFonts w:ascii="Times New Roman" w:eastAsia="Calibri" w:hAnsi="Times New Roman" w:cs="Times New Roman" w:hint="default"/>
        </w:rPr>
        <w:t xml:space="preserve"> korporá</w:t>
      </w:r>
      <w:r w:rsidRPr="00712D70">
        <w:rPr>
          <w:rFonts w:ascii="Times New Roman" w:eastAsia="Calibri" w:hAnsi="Times New Roman" w:cs="Times New Roman" w:hint="default"/>
        </w:rPr>
        <w:t>cie (napr. v </w:t>
      </w:r>
      <w:r w:rsidRPr="00712D70">
        <w:rPr>
          <w:rFonts w:ascii="Times New Roman" w:eastAsia="Calibri" w:hAnsi="Times New Roman" w:cs="Times New Roman" w:hint="default"/>
        </w:rPr>
        <w:t>roku 2013 Ná</w:t>
      </w:r>
      <w:r w:rsidRPr="00712D70">
        <w:rPr>
          <w:rFonts w:ascii="Times New Roman" w:eastAsia="Calibri" w:hAnsi="Times New Roman" w:cs="Times New Roman" w:hint="default"/>
        </w:rPr>
        <w:t>rodná</w:t>
      </w:r>
      <w:r w:rsidRPr="00712D70">
        <w:rPr>
          <w:rFonts w:ascii="Times New Roman" w:eastAsia="Calibri" w:hAnsi="Times New Roman" w:cs="Times New Roman" w:hint="default"/>
        </w:rPr>
        <w:t xml:space="preserve"> diaľ</w:t>
      </w:r>
      <w:r w:rsidRPr="00712D70">
        <w:rPr>
          <w:rFonts w:ascii="Times New Roman" w:eastAsia="Calibri" w:hAnsi="Times New Roman" w:cs="Times New Roman" w:hint="default"/>
        </w:rPr>
        <w:t>nič</w:t>
      </w:r>
      <w:r w:rsidRPr="00712D70">
        <w:rPr>
          <w:rFonts w:ascii="Times New Roman" w:eastAsia="Calibri" w:hAnsi="Times New Roman" w:cs="Times New Roman" w:hint="default"/>
        </w:rPr>
        <w:t>n</w:t>
      </w:r>
      <w:r w:rsidRPr="00712D70">
        <w:rPr>
          <w:rFonts w:ascii="Times New Roman" w:eastAsia="Calibri" w:hAnsi="Times New Roman" w:cs="Times New Roman" w:hint="default"/>
        </w:rPr>
        <w:t>á</w:t>
      </w:r>
      <w:r w:rsidRPr="00712D70">
        <w:rPr>
          <w:rFonts w:ascii="Times New Roman" w:eastAsia="Calibri" w:hAnsi="Times New Roman" w:cs="Times New Roman" w:hint="default"/>
        </w:rPr>
        <w:t xml:space="preserve"> spoloč</w:t>
      </w:r>
      <w:r w:rsidRPr="00712D70">
        <w:rPr>
          <w:rFonts w:ascii="Times New Roman" w:eastAsia="Calibri" w:hAnsi="Times New Roman" w:cs="Times New Roman" w:hint="default"/>
        </w:rPr>
        <w:t>nosť</w:t>
      </w:r>
      <w:r w:rsidRPr="00712D70">
        <w:rPr>
          <w:rFonts w:ascii="Times New Roman" w:eastAsia="Calibri" w:hAnsi="Times New Roman" w:cs="Times New Roman" w:hint="default"/>
        </w:rPr>
        <w:t>, a.s., Eximbanka a v </w:t>
      </w:r>
      <w:r w:rsidRPr="00712D70">
        <w:rPr>
          <w:rFonts w:ascii="Times New Roman" w:eastAsia="Calibri" w:hAnsi="Times New Roman" w:cs="Times New Roman" w:hint="default"/>
        </w:rPr>
        <w:t>roku 2014 dopravné</w:t>
      </w:r>
      <w:r w:rsidRPr="00712D70">
        <w:rPr>
          <w:rFonts w:ascii="Times New Roman" w:eastAsia="Calibri" w:hAnsi="Times New Roman" w:cs="Times New Roman" w:hint="default"/>
        </w:rPr>
        <w:t xml:space="preserve"> podniky Bratislavy, Koší</w:t>
      </w:r>
      <w:r w:rsidRPr="00712D70">
        <w:rPr>
          <w:rFonts w:ascii="Times New Roman" w:eastAsia="Calibri" w:hAnsi="Times New Roman" w:cs="Times New Roman" w:hint="default"/>
        </w:rPr>
        <w:t>c a Ž</w:t>
      </w:r>
      <w:r w:rsidRPr="00712D70">
        <w:rPr>
          <w:rFonts w:ascii="Times New Roman" w:eastAsia="Calibri" w:hAnsi="Times New Roman" w:cs="Times New Roman" w:hint="default"/>
        </w:rPr>
        <w:t>iliny). Hlavný</w:t>
      </w:r>
      <w:r w:rsidRPr="00712D70">
        <w:rPr>
          <w:rFonts w:ascii="Times New Roman" w:eastAsia="Calibri" w:hAnsi="Times New Roman" w:cs="Times New Roman" w:hint="default"/>
        </w:rPr>
        <w:t>m zdrojom prí</w:t>
      </w:r>
      <w:r w:rsidRPr="00712D70">
        <w:rPr>
          <w:rFonts w:ascii="Times New Roman" w:eastAsia="Calibri" w:hAnsi="Times New Roman" w:cs="Times New Roman" w:hint="default"/>
        </w:rPr>
        <w:t>jmov tý</w:t>
      </w:r>
      <w:r w:rsidRPr="00712D70">
        <w:rPr>
          <w:rFonts w:ascii="Times New Roman" w:eastAsia="Calibri" w:hAnsi="Times New Roman" w:cs="Times New Roman" w:hint="default"/>
        </w:rPr>
        <w:t>chto úč</w:t>
      </w:r>
      <w:r w:rsidRPr="00712D70">
        <w:rPr>
          <w:rFonts w:ascii="Times New Roman" w:eastAsia="Calibri" w:hAnsi="Times New Roman" w:cs="Times New Roman" w:hint="default"/>
        </w:rPr>
        <w:t>tovný</w:t>
      </w:r>
      <w:r w:rsidRPr="00712D70">
        <w:rPr>
          <w:rFonts w:ascii="Times New Roman" w:eastAsia="Calibri" w:hAnsi="Times New Roman" w:cs="Times New Roman" w:hint="default"/>
        </w:rPr>
        <w:t>ch jednotiek sú</w:t>
      </w:r>
      <w:r w:rsidRPr="00712D70">
        <w:rPr>
          <w:rFonts w:ascii="Times New Roman" w:eastAsia="Calibri" w:hAnsi="Times New Roman" w:cs="Times New Roman" w:hint="default"/>
        </w:rPr>
        <w:t xml:space="preserve"> trž</w:t>
      </w:r>
      <w:r w:rsidRPr="00712D70">
        <w:rPr>
          <w:rFonts w:ascii="Times New Roman" w:eastAsia="Calibri" w:hAnsi="Times New Roman" w:cs="Times New Roman" w:hint="default"/>
        </w:rPr>
        <w:t>by.</w:t>
      </w:r>
    </w:p>
    <w:p w:rsidR="00712D70" w:rsidRPr="00712D70" w:rsidP="00712D70">
      <w:pPr>
        <w:bidi w:val="0"/>
        <w:spacing w:after="120" w:line="336" w:lineRule="auto"/>
        <w:jc w:val="both"/>
        <w:rPr>
          <w:rFonts w:ascii="Times New Roman" w:eastAsia="Calibri" w:hAnsi="Times New Roman" w:cs="Times New Roman" w:hint="default"/>
        </w:rPr>
      </w:pPr>
      <w:r w:rsidRPr="00712D70">
        <w:rPr>
          <w:rFonts w:ascii="Times New Roman" w:eastAsia="Calibri" w:hAnsi="Times New Roman" w:cs="Times New Roman"/>
          <w:b/>
        </w:rPr>
        <w:t>Dividendy a odvody zo zisku</w:t>
      </w:r>
      <w:r w:rsidRPr="00712D70">
        <w:rPr>
          <w:rFonts w:ascii="Times New Roman" w:eastAsia="Calibri" w:hAnsi="Times New Roman" w:cs="Times New Roman"/>
        </w:rPr>
        <w:t xml:space="preserve"> zaznamenali v </w:t>
      </w:r>
      <w:r w:rsidRPr="00712D70">
        <w:rPr>
          <w:rFonts w:ascii="Times New Roman" w:eastAsia="Calibri" w:hAnsi="Times New Roman" w:cs="Times New Roman" w:hint="default"/>
        </w:rPr>
        <w:t>roku 2014 vý</w:t>
      </w:r>
      <w:r w:rsidRPr="00712D70">
        <w:rPr>
          <w:rFonts w:ascii="Times New Roman" w:eastAsia="Calibri" w:hAnsi="Times New Roman" w:cs="Times New Roman" w:hint="default"/>
        </w:rPr>
        <w:t>razný</w:t>
      </w:r>
      <w:r w:rsidRPr="00712D70">
        <w:rPr>
          <w:rFonts w:ascii="Times New Roman" w:eastAsia="Calibri" w:hAnsi="Times New Roman" w:cs="Times New Roman" w:hint="default"/>
        </w:rPr>
        <w:t xml:space="preserve"> pokles o 13,7 %. Pod pokles sa v </w:t>
      </w:r>
      <w:r w:rsidRPr="00712D70">
        <w:rPr>
          <w:rFonts w:ascii="Times New Roman" w:eastAsia="Calibri" w:hAnsi="Times New Roman" w:cs="Times New Roman" w:hint="default"/>
        </w:rPr>
        <w:t>najväčš</w:t>
      </w:r>
      <w:r w:rsidRPr="00712D70">
        <w:rPr>
          <w:rFonts w:ascii="Times New Roman" w:eastAsia="Calibri" w:hAnsi="Times New Roman" w:cs="Times New Roman" w:hint="default"/>
        </w:rPr>
        <w:t>ej mi</w:t>
      </w:r>
      <w:r w:rsidRPr="00712D70">
        <w:rPr>
          <w:rFonts w:ascii="Times New Roman" w:eastAsia="Calibri" w:hAnsi="Times New Roman" w:cs="Times New Roman" w:hint="default"/>
        </w:rPr>
        <w:t>ere podpí</w:t>
      </w:r>
      <w:r w:rsidRPr="00712D70">
        <w:rPr>
          <w:rFonts w:ascii="Times New Roman" w:eastAsia="Calibri" w:hAnsi="Times New Roman" w:cs="Times New Roman" w:hint="default"/>
        </w:rPr>
        <w:t>sali dividendy od Slovenské</w:t>
      </w:r>
      <w:r w:rsidRPr="00712D70">
        <w:rPr>
          <w:rFonts w:ascii="Times New Roman" w:eastAsia="Calibri" w:hAnsi="Times New Roman" w:cs="Times New Roman" w:hint="default"/>
        </w:rPr>
        <w:t>ho plyná</w:t>
      </w:r>
      <w:r w:rsidRPr="00712D70">
        <w:rPr>
          <w:rFonts w:ascii="Times New Roman" w:eastAsia="Calibri" w:hAnsi="Times New Roman" w:cs="Times New Roman" w:hint="default"/>
        </w:rPr>
        <w:t>renské</w:t>
      </w:r>
      <w:r w:rsidRPr="00712D70">
        <w:rPr>
          <w:rFonts w:ascii="Times New Roman" w:eastAsia="Calibri" w:hAnsi="Times New Roman" w:cs="Times New Roman" w:hint="default"/>
        </w:rPr>
        <w:t>ho priemyslu, a.s., ktorý</w:t>
      </w:r>
      <w:r w:rsidRPr="00712D70">
        <w:rPr>
          <w:rFonts w:ascii="Times New Roman" w:eastAsia="Calibri" w:hAnsi="Times New Roman" w:cs="Times New Roman" w:hint="default"/>
        </w:rPr>
        <w:t xml:space="preserve"> v </w:t>
      </w:r>
      <w:r w:rsidRPr="00712D70">
        <w:rPr>
          <w:rFonts w:ascii="Times New Roman" w:eastAsia="Calibri" w:hAnsi="Times New Roman" w:cs="Times New Roman" w:hint="default"/>
        </w:rPr>
        <w:t>roku 2014 odviedol dividendy vo výš</w:t>
      </w:r>
      <w:r w:rsidRPr="00712D70">
        <w:rPr>
          <w:rFonts w:ascii="Times New Roman" w:eastAsia="Calibri" w:hAnsi="Times New Roman" w:cs="Times New Roman" w:hint="default"/>
        </w:rPr>
        <w:t>ke 125 856 </w:t>
      </w:r>
      <w:r w:rsidRPr="00712D70">
        <w:rPr>
          <w:rFonts w:ascii="Times New Roman" w:eastAsia="Calibri" w:hAnsi="Times New Roman" w:cs="Times New Roman" w:hint="default"/>
        </w:rPr>
        <w:t>tis. eur (medziroč</w:t>
      </w:r>
      <w:r w:rsidRPr="00712D70">
        <w:rPr>
          <w:rFonts w:ascii="Times New Roman" w:eastAsia="Calibri" w:hAnsi="Times New Roman" w:cs="Times New Roman" w:hint="default"/>
        </w:rPr>
        <w:t>ný</w:t>
      </w:r>
      <w:r w:rsidRPr="00712D70">
        <w:rPr>
          <w:rFonts w:ascii="Times New Roman" w:eastAsia="Calibri" w:hAnsi="Times New Roman" w:cs="Times New Roman" w:hint="default"/>
        </w:rPr>
        <w:t xml:space="preserve"> pokles o 32,0 %) a </w:t>
      </w:r>
      <w:r w:rsidRPr="00712D70">
        <w:rPr>
          <w:rFonts w:ascii="Times New Roman" w:eastAsia="Calibri" w:hAnsi="Times New Roman" w:cs="Times New Roman" w:hint="default"/>
        </w:rPr>
        <w:t>dividendy od troch energetický</w:t>
      </w:r>
      <w:r w:rsidRPr="00712D70">
        <w:rPr>
          <w:rFonts w:ascii="Times New Roman" w:eastAsia="Calibri" w:hAnsi="Times New Roman" w:cs="Times New Roman" w:hint="default"/>
        </w:rPr>
        <w:t>ch podnikov vo výš</w:t>
      </w:r>
      <w:r w:rsidRPr="00712D70">
        <w:rPr>
          <w:rFonts w:ascii="Times New Roman" w:eastAsia="Calibri" w:hAnsi="Times New Roman" w:cs="Times New Roman" w:hint="default"/>
        </w:rPr>
        <w:t>ke 60 890 </w:t>
      </w:r>
      <w:r w:rsidRPr="00712D70">
        <w:rPr>
          <w:rFonts w:ascii="Times New Roman" w:eastAsia="Calibri" w:hAnsi="Times New Roman" w:cs="Times New Roman" w:hint="default"/>
        </w:rPr>
        <w:t>tis. eur (medziroč</w:t>
      </w:r>
      <w:r w:rsidRPr="00712D70">
        <w:rPr>
          <w:rFonts w:ascii="Times New Roman" w:eastAsia="Calibri" w:hAnsi="Times New Roman" w:cs="Times New Roman" w:hint="default"/>
        </w:rPr>
        <w:t>ný</w:t>
      </w:r>
      <w:r w:rsidRPr="00712D70">
        <w:rPr>
          <w:rFonts w:ascii="Times New Roman" w:eastAsia="Calibri" w:hAnsi="Times New Roman" w:cs="Times New Roman" w:hint="default"/>
        </w:rPr>
        <w:t xml:space="preserve"> pokles o 52,</w:t>
      </w:r>
      <w:r w:rsidRPr="00712D70">
        <w:rPr>
          <w:rFonts w:ascii="Times New Roman" w:eastAsia="Calibri" w:hAnsi="Times New Roman" w:cs="Times New Roman" w:hint="default"/>
        </w:rPr>
        <w:t>5 </w:t>
      </w:r>
      <w:r w:rsidRPr="00712D70">
        <w:rPr>
          <w:rFonts w:ascii="Times New Roman" w:eastAsia="Calibri" w:hAnsi="Times New Roman" w:cs="Times New Roman" w:hint="default"/>
        </w:rPr>
        <w:t>%).</w:t>
      </w:r>
    </w:p>
    <w:p w:rsidR="00712D70" w:rsidRPr="00712D70" w:rsidP="001767F0">
      <w:pPr>
        <w:pStyle w:val="Heading3"/>
        <w:bidi w:val="0"/>
        <w:spacing w:before="120"/>
        <w:ind w:left="1077"/>
        <w:rPr>
          <w:rFonts w:hint="default"/>
        </w:rPr>
      </w:pPr>
      <w:bookmarkStart w:id="53" w:name="_Toc401920019"/>
      <w:bookmarkStart w:id="54" w:name="_Toc433099565"/>
      <w:r w:rsidRPr="00712D70">
        <w:rPr>
          <w:rFonts w:hint="default"/>
        </w:rPr>
        <w:t>Vý</w:t>
      </w:r>
      <w:r w:rsidRPr="00712D70">
        <w:rPr>
          <w:rFonts w:hint="default"/>
        </w:rPr>
        <w:t>davky verejnej sprá</w:t>
      </w:r>
      <w:r w:rsidRPr="00712D70">
        <w:rPr>
          <w:rFonts w:hint="default"/>
        </w:rPr>
        <w:t>vy</w:t>
      </w:r>
      <w:bookmarkEnd w:id="48"/>
      <w:bookmarkEnd w:id="53"/>
      <w:bookmarkEnd w:id="54"/>
    </w:p>
    <w:p w:rsidR="00712D70" w:rsidRPr="00712D70" w:rsidP="00712D70">
      <w:pPr>
        <w:bidi w:val="0"/>
        <w:spacing w:after="120" w:line="336" w:lineRule="auto"/>
        <w:jc w:val="both"/>
        <w:rPr>
          <w:rFonts w:ascii="Times New Roman" w:hAnsi="Times New Roman" w:cs="Times New Roman"/>
        </w:rPr>
      </w:pPr>
      <w:r w:rsidRPr="00712D70">
        <w:rPr>
          <w:rFonts w:ascii="Times New Roman" w:hAnsi="Times New Roman" w:cs="Times New Roman"/>
          <w:b/>
        </w:rPr>
        <w:t xml:space="preserve">Celkové výdavky </w:t>
      </w:r>
      <w:r w:rsidRPr="00712D70">
        <w:rPr>
          <w:rFonts w:ascii="Times New Roman" w:hAnsi="Times New Roman" w:cs="Times New Roman"/>
        </w:rPr>
        <w:t xml:space="preserve">verejnej správy v roku 2014 v metodike ESA 2010 dosiahli </w:t>
      </w:r>
      <w:r w:rsidRPr="00712D70">
        <w:rPr>
          <w:rFonts w:ascii="Times New Roman" w:hAnsi="Times New Roman"/>
        </w:rPr>
        <w:t>31 461 528 tis. eur (41,6 % HDP)</w:t>
      </w:r>
      <w:r w:rsidRPr="00712D70">
        <w:rPr>
          <w:rFonts w:ascii="Times New Roman" w:hAnsi="Times New Roman" w:cs="Times New Roman"/>
        </w:rPr>
        <w:t>, medziročne sa celkové výdavky zvýšili o 3,9 %.</w:t>
      </w:r>
    </w:p>
    <w:p w:rsidR="00712D70" w:rsidRPr="00712D70" w:rsidP="00712D70">
      <w:pPr>
        <w:bidi w:val="0"/>
        <w:spacing w:after="120" w:line="336" w:lineRule="auto"/>
        <w:jc w:val="both"/>
        <w:rPr>
          <w:rFonts w:ascii="Times New Roman" w:eastAsia="Calibri" w:hAnsi="Times New Roman" w:cs="Times New Roman" w:hint="default"/>
        </w:rPr>
      </w:pPr>
      <w:r w:rsidRPr="00712D70">
        <w:rPr>
          <w:rFonts w:ascii="Times New Roman" w:eastAsia="Calibri" w:hAnsi="Times New Roman" w:cs="Times New Roman" w:hint="default"/>
          <w:b/>
        </w:rPr>
        <w:t>Kompenzá</w:t>
      </w:r>
      <w:r w:rsidRPr="00712D70">
        <w:rPr>
          <w:rFonts w:ascii="Times New Roman" w:eastAsia="Calibri" w:hAnsi="Times New Roman" w:cs="Times New Roman" w:hint="default"/>
          <w:b/>
        </w:rPr>
        <w:t>cie zamestnancov</w:t>
      </w:r>
      <w:r w:rsidRPr="00712D70">
        <w:rPr>
          <w:rFonts w:ascii="Times New Roman" w:eastAsia="Calibri" w:hAnsi="Times New Roman" w:cs="Times New Roman" w:hint="default"/>
        </w:rPr>
        <w:t xml:space="preserve"> vzrá</w:t>
      </w:r>
      <w:r w:rsidRPr="00712D70">
        <w:rPr>
          <w:rFonts w:ascii="Times New Roman" w:eastAsia="Calibri" w:hAnsi="Times New Roman" w:cs="Times New Roman" w:hint="default"/>
        </w:rPr>
        <w:t>stli v roku 2014 o 5,4 </w:t>
      </w:r>
      <w:r w:rsidRPr="00712D70">
        <w:rPr>
          <w:rFonts w:ascii="Times New Roman" w:eastAsia="Calibri" w:hAnsi="Times New Roman" w:cs="Times New Roman" w:hint="default"/>
        </w:rPr>
        <w:t>%. Na medziroč</w:t>
      </w:r>
      <w:r w:rsidRPr="00712D70">
        <w:rPr>
          <w:rFonts w:ascii="Times New Roman" w:eastAsia="Calibri" w:hAnsi="Times New Roman" w:cs="Times New Roman" w:hint="default"/>
        </w:rPr>
        <w:t>ný</w:t>
      </w:r>
      <w:r w:rsidRPr="00712D70">
        <w:rPr>
          <w:rFonts w:ascii="Times New Roman" w:eastAsia="Calibri" w:hAnsi="Times New Roman" w:cs="Times New Roman" w:hint="default"/>
        </w:rPr>
        <w:t xml:space="preserve"> rast</w:t>
      </w:r>
      <w:r w:rsidRPr="00712D70">
        <w:rPr>
          <w:rFonts w:ascii="Times New Roman" w:eastAsia="Calibri" w:hAnsi="Times New Roman" w:cs="Times New Roman" w:hint="default"/>
        </w:rPr>
        <w:t xml:space="preserve"> vplý</w:t>
      </w:r>
      <w:r w:rsidRPr="00712D70">
        <w:rPr>
          <w:rFonts w:ascii="Times New Roman" w:eastAsia="Calibri" w:hAnsi="Times New Roman" w:cs="Times New Roman" w:hint="default"/>
        </w:rPr>
        <w:t>valo zvýš</w:t>
      </w:r>
      <w:r w:rsidRPr="00712D70">
        <w:rPr>
          <w:rFonts w:ascii="Times New Roman" w:eastAsia="Calibri" w:hAnsi="Times New Roman" w:cs="Times New Roman" w:hint="default"/>
        </w:rPr>
        <w:t>enie platov š</w:t>
      </w:r>
      <w:r w:rsidRPr="00712D70">
        <w:rPr>
          <w:rFonts w:ascii="Times New Roman" w:eastAsia="Calibri" w:hAnsi="Times New Roman" w:cs="Times New Roman" w:hint="default"/>
        </w:rPr>
        <w:t>tá</w:t>
      </w:r>
      <w:r w:rsidRPr="00712D70">
        <w:rPr>
          <w:rFonts w:ascii="Times New Roman" w:eastAsia="Calibri" w:hAnsi="Times New Roman" w:cs="Times New Roman" w:hint="default"/>
        </w:rPr>
        <w:t>tnych zamestnancov a </w:t>
      </w:r>
      <w:r w:rsidRPr="00712D70">
        <w:rPr>
          <w:rFonts w:ascii="Times New Roman" w:eastAsia="Calibri" w:hAnsi="Times New Roman" w:cs="Times New Roman" w:hint="default"/>
        </w:rPr>
        <w:t>zamestnancov pri vý</w:t>
      </w:r>
      <w:r w:rsidRPr="00712D70">
        <w:rPr>
          <w:rFonts w:ascii="Times New Roman" w:eastAsia="Calibri" w:hAnsi="Times New Roman" w:cs="Times New Roman" w:hint="default"/>
        </w:rPr>
        <w:t>kone prá</w:t>
      </w:r>
      <w:r w:rsidRPr="00712D70">
        <w:rPr>
          <w:rFonts w:ascii="Times New Roman" w:eastAsia="Calibri" w:hAnsi="Times New Roman" w:cs="Times New Roman" w:hint="default"/>
        </w:rPr>
        <w:t>c vo verejnom zá</w:t>
      </w:r>
      <w:r w:rsidRPr="00712D70">
        <w:rPr>
          <w:rFonts w:ascii="Times New Roman" w:eastAsia="Calibri" w:hAnsi="Times New Roman" w:cs="Times New Roman" w:hint="default"/>
        </w:rPr>
        <w:t>ujme s </w:t>
      </w:r>
      <w:r w:rsidRPr="00712D70">
        <w:rPr>
          <w:rFonts w:ascii="Times New Roman" w:eastAsia="Calibri" w:hAnsi="Times New Roman" w:cs="Times New Roman" w:hint="default"/>
        </w:rPr>
        <w:t>vý</w:t>
      </w:r>
      <w:r w:rsidRPr="00712D70">
        <w:rPr>
          <w:rFonts w:ascii="Times New Roman" w:eastAsia="Calibri" w:hAnsi="Times New Roman" w:cs="Times New Roman" w:hint="default"/>
        </w:rPr>
        <w:t>nimkou pedagogický</w:t>
      </w:r>
      <w:r w:rsidRPr="00712D70">
        <w:rPr>
          <w:rFonts w:ascii="Times New Roman" w:eastAsia="Calibri" w:hAnsi="Times New Roman" w:cs="Times New Roman" w:hint="default"/>
        </w:rPr>
        <w:t>ch a </w:t>
      </w:r>
      <w:r w:rsidRPr="00712D70">
        <w:rPr>
          <w:rFonts w:ascii="Times New Roman" w:eastAsia="Calibri" w:hAnsi="Times New Roman" w:cs="Times New Roman" w:hint="default"/>
        </w:rPr>
        <w:t>odborný</w:t>
      </w:r>
      <w:r w:rsidRPr="00712D70">
        <w:rPr>
          <w:rFonts w:ascii="Times New Roman" w:eastAsia="Calibri" w:hAnsi="Times New Roman" w:cs="Times New Roman" w:hint="default"/>
        </w:rPr>
        <w:t>ch zamestnancov o 16 </w:t>
      </w:r>
      <w:r w:rsidRPr="00712D70">
        <w:rPr>
          <w:rFonts w:ascii="Times New Roman" w:eastAsia="Calibri" w:hAnsi="Times New Roman" w:cs="Times New Roman" w:hint="default"/>
        </w:rPr>
        <w:t>eur mesač</w:t>
      </w:r>
      <w:r w:rsidRPr="00712D70">
        <w:rPr>
          <w:rFonts w:ascii="Times New Roman" w:eastAsia="Calibri" w:hAnsi="Times New Roman" w:cs="Times New Roman" w:hint="default"/>
        </w:rPr>
        <w:t>ne a </w:t>
      </w:r>
      <w:r w:rsidRPr="00712D70">
        <w:rPr>
          <w:rFonts w:ascii="Times New Roman" w:eastAsia="Calibri" w:hAnsi="Times New Roman" w:cs="Times New Roman" w:hint="default"/>
        </w:rPr>
        <w:t>zvýš</w:t>
      </w:r>
      <w:r w:rsidRPr="00712D70">
        <w:rPr>
          <w:rFonts w:ascii="Times New Roman" w:eastAsia="Calibri" w:hAnsi="Times New Roman" w:cs="Times New Roman" w:hint="default"/>
        </w:rPr>
        <w:t>enie platový</w:t>
      </w:r>
      <w:r w:rsidRPr="00712D70">
        <w:rPr>
          <w:rFonts w:ascii="Times New Roman" w:eastAsia="Calibri" w:hAnsi="Times New Roman" w:cs="Times New Roman" w:hint="default"/>
        </w:rPr>
        <w:t>ch tarí</w:t>
      </w:r>
      <w:r w:rsidRPr="00712D70">
        <w:rPr>
          <w:rFonts w:ascii="Times New Roman" w:eastAsia="Calibri" w:hAnsi="Times New Roman" w:cs="Times New Roman" w:hint="default"/>
        </w:rPr>
        <w:t>f pedagogický</w:t>
      </w:r>
      <w:r w:rsidRPr="00712D70">
        <w:rPr>
          <w:rFonts w:ascii="Times New Roman" w:eastAsia="Calibri" w:hAnsi="Times New Roman" w:cs="Times New Roman" w:hint="default"/>
        </w:rPr>
        <w:t>ch a </w:t>
      </w:r>
      <w:r w:rsidRPr="00712D70">
        <w:rPr>
          <w:rFonts w:ascii="Times New Roman" w:eastAsia="Calibri" w:hAnsi="Times New Roman" w:cs="Times New Roman" w:hint="default"/>
        </w:rPr>
        <w:t>odborný</w:t>
      </w:r>
      <w:r w:rsidRPr="00712D70">
        <w:rPr>
          <w:rFonts w:ascii="Times New Roman" w:eastAsia="Calibri" w:hAnsi="Times New Roman" w:cs="Times New Roman" w:hint="default"/>
        </w:rPr>
        <w:t xml:space="preserve">ch zamestnancov o 5 %. </w:t>
      </w:r>
    </w:p>
    <w:p w:rsidR="00712D70" w:rsidRPr="00712D70" w:rsidP="00712D70">
      <w:pPr>
        <w:bidi w:val="0"/>
        <w:spacing w:after="120" w:line="336" w:lineRule="auto"/>
        <w:jc w:val="both"/>
        <w:rPr>
          <w:rFonts w:ascii="Times New Roman" w:eastAsia="Calibri" w:hAnsi="Times New Roman" w:cs="Times New Roman" w:hint="default"/>
        </w:rPr>
      </w:pPr>
      <w:r w:rsidRPr="00712D70">
        <w:rPr>
          <w:rFonts w:ascii="Times New Roman" w:eastAsia="Calibri" w:hAnsi="Times New Roman" w:cs="Times New Roman" w:hint="default"/>
        </w:rPr>
        <w:t>Relatí</w:t>
      </w:r>
      <w:r w:rsidRPr="00712D70">
        <w:rPr>
          <w:rFonts w:ascii="Times New Roman" w:eastAsia="Calibri" w:hAnsi="Times New Roman" w:cs="Times New Roman" w:hint="default"/>
        </w:rPr>
        <w:t>vne nižší</w:t>
      </w:r>
      <w:r w:rsidRPr="00712D70">
        <w:rPr>
          <w:rFonts w:ascii="Times New Roman" w:eastAsia="Calibri" w:hAnsi="Times New Roman" w:cs="Times New Roman" w:hint="default"/>
        </w:rPr>
        <w:t xml:space="preserve"> r</w:t>
      </w:r>
      <w:r w:rsidRPr="00712D70">
        <w:rPr>
          <w:rFonts w:ascii="Times New Roman" w:eastAsia="Calibri" w:hAnsi="Times New Roman" w:cs="Times New Roman" w:hint="default"/>
        </w:rPr>
        <w:t xml:space="preserve">ast o 3,4 % zaznamenala </w:t>
      </w:r>
      <w:r w:rsidRPr="00712D70">
        <w:rPr>
          <w:rFonts w:ascii="Times New Roman" w:eastAsia="Calibri" w:hAnsi="Times New Roman" w:cs="Times New Roman"/>
          <w:b/>
        </w:rPr>
        <w:t>medzispotreba</w:t>
      </w:r>
      <w:r w:rsidRPr="00712D70">
        <w:rPr>
          <w:rFonts w:ascii="Times New Roman" w:eastAsia="Calibri" w:hAnsi="Times New Roman" w:cs="Times New Roman"/>
        </w:rPr>
        <w:t xml:space="preserve"> (spotreba tovarov a </w:t>
      </w:r>
      <w:r w:rsidRPr="00712D70">
        <w:rPr>
          <w:rFonts w:ascii="Times New Roman" w:eastAsia="Calibri" w:hAnsi="Times New Roman" w:cs="Times New Roman" w:hint="default"/>
        </w:rPr>
        <w:t>služ</w:t>
      </w:r>
      <w:r w:rsidRPr="00712D70">
        <w:rPr>
          <w:rFonts w:ascii="Times New Roman" w:eastAsia="Calibri" w:hAnsi="Times New Roman" w:cs="Times New Roman" w:hint="default"/>
        </w:rPr>
        <w:t>ieb v </w:t>
      </w:r>
      <w:r w:rsidRPr="00712D70">
        <w:rPr>
          <w:rFonts w:ascii="Times New Roman" w:eastAsia="Calibri" w:hAnsi="Times New Roman" w:cs="Times New Roman" w:hint="default"/>
        </w:rPr>
        <w:t>rá</w:t>
      </w:r>
      <w:r w:rsidRPr="00712D70">
        <w:rPr>
          <w:rFonts w:ascii="Times New Roman" w:eastAsia="Calibri" w:hAnsi="Times New Roman" w:cs="Times New Roman" w:hint="default"/>
        </w:rPr>
        <w:t>mci verejnej sprá</w:t>
      </w:r>
      <w:r w:rsidRPr="00712D70">
        <w:rPr>
          <w:rFonts w:ascii="Times New Roman" w:eastAsia="Calibri" w:hAnsi="Times New Roman" w:cs="Times New Roman" w:hint="default"/>
        </w:rPr>
        <w:t>vy) a </w:t>
      </w:r>
      <w:r w:rsidRPr="00712D70">
        <w:rPr>
          <w:rFonts w:ascii="Times New Roman" w:eastAsia="Calibri" w:hAnsi="Times New Roman" w:cs="Times New Roman" w:hint="default"/>
        </w:rPr>
        <w:t>ku konsolidá</w:t>
      </w:r>
      <w:r w:rsidRPr="00712D70">
        <w:rPr>
          <w:rFonts w:ascii="Times New Roman" w:eastAsia="Calibri" w:hAnsi="Times New Roman" w:cs="Times New Roman" w:hint="default"/>
        </w:rPr>
        <w:t xml:space="preserve">cii najviac prispeli </w:t>
      </w:r>
      <w:r w:rsidRPr="00712D70">
        <w:rPr>
          <w:rFonts w:ascii="Times New Roman" w:eastAsia="Calibri" w:hAnsi="Times New Roman" w:cs="Times New Roman"/>
          <w:b/>
        </w:rPr>
        <w:t>subvencie</w:t>
      </w:r>
      <w:r w:rsidRPr="00712D70">
        <w:rPr>
          <w:rFonts w:ascii="Times New Roman" w:eastAsia="Calibri" w:hAnsi="Times New Roman" w:cs="Times New Roman"/>
        </w:rPr>
        <w:t xml:space="preserve"> s </w:t>
      </w:r>
      <w:r w:rsidRPr="00712D70">
        <w:rPr>
          <w:rFonts w:ascii="Times New Roman" w:eastAsia="Calibri" w:hAnsi="Times New Roman" w:cs="Times New Roman" w:hint="default"/>
        </w:rPr>
        <w:t>medziroč</w:t>
      </w:r>
      <w:r w:rsidRPr="00712D70">
        <w:rPr>
          <w:rFonts w:ascii="Times New Roman" w:eastAsia="Calibri" w:hAnsi="Times New Roman" w:cs="Times New Roman" w:hint="default"/>
        </w:rPr>
        <w:t>ný</w:t>
      </w:r>
      <w:r w:rsidRPr="00712D70">
        <w:rPr>
          <w:rFonts w:ascii="Times New Roman" w:eastAsia="Calibri" w:hAnsi="Times New Roman" w:cs="Times New Roman" w:hint="default"/>
        </w:rPr>
        <w:t>m poklesom o 7,0 </w:t>
      </w:r>
      <w:r w:rsidRPr="00712D70">
        <w:rPr>
          <w:rFonts w:ascii="Times New Roman" w:eastAsia="Calibri" w:hAnsi="Times New Roman" w:cs="Times New Roman" w:hint="default"/>
        </w:rPr>
        <w:t>% najmä</w:t>
      </w:r>
      <w:r w:rsidRPr="00712D70">
        <w:rPr>
          <w:rFonts w:ascii="Times New Roman" w:eastAsia="Calibri" w:hAnsi="Times New Roman" w:cs="Times New Roman" w:hint="default"/>
        </w:rPr>
        <w:t xml:space="preserve"> kvô</w:t>
      </w:r>
      <w:r w:rsidRPr="00712D70">
        <w:rPr>
          <w:rFonts w:ascii="Times New Roman" w:eastAsia="Calibri" w:hAnsi="Times New Roman" w:cs="Times New Roman" w:hint="default"/>
        </w:rPr>
        <w:t>li poklesu dotá</w:t>
      </w:r>
      <w:r w:rsidRPr="00712D70">
        <w:rPr>
          <w:rFonts w:ascii="Times New Roman" w:eastAsia="Calibri" w:hAnsi="Times New Roman" w:cs="Times New Roman" w:hint="default"/>
        </w:rPr>
        <w:t>cií</w:t>
      </w:r>
      <w:r w:rsidRPr="00712D70">
        <w:rPr>
          <w:rFonts w:ascii="Times New Roman" w:eastAsia="Calibri" w:hAnsi="Times New Roman" w:cs="Times New Roman" w:hint="default"/>
        </w:rPr>
        <w:t xml:space="preserve"> do poľ</w:t>
      </w:r>
      <w:r w:rsidRPr="00712D70">
        <w:rPr>
          <w:rFonts w:ascii="Times New Roman" w:eastAsia="Calibri" w:hAnsi="Times New Roman" w:cs="Times New Roman" w:hint="default"/>
        </w:rPr>
        <w:t>nohospodá</w:t>
      </w:r>
      <w:r w:rsidRPr="00712D70">
        <w:rPr>
          <w:rFonts w:ascii="Times New Roman" w:eastAsia="Calibri" w:hAnsi="Times New Roman" w:cs="Times New Roman" w:hint="default"/>
        </w:rPr>
        <w:t>rstva a cestnej dopravy.</w:t>
      </w:r>
    </w:p>
    <w:p w:rsidR="00712D70" w:rsidRPr="00712D70" w:rsidP="00712D70">
      <w:pPr>
        <w:bidi w:val="0"/>
        <w:spacing w:after="120" w:line="336" w:lineRule="auto"/>
        <w:jc w:val="both"/>
        <w:rPr>
          <w:rFonts w:ascii="Times New Roman" w:eastAsia="Calibri" w:hAnsi="Times New Roman" w:cs="Times New Roman" w:hint="default"/>
        </w:rPr>
      </w:pPr>
      <w:r w:rsidRPr="00712D70">
        <w:rPr>
          <w:rFonts w:ascii="Times New Roman" w:eastAsia="Calibri" w:hAnsi="Times New Roman" w:cs="Times New Roman" w:hint="default"/>
          <w:b/>
        </w:rPr>
        <w:t>Sociá</w:t>
      </w:r>
      <w:r w:rsidRPr="00712D70">
        <w:rPr>
          <w:rFonts w:ascii="Times New Roman" w:eastAsia="Calibri" w:hAnsi="Times New Roman" w:cs="Times New Roman" w:hint="default"/>
          <w:b/>
        </w:rPr>
        <w:t>lne transfery</w:t>
      </w:r>
      <w:r w:rsidRPr="00712D70">
        <w:rPr>
          <w:rFonts w:ascii="Times New Roman" w:eastAsia="Calibri" w:hAnsi="Times New Roman" w:cs="Times New Roman"/>
        </w:rPr>
        <w:t xml:space="preserve"> ob</w:t>
      </w:r>
      <w:r w:rsidRPr="00712D70">
        <w:rPr>
          <w:rFonts w:ascii="Times New Roman" w:eastAsia="Calibri" w:hAnsi="Times New Roman" w:cs="Times New Roman" w:hint="default"/>
        </w:rPr>
        <w:t>yvateľ</w:t>
      </w:r>
      <w:r w:rsidRPr="00712D70">
        <w:rPr>
          <w:rFonts w:ascii="Times New Roman" w:eastAsia="Calibri" w:hAnsi="Times New Roman" w:cs="Times New Roman" w:hint="default"/>
        </w:rPr>
        <w:t>stvu sú</w:t>
      </w:r>
      <w:r w:rsidRPr="00712D70">
        <w:rPr>
          <w:rFonts w:ascii="Times New Roman" w:eastAsia="Calibri" w:hAnsi="Times New Roman" w:cs="Times New Roman" w:hint="default"/>
        </w:rPr>
        <w:t xml:space="preserve"> najvý</w:t>
      </w:r>
      <w:r w:rsidRPr="00712D70">
        <w:rPr>
          <w:rFonts w:ascii="Times New Roman" w:eastAsia="Calibri" w:hAnsi="Times New Roman" w:cs="Times New Roman" w:hint="default"/>
        </w:rPr>
        <w:t>raznejš</w:t>
      </w:r>
      <w:r w:rsidRPr="00712D70">
        <w:rPr>
          <w:rFonts w:ascii="Times New Roman" w:eastAsia="Calibri" w:hAnsi="Times New Roman" w:cs="Times New Roman" w:hint="default"/>
        </w:rPr>
        <w:t>ou polož</w:t>
      </w:r>
      <w:r w:rsidRPr="00712D70">
        <w:rPr>
          <w:rFonts w:ascii="Times New Roman" w:eastAsia="Calibri" w:hAnsi="Times New Roman" w:cs="Times New Roman" w:hint="default"/>
        </w:rPr>
        <w:t>kou rozpoč</w:t>
      </w:r>
      <w:r w:rsidRPr="00712D70">
        <w:rPr>
          <w:rFonts w:ascii="Times New Roman" w:eastAsia="Calibri" w:hAnsi="Times New Roman" w:cs="Times New Roman" w:hint="default"/>
        </w:rPr>
        <w:t>tu verejnej sprá</w:t>
      </w:r>
      <w:r w:rsidRPr="00712D70">
        <w:rPr>
          <w:rFonts w:ascii="Times New Roman" w:eastAsia="Calibri" w:hAnsi="Times New Roman" w:cs="Times New Roman" w:hint="default"/>
        </w:rPr>
        <w:t>vy, v </w:t>
      </w:r>
      <w:r w:rsidRPr="00712D70">
        <w:rPr>
          <w:rFonts w:ascii="Times New Roman" w:eastAsia="Calibri" w:hAnsi="Times New Roman" w:cs="Times New Roman" w:hint="default"/>
        </w:rPr>
        <w:t>roku 2014 mali podiel na celkový</w:t>
      </w:r>
      <w:r w:rsidRPr="00712D70">
        <w:rPr>
          <w:rFonts w:ascii="Times New Roman" w:eastAsia="Calibri" w:hAnsi="Times New Roman" w:cs="Times New Roman" w:hint="default"/>
        </w:rPr>
        <w:t>ch vý</w:t>
      </w:r>
      <w:r w:rsidRPr="00712D70">
        <w:rPr>
          <w:rFonts w:ascii="Times New Roman" w:eastAsia="Calibri" w:hAnsi="Times New Roman" w:cs="Times New Roman" w:hint="default"/>
        </w:rPr>
        <w:t>davkoch 45,6 % a </w:t>
      </w:r>
      <w:r w:rsidRPr="00712D70">
        <w:rPr>
          <w:rFonts w:ascii="Times New Roman" w:eastAsia="Calibri" w:hAnsi="Times New Roman" w:cs="Times New Roman" w:hint="default"/>
        </w:rPr>
        <w:t>oproti predchá</w:t>
      </w:r>
      <w:r w:rsidRPr="00712D70">
        <w:rPr>
          <w:rFonts w:ascii="Times New Roman" w:eastAsia="Calibri" w:hAnsi="Times New Roman" w:cs="Times New Roman" w:hint="default"/>
        </w:rPr>
        <w:t>dzajú</w:t>
      </w:r>
      <w:r w:rsidRPr="00712D70">
        <w:rPr>
          <w:rFonts w:ascii="Times New Roman" w:eastAsia="Calibri" w:hAnsi="Times New Roman" w:cs="Times New Roman" w:hint="default"/>
        </w:rPr>
        <w:t>cemu roku vzrá</w:t>
      </w:r>
      <w:r w:rsidRPr="00712D70">
        <w:rPr>
          <w:rFonts w:ascii="Times New Roman" w:eastAsia="Calibri" w:hAnsi="Times New Roman" w:cs="Times New Roman" w:hint="default"/>
        </w:rPr>
        <w:t>stli o 3,0 </w:t>
      </w:r>
      <w:r w:rsidRPr="00712D70">
        <w:rPr>
          <w:rFonts w:ascii="Times New Roman" w:eastAsia="Calibri" w:hAnsi="Times New Roman" w:cs="Times New Roman" w:hint="default"/>
        </w:rPr>
        <w:t>%. Zlepš</w:t>
      </w:r>
      <w:r w:rsidRPr="00712D70">
        <w:rPr>
          <w:rFonts w:ascii="Times New Roman" w:eastAsia="Calibri" w:hAnsi="Times New Roman" w:cs="Times New Roman" w:hint="default"/>
        </w:rPr>
        <w:t>ený</w:t>
      </w:r>
      <w:r w:rsidRPr="00712D70">
        <w:rPr>
          <w:rFonts w:ascii="Times New Roman" w:eastAsia="Calibri" w:hAnsi="Times New Roman" w:cs="Times New Roman" w:hint="default"/>
        </w:rPr>
        <w:t xml:space="preserve"> ekonomický</w:t>
      </w:r>
      <w:r w:rsidRPr="00712D70">
        <w:rPr>
          <w:rFonts w:ascii="Times New Roman" w:eastAsia="Calibri" w:hAnsi="Times New Roman" w:cs="Times New Roman" w:hint="default"/>
        </w:rPr>
        <w:t xml:space="preserve"> vý</w:t>
      </w:r>
      <w:r w:rsidRPr="00712D70">
        <w:rPr>
          <w:rFonts w:ascii="Times New Roman" w:eastAsia="Calibri" w:hAnsi="Times New Roman" w:cs="Times New Roman" w:hint="default"/>
        </w:rPr>
        <w:t>voj a </w:t>
      </w:r>
      <w:r w:rsidRPr="00712D70">
        <w:rPr>
          <w:rFonts w:ascii="Times New Roman" w:eastAsia="Calibri" w:hAnsi="Times New Roman" w:cs="Times New Roman" w:hint="default"/>
        </w:rPr>
        <w:t>najmä</w:t>
      </w:r>
      <w:r w:rsidRPr="00712D70">
        <w:rPr>
          <w:rFonts w:ascii="Times New Roman" w:eastAsia="Calibri" w:hAnsi="Times New Roman" w:cs="Times New Roman" w:hint="default"/>
        </w:rPr>
        <w:t xml:space="preserve"> ož</w:t>
      </w:r>
      <w:r w:rsidRPr="00712D70">
        <w:rPr>
          <w:rFonts w:ascii="Times New Roman" w:eastAsia="Calibri" w:hAnsi="Times New Roman" w:cs="Times New Roman" w:hint="default"/>
        </w:rPr>
        <w:t>ivenie na trhu prá</w:t>
      </w:r>
      <w:r w:rsidRPr="00712D70">
        <w:rPr>
          <w:rFonts w:ascii="Times New Roman" w:eastAsia="Calibri" w:hAnsi="Times New Roman" w:cs="Times New Roman" w:hint="default"/>
        </w:rPr>
        <w:t>ce sa podpí</w:t>
      </w:r>
      <w:r w:rsidRPr="00712D70">
        <w:rPr>
          <w:rFonts w:ascii="Times New Roman" w:eastAsia="Calibri" w:hAnsi="Times New Roman" w:cs="Times New Roman" w:hint="default"/>
        </w:rPr>
        <w:t>sali pod medziroč</w:t>
      </w:r>
      <w:r w:rsidRPr="00712D70">
        <w:rPr>
          <w:rFonts w:ascii="Times New Roman" w:eastAsia="Calibri" w:hAnsi="Times New Roman" w:cs="Times New Roman" w:hint="default"/>
        </w:rPr>
        <w:t>ný</w:t>
      </w:r>
      <w:r w:rsidRPr="00712D70">
        <w:rPr>
          <w:rFonts w:ascii="Times New Roman" w:eastAsia="Calibri" w:hAnsi="Times New Roman" w:cs="Times New Roman" w:hint="default"/>
        </w:rPr>
        <w:t xml:space="preserve"> pok</w:t>
      </w:r>
      <w:r w:rsidRPr="00712D70">
        <w:rPr>
          <w:rFonts w:ascii="Times New Roman" w:eastAsia="Calibri" w:hAnsi="Times New Roman" w:cs="Times New Roman" w:hint="default"/>
        </w:rPr>
        <w:t>l</w:t>
      </w:r>
      <w:r w:rsidRPr="00712D70">
        <w:rPr>
          <w:rFonts w:ascii="Times New Roman" w:eastAsia="Calibri" w:hAnsi="Times New Roman" w:cs="Times New Roman" w:hint="default"/>
        </w:rPr>
        <w:t xml:space="preserve">es </w:t>
      </w:r>
      <w:r w:rsidRPr="00712D70">
        <w:rPr>
          <w:rFonts w:ascii="Times New Roman" w:eastAsia="Calibri" w:hAnsi="Times New Roman" w:cs="Times New Roman" w:hint="default"/>
          <w:b/>
        </w:rPr>
        <w:t>dá</w:t>
      </w:r>
      <w:r w:rsidRPr="00712D70">
        <w:rPr>
          <w:rFonts w:ascii="Times New Roman" w:eastAsia="Calibri" w:hAnsi="Times New Roman" w:cs="Times New Roman" w:hint="default"/>
          <w:b/>
        </w:rPr>
        <w:t>vok v nezamestnanosti</w:t>
      </w:r>
      <w:r w:rsidRPr="00712D70">
        <w:rPr>
          <w:rFonts w:ascii="Times New Roman" w:eastAsia="Calibri" w:hAnsi="Times New Roman" w:cs="Times New Roman"/>
        </w:rPr>
        <w:t xml:space="preserve"> o 11,2 % a </w:t>
      </w:r>
      <w:r w:rsidRPr="00712D70">
        <w:rPr>
          <w:rFonts w:ascii="Times New Roman" w:eastAsia="Calibri" w:hAnsi="Times New Roman" w:cs="Times New Roman" w:hint="default"/>
          <w:b/>
        </w:rPr>
        <w:t>dá</w:t>
      </w:r>
      <w:r w:rsidRPr="00712D70">
        <w:rPr>
          <w:rFonts w:ascii="Times New Roman" w:eastAsia="Calibri" w:hAnsi="Times New Roman" w:cs="Times New Roman" w:hint="default"/>
          <w:b/>
        </w:rPr>
        <w:t>vok v </w:t>
      </w:r>
      <w:r w:rsidRPr="00712D70">
        <w:rPr>
          <w:rFonts w:ascii="Times New Roman" w:eastAsia="Calibri" w:hAnsi="Times New Roman" w:cs="Times New Roman" w:hint="default"/>
          <w:b/>
        </w:rPr>
        <w:t>hmotnej nú</w:t>
      </w:r>
      <w:r w:rsidRPr="00712D70">
        <w:rPr>
          <w:rFonts w:ascii="Times New Roman" w:eastAsia="Calibri" w:hAnsi="Times New Roman" w:cs="Times New Roman" w:hint="default"/>
          <w:b/>
        </w:rPr>
        <w:t>dzi</w:t>
      </w:r>
      <w:r w:rsidRPr="00712D70">
        <w:rPr>
          <w:rFonts w:ascii="Times New Roman" w:eastAsia="Calibri" w:hAnsi="Times New Roman" w:cs="Times New Roman"/>
        </w:rPr>
        <w:t xml:space="preserve"> o 10,7 </w:t>
      </w:r>
      <w:r w:rsidRPr="00712D70">
        <w:rPr>
          <w:rFonts w:ascii="Times New Roman" w:eastAsia="Calibri" w:hAnsi="Times New Roman" w:cs="Times New Roman" w:hint="default"/>
        </w:rPr>
        <w:t>%. Na rast dô</w:t>
      </w:r>
      <w:r w:rsidRPr="00712D70">
        <w:rPr>
          <w:rFonts w:ascii="Times New Roman" w:eastAsia="Calibri" w:hAnsi="Times New Roman" w:cs="Times New Roman" w:hint="default"/>
        </w:rPr>
        <w:t>chodkový</w:t>
      </w:r>
      <w:r w:rsidRPr="00712D70">
        <w:rPr>
          <w:rFonts w:ascii="Times New Roman" w:eastAsia="Calibri" w:hAnsi="Times New Roman" w:cs="Times New Roman" w:hint="default"/>
        </w:rPr>
        <w:t>ch dá</w:t>
      </w:r>
      <w:r w:rsidRPr="00712D70">
        <w:rPr>
          <w:rFonts w:ascii="Times New Roman" w:eastAsia="Calibri" w:hAnsi="Times New Roman" w:cs="Times New Roman" w:hint="default"/>
        </w:rPr>
        <w:t>vok starobné</w:t>
      </w:r>
      <w:r w:rsidRPr="00712D70">
        <w:rPr>
          <w:rFonts w:ascii="Times New Roman" w:eastAsia="Calibri" w:hAnsi="Times New Roman" w:cs="Times New Roman" w:hint="default"/>
        </w:rPr>
        <w:t>ho poistenia o 5,9 </w:t>
      </w:r>
      <w:r w:rsidRPr="00712D70">
        <w:rPr>
          <w:rFonts w:ascii="Times New Roman" w:eastAsia="Calibri" w:hAnsi="Times New Roman" w:cs="Times New Roman" w:hint="default"/>
        </w:rPr>
        <w:t>% malo vplyv spä</w:t>
      </w:r>
      <w:r w:rsidRPr="00712D70">
        <w:rPr>
          <w:rFonts w:ascii="Times New Roman" w:eastAsia="Calibri" w:hAnsi="Times New Roman" w:cs="Times New Roman" w:hint="default"/>
        </w:rPr>
        <w:t>tné</w:t>
      </w:r>
      <w:r w:rsidRPr="00712D70">
        <w:rPr>
          <w:rFonts w:ascii="Times New Roman" w:eastAsia="Calibri" w:hAnsi="Times New Roman" w:cs="Times New Roman" w:hint="default"/>
        </w:rPr>
        <w:t xml:space="preserve"> vyplatenie vý</w:t>
      </w:r>
      <w:r w:rsidRPr="00712D70">
        <w:rPr>
          <w:rFonts w:ascii="Times New Roman" w:eastAsia="Calibri" w:hAnsi="Times New Roman" w:cs="Times New Roman" w:hint="default"/>
        </w:rPr>
        <w:t>sluhový</w:t>
      </w:r>
      <w:r w:rsidRPr="00712D70">
        <w:rPr>
          <w:rFonts w:ascii="Times New Roman" w:eastAsia="Calibri" w:hAnsi="Times New Roman" w:cs="Times New Roman" w:hint="default"/>
        </w:rPr>
        <w:t>ch dô</w:t>
      </w:r>
      <w:r w:rsidRPr="00712D70">
        <w:rPr>
          <w:rFonts w:ascii="Times New Roman" w:eastAsia="Calibri" w:hAnsi="Times New Roman" w:cs="Times New Roman" w:hint="default"/>
        </w:rPr>
        <w:t>chodkov silový</w:t>
      </w:r>
      <w:r w:rsidRPr="00712D70">
        <w:rPr>
          <w:rFonts w:ascii="Times New Roman" w:eastAsia="Calibri" w:hAnsi="Times New Roman" w:cs="Times New Roman" w:hint="default"/>
        </w:rPr>
        <w:t>m zlož</w:t>
      </w:r>
      <w:r w:rsidRPr="00712D70">
        <w:rPr>
          <w:rFonts w:ascii="Times New Roman" w:eastAsia="Calibri" w:hAnsi="Times New Roman" w:cs="Times New Roman" w:hint="default"/>
        </w:rPr>
        <w:t>ká</w:t>
      </w:r>
      <w:r w:rsidRPr="00712D70">
        <w:rPr>
          <w:rFonts w:ascii="Times New Roman" w:eastAsia="Calibri" w:hAnsi="Times New Roman" w:cs="Times New Roman" w:hint="default"/>
        </w:rPr>
        <w:t>m. Rast kapitá</w:t>
      </w:r>
      <w:r w:rsidRPr="00712D70">
        <w:rPr>
          <w:rFonts w:ascii="Times New Roman" w:eastAsia="Calibri" w:hAnsi="Times New Roman" w:cs="Times New Roman" w:hint="default"/>
        </w:rPr>
        <w:t>lový</w:t>
      </w:r>
      <w:r w:rsidRPr="00712D70">
        <w:rPr>
          <w:rFonts w:ascii="Times New Roman" w:eastAsia="Calibri" w:hAnsi="Times New Roman" w:cs="Times New Roman" w:hint="default"/>
        </w:rPr>
        <w:t>ch vý</w:t>
      </w:r>
      <w:r w:rsidRPr="00712D70">
        <w:rPr>
          <w:rFonts w:ascii="Times New Roman" w:eastAsia="Calibri" w:hAnsi="Times New Roman" w:cs="Times New Roman" w:hint="default"/>
        </w:rPr>
        <w:t>davkov o 8,6 </w:t>
      </w:r>
      <w:r w:rsidRPr="00712D70">
        <w:rPr>
          <w:rFonts w:ascii="Times New Roman" w:eastAsia="Calibri" w:hAnsi="Times New Roman" w:cs="Times New Roman" w:hint="default"/>
        </w:rPr>
        <w:t>% sú</w:t>
      </w:r>
      <w:r w:rsidRPr="00712D70">
        <w:rPr>
          <w:rFonts w:ascii="Times New Roman" w:eastAsia="Calibri" w:hAnsi="Times New Roman" w:cs="Times New Roman" w:hint="default"/>
        </w:rPr>
        <w:t>visel s </w:t>
      </w:r>
      <w:r w:rsidRPr="00712D70">
        <w:rPr>
          <w:rFonts w:ascii="Times New Roman" w:eastAsia="Calibri" w:hAnsi="Times New Roman" w:cs="Times New Roman" w:hint="default"/>
        </w:rPr>
        <w:t>lepší</w:t>
      </w:r>
      <w:r w:rsidRPr="00712D70">
        <w:rPr>
          <w:rFonts w:ascii="Times New Roman" w:eastAsia="Calibri" w:hAnsi="Times New Roman" w:cs="Times New Roman" w:hint="default"/>
        </w:rPr>
        <w:t>m č</w:t>
      </w:r>
      <w:r w:rsidRPr="00712D70">
        <w:rPr>
          <w:rFonts w:ascii="Times New Roman" w:eastAsia="Calibri" w:hAnsi="Times New Roman" w:cs="Times New Roman" w:hint="default"/>
        </w:rPr>
        <w:t>erpaní</w:t>
      </w:r>
      <w:r w:rsidRPr="00712D70">
        <w:rPr>
          <w:rFonts w:ascii="Times New Roman" w:eastAsia="Calibri" w:hAnsi="Times New Roman" w:cs="Times New Roman" w:hint="default"/>
        </w:rPr>
        <w:t>m E</w:t>
      </w:r>
      <w:r w:rsidRPr="00712D70">
        <w:rPr>
          <w:rFonts w:ascii="Times New Roman" w:eastAsia="Calibri" w:hAnsi="Times New Roman" w:cs="Times New Roman" w:hint="default"/>
        </w:rPr>
        <w:t>Ú</w:t>
      </w:r>
      <w:r w:rsidRPr="00712D70">
        <w:rPr>
          <w:rFonts w:ascii="Times New Roman" w:eastAsia="Calibri" w:hAnsi="Times New Roman" w:cs="Times New Roman" w:hint="default"/>
        </w:rPr>
        <w:t xml:space="preserve"> fondov.</w:t>
      </w:r>
    </w:p>
    <w:p w:rsidR="00712D70" w:rsidP="00712D70">
      <w:pPr>
        <w:bidi w:val="0"/>
        <w:spacing w:after="120" w:line="336" w:lineRule="auto"/>
        <w:jc w:val="both"/>
        <w:rPr>
          <w:rFonts w:ascii="Times New Roman" w:hAnsi="Times New Roman" w:cs="Times New Roman"/>
        </w:rPr>
      </w:pPr>
      <w:r w:rsidRPr="00712D70">
        <w:rPr>
          <w:rFonts w:ascii="Times New Roman" w:hAnsi="Times New Roman" w:cs="Times New Roman"/>
        </w:rPr>
        <w:t xml:space="preserve">Pokračoval trend znižovania rastu </w:t>
      </w:r>
      <w:r w:rsidRPr="00712D70">
        <w:rPr>
          <w:rFonts w:ascii="Times New Roman" w:hAnsi="Times New Roman" w:cs="Times New Roman"/>
          <w:b/>
        </w:rPr>
        <w:t>úrokových nákladov</w:t>
      </w:r>
      <w:r w:rsidRPr="00712D70">
        <w:rPr>
          <w:rFonts w:ascii="Times New Roman" w:hAnsi="Times New Roman" w:cs="Times New Roman"/>
        </w:rPr>
        <w:t xml:space="preserve"> verejného dlhu, keď v roku 2014 vzrástli o 4,1 % (v roku 2013 o 8,2 % a v roku 2012 o 19,1%). Hlavným dôvodom bol podstatne menší nárast verejného dlhu oproti predchádzajúcim rokom. Pretrvávajúci pokles úrokových sadzieb sa neprejavil až do takej miery, pretože v roku 2014 boli emitované len dlhopisy s dlhšou dobou splatnosti v súlade s cieľom zlepšenia parametrov refinančného a úrokového rizika dlhu.</w:t>
      </w:r>
    </w:p>
    <w:tbl>
      <w:tblPr>
        <w:tblStyle w:val="TableNormal"/>
        <w:tblW w:w="5000" w:type="pct"/>
        <w:tblCellMar>
          <w:left w:w="70" w:type="dxa"/>
          <w:right w:w="70" w:type="dxa"/>
        </w:tblCellMar>
        <w:tblLook w:val="04A0"/>
      </w:tblPr>
      <w:tblGrid>
        <w:gridCol w:w="4695"/>
        <w:gridCol w:w="1040"/>
        <w:gridCol w:w="1040"/>
        <w:gridCol w:w="1040"/>
        <w:gridCol w:w="1396"/>
      </w:tblGrid>
      <w:tr>
        <w:tblPrEx>
          <w:tblW w:w="5000" w:type="pct"/>
          <w:tblCellMar>
            <w:left w:w="70" w:type="dxa"/>
            <w:right w:w="70" w:type="dxa"/>
          </w:tblCellMar>
          <w:tblLook w:val="04A0"/>
        </w:tblPrEx>
        <w:trPr>
          <w:trHeight w:val="300"/>
        </w:trPr>
        <w:tc>
          <w:tcPr>
            <w:tcW w:w="2582" w:type="pct"/>
            <w:tcBorders>
              <w:top w:val="nil"/>
              <w:left w:val="nil"/>
              <w:bottom w:val="nil"/>
              <w:right w:val="nil"/>
            </w:tcBorders>
            <w:shd w:val="clear" w:color="000000" w:fill="000000"/>
            <w:noWrap/>
            <w:textDirection w:val="lrTb"/>
            <w:vAlign w:val="center"/>
            <w:hideMark/>
          </w:tcPr>
          <w:p w:rsidR="009A4C5C" w:rsidRPr="009A4C5C" w:rsidP="004B7DC7">
            <w:pPr>
              <w:bidi w:val="0"/>
              <w:spacing w:after="0" w:line="240" w:lineRule="auto"/>
              <w:rPr>
                <w:rFonts w:ascii="Times New Roman" w:hAnsi="Times New Roman" w:cs="Times New Roman"/>
                <w:b/>
                <w:bCs/>
                <w:color w:val="FFFFFF"/>
                <w:sz w:val="20"/>
                <w:szCs w:val="20"/>
                <w:lang w:eastAsia="sk-SK"/>
              </w:rPr>
            </w:pPr>
            <w:r w:rsidRPr="009A4C5C">
              <w:rPr>
                <w:rFonts w:ascii="Times New Roman" w:hAnsi="Times New Roman" w:cs="Times New Roman"/>
                <w:b/>
                <w:bCs/>
                <w:color w:val="FFFFFF"/>
                <w:sz w:val="20"/>
                <w:szCs w:val="20"/>
                <w:lang w:eastAsia="sk-SK"/>
              </w:rPr>
              <w:t>Výdavky verejnej správy (ESA 2010, v tis. eur)</w:t>
            </w:r>
          </w:p>
        </w:tc>
        <w:tc>
          <w:tcPr>
            <w:tcW w:w="555" w:type="pct"/>
            <w:tcBorders>
              <w:top w:val="nil"/>
              <w:left w:val="nil"/>
              <w:bottom w:val="nil"/>
              <w:right w:val="nil"/>
            </w:tcBorders>
            <w:shd w:val="clear" w:color="000000" w:fill="000000"/>
            <w:noWrap/>
            <w:textDirection w:val="lrTb"/>
            <w:vAlign w:val="center"/>
            <w:hideMark/>
          </w:tcPr>
          <w:p w:rsidR="009A4C5C" w:rsidRPr="009A4C5C" w:rsidP="004B7DC7">
            <w:pPr>
              <w:bidi w:val="0"/>
              <w:spacing w:after="0" w:line="240" w:lineRule="auto"/>
              <w:rPr>
                <w:rFonts w:ascii="Times New Roman" w:hAnsi="Times New Roman" w:cs="Times New Roman"/>
                <w:b/>
                <w:bCs/>
                <w:color w:val="FFFFFF"/>
                <w:sz w:val="20"/>
                <w:szCs w:val="20"/>
                <w:lang w:eastAsia="sk-SK"/>
              </w:rPr>
            </w:pPr>
            <w:r w:rsidRPr="009A4C5C">
              <w:rPr>
                <w:rFonts w:ascii="Times New Roman" w:hAnsi="Times New Roman" w:cs="Times New Roman"/>
                <w:b/>
                <w:bCs/>
                <w:color w:val="FFFFFF"/>
                <w:sz w:val="20"/>
                <w:szCs w:val="20"/>
                <w:lang w:eastAsia="sk-SK"/>
              </w:rPr>
              <w:t> </w:t>
            </w:r>
          </w:p>
        </w:tc>
        <w:tc>
          <w:tcPr>
            <w:tcW w:w="555" w:type="pct"/>
            <w:tcBorders>
              <w:top w:val="nil"/>
              <w:left w:val="nil"/>
              <w:bottom w:val="nil"/>
              <w:right w:val="nil"/>
            </w:tcBorders>
            <w:shd w:val="clear" w:color="000000" w:fill="000000"/>
            <w:noWrap/>
            <w:textDirection w:val="lrTb"/>
            <w:vAlign w:val="center"/>
            <w:hideMark/>
          </w:tcPr>
          <w:p w:rsidR="009A4C5C" w:rsidRPr="009A4C5C" w:rsidP="004B7DC7">
            <w:pPr>
              <w:bidi w:val="0"/>
              <w:spacing w:after="0" w:line="240" w:lineRule="auto"/>
              <w:rPr>
                <w:rFonts w:ascii="Times New Roman" w:hAnsi="Times New Roman" w:cs="Times New Roman"/>
                <w:b/>
                <w:bCs/>
                <w:color w:val="FFFFFF"/>
                <w:sz w:val="20"/>
                <w:szCs w:val="20"/>
                <w:lang w:eastAsia="sk-SK"/>
              </w:rPr>
            </w:pPr>
            <w:r w:rsidRPr="009A4C5C">
              <w:rPr>
                <w:rFonts w:ascii="Times New Roman" w:hAnsi="Times New Roman" w:cs="Times New Roman"/>
                <w:b/>
                <w:bCs/>
                <w:color w:val="FFFFFF"/>
                <w:sz w:val="20"/>
                <w:szCs w:val="20"/>
                <w:lang w:eastAsia="sk-SK"/>
              </w:rPr>
              <w:t> </w:t>
            </w:r>
          </w:p>
        </w:tc>
        <w:tc>
          <w:tcPr>
            <w:tcW w:w="555" w:type="pct"/>
            <w:tcBorders>
              <w:top w:val="nil"/>
              <w:left w:val="nil"/>
              <w:bottom w:val="nil"/>
              <w:right w:val="nil"/>
            </w:tcBorders>
            <w:shd w:val="clear" w:color="000000" w:fill="000000"/>
            <w:noWrap/>
            <w:textDirection w:val="lrTb"/>
            <w:vAlign w:val="center"/>
            <w:hideMark/>
          </w:tcPr>
          <w:p w:rsidR="009A4C5C" w:rsidRPr="009A4C5C" w:rsidP="004B7DC7">
            <w:pPr>
              <w:bidi w:val="0"/>
              <w:spacing w:after="0" w:line="240" w:lineRule="auto"/>
              <w:rPr>
                <w:rFonts w:ascii="Times New Roman" w:hAnsi="Times New Roman" w:cs="Times New Roman"/>
                <w:b/>
                <w:bCs/>
                <w:color w:val="FFFFFF"/>
                <w:sz w:val="20"/>
                <w:szCs w:val="20"/>
                <w:lang w:eastAsia="sk-SK"/>
              </w:rPr>
            </w:pPr>
            <w:r w:rsidRPr="009A4C5C">
              <w:rPr>
                <w:rFonts w:ascii="Times New Roman" w:hAnsi="Times New Roman" w:cs="Times New Roman"/>
                <w:b/>
                <w:bCs/>
                <w:color w:val="FFFFFF"/>
                <w:sz w:val="20"/>
                <w:szCs w:val="20"/>
                <w:lang w:eastAsia="sk-SK"/>
              </w:rPr>
              <w:t> </w:t>
            </w:r>
          </w:p>
        </w:tc>
        <w:tc>
          <w:tcPr>
            <w:tcW w:w="754" w:type="pct"/>
            <w:tcBorders>
              <w:top w:val="nil"/>
              <w:left w:val="nil"/>
              <w:bottom w:val="nil"/>
              <w:right w:val="nil"/>
            </w:tcBorders>
            <w:shd w:val="clear" w:color="000000" w:fill="000000"/>
            <w:noWrap/>
            <w:textDirection w:val="lrTb"/>
            <w:vAlign w:val="center"/>
            <w:hideMark/>
          </w:tcPr>
          <w:p w:rsidR="009A4C5C" w:rsidRPr="009A4C5C" w:rsidP="004B7DC7">
            <w:pPr>
              <w:bidi w:val="0"/>
              <w:spacing w:after="0" w:line="240" w:lineRule="auto"/>
              <w:rPr>
                <w:rFonts w:ascii="Times New Roman" w:hAnsi="Times New Roman" w:cs="Times New Roman"/>
                <w:b/>
                <w:bCs/>
                <w:color w:val="FFFFFF"/>
                <w:sz w:val="20"/>
                <w:szCs w:val="20"/>
                <w:lang w:eastAsia="sk-SK"/>
              </w:rPr>
            </w:pPr>
            <w:r w:rsidRPr="009A4C5C">
              <w:rPr>
                <w:rFonts w:ascii="Times New Roman" w:hAnsi="Times New Roman" w:cs="Times New Roman"/>
                <w:b/>
                <w:bCs/>
                <w:color w:val="FFFFFF"/>
                <w:sz w:val="20"/>
                <w:szCs w:val="20"/>
                <w:lang w:eastAsia="sk-SK"/>
              </w:rPr>
              <w:t> </w:t>
            </w:r>
          </w:p>
        </w:tc>
      </w:tr>
      <w:tr>
        <w:tblPrEx>
          <w:tblW w:w="5000" w:type="pct"/>
          <w:tblCellMar>
            <w:left w:w="70" w:type="dxa"/>
            <w:right w:w="70" w:type="dxa"/>
          </w:tblCellMar>
          <w:tblLook w:val="04A0"/>
        </w:tblPrEx>
        <w:trPr>
          <w:trHeight w:val="300"/>
        </w:trPr>
        <w:tc>
          <w:tcPr>
            <w:tcW w:w="2582" w:type="pct"/>
            <w:tcBorders>
              <w:top w:val="single" w:sz="4" w:space="0" w:color="auto"/>
              <w:left w:val="nil"/>
              <w:bottom w:val="nil"/>
              <w:right w:val="nil"/>
            </w:tcBorders>
            <w:shd w:val="clear" w:color="000000" w:fill="BFBFBF"/>
            <w:noWrap/>
            <w:textDirection w:val="lrTb"/>
            <w:vAlign w:val="center"/>
            <w:hideMark/>
          </w:tcPr>
          <w:p w:rsidR="009A4C5C" w:rsidRPr="009A4C5C" w:rsidP="004B7DC7">
            <w:pPr>
              <w:bidi w:val="0"/>
              <w:spacing w:after="0" w:line="240" w:lineRule="auto"/>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 </w:t>
            </w:r>
          </w:p>
        </w:tc>
        <w:tc>
          <w:tcPr>
            <w:tcW w:w="555" w:type="pct"/>
            <w:tcBorders>
              <w:top w:val="single" w:sz="4" w:space="0" w:color="auto"/>
              <w:left w:val="nil"/>
              <w:bottom w:val="nil"/>
              <w:right w:val="nil"/>
            </w:tcBorders>
            <w:shd w:val="clear" w:color="000000" w:fill="BFBFBF"/>
            <w:noWrap/>
            <w:textDirection w:val="lrTb"/>
            <w:vAlign w:val="center"/>
            <w:hideMark/>
          </w:tcPr>
          <w:p w:rsidR="009A4C5C" w:rsidRPr="009A4C5C" w:rsidP="004B7DC7">
            <w:pPr>
              <w:bidi w:val="0"/>
              <w:spacing w:after="0" w:line="240" w:lineRule="auto"/>
              <w:jc w:val="center"/>
              <w:rPr>
                <w:rFonts w:ascii="Times New Roman" w:hAnsi="Times New Roman" w:cs="Times New Roman"/>
                <w:b/>
                <w:bCs/>
                <w:sz w:val="20"/>
                <w:szCs w:val="20"/>
                <w:lang w:eastAsia="sk-SK"/>
              </w:rPr>
            </w:pPr>
            <w:r w:rsidR="008F41B1">
              <w:rPr>
                <w:rFonts w:ascii="Times New Roman" w:hAnsi="Times New Roman" w:cs="Times New Roman"/>
                <w:b/>
                <w:bCs/>
                <w:sz w:val="20"/>
                <w:szCs w:val="20"/>
                <w:lang w:eastAsia="sk-SK"/>
              </w:rPr>
              <w:t>2</w:t>
            </w:r>
            <w:r w:rsidRPr="009A4C5C">
              <w:rPr>
                <w:rFonts w:ascii="Times New Roman" w:hAnsi="Times New Roman" w:cs="Times New Roman"/>
                <w:b/>
                <w:bCs/>
                <w:sz w:val="20"/>
                <w:szCs w:val="20"/>
                <w:lang w:eastAsia="sk-SK"/>
              </w:rPr>
              <w:t>012</w:t>
            </w:r>
          </w:p>
        </w:tc>
        <w:tc>
          <w:tcPr>
            <w:tcW w:w="555" w:type="pct"/>
            <w:tcBorders>
              <w:top w:val="single" w:sz="4" w:space="0" w:color="auto"/>
              <w:left w:val="nil"/>
              <w:bottom w:val="nil"/>
              <w:right w:val="nil"/>
            </w:tcBorders>
            <w:shd w:val="clear" w:color="000000" w:fill="BFBFBF"/>
            <w:noWrap/>
            <w:textDirection w:val="lrTb"/>
            <w:vAlign w:val="center"/>
            <w:hideMark/>
          </w:tcPr>
          <w:p w:rsidR="009A4C5C" w:rsidRPr="009A4C5C" w:rsidP="004B7DC7">
            <w:pPr>
              <w:bidi w:val="0"/>
              <w:spacing w:after="0" w:line="240" w:lineRule="auto"/>
              <w:jc w:val="center"/>
              <w:rPr>
                <w:rFonts w:ascii="Times New Roman" w:hAnsi="Times New Roman" w:cs="Times New Roman"/>
                <w:b/>
                <w:bCs/>
                <w:sz w:val="20"/>
                <w:szCs w:val="20"/>
                <w:lang w:eastAsia="sk-SK"/>
              </w:rPr>
            </w:pPr>
            <w:r w:rsidR="008F41B1">
              <w:rPr>
                <w:rFonts w:ascii="Times New Roman" w:hAnsi="Times New Roman" w:cs="Times New Roman"/>
                <w:b/>
                <w:bCs/>
                <w:sz w:val="20"/>
                <w:szCs w:val="20"/>
                <w:lang w:eastAsia="sk-SK"/>
              </w:rPr>
              <w:t>2</w:t>
            </w:r>
            <w:r w:rsidRPr="009A4C5C">
              <w:rPr>
                <w:rFonts w:ascii="Times New Roman" w:hAnsi="Times New Roman" w:cs="Times New Roman"/>
                <w:b/>
                <w:bCs/>
                <w:sz w:val="20"/>
                <w:szCs w:val="20"/>
                <w:lang w:eastAsia="sk-SK"/>
              </w:rPr>
              <w:t>013</w:t>
            </w:r>
          </w:p>
        </w:tc>
        <w:tc>
          <w:tcPr>
            <w:tcW w:w="555" w:type="pct"/>
            <w:tcBorders>
              <w:top w:val="single" w:sz="4" w:space="0" w:color="auto"/>
              <w:left w:val="nil"/>
              <w:bottom w:val="nil"/>
              <w:right w:val="nil"/>
            </w:tcBorders>
            <w:shd w:val="clear" w:color="000000" w:fill="BFBFBF"/>
            <w:noWrap/>
            <w:textDirection w:val="lrTb"/>
            <w:vAlign w:val="center"/>
            <w:hideMark/>
          </w:tcPr>
          <w:p w:rsidR="009A4C5C" w:rsidRPr="009A4C5C" w:rsidP="004B7DC7">
            <w:pPr>
              <w:bidi w:val="0"/>
              <w:spacing w:after="0" w:line="240" w:lineRule="auto"/>
              <w:jc w:val="center"/>
              <w:rPr>
                <w:rFonts w:ascii="Times New Roman" w:hAnsi="Times New Roman" w:cs="Times New Roman"/>
                <w:b/>
                <w:bCs/>
                <w:sz w:val="20"/>
                <w:szCs w:val="20"/>
                <w:lang w:eastAsia="sk-SK"/>
              </w:rPr>
            </w:pPr>
            <w:r w:rsidR="008F41B1">
              <w:rPr>
                <w:rFonts w:ascii="Times New Roman" w:hAnsi="Times New Roman" w:cs="Times New Roman"/>
                <w:b/>
                <w:bCs/>
                <w:sz w:val="20"/>
                <w:szCs w:val="20"/>
                <w:lang w:eastAsia="sk-SK"/>
              </w:rPr>
              <w:t>2</w:t>
            </w:r>
            <w:r w:rsidRPr="009A4C5C">
              <w:rPr>
                <w:rFonts w:ascii="Times New Roman" w:hAnsi="Times New Roman" w:cs="Times New Roman"/>
                <w:b/>
                <w:bCs/>
                <w:sz w:val="20"/>
                <w:szCs w:val="20"/>
                <w:lang w:eastAsia="sk-SK"/>
              </w:rPr>
              <w:t>014</w:t>
            </w:r>
          </w:p>
        </w:tc>
        <w:tc>
          <w:tcPr>
            <w:tcW w:w="754" w:type="pct"/>
            <w:tcBorders>
              <w:top w:val="single" w:sz="4" w:space="0" w:color="auto"/>
              <w:left w:val="nil"/>
              <w:bottom w:val="nil"/>
              <w:right w:val="nil"/>
            </w:tcBorders>
            <w:shd w:val="clear" w:color="000000" w:fill="BFBFBF"/>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2014/2013 v %</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Bežné výdavky</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26 442 134</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27 566 408</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28 511 391</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3,4</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Kompenzácie zamestnancov</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5 876 076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6 242 606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6 579 962</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5,4</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Mzdy a platy</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4 357 315</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4 587 882</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4 813 174</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4,9</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Sociálne príspevky zamestnávateľov</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1 518 761</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1 654 724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1 766 788</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6,8</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Medzispotreba</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3 786 724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3 853 151</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3 983 685</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3,4</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Dane</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75 969</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98 804</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84 228</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-14,8</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Iné dane z produkcie</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56 095</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77 638</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64 761</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-16,6</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Bežné dane z majetku, atď.</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19 874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21 166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19 467</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-8,0</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Subvencie</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689 858</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771 560</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717 377</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-7,0</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Dotácie do poľnohospodárstva</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120 155</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138 037</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91 730</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-33,5</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Dotácie do dopravy</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331 884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425 186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436 439</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2,6</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bottom"/>
            <w:hideMark/>
          </w:tcPr>
          <w:p w:rsidR="009A4C5C" w:rsidRPr="009A4C5C" w:rsidP="004B7DC7">
            <w:pPr>
              <w:bidi w:val="0"/>
              <w:spacing w:after="0" w:line="240" w:lineRule="auto"/>
              <w:ind w:firstLine="400" w:firstLineChars="2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železničná doprava</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110 562</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205 000</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265 108</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29,3</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bottom"/>
            <w:hideMark/>
          </w:tcPr>
          <w:p w:rsidR="009A4C5C" w:rsidRPr="009A4C5C" w:rsidP="004B7DC7">
            <w:pPr>
              <w:bidi w:val="0"/>
              <w:spacing w:after="0" w:line="240" w:lineRule="auto"/>
              <w:ind w:firstLine="400" w:firstLineChars="2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cestná doprava</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214 190</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214 188</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163 781</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-23,5</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Ostatné</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237 819</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208 337</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189 208</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-9,2</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 xml:space="preserve">Dôchodky z majetku </w:t>
            </w:r>
            <w:r w:rsidRPr="009A4C5C">
              <w:rPr>
                <w:rFonts w:ascii="Times New Roman" w:hAnsi="Times New Roman" w:cs="Times New Roman"/>
                <w:color w:val="000000"/>
                <w:sz w:val="20"/>
                <w:szCs w:val="20"/>
                <w:lang w:eastAsia="sk-SK"/>
              </w:rPr>
              <w:t>(Úrokové náklady)</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1 280 307</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1 383 786</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1 440 967</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4,1</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Celkové sociálne transfery</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13 578 774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13 933 775</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14 354 082</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3,0</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Sociálne dávky okrem naturálnych soc. transf.</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10 077 264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10 269 322</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10 507 708</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2,3</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400" w:firstLineChars="2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Aktívne opatrenia trhu práce</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57 134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38 022</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50 675</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33,3</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400" w:firstLineChars="2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Nemocenské dávky</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428 458</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399 742</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381 109</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-4,7</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400" w:firstLineChars="2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Dôchodkové dávky zo starob. a inv. poistenia</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5 639 503</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5 893 823</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6 240 862</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5,9</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400" w:firstLineChars="2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Dávky v nezamestnanosti</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175 773</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174 308</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154 721</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-11,2</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400" w:firstLineChars="2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Štátne sociálne dávky a podpora</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1 381 508</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1 374 616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1 362 794</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-0,9</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600" w:firstLineChars="3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na prídavok na dieťa</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316 463</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318 494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319 094</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0,2</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600" w:firstLineChars="3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pri narodení dieťaťa a prísp. rodičom</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8 883</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8 982</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35 102</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290,8</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600" w:firstLineChars="3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na rodičovský príspevok</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343 543</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349 316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356 002</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1,9</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600" w:firstLineChars="3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na dávku v hmotnej núdzi</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308 989</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273 644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244 457</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-10,7</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600" w:firstLineChars="3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na peňažné príspevky na kompenzáciu</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225 487</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232 521</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235 774</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1,4</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600" w:firstLineChars="3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ostatné</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178 143</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191 659</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172 365</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-10,1</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400" w:firstLineChars="2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Platené poistné za skupiny osôb ust. zákonom</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1 599 291</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1 541 466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1 447 056</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-6,1</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600" w:firstLineChars="3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sociálne poistenie</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238 774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262 148</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232 909</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-11,2</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600" w:firstLineChars="3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zdravotné poistenie</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1 358 204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1 276 828</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1 211 535</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-5,1</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Naturálne sociálne transfery (zdr. zariadenia)</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3 501 510</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3 664 453</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3 846 374</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5,0</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Ostatné bežné transfery</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1 154 426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1 282 726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1 351 090</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5,3</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z toho: Odvody do rozpočtu EÚ</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640 311</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713 413</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595 965</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-16,5</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z toho: 2% z daní na verejnoprospešný účel</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44 695</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46 707</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52 193</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11,7</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Kapitálové výdavky</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2 634 465</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2 717 500</w:t>
            </w:r>
          </w:p>
        </w:tc>
        <w:tc>
          <w:tcPr>
            <w:tcW w:w="555"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2 950 137</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8,6</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Kapitálové investície</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2 231 631</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2 337 772</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2 564 658</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9,7</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Tvorba hrubého fixného kapitálu</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2 193 131</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2 255 314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2 748 507</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21,9</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Zmena st. zásob+Nadobudnutie - Úbytok cenností</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15 189</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60 236</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44 866</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-25,5</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Nadobud. mínus úbytok nef. neproduk. aktív</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23 311</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22 222</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-228 715</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-1 129,2</w:t>
            </w:r>
          </w:p>
        </w:tc>
      </w:tr>
      <w:tr>
        <w:tblPrEx>
          <w:tblW w:w="5000" w:type="pct"/>
          <w:tblCellMar>
            <w:left w:w="70" w:type="dxa"/>
            <w:right w:w="70" w:type="dxa"/>
          </w:tblCellMar>
          <w:tblLook w:val="04A0"/>
        </w:tblPrEx>
        <w:trPr>
          <w:trHeight w:val="300"/>
        </w:trPr>
        <w:tc>
          <w:tcPr>
            <w:tcW w:w="2582" w:type="pct"/>
            <w:tcBorders>
              <w:top w:val="nil"/>
              <w:left w:val="nil"/>
              <w:bottom w:val="nil"/>
              <w:right w:val="nil"/>
            </w:tcBorders>
            <w:noWrap/>
            <w:textDirection w:val="lrTb"/>
            <w:vAlign w:val="center"/>
            <w:hideMark/>
          </w:tcPr>
          <w:p w:rsidR="009A4C5C" w:rsidRPr="009A4C5C" w:rsidP="004B7DC7">
            <w:pPr>
              <w:bidi w:val="0"/>
              <w:spacing w:after="0" w:line="240" w:lineRule="auto"/>
              <w:ind w:firstLine="200" w:firstLineChars="1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Kapitálové transfery</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402 834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379 728</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385 479</w:t>
            </w:r>
          </w:p>
        </w:tc>
        <w:tc>
          <w:tcPr>
            <w:tcW w:w="754" w:type="pct"/>
            <w:tcBorders>
              <w:top w:val="nil"/>
              <w:left w:val="nil"/>
              <w:bottom w:val="nil"/>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1,5</w:t>
            </w:r>
          </w:p>
        </w:tc>
      </w:tr>
      <w:tr>
        <w:tblPrEx>
          <w:tblW w:w="5000" w:type="pct"/>
          <w:tblCellMar>
            <w:left w:w="70" w:type="dxa"/>
            <w:right w:w="70" w:type="dxa"/>
          </w:tblCellMar>
          <w:tblLook w:val="04A0"/>
        </w:tblPrEx>
        <w:trPr>
          <w:trHeight w:val="300"/>
        </w:trPr>
        <w:tc>
          <w:tcPr>
            <w:tcW w:w="2582" w:type="pct"/>
            <w:tcBorders>
              <w:top w:val="nil"/>
              <w:left w:val="nil"/>
              <w:bottom w:val="single" w:sz="4" w:space="0" w:color="auto"/>
              <w:right w:val="nil"/>
            </w:tcBorders>
            <w:noWrap/>
            <w:textDirection w:val="lrTb"/>
            <w:vAlign w:val="center"/>
            <w:hideMark/>
          </w:tcPr>
          <w:p w:rsidR="009A4C5C" w:rsidRPr="009A4C5C" w:rsidP="004B7DC7">
            <w:pPr>
              <w:bidi w:val="0"/>
              <w:spacing w:after="0" w:line="240" w:lineRule="auto"/>
              <w:ind w:firstLine="400" w:firstLineChars="200"/>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 xml:space="preserve"> - Investičné dotácie a ostatné kapit. transf.</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402 834</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379 728</w:t>
            </w:r>
          </w:p>
        </w:tc>
        <w:tc>
          <w:tcPr>
            <w:tcW w:w="555" w:type="pct"/>
            <w:tcBorders>
              <w:top w:val="nil"/>
              <w:left w:val="nil"/>
              <w:bottom w:val="nil"/>
              <w:right w:val="nil"/>
            </w:tcBorders>
            <w:noWrap/>
            <w:textDirection w:val="lrTb"/>
            <w:vAlign w:val="bottom"/>
            <w:hideMark/>
          </w:tcPr>
          <w:p w:rsidR="009A4C5C" w:rsidRPr="009A4C5C" w:rsidP="004B7DC7">
            <w:pPr>
              <w:bidi w:val="0"/>
              <w:spacing w:after="0" w:line="240" w:lineRule="auto"/>
              <w:jc w:val="right"/>
              <w:rPr>
                <w:rFonts w:ascii="Times New Roman" w:hAnsi="Times New Roman" w:cs="Times New Roman"/>
                <w:color w:val="000000"/>
                <w:sz w:val="20"/>
                <w:szCs w:val="20"/>
                <w:lang w:eastAsia="sk-SK"/>
              </w:rPr>
            </w:pPr>
            <w:r w:rsidRPr="009A4C5C">
              <w:rPr>
                <w:rFonts w:ascii="Times New Roman" w:hAnsi="Times New Roman" w:cs="Times New Roman"/>
                <w:color w:val="000000"/>
                <w:sz w:val="20"/>
                <w:szCs w:val="20"/>
                <w:lang w:eastAsia="sk-SK"/>
              </w:rPr>
              <w:t>385 479</w:t>
            </w:r>
          </w:p>
        </w:tc>
        <w:tc>
          <w:tcPr>
            <w:tcW w:w="754" w:type="pct"/>
            <w:tcBorders>
              <w:top w:val="nil"/>
              <w:left w:val="nil"/>
              <w:bottom w:val="single" w:sz="4" w:space="0" w:color="auto"/>
              <w:right w:val="nil"/>
            </w:tcBorders>
            <w:noWrap/>
            <w:textDirection w:val="lrTb"/>
            <w:vAlign w:val="center"/>
            <w:hideMark/>
          </w:tcPr>
          <w:p w:rsidR="009A4C5C" w:rsidRPr="009A4C5C" w:rsidP="004B7DC7">
            <w:pPr>
              <w:bidi w:val="0"/>
              <w:spacing w:after="0" w:line="240" w:lineRule="auto"/>
              <w:jc w:val="right"/>
              <w:rPr>
                <w:rFonts w:ascii="Times New Roman" w:hAnsi="Times New Roman" w:cs="Times New Roman"/>
                <w:sz w:val="20"/>
                <w:szCs w:val="20"/>
                <w:lang w:eastAsia="sk-SK"/>
              </w:rPr>
            </w:pPr>
            <w:r w:rsidRPr="009A4C5C">
              <w:rPr>
                <w:rFonts w:ascii="Times New Roman" w:hAnsi="Times New Roman" w:cs="Times New Roman"/>
                <w:sz w:val="20"/>
                <w:szCs w:val="20"/>
                <w:lang w:eastAsia="sk-SK"/>
              </w:rPr>
              <w:t>1,5</w:t>
            </w:r>
          </w:p>
        </w:tc>
      </w:tr>
      <w:tr>
        <w:tblPrEx>
          <w:tblW w:w="5000" w:type="pct"/>
          <w:tblCellMar>
            <w:left w:w="70" w:type="dxa"/>
            <w:right w:w="70" w:type="dxa"/>
          </w:tblCellMar>
          <w:tblLook w:val="04A0"/>
        </w:tblPrEx>
        <w:trPr>
          <w:trHeight w:val="300"/>
        </w:trPr>
        <w:tc>
          <w:tcPr>
            <w:tcW w:w="2582" w:type="pct"/>
            <w:tcBorders>
              <w:top w:val="single" w:sz="4" w:space="0" w:color="auto"/>
              <w:left w:val="nil"/>
              <w:bottom w:val="nil"/>
              <w:right w:val="nil"/>
            </w:tcBorders>
            <w:shd w:val="clear" w:color="000000" w:fill="BFBFBF"/>
            <w:textDirection w:val="lrTb"/>
            <w:vAlign w:val="center"/>
            <w:hideMark/>
          </w:tcPr>
          <w:p w:rsidR="009A4C5C" w:rsidRPr="009A4C5C" w:rsidP="004B7DC7">
            <w:pPr>
              <w:bidi w:val="0"/>
              <w:spacing w:after="0" w:line="240" w:lineRule="auto"/>
              <w:jc w:val="both"/>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Výdavky spolu</w:t>
            </w:r>
          </w:p>
        </w:tc>
        <w:tc>
          <w:tcPr>
            <w:tcW w:w="555" w:type="pct"/>
            <w:tcBorders>
              <w:top w:val="single" w:sz="4" w:space="0" w:color="auto"/>
              <w:left w:val="nil"/>
              <w:bottom w:val="nil"/>
              <w:right w:val="nil"/>
            </w:tcBorders>
            <w:shd w:val="clear" w:color="000000" w:fill="BFBFBF"/>
            <w:noWrap/>
            <w:textDirection w:val="lrTb"/>
            <w:vAlign w:val="bottom"/>
            <w:hideMark/>
          </w:tcPr>
          <w:p w:rsidR="009A4C5C" w:rsidRPr="009A4C5C"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29 076 599</w:t>
            </w:r>
          </w:p>
        </w:tc>
        <w:tc>
          <w:tcPr>
            <w:tcW w:w="555" w:type="pct"/>
            <w:tcBorders>
              <w:top w:val="single" w:sz="4" w:space="0" w:color="auto"/>
              <w:left w:val="nil"/>
              <w:bottom w:val="nil"/>
              <w:right w:val="nil"/>
            </w:tcBorders>
            <w:shd w:val="clear" w:color="000000" w:fill="BFBFBF"/>
            <w:noWrap/>
            <w:textDirection w:val="lrTb"/>
            <w:vAlign w:val="bottom"/>
            <w:hideMark/>
          </w:tcPr>
          <w:p w:rsidR="009A4C5C" w:rsidRPr="009A4C5C"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30 283 908</w:t>
            </w:r>
          </w:p>
        </w:tc>
        <w:tc>
          <w:tcPr>
            <w:tcW w:w="555" w:type="pct"/>
            <w:tcBorders>
              <w:top w:val="single" w:sz="4" w:space="0" w:color="auto"/>
              <w:left w:val="nil"/>
              <w:bottom w:val="nil"/>
              <w:right w:val="nil"/>
            </w:tcBorders>
            <w:shd w:val="clear" w:color="000000" w:fill="BFBFBF"/>
            <w:noWrap/>
            <w:textDirection w:val="lrTb"/>
            <w:vAlign w:val="bottom"/>
            <w:hideMark/>
          </w:tcPr>
          <w:p w:rsidR="009A4C5C" w:rsidRPr="009A4C5C"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31 461 528</w:t>
            </w:r>
          </w:p>
        </w:tc>
        <w:tc>
          <w:tcPr>
            <w:tcW w:w="754" w:type="pct"/>
            <w:tcBorders>
              <w:top w:val="nil"/>
              <w:left w:val="nil"/>
              <w:bottom w:val="nil"/>
              <w:right w:val="nil"/>
            </w:tcBorders>
            <w:shd w:val="clear" w:color="000000" w:fill="BFBFBF"/>
            <w:noWrap/>
            <w:textDirection w:val="lrTb"/>
            <w:vAlign w:val="center"/>
            <w:hideMark/>
          </w:tcPr>
          <w:p w:rsidR="009A4C5C" w:rsidRPr="009A4C5C" w:rsidP="004B7DC7">
            <w:pPr>
              <w:bidi w:val="0"/>
              <w:spacing w:after="0" w:line="240" w:lineRule="auto"/>
              <w:jc w:val="right"/>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3,9</w:t>
            </w:r>
          </w:p>
        </w:tc>
      </w:tr>
      <w:tr>
        <w:tblPrEx>
          <w:tblW w:w="5000" w:type="pct"/>
          <w:tblCellMar>
            <w:left w:w="70" w:type="dxa"/>
            <w:right w:w="70" w:type="dxa"/>
          </w:tblCellMar>
          <w:tblLook w:val="04A0"/>
        </w:tblPrEx>
        <w:trPr>
          <w:trHeight w:val="330"/>
        </w:trPr>
        <w:tc>
          <w:tcPr>
            <w:tcW w:w="2582" w:type="pct"/>
            <w:tcBorders>
              <w:top w:val="nil"/>
              <w:left w:val="nil"/>
              <w:bottom w:val="single" w:sz="4" w:space="0" w:color="auto"/>
              <w:right w:val="nil"/>
            </w:tcBorders>
            <w:shd w:val="clear" w:color="000000" w:fill="BFBFBF"/>
            <w:noWrap/>
            <w:textDirection w:val="lrTb"/>
            <w:vAlign w:val="center"/>
            <w:hideMark/>
          </w:tcPr>
          <w:p w:rsidR="009A4C5C" w:rsidRPr="009A4C5C" w:rsidP="004B7DC7">
            <w:pPr>
              <w:bidi w:val="0"/>
              <w:spacing w:after="0" w:line="240" w:lineRule="auto"/>
              <w:rPr>
                <w:rFonts w:ascii="Times New Roman" w:hAnsi="Times New Roman" w:cs="Times New Roman"/>
                <w:b/>
                <w:bCs/>
                <w:sz w:val="20"/>
                <w:szCs w:val="20"/>
                <w:lang w:eastAsia="sk-SK"/>
              </w:rPr>
            </w:pPr>
            <w:r w:rsidRPr="009A4C5C">
              <w:rPr>
                <w:rFonts w:ascii="Times New Roman" w:hAnsi="Times New Roman" w:cs="Times New Roman"/>
                <w:b/>
                <w:bCs/>
                <w:sz w:val="20"/>
                <w:szCs w:val="20"/>
                <w:lang w:eastAsia="sk-SK"/>
              </w:rPr>
              <w:t xml:space="preserve">     % z HDP</w:t>
            </w:r>
          </w:p>
        </w:tc>
        <w:tc>
          <w:tcPr>
            <w:tcW w:w="555" w:type="pct"/>
            <w:tcBorders>
              <w:top w:val="nil"/>
              <w:left w:val="nil"/>
              <w:bottom w:val="single" w:sz="4" w:space="0" w:color="auto"/>
              <w:right w:val="nil"/>
            </w:tcBorders>
            <w:shd w:val="clear" w:color="000000" w:fill="BFBFBF"/>
            <w:noWrap/>
            <w:textDirection w:val="lrTb"/>
            <w:vAlign w:val="center"/>
            <w:hideMark/>
          </w:tcPr>
          <w:p w:rsidR="009A4C5C" w:rsidRPr="009A4C5C"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40,1</w:t>
            </w:r>
          </w:p>
        </w:tc>
        <w:tc>
          <w:tcPr>
            <w:tcW w:w="555" w:type="pct"/>
            <w:tcBorders>
              <w:top w:val="nil"/>
              <w:left w:val="nil"/>
              <w:bottom w:val="single" w:sz="4" w:space="0" w:color="auto"/>
              <w:right w:val="nil"/>
            </w:tcBorders>
            <w:shd w:val="clear" w:color="000000" w:fill="BFBFBF"/>
            <w:noWrap/>
            <w:textDirection w:val="lrTb"/>
            <w:vAlign w:val="center"/>
            <w:hideMark/>
          </w:tcPr>
          <w:p w:rsidR="009A4C5C" w:rsidRPr="009A4C5C"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41,0</w:t>
            </w:r>
          </w:p>
        </w:tc>
        <w:tc>
          <w:tcPr>
            <w:tcW w:w="555" w:type="pct"/>
            <w:tcBorders>
              <w:top w:val="nil"/>
              <w:left w:val="nil"/>
              <w:bottom w:val="single" w:sz="4" w:space="0" w:color="auto"/>
              <w:right w:val="nil"/>
            </w:tcBorders>
            <w:shd w:val="clear" w:color="000000" w:fill="BFBFBF"/>
            <w:noWrap/>
            <w:textDirection w:val="lrTb"/>
            <w:vAlign w:val="center"/>
            <w:hideMark/>
          </w:tcPr>
          <w:p w:rsidR="009A4C5C" w:rsidRPr="009A4C5C"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41,6</w:t>
            </w:r>
          </w:p>
        </w:tc>
        <w:tc>
          <w:tcPr>
            <w:tcW w:w="754" w:type="pct"/>
            <w:tcBorders>
              <w:top w:val="nil"/>
              <w:left w:val="nil"/>
              <w:bottom w:val="single" w:sz="4" w:space="0" w:color="auto"/>
              <w:right w:val="nil"/>
            </w:tcBorders>
            <w:shd w:val="clear" w:color="000000" w:fill="BFBFBF"/>
            <w:noWrap/>
            <w:textDirection w:val="lrTb"/>
            <w:vAlign w:val="center"/>
            <w:hideMark/>
          </w:tcPr>
          <w:p w:rsidR="009A4C5C" w:rsidRPr="007055DB" w:rsidP="004B7DC7">
            <w:pPr>
              <w:bidi w:val="0"/>
              <w:spacing w:after="0" w:line="240" w:lineRule="auto"/>
              <w:jc w:val="right"/>
              <w:rPr>
                <w:rFonts w:ascii="Times New Roman" w:hAnsi="Times New Roman" w:cs="Times New Roman"/>
                <w:b/>
                <w:bCs/>
                <w:color w:val="000000"/>
                <w:sz w:val="20"/>
                <w:szCs w:val="20"/>
                <w:lang w:eastAsia="sk-SK"/>
              </w:rPr>
            </w:pPr>
            <w:r w:rsidRPr="009A4C5C">
              <w:rPr>
                <w:rFonts w:ascii="Times New Roman" w:hAnsi="Times New Roman" w:cs="Times New Roman"/>
                <w:b/>
                <w:bCs/>
                <w:color w:val="000000"/>
                <w:sz w:val="20"/>
                <w:szCs w:val="20"/>
                <w:lang w:eastAsia="sk-SK"/>
              </w:rPr>
              <w:t>0,6</w:t>
            </w:r>
          </w:p>
        </w:tc>
      </w:tr>
    </w:tbl>
    <w:p w:rsidR="0035366F" w:rsidRPr="00A53EAC" w:rsidP="001767F0">
      <w:pPr>
        <w:pStyle w:val="Heading2"/>
        <w:numPr>
          <w:numId w:val="3"/>
        </w:numPr>
        <w:bidi w:val="0"/>
        <w:spacing w:before="240" w:after="120"/>
        <w:ind w:left="425" w:hanging="425"/>
        <w:rPr>
          <w:rFonts w:hint="default"/>
        </w:rPr>
      </w:pPr>
      <w:bookmarkStart w:id="55" w:name="_Toc433099566"/>
      <w:r w:rsidRPr="00712D70">
        <w:rPr>
          <w:rFonts w:hint="default"/>
        </w:rPr>
        <w:t>Jednorazové</w:t>
      </w:r>
      <w:r w:rsidRPr="00A53EAC">
        <w:t xml:space="preserve"> vplyvy, </w:t>
      </w:r>
      <w:r w:rsidRPr="00A53EAC" w:rsidR="00EF3DE1">
        <w:rPr>
          <w:rFonts w:hint="default"/>
        </w:rPr>
        <w:t>cyklická</w:t>
      </w:r>
      <w:r w:rsidRPr="00A53EAC" w:rsidR="00EF3DE1">
        <w:rPr>
          <w:rFonts w:hint="default"/>
        </w:rPr>
        <w:t xml:space="preserve"> zlož</w:t>
      </w:r>
      <w:r w:rsidRPr="00A53EAC" w:rsidR="00EF3DE1">
        <w:rPr>
          <w:rFonts w:hint="default"/>
        </w:rPr>
        <w:t xml:space="preserve">ka a </w:t>
      </w:r>
      <w:r w:rsidRPr="00A53EAC">
        <w:rPr>
          <w:rFonts w:hint="default"/>
        </w:rPr>
        <w:t>š</w:t>
      </w:r>
      <w:r w:rsidRPr="00A53EAC">
        <w:rPr>
          <w:rFonts w:hint="default"/>
        </w:rPr>
        <w:t>trukturá</w:t>
      </w:r>
      <w:r w:rsidRPr="00A53EAC">
        <w:rPr>
          <w:rFonts w:hint="default"/>
        </w:rPr>
        <w:t>lne saldo</w:t>
      </w:r>
      <w:bookmarkEnd w:id="43"/>
      <w:bookmarkEnd w:id="44"/>
      <w:bookmarkEnd w:id="55"/>
      <w:r w:rsidRPr="00A53EAC">
        <w:rPr>
          <w:rFonts w:hint="default"/>
        </w:rPr>
        <w:t xml:space="preserve"> </w:t>
      </w:r>
    </w:p>
    <w:p w:rsidR="00064921" w:rsidRPr="00A53EAC" w:rsidP="00C15EB2">
      <w:pPr>
        <w:bidi w:val="0"/>
        <w:spacing w:line="336" w:lineRule="auto"/>
        <w:jc w:val="both"/>
        <w:rPr>
          <w:rFonts w:ascii="Times New Roman" w:hAnsi="Times New Roman" w:cs="Times New Roman"/>
        </w:rPr>
      </w:pPr>
      <w:bookmarkStart w:id="56" w:name="_Toc399324367"/>
      <w:r w:rsidRPr="00A53EAC" w:rsidR="008707A5">
        <w:rPr>
          <w:rFonts w:ascii="Times New Roman" w:hAnsi="Times New Roman" w:cs="Times New Roman"/>
        </w:rPr>
        <w:t>Jednorazové vplyvy možno všeobecne definovať ako príjem alebo výdavok, ktorý nemá trvalý alebo opakujúci sa charakter a má časovo obmedzený vplyv na saldo verejnej správy. Úprava salda verejnej správy o jednorazové vplyvy spolu s vplyvom hospodárskeho cyklu umožňuje analyticky vyhodnotiť charakter fiškálnej politiky.</w:t>
      </w:r>
      <w:r w:rsidRPr="00A53EAC" w:rsidR="00915211">
        <w:rPr>
          <w:rFonts w:ascii="Times New Roman" w:hAnsi="Times New Roman" w:cs="Times New Roman"/>
        </w:rPr>
        <w:t xml:space="preserve"> Jednorazové vplyvy sú súčasťou fiškálneho dohľadu Európskej únie a používajú sa pri hodnotení súladu hospodárenia verejných financií krajiny s európskymi fiškálnymi pravidlami.</w:t>
      </w:r>
      <w:r w:rsidRPr="00A53EAC" w:rsidR="0030084D">
        <w:rPr>
          <w:rFonts w:ascii="Times New Roman" w:hAnsi="Times New Roman" w:cs="Times New Roman"/>
        </w:rPr>
        <w:t xml:space="preserve"> </w:t>
      </w:r>
    </w:p>
    <w:p w:rsidR="008707A5" w:rsidRPr="00A53EAC" w:rsidP="00C15EB2">
      <w:pPr>
        <w:bidi w:val="0"/>
        <w:spacing w:line="336" w:lineRule="auto"/>
        <w:jc w:val="both"/>
        <w:rPr>
          <w:rFonts w:ascii="Times New Roman" w:hAnsi="Times New Roman" w:cs="Times New Roman"/>
        </w:rPr>
      </w:pPr>
      <w:r w:rsidRPr="00A53EAC" w:rsidR="0030084D">
        <w:rPr>
          <w:rFonts w:ascii="Times New Roman" w:hAnsi="Times New Roman" w:cs="Times New Roman"/>
        </w:rPr>
        <w:t>V </w:t>
      </w:r>
      <w:r w:rsidRPr="00A53EAC" w:rsidR="00F61D9F">
        <w:rPr>
          <w:rFonts w:ascii="Times New Roman" w:hAnsi="Times New Roman" w:cs="Times New Roman"/>
        </w:rPr>
        <w:t>slovenskej</w:t>
      </w:r>
      <w:r w:rsidRPr="00A53EAC" w:rsidR="0030084D">
        <w:rPr>
          <w:rFonts w:ascii="Times New Roman" w:hAnsi="Times New Roman" w:cs="Times New Roman"/>
        </w:rPr>
        <w:t xml:space="preserve"> legislatíve sú jednorazové vplyvy zakotvené v zákone o rozpočtových pravidlách verejnej správy a v</w:t>
      </w:r>
      <w:r w:rsidRPr="00A53EAC" w:rsidR="00F61D9F">
        <w:rPr>
          <w:rFonts w:ascii="Times New Roman" w:hAnsi="Times New Roman" w:cs="Times New Roman"/>
        </w:rPr>
        <w:t xml:space="preserve"> ústavnom </w:t>
      </w:r>
      <w:r w:rsidRPr="00A53EAC" w:rsidR="0030084D">
        <w:rPr>
          <w:rFonts w:ascii="Times New Roman" w:hAnsi="Times New Roman" w:cs="Times New Roman"/>
        </w:rPr>
        <w:t xml:space="preserve">zákone o rozpočtovej zodpovednosti. </w:t>
      </w:r>
      <w:r w:rsidRPr="00A53EAC" w:rsidR="00064921">
        <w:rPr>
          <w:rFonts w:ascii="Times New Roman" w:hAnsi="Times New Roman" w:cs="Times New Roman"/>
        </w:rPr>
        <w:t>Ministerstvo financií SR zverejnilo v roku 2013 metodický manuál určujúci podrobné pravidlá pre ich identifikáciu. Vzhľadom na mierne odlišnosti medzi európskou a</w:t>
      </w:r>
      <w:r w:rsidRPr="00A53EAC" w:rsidR="00367C11">
        <w:rPr>
          <w:rFonts w:ascii="Times New Roman" w:hAnsi="Times New Roman" w:cs="Times New Roman"/>
        </w:rPr>
        <w:t> </w:t>
      </w:r>
      <w:r w:rsidRPr="00A53EAC" w:rsidR="00064921">
        <w:rPr>
          <w:rFonts w:ascii="Times New Roman" w:hAnsi="Times New Roman" w:cs="Times New Roman"/>
        </w:rPr>
        <w:t>národnou</w:t>
      </w:r>
      <w:r w:rsidRPr="00A53EAC" w:rsidR="00367C11">
        <w:rPr>
          <w:rFonts w:ascii="Times New Roman" w:hAnsi="Times New Roman" w:cs="Times New Roman"/>
        </w:rPr>
        <w:t xml:space="preserve"> </w:t>
      </w:r>
      <w:r w:rsidRPr="00A53EAC" w:rsidR="00F61D9F">
        <w:rPr>
          <w:rFonts w:ascii="Times New Roman" w:hAnsi="Times New Roman" w:cs="Times New Roman"/>
        </w:rPr>
        <w:t xml:space="preserve">metodikou používa </w:t>
      </w:r>
      <w:r w:rsidRPr="00A53EAC" w:rsidR="00367C11">
        <w:rPr>
          <w:rFonts w:ascii="Times New Roman" w:hAnsi="Times New Roman" w:cs="Times New Roman"/>
        </w:rPr>
        <w:t xml:space="preserve">MF SR dva druhy výpočtov v závislosti od účelu použitia. V tejto správe </w:t>
      </w:r>
      <w:r w:rsidRPr="00A53EAC" w:rsidR="00F61D9F">
        <w:rPr>
          <w:rFonts w:ascii="Times New Roman" w:hAnsi="Times New Roman" w:cs="Times New Roman"/>
        </w:rPr>
        <w:t>bola pri identifikácii jednorazových opatrení a odhade cyklickej zložky použitá metodika Európskej komisie a aktuálna makroekonomická prognóza MF SR zo dňa 21.9.201</w:t>
      </w:r>
      <w:r w:rsidR="009A4C5C">
        <w:rPr>
          <w:rFonts w:ascii="Times New Roman" w:hAnsi="Times New Roman" w:cs="Times New Roman"/>
        </w:rPr>
        <w:t>5</w:t>
      </w:r>
      <w:r w:rsidRPr="00A53EAC" w:rsidR="00F61D9F">
        <w:rPr>
          <w:rFonts w:ascii="Times New Roman" w:hAnsi="Times New Roman" w:cs="Times New Roman"/>
        </w:rPr>
        <w:t>.</w:t>
      </w:r>
    </w:p>
    <w:p w:rsidR="0000435D" w:rsidRPr="00A53EAC" w:rsidP="00C15EB2">
      <w:pPr>
        <w:bidi w:val="0"/>
        <w:spacing w:line="336" w:lineRule="auto"/>
        <w:jc w:val="both"/>
        <w:rPr>
          <w:rFonts w:ascii="Times New Roman" w:hAnsi="Times New Roman" w:cs="Times New Roman"/>
        </w:rPr>
      </w:pPr>
      <w:r w:rsidRPr="00A53EAC" w:rsidR="008707A5">
        <w:rPr>
          <w:rFonts w:ascii="Times New Roman" w:hAnsi="Times New Roman" w:cs="Times New Roman"/>
        </w:rPr>
        <w:t xml:space="preserve">V nasledujúcej tabuľke sú uvedené jednorazové vplyvy </w:t>
      </w:r>
      <w:r w:rsidRPr="00A53EAC" w:rsidR="00CD6A33">
        <w:rPr>
          <w:rFonts w:ascii="Times New Roman" w:hAnsi="Times New Roman" w:cs="Times New Roman"/>
        </w:rPr>
        <w:t>v rokoch 2012 až 2014</w:t>
      </w:r>
      <w:r w:rsidRPr="00A53EAC" w:rsidR="008707A5">
        <w:rPr>
          <w:rFonts w:ascii="Times New Roman" w:hAnsi="Times New Roman" w:cs="Times New Roman"/>
        </w:rPr>
        <w:t>. Metodika zohľadňuje kritérium veľkosti vplyvu daného opatrenia minimálne vo výške 0,05 % HDP aspoň v jednom roku zo série bezprostredne nasledujúcich rokov, kedy dané opatrenie malo vplyv na príjmy či výdavky verejnej správy.</w:t>
      </w:r>
    </w:p>
    <w:p w:rsidR="00CB210E">
      <w:pPr>
        <w:bidi w:val="0"/>
      </w:pPr>
      <w:r>
        <w:br w:type="page"/>
      </w:r>
    </w:p>
    <w:tbl>
      <w:tblPr>
        <w:tblStyle w:val="TableNormal"/>
        <w:tblW w:w="5000" w:type="pct"/>
        <w:tblCellMar>
          <w:left w:w="70" w:type="dxa"/>
          <w:right w:w="70" w:type="dxa"/>
        </w:tblCellMar>
        <w:tblLook w:val="04A0"/>
      </w:tblPr>
      <w:tblGrid>
        <w:gridCol w:w="5880"/>
        <w:gridCol w:w="521"/>
        <w:gridCol w:w="1008"/>
        <w:gridCol w:w="601"/>
        <w:gridCol w:w="602"/>
        <w:gridCol w:w="599"/>
      </w:tblGrid>
      <w:tr>
        <w:tblPrEx>
          <w:tblW w:w="5000" w:type="pct"/>
          <w:tblCellMar>
            <w:left w:w="70" w:type="dxa"/>
            <w:right w:w="70" w:type="dxa"/>
          </w:tblCellMar>
          <w:tblLook w:val="04A0"/>
        </w:tblPrEx>
        <w:trPr>
          <w:trHeight w:val="360"/>
        </w:trPr>
        <w:tc>
          <w:tcPr>
            <w:tcW w:w="3475" w:type="pct"/>
            <w:gridSpan w:val="2"/>
            <w:tcBorders>
              <w:top w:val="nil"/>
              <w:left w:val="nil"/>
              <w:bottom w:val="nil"/>
              <w:right w:val="nil"/>
            </w:tcBorders>
            <w:shd w:val="clear" w:color="000000" w:fill="000000"/>
            <w:noWrap/>
            <w:textDirection w:val="lrTb"/>
            <w:vAlign w:val="center"/>
            <w:hideMark/>
          </w:tcPr>
          <w:p w:rsidR="00BF6B35" w:rsidRPr="00A53EAC" w:rsidP="00BF6B35">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Jednorazové vplyvy, štrukturálne saldo, konsolidačné úsilie (ESA 2010)</w:t>
            </w:r>
          </w:p>
        </w:tc>
        <w:tc>
          <w:tcPr>
            <w:tcW w:w="547" w:type="pct"/>
            <w:tcBorders>
              <w:top w:val="nil"/>
              <w:left w:val="nil"/>
              <w:bottom w:val="nil"/>
              <w:right w:val="nil"/>
            </w:tcBorders>
            <w:shd w:val="clear" w:color="000000" w:fill="000000"/>
            <w:noWrap/>
            <w:textDirection w:val="lrTb"/>
            <w:vAlign w:val="center"/>
            <w:hideMark/>
          </w:tcPr>
          <w:p w:rsidR="00BF6B35" w:rsidRPr="00A53EAC" w:rsidP="00BF6B35">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 </w:t>
            </w:r>
          </w:p>
        </w:tc>
        <w:tc>
          <w:tcPr>
            <w:tcW w:w="326" w:type="pct"/>
            <w:tcBorders>
              <w:top w:val="nil"/>
              <w:left w:val="nil"/>
              <w:bottom w:val="nil"/>
              <w:right w:val="nil"/>
            </w:tcBorders>
            <w:shd w:val="clear" w:color="000000" w:fill="000000"/>
            <w:noWrap/>
            <w:textDirection w:val="lrTb"/>
            <w:vAlign w:val="center"/>
            <w:hideMark/>
          </w:tcPr>
          <w:p w:rsidR="00BF6B35" w:rsidRPr="00A53EAC" w:rsidP="00BF6B35">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 </w:t>
            </w:r>
          </w:p>
        </w:tc>
        <w:tc>
          <w:tcPr>
            <w:tcW w:w="327" w:type="pct"/>
            <w:tcBorders>
              <w:top w:val="nil"/>
              <w:left w:val="nil"/>
              <w:bottom w:val="nil"/>
              <w:right w:val="nil"/>
            </w:tcBorders>
            <w:shd w:val="clear" w:color="000000" w:fill="000000"/>
            <w:noWrap/>
            <w:textDirection w:val="lrTb"/>
            <w:vAlign w:val="center"/>
            <w:hideMark/>
          </w:tcPr>
          <w:p w:rsidR="00BF6B35" w:rsidRPr="00A53EAC" w:rsidP="00BF6B35">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 </w:t>
            </w:r>
          </w:p>
        </w:tc>
        <w:tc>
          <w:tcPr>
            <w:tcW w:w="325" w:type="pct"/>
            <w:tcBorders>
              <w:top w:val="nil"/>
              <w:left w:val="nil"/>
              <w:bottom w:val="nil"/>
              <w:right w:val="nil"/>
            </w:tcBorders>
            <w:shd w:val="clear" w:color="000000" w:fill="000000"/>
            <w:noWrap/>
            <w:textDirection w:val="lrTb"/>
            <w:vAlign w:val="center"/>
            <w:hideMark/>
          </w:tcPr>
          <w:p w:rsidR="00BF6B35" w:rsidRPr="00A53EAC" w:rsidP="00BF6B35">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 </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shd w:val="clear" w:color="000000" w:fill="C0C0C0"/>
            <w:noWrap/>
            <w:textDirection w:val="lrTb"/>
            <w:vAlign w:val="center"/>
            <w:hideMark/>
          </w:tcPr>
          <w:p w:rsidR="00B156C8" w:rsidRPr="00A53EAC" w:rsidP="00BF6B35">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w:t>
            </w:r>
          </w:p>
        </w:tc>
        <w:tc>
          <w:tcPr>
            <w:tcW w:w="283" w:type="pct"/>
            <w:tcBorders>
              <w:top w:val="nil"/>
              <w:left w:val="nil"/>
              <w:bottom w:val="nil"/>
              <w:right w:val="nil"/>
            </w:tcBorders>
            <w:shd w:val="clear" w:color="000000" w:fill="C0C0C0"/>
            <w:noWrap/>
            <w:textDirection w:val="lrTb"/>
            <w:vAlign w:val="center"/>
            <w:hideMark/>
          </w:tcPr>
          <w:p w:rsidR="00B156C8" w:rsidRPr="00A53EAC" w:rsidP="00BF6B35">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w:t>
            </w:r>
          </w:p>
        </w:tc>
        <w:tc>
          <w:tcPr>
            <w:tcW w:w="547" w:type="pct"/>
            <w:tcBorders>
              <w:top w:val="nil"/>
              <w:left w:val="nil"/>
              <w:bottom w:val="nil"/>
              <w:right w:val="nil"/>
            </w:tcBorders>
            <w:shd w:val="clear" w:color="000000" w:fill="C0C0C0"/>
            <w:textDirection w:val="lrTb"/>
            <w:vAlign w:val="center"/>
            <w:hideMark/>
          </w:tcPr>
          <w:p w:rsidR="00B156C8" w:rsidRPr="00A53EAC" w:rsidP="00BF6B35">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tis. eur</w:t>
            </w:r>
          </w:p>
        </w:tc>
        <w:tc>
          <w:tcPr>
            <w:tcW w:w="978" w:type="pct"/>
            <w:gridSpan w:val="3"/>
            <w:tcBorders>
              <w:top w:val="nil"/>
              <w:left w:val="nil"/>
              <w:bottom w:val="nil"/>
              <w:right w:val="nil"/>
            </w:tcBorders>
            <w:shd w:val="clear" w:color="000000" w:fill="C0C0C0"/>
            <w:noWrap/>
            <w:textDirection w:val="lrTb"/>
            <w:vAlign w:val="center"/>
            <w:hideMark/>
          </w:tcPr>
          <w:p w:rsidR="00B156C8" w:rsidRPr="00A53EAC" w:rsidP="00B156C8">
            <w:pPr>
              <w:bidi w:val="0"/>
              <w:spacing w:after="0" w:line="240" w:lineRule="auto"/>
              <w:jc w:val="center"/>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HDP </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shd w:val="clear" w:color="000000" w:fill="C0C0C0"/>
            <w:noWrap/>
            <w:textDirection w:val="lrTb"/>
            <w:vAlign w:val="center"/>
            <w:hideMark/>
          </w:tcPr>
          <w:p w:rsidR="00BF6B35" w:rsidRPr="00A53EAC" w:rsidP="00BF6B35">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w:t>
            </w:r>
          </w:p>
        </w:tc>
        <w:tc>
          <w:tcPr>
            <w:tcW w:w="283" w:type="pct"/>
            <w:tcBorders>
              <w:top w:val="nil"/>
              <w:left w:val="nil"/>
              <w:bottom w:val="nil"/>
              <w:right w:val="nil"/>
            </w:tcBorders>
            <w:shd w:val="clear" w:color="000000" w:fill="C0C0C0"/>
            <w:noWrap/>
            <w:textDirection w:val="lrTb"/>
            <w:vAlign w:val="center"/>
            <w:hideMark/>
          </w:tcPr>
          <w:p w:rsidR="00BF6B35" w:rsidRPr="00A53EAC" w:rsidP="00BF6B35">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 </w:t>
            </w:r>
          </w:p>
        </w:tc>
        <w:tc>
          <w:tcPr>
            <w:tcW w:w="547" w:type="pct"/>
            <w:tcBorders>
              <w:top w:val="nil"/>
              <w:left w:val="nil"/>
              <w:bottom w:val="nil"/>
              <w:right w:val="nil"/>
            </w:tcBorders>
            <w:shd w:val="clear" w:color="000000" w:fill="C0C0C0"/>
            <w:textDirection w:val="lrTb"/>
            <w:vAlign w:val="center"/>
            <w:hideMark/>
          </w:tcPr>
          <w:p w:rsidR="00BF6B35" w:rsidRPr="00A53EAC" w:rsidP="00BF6B3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2014</w:t>
            </w:r>
          </w:p>
        </w:tc>
        <w:tc>
          <w:tcPr>
            <w:tcW w:w="326" w:type="pct"/>
            <w:tcBorders>
              <w:top w:val="nil"/>
              <w:left w:val="nil"/>
              <w:bottom w:val="nil"/>
              <w:right w:val="nil"/>
            </w:tcBorders>
            <w:shd w:val="clear" w:color="000000" w:fill="C0C0C0"/>
            <w:textDirection w:val="lrTb"/>
            <w:vAlign w:val="center"/>
            <w:hideMark/>
          </w:tcPr>
          <w:p w:rsidR="00BF6B35" w:rsidRPr="00A53EAC" w:rsidP="00BF6B3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2012</w:t>
            </w:r>
          </w:p>
        </w:tc>
        <w:tc>
          <w:tcPr>
            <w:tcW w:w="327" w:type="pct"/>
            <w:tcBorders>
              <w:top w:val="nil"/>
              <w:left w:val="nil"/>
              <w:bottom w:val="nil"/>
              <w:right w:val="nil"/>
            </w:tcBorders>
            <w:shd w:val="clear" w:color="000000" w:fill="C0C0C0"/>
            <w:textDirection w:val="lrTb"/>
            <w:vAlign w:val="center"/>
            <w:hideMark/>
          </w:tcPr>
          <w:p w:rsidR="00BF6B35" w:rsidRPr="00A53EAC" w:rsidP="00BF6B3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2013</w:t>
            </w:r>
          </w:p>
        </w:tc>
        <w:tc>
          <w:tcPr>
            <w:tcW w:w="325" w:type="pct"/>
            <w:tcBorders>
              <w:top w:val="nil"/>
              <w:left w:val="nil"/>
              <w:bottom w:val="nil"/>
              <w:right w:val="nil"/>
            </w:tcBorders>
            <w:shd w:val="clear" w:color="000000" w:fill="C0C0C0"/>
            <w:textDirection w:val="lrTb"/>
            <w:vAlign w:val="center"/>
            <w:hideMark/>
          </w:tcPr>
          <w:p w:rsidR="00BF6B35" w:rsidRPr="00A53EAC" w:rsidP="00BF6B3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2014</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1. Saldo verejnej správy podľa ESA 2010</w:t>
            </w:r>
          </w:p>
        </w:tc>
        <w:tc>
          <w:tcPr>
            <w:tcW w:w="283"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p>
        </w:tc>
        <w:tc>
          <w:tcPr>
            <w:tcW w:w="547" w:type="pct"/>
            <w:tcBorders>
              <w:top w:val="nil"/>
              <w:left w:val="nil"/>
              <w:bottom w:val="nil"/>
              <w:right w:val="single" w:sz="4" w:space="0" w:color="auto"/>
            </w:tcBorders>
            <w:noWrap/>
            <w:textDirection w:val="lrTb"/>
            <w:vAlign w:val="center"/>
            <w:hideMark/>
          </w:tcPr>
          <w:p w:rsidR="00BF6B35" w:rsidRPr="00A53EAC" w:rsidP="005B07D7">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-2 097 552</w:t>
            </w:r>
          </w:p>
        </w:tc>
        <w:tc>
          <w:tcPr>
            <w:tcW w:w="326"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-4,2</w:t>
            </w:r>
          </w:p>
        </w:tc>
        <w:tc>
          <w:tcPr>
            <w:tcW w:w="327"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-2,6</w:t>
            </w:r>
          </w:p>
        </w:tc>
        <w:tc>
          <w:tcPr>
            <w:tcW w:w="325"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-2,8</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 Jednorazové vplyvy spolu</w:t>
            </w:r>
          </w:p>
        </w:tc>
        <w:tc>
          <w:tcPr>
            <w:tcW w:w="283"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p>
        </w:tc>
        <w:tc>
          <w:tcPr>
            <w:tcW w:w="547" w:type="pct"/>
            <w:tcBorders>
              <w:top w:val="nil"/>
              <w:left w:val="nil"/>
              <w:bottom w:val="nil"/>
              <w:right w:val="single" w:sz="4" w:space="0" w:color="auto"/>
            </w:tcBorders>
            <w:noWrap/>
            <w:textDirection w:val="lrTb"/>
            <w:vAlign w:val="center"/>
            <w:hideMark/>
          </w:tcPr>
          <w:p w:rsidR="00BF6B35" w:rsidRPr="00A53EAC" w:rsidP="005B07D7">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237 536</w:t>
            </w:r>
          </w:p>
        </w:tc>
        <w:tc>
          <w:tcPr>
            <w:tcW w:w="326" w:type="pct"/>
            <w:tcBorders>
              <w:top w:val="nil"/>
              <w:left w:val="nil"/>
              <w:bottom w:val="nil"/>
              <w:right w:val="nil"/>
            </w:tcBorders>
            <w:textDirection w:val="lrTb"/>
            <w:vAlign w:val="center"/>
            <w:hideMark/>
          </w:tcPr>
          <w:p w:rsidR="00BF6B35" w:rsidRPr="00A53EAC" w:rsidP="005B07D7">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0,1</w:t>
            </w:r>
          </w:p>
        </w:tc>
        <w:tc>
          <w:tcPr>
            <w:tcW w:w="327" w:type="pct"/>
            <w:tcBorders>
              <w:top w:val="nil"/>
              <w:left w:val="nil"/>
              <w:bottom w:val="nil"/>
              <w:right w:val="nil"/>
            </w:tcBorders>
            <w:textDirection w:val="lrTb"/>
            <w:vAlign w:val="center"/>
            <w:hideMark/>
          </w:tcPr>
          <w:p w:rsidR="00BF6B35" w:rsidRPr="00A53EAC" w:rsidP="005B07D7">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0,0</w:t>
            </w:r>
          </w:p>
        </w:tc>
        <w:tc>
          <w:tcPr>
            <w:tcW w:w="325" w:type="pct"/>
            <w:tcBorders>
              <w:top w:val="nil"/>
              <w:left w:val="nil"/>
              <w:bottom w:val="nil"/>
              <w:right w:val="nil"/>
            </w:tcBorders>
            <w:textDirection w:val="lrTb"/>
            <w:vAlign w:val="center"/>
            <w:hideMark/>
          </w:tcPr>
          <w:p w:rsidR="00BF6B35" w:rsidRPr="00A53EAC" w:rsidP="005B07D7">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0,3</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noWrap/>
            <w:textDirection w:val="lrTb"/>
            <w:vAlign w:val="center"/>
            <w:hideMark/>
          </w:tcPr>
          <w:p w:rsidR="00BF6B35" w:rsidRPr="00A53EAC" w:rsidP="00BF6B35">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predaj telekomunikačných licencií</w:t>
            </w:r>
          </w:p>
        </w:tc>
        <w:tc>
          <w:tcPr>
            <w:tcW w:w="283" w:type="pct"/>
            <w:tcBorders>
              <w:top w:val="nil"/>
              <w:left w:val="nil"/>
              <w:bottom w:val="nil"/>
              <w:right w:val="nil"/>
            </w:tcBorders>
            <w:noWrap/>
            <w:textDirection w:val="lrTb"/>
            <w:vAlign w:val="center"/>
            <w:hideMark/>
          </w:tcPr>
          <w:p w:rsidR="00BF6B35" w:rsidRPr="00A53EAC" w:rsidP="00BF6B35">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(P)*</w:t>
            </w:r>
          </w:p>
        </w:tc>
        <w:tc>
          <w:tcPr>
            <w:tcW w:w="547" w:type="pct"/>
            <w:tcBorders>
              <w:top w:val="nil"/>
              <w:left w:val="nil"/>
              <w:bottom w:val="nil"/>
              <w:right w:val="single" w:sz="4" w:space="0" w:color="auto"/>
            </w:tcBorders>
            <w:noWrap/>
            <w:textDirection w:val="lrTb"/>
            <w:vAlign w:val="center"/>
            <w:hideMark/>
          </w:tcPr>
          <w:p w:rsidR="00BF6B35" w:rsidRPr="00A53EAC" w:rsidP="005B07D7">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163 887</w:t>
            </w:r>
          </w:p>
        </w:tc>
        <w:tc>
          <w:tcPr>
            <w:tcW w:w="326"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7"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5"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0,22</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noWrap/>
            <w:textDirection w:val="lrTb"/>
            <w:vAlign w:val="center"/>
            <w:hideMark/>
          </w:tcPr>
          <w:p w:rsidR="00BF6B35" w:rsidRPr="00A53EAC" w:rsidP="00BF6B35">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pokuta protimonopolného úradu za stavebný kartel </w:t>
            </w:r>
          </w:p>
        </w:tc>
        <w:tc>
          <w:tcPr>
            <w:tcW w:w="283" w:type="pct"/>
            <w:tcBorders>
              <w:top w:val="nil"/>
              <w:left w:val="nil"/>
              <w:bottom w:val="nil"/>
              <w:right w:val="nil"/>
            </w:tcBorders>
            <w:noWrap/>
            <w:textDirection w:val="lrTb"/>
            <w:vAlign w:val="center"/>
            <w:hideMark/>
          </w:tcPr>
          <w:p w:rsidR="00BF6B35" w:rsidRPr="00A53EAC" w:rsidP="00BF6B35">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(P)*</w:t>
            </w:r>
          </w:p>
        </w:tc>
        <w:tc>
          <w:tcPr>
            <w:tcW w:w="547" w:type="pct"/>
            <w:tcBorders>
              <w:top w:val="nil"/>
              <w:left w:val="nil"/>
              <w:bottom w:val="nil"/>
              <w:right w:val="single" w:sz="4" w:space="0" w:color="auto"/>
            </w:tcBorders>
            <w:noWrap/>
            <w:textDirection w:val="lrTb"/>
            <w:vAlign w:val="center"/>
            <w:hideMark/>
          </w:tcPr>
          <w:p w:rsidR="00BF6B35" w:rsidRPr="00A53EAC" w:rsidP="005B07D7">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44 657</w:t>
            </w:r>
          </w:p>
        </w:tc>
        <w:tc>
          <w:tcPr>
            <w:tcW w:w="326"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7"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5"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0,06</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noWrap/>
            <w:textDirection w:val="lrTb"/>
            <w:vAlign w:val="center"/>
            <w:hideMark/>
          </w:tcPr>
          <w:p w:rsidR="00BF6B35" w:rsidRPr="00A53EAC" w:rsidP="00BF6B35">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mimoriadny odvod v bankovom sektore (vrátane DPPO)</w:t>
            </w:r>
          </w:p>
        </w:tc>
        <w:tc>
          <w:tcPr>
            <w:tcW w:w="283" w:type="pct"/>
            <w:tcBorders>
              <w:top w:val="nil"/>
              <w:left w:val="nil"/>
              <w:bottom w:val="nil"/>
              <w:right w:val="nil"/>
            </w:tcBorders>
            <w:noWrap/>
            <w:textDirection w:val="lrTb"/>
            <w:vAlign w:val="center"/>
            <w:hideMark/>
          </w:tcPr>
          <w:p w:rsidR="00BF6B35" w:rsidRPr="00A53EAC" w:rsidP="00BF6B35">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(P)*</w:t>
            </w:r>
          </w:p>
        </w:tc>
        <w:tc>
          <w:tcPr>
            <w:tcW w:w="547" w:type="pct"/>
            <w:tcBorders>
              <w:top w:val="nil"/>
              <w:left w:val="nil"/>
              <w:bottom w:val="nil"/>
              <w:right w:val="single" w:sz="4" w:space="0" w:color="auto"/>
            </w:tcBorders>
            <w:noWrap/>
            <w:textDirection w:val="lrTb"/>
            <w:vAlign w:val="center"/>
            <w:hideMark/>
          </w:tcPr>
          <w:p w:rsidR="00BF6B35" w:rsidRPr="00A53EAC" w:rsidP="005B07D7">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w:t>
            </w:r>
          </w:p>
        </w:tc>
        <w:tc>
          <w:tcPr>
            <w:tcW w:w="326"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0,06</w:t>
            </w:r>
          </w:p>
        </w:tc>
        <w:tc>
          <w:tcPr>
            <w:tcW w:w="327"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5"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noWrap/>
            <w:textDirection w:val="lrTb"/>
            <w:vAlign w:val="center"/>
            <w:hideMark/>
          </w:tcPr>
          <w:p w:rsidR="00BF6B35" w:rsidRPr="00A53EAC" w:rsidP="00BF6B35">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nižší odvod do EÚ rozpočtu</w:t>
            </w:r>
          </w:p>
        </w:tc>
        <w:tc>
          <w:tcPr>
            <w:tcW w:w="283" w:type="pct"/>
            <w:tcBorders>
              <w:top w:val="nil"/>
              <w:left w:val="nil"/>
              <w:bottom w:val="nil"/>
              <w:right w:val="nil"/>
            </w:tcBorders>
            <w:noWrap/>
            <w:textDirection w:val="lrTb"/>
            <w:vAlign w:val="center"/>
            <w:hideMark/>
          </w:tcPr>
          <w:p w:rsidR="00BF6B35" w:rsidRPr="00A53EAC" w:rsidP="00BF6B35">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(V)*</w:t>
            </w:r>
          </w:p>
        </w:tc>
        <w:tc>
          <w:tcPr>
            <w:tcW w:w="547" w:type="pct"/>
            <w:tcBorders>
              <w:top w:val="nil"/>
              <w:left w:val="nil"/>
              <w:bottom w:val="nil"/>
              <w:right w:val="single" w:sz="4" w:space="0" w:color="auto"/>
            </w:tcBorders>
            <w:noWrap/>
            <w:textDirection w:val="lrTb"/>
            <w:vAlign w:val="center"/>
            <w:hideMark/>
          </w:tcPr>
          <w:p w:rsidR="00BF6B35" w:rsidRPr="00A53EAC" w:rsidP="005B07D7">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87 444</w:t>
            </w:r>
          </w:p>
        </w:tc>
        <w:tc>
          <w:tcPr>
            <w:tcW w:w="326"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7"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5"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0,12</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noWrap/>
            <w:textDirection w:val="lrTb"/>
            <w:vAlign w:val="center"/>
            <w:hideMark/>
          </w:tcPr>
          <w:p w:rsidR="00BF6B35" w:rsidRPr="00A53EAC" w:rsidP="00BF6B35">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jednorazové vyplatenie starobných dôchodkov silovým zložkám</w:t>
            </w:r>
          </w:p>
        </w:tc>
        <w:tc>
          <w:tcPr>
            <w:tcW w:w="283" w:type="pct"/>
            <w:tcBorders>
              <w:top w:val="nil"/>
              <w:left w:val="nil"/>
              <w:bottom w:val="nil"/>
              <w:right w:val="nil"/>
            </w:tcBorders>
            <w:noWrap/>
            <w:textDirection w:val="lrTb"/>
            <w:vAlign w:val="center"/>
            <w:hideMark/>
          </w:tcPr>
          <w:p w:rsidR="00BF6B35" w:rsidRPr="00A53EAC" w:rsidP="00BF6B35">
            <w:pPr>
              <w:bidi w:val="0"/>
              <w:spacing w:after="0" w:line="240" w:lineRule="auto"/>
              <w:jc w:val="center"/>
              <w:rPr>
                <w:rFonts w:ascii="Times New Roman" w:hAnsi="Times New Roman" w:cs="Times New Roman"/>
                <w:sz w:val="20"/>
                <w:szCs w:val="20"/>
                <w:lang w:eastAsia="sk-SK"/>
              </w:rPr>
            </w:pPr>
            <w:r w:rsidRPr="00A53EAC">
              <w:rPr>
                <w:rFonts w:ascii="Times New Roman" w:hAnsi="Times New Roman" w:cs="Times New Roman"/>
                <w:sz w:val="20"/>
                <w:szCs w:val="20"/>
                <w:lang w:eastAsia="sk-SK"/>
              </w:rPr>
              <w:t>(V)*</w:t>
            </w:r>
          </w:p>
        </w:tc>
        <w:tc>
          <w:tcPr>
            <w:tcW w:w="547" w:type="pct"/>
            <w:tcBorders>
              <w:top w:val="nil"/>
              <w:left w:val="nil"/>
              <w:bottom w:val="nil"/>
              <w:right w:val="single" w:sz="4" w:space="0" w:color="auto"/>
            </w:tcBorders>
            <w:noWrap/>
            <w:textDirection w:val="lrTb"/>
            <w:vAlign w:val="center"/>
            <w:hideMark/>
          </w:tcPr>
          <w:p w:rsidR="00BF6B35" w:rsidRPr="00A53EAC" w:rsidP="005B07D7">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-58 452</w:t>
            </w:r>
          </w:p>
        </w:tc>
        <w:tc>
          <w:tcPr>
            <w:tcW w:w="326"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7"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5"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-0,08</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3. Cyklická zložka</w:t>
            </w:r>
          </w:p>
        </w:tc>
        <w:tc>
          <w:tcPr>
            <w:tcW w:w="283"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p>
        </w:tc>
        <w:tc>
          <w:tcPr>
            <w:tcW w:w="547" w:type="pct"/>
            <w:tcBorders>
              <w:top w:val="nil"/>
              <w:left w:val="nil"/>
              <w:bottom w:val="nil"/>
              <w:right w:val="single" w:sz="4" w:space="0" w:color="auto"/>
            </w:tcBorders>
            <w:noWrap/>
            <w:textDirection w:val="lrTb"/>
            <w:vAlign w:val="center"/>
            <w:hideMark/>
          </w:tcPr>
          <w:p w:rsidR="00BF6B35" w:rsidRPr="00A53EAC" w:rsidP="005B07D7">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w:t>
            </w:r>
          </w:p>
        </w:tc>
        <w:tc>
          <w:tcPr>
            <w:tcW w:w="326"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-0,6</w:t>
            </w:r>
          </w:p>
        </w:tc>
        <w:tc>
          <w:tcPr>
            <w:tcW w:w="327"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-0,8</w:t>
            </w:r>
          </w:p>
        </w:tc>
        <w:tc>
          <w:tcPr>
            <w:tcW w:w="325"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-0,7</w:t>
            </w:r>
          </w:p>
        </w:tc>
      </w:tr>
      <w:tr>
        <w:tblPrEx>
          <w:tblW w:w="5000" w:type="pct"/>
          <w:tblCellMar>
            <w:left w:w="70" w:type="dxa"/>
            <w:right w:w="70" w:type="dxa"/>
          </w:tblCellMar>
          <w:tblLook w:val="04A0"/>
        </w:tblPrEx>
        <w:trPr>
          <w:trHeight w:val="330"/>
        </w:trPr>
        <w:tc>
          <w:tcPr>
            <w:tcW w:w="3192"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 Štrukturálne saldo verejnej správy (1-2-3)</w:t>
            </w:r>
          </w:p>
        </w:tc>
        <w:tc>
          <w:tcPr>
            <w:tcW w:w="283"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p>
        </w:tc>
        <w:tc>
          <w:tcPr>
            <w:tcW w:w="547" w:type="pct"/>
            <w:tcBorders>
              <w:top w:val="nil"/>
              <w:left w:val="nil"/>
              <w:bottom w:val="nil"/>
              <w:right w:val="single" w:sz="4" w:space="0" w:color="auto"/>
            </w:tcBorders>
            <w:noWrap/>
            <w:textDirection w:val="lrTb"/>
            <w:vAlign w:val="center"/>
            <w:hideMark/>
          </w:tcPr>
          <w:p w:rsidR="00BF6B35" w:rsidRPr="00A53EAC" w:rsidP="005B07D7">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w:t>
            </w:r>
          </w:p>
        </w:tc>
        <w:tc>
          <w:tcPr>
            <w:tcW w:w="326"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-3,7</w:t>
            </w:r>
          </w:p>
        </w:tc>
        <w:tc>
          <w:tcPr>
            <w:tcW w:w="327"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-1,9</w:t>
            </w:r>
          </w:p>
        </w:tc>
        <w:tc>
          <w:tcPr>
            <w:tcW w:w="325" w:type="pct"/>
            <w:tcBorders>
              <w:top w:val="nil"/>
              <w:left w:val="nil"/>
              <w:bottom w:val="nil"/>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-2,4</w:t>
            </w:r>
          </w:p>
        </w:tc>
      </w:tr>
      <w:tr>
        <w:tblPrEx>
          <w:tblW w:w="5000" w:type="pct"/>
          <w:tblCellMar>
            <w:left w:w="70" w:type="dxa"/>
            <w:right w:w="70" w:type="dxa"/>
          </w:tblCellMar>
          <w:tblLook w:val="04A0"/>
        </w:tblPrEx>
        <w:trPr>
          <w:trHeight w:val="330"/>
        </w:trPr>
        <w:tc>
          <w:tcPr>
            <w:tcW w:w="3192" w:type="pct"/>
            <w:tcBorders>
              <w:top w:val="nil"/>
              <w:left w:val="nil"/>
              <w:bottom w:val="single" w:sz="4" w:space="0" w:color="auto"/>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5. Konsolidačné úsilie (medziročná zmena 4)**</w:t>
            </w:r>
          </w:p>
        </w:tc>
        <w:tc>
          <w:tcPr>
            <w:tcW w:w="283" w:type="pct"/>
            <w:tcBorders>
              <w:top w:val="nil"/>
              <w:left w:val="nil"/>
              <w:bottom w:val="single" w:sz="4" w:space="0" w:color="auto"/>
              <w:right w:val="nil"/>
            </w:tcBorders>
            <w:noWrap/>
            <w:textDirection w:val="lrTb"/>
            <w:vAlign w:val="center"/>
            <w:hideMark/>
          </w:tcPr>
          <w:p w:rsidR="00BF6B35" w:rsidRPr="00A53EAC" w:rsidP="00BF6B35">
            <w:pPr>
              <w:bidi w:val="0"/>
              <w:spacing w:after="0" w:line="240" w:lineRule="auto"/>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 </w:t>
            </w:r>
          </w:p>
        </w:tc>
        <w:tc>
          <w:tcPr>
            <w:tcW w:w="547" w:type="pct"/>
            <w:tcBorders>
              <w:top w:val="nil"/>
              <w:left w:val="nil"/>
              <w:bottom w:val="single" w:sz="4" w:space="0" w:color="auto"/>
              <w:right w:val="single" w:sz="4" w:space="0" w:color="auto"/>
            </w:tcBorders>
            <w:noWrap/>
            <w:textDirection w:val="lrTb"/>
            <w:vAlign w:val="center"/>
            <w:hideMark/>
          </w:tcPr>
          <w:p w:rsidR="00BF6B35" w:rsidRPr="00A53EAC" w:rsidP="005B07D7">
            <w:pPr>
              <w:bidi w:val="0"/>
              <w:spacing w:after="0" w:line="240" w:lineRule="auto"/>
              <w:jc w:val="right"/>
              <w:rPr>
                <w:rFonts w:eastAsia="Times New Roman" w:cs="Times New Roman"/>
                <w:color w:val="000000"/>
                <w:sz w:val="20"/>
                <w:szCs w:val="20"/>
                <w:lang w:eastAsia="sk-SK"/>
              </w:rPr>
            </w:pPr>
            <w:r w:rsidRPr="00A53EAC">
              <w:rPr>
                <w:rFonts w:eastAsia="Times New Roman" w:cs="Times New Roman"/>
                <w:color w:val="000000"/>
                <w:sz w:val="20"/>
                <w:szCs w:val="20"/>
                <w:lang w:eastAsia="sk-SK"/>
              </w:rPr>
              <w:t>-</w:t>
            </w:r>
          </w:p>
        </w:tc>
        <w:tc>
          <w:tcPr>
            <w:tcW w:w="326" w:type="pct"/>
            <w:tcBorders>
              <w:top w:val="nil"/>
              <w:left w:val="nil"/>
              <w:bottom w:val="single" w:sz="4" w:space="0" w:color="auto"/>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327" w:type="pct"/>
            <w:tcBorders>
              <w:top w:val="nil"/>
              <w:left w:val="nil"/>
              <w:bottom w:val="single" w:sz="4" w:space="0" w:color="auto"/>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1,8</w:t>
            </w:r>
          </w:p>
        </w:tc>
        <w:tc>
          <w:tcPr>
            <w:tcW w:w="325" w:type="pct"/>
            <w:tcBorders>
              <w:top w:val="nil"/>
              <w:left w:val="nil"/>
              <w:bottom w:val="single" w:sz="4" w:space="0" w:color="auto"/>
              <w:right w:val="nil"/>
            </w:tcBorders>
            <w:noWrap/>
            <w:textDirection w:val="lrTb"/>
            <w:vAlign w:val="center"/>
            <w:hideMark/>
          </w:tcPr>
          <w:p w:rsidR="00BF6B35" w:rsidRPr="00A53EAC" w:rsidP="005B07D7">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-0,5</w:t>
            </w:r>
          </w:p>
        </w:tc>
      </w:tr>
      <w:tr>
        <w:tblPrEx>
          <w:tblW w:w="5000" w:type="pct"/>
          <w:tblCellMar>
            <w:left w:w="70" w:type="dxa"/>
            <w:right w:w="70" w:type="dxa"/>
          </w:tblCellMar>
          <w:tblLook w:val="04A0"/>
        </w:tblPrEx>
        <w:trPr>
          <w:trHeight w:val="330"/>
        </w:trPr>
        <w:tc>
          <w:tcPr>
            <w:tcW w:w="3475" w:type="pct"/>
            <w:gridSpan w:val="2"/>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sz w:val="18"/>
                <w:szCs w:val="18"/>
                <w:lang w:eastAsia="sk-SK"/>
              </w:rPr>
            </w:pPr>
            <w:r w:rsidRPr="00A53EAC">
              <w:rPr>
                <w:rFonts w:ascii="Times New Roman" w:hAnsi="Times New Roman" w:cs="Times New Roman"/>
                <w:sz w:val="18"/>
                <w:szCs w:val="18"/>
                <w:lang w:eastAsia="sk-SK"/>
              </w:rPr>
              <w:t>*  P - príjmová položka, V - výdavková položka; ** (+) reštrikcia (-) expanzia</w:t>
            </w:r>
          </w:p>
        </w:tc>
        <w:tc>
          <w:tcPr>
            <w:tcW w:w="547"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sz w:val="18"/>
                <w:szCs w:val="18"/>
                <w:lang w:eastAsia="sk-SK"/>
              </w:rPr>
            </w:pPr>
          </w:p>
        </w:tc>
        <w:tc>
          <w:tcPr>
            <w:tcW w:w="326"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sz w:val="20"/>
                <w:szCs w:val="20"/>
                <w:lang w:eastAsia="sk-SK"/>
              </w:rPr>
            </w:pPr>
          </w:p>
        </w:tc>
        <w:tc>
          <w:tcPr>
            <w:tcW w:w="327"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sz w:val="20"/>
                <w:szCs w:val="20"/>
                <w:lang w:eastAsia="sk-SK"/>
              </w:rPr>
            </w:pPr>
          </w:p>
        </w:tc>
        <w:tc>
          <w:tcPr>
            <w:tcW w:w="325" w:type="pct"/>
            <w:tcBorders>
              <w:top w:val="nil"/>
              <w:left w:val="nil"/>
              <w:bottom w:val="nil"/>
              <w:right w:val="nil"/>
            </w:tcBorders>
            <w:noWrap/>
            <w:textDirection w:val="lrTb"/>
            <w:vAlign w:val="center"/>
            <w:hideMark/>
          </w:tcPr>
          <w:p w:rsidR="00BF6B35" w:rsidRPr="00A53EAC" w:rsidP="00BF6B35">
            <w:pPr>
              <w:bidi w:val="0"/>
              <w:spacing w:after="0" w:line="240" w:lineRule="auto"/>
              <w:rPr>
                <w:rFonts w:ascii="Times New Roman" w:hAnsi="Times New Roman" w:cs="Times New Roman"/>
                <w:sz w:val="20"/>
                <w:szCs w:val="20"/>
                <w:lang w:eastAsia="sk-SK"/>
              </w:rPr>
            </w:pPr>
          </w:p>
        </w:tc>
      </w:tr>
    </w:tbl>
    <w:p w:rsidR="00B156C8" w:rsidRPr="00A53EAC" w:rsidP="00814B76">
      <w:pPr>
        <w:bidi w:val="0"/>
        <w:spacing w:before="240" w:after="0" w:line="336" w:lineRule="auto"/>
        <w:jc w:val="both"/>
        <w:rPr>
          <w:rFonts w:ascii="Times New Roman" w:hAnsi="Times New Roman" w:cs="Times New Roman"/>
        </w:rPr>
      </w:pPr>
      <w:r w:rsidRPr="00A53EAC">
        <w:rPr>
          <w:rFonts w:ascii="Times New Roman" w:hAnsi="Times New Roman" w:cs="Times New Roman"/>
          <w:b/>
        </w:rPr>
        <w:t xml:space="preserve">V roku 2014 boli identifikované jednorazové opatrenia </w:t>
      </w:r>
      <w:r w:rsidRPr="00A53EAC" w:rsidR="00814B76">
        <w:rPr>
          <w:rFonts w:ascii="Times New Roman" w:hAnsi="Times New Roman" w:cs="Times New Roman"/>
          <w:b/>
        </w:rPr>
        <w:t>vo</w:t>
      </w:r>
      <w:r w:rsidRPr="00A53EAC">
        <w:rPr>
          <w:rFonts w:ascii="Times New Roman" w:hAnsi="Times New Roman" w:cs="Times New Roman"/>
          <w:b/>
        </w:rPr>
        <w:t xml:space="preserve"> výške </w:t>
      </w:r>
      <w:r w:rsidRPr="00A53EAC">
        <w:rPr>
          <w:rFonts w:ascii="Times New Roman" w:hAnsi="Times New Roman" w:cs="Times New Roman"/>
          <w:b/>
          <w:bCs/>
        </w:rPr>
        <w:t>237 536 tis. eur (</w:t>
      </w:r>
      <w:r w:rsidRPr="00A53EAC">
        <w:rPr>
          <w:rFonts w:ascii="Times New Roman" w:hAnsi="Times New Roman" w:cs="Times New Roman"/>
          <w:b/>
        </w:rPr>
        <w:t>0,3 % HDP</w:t>
      </w:r>
      <w:r w:rsidRPr="00A53EAC" w:rsidR="00814B76">
        <w:rPr>
          <w:rFonts w:ascii="Times New Roman" w:hAnsi="Times New Roman" w:cs="Times New Roman"/>
          <w:b/>
        </w:rPr>
        <w:t>)</w:t>
      </w:r>
      <w:r w:rsidRPr="00A53EAC" w:rsidR="00814B76">
        <w:rPr>
          <w:rFonts w:ascii="Times New Roman" w:hAnsi="Times New Roman" w:cs="Times New Roman"/>
        </w:rPr>
        <w:t>:</w:t>
      </w:r>
    </w:p>
    <w:p w:rsidR="00814B76" w:rsidRPr="00A53EAC" w:rsidP="00EE7747">
      <w:pPr>
        <w:pStyle w:val="ListParagraph"/>
        <w:numPr>
          <w:numId w:val="18"/>
        </w:numPr>
        <w:bidi w:val="0"/>
        <w:spacing w:line="336" w:lineRule="auto"/>
        <w:contextualSpacing w:val="0"/>
        <w:jc w:val="both"/>
        <w:rPr>
          <w:rFonts w:ascii="Times New Roman" w:hAnsi="Times New Roman" w:cs="Times New Roman"/>
        </w:rPr>
      </w:pPr>
      <w:r w:rsidRPr="00A53EAC">
        <w:rPr>
          <w:rFonts w:ascii="Times New Roman" w:hAnsi="Times New Roman" w:cs="Times New Roman"/>
        </w:rPr>
        <w:t>Predaj telekomunikačných licencií - Úrad pre reguláciu elektronických komunikácií a poštových služieb uskutočnil aukciu na predaj voľných frekvencií na prevádzku mobilných sietí štvrtej generácie. V roku 2014 sa tak jednorazovo zvýšili nedaňové príjmy o </w:t>
      </w:r>
      <w:r w:rsidRPr="00A53EAC" w:rsidR="00EE7747">
        <w:rPr>
          <w:rFonts w:ascii="Times New Roman" w:hAnsi="Times New Roman" w:cs="Times New Roman"/>
        </w:rPr>
        <w:t>163 887 tis. eur.</w:t>
      </w:r>
    </w:p>
    <w:p w:rsidR="00EE7747" w:rsidRPr="00A53EAC" w:rsidP="00EE7747">
      <w:pPr>
        <w:pStyle w:val="ListParagraph"/>
        <w:numPr>
          <w:numId w:val="18"/>
        </w:numPr>
        <w:bidi w:val="0"/>
        <w:spacing w:line="336" w:lineRule="auto"/>
        <w:contextualSpacing w:val="0"/>
        <w:jc w:val="both"/>
        <w:rPr>
          <w:rFonts w:ascii="Times New Roman" w:hAnsi="Times New Roman" w:cs="Times New Roman"/>
        </w:rPr>
      </w:pPr>
      <w:r w:rsidRPr="00A53EAC">
        <w:rPr>
          <w:rFonts w:ascii="Times New Roman" w:hAnsi="Times New Roman" w:cs="Times New Roman"/>
        </w:rPr>
        <w:t>Pokuta Protimonopolného úradu SR - Začiatkom roka 2014 došlo k právoplatnému uzavretiu súdneho sporu protimonopolného úradu voči stavebným firmám podozrivým z kartelu. Výška pokuty bola stanovená na 44 657 tis. eur.</w:t>
      </w:r>
    </w:p>
    <w:p w:rsidR="00EE7747" w:rsidRPr="00A53EAC" w:rsidP="00EE7747">
      <w:pPr>
        <w:pStyle w:val="ListParagraph"/>
        <w:numPr>
          <w:numId w:val="18"/>
        </w:numPr>
        <w:bidi w:val="0"/>
        <w:spacing w:line="336" w:lineRule="auto"/>
        <w:contextualSpacing w:val="0"/>
        <w:jc w:val="both"/>
        <w:rPr>
          <w:rFonts w:ascii="Times New Roman" w:hAnsi="Times New Roman" w:cs="Times New Roman"/>
        </w:rPr>
      </w:pPr>
      <w:r w:rsidRPr="00A53EAC" w:rsidR="007542B8">
        <w:rPr>
          <w:rFonts w:ascii="Times New Roman" w:hAnsi="Times New Roman" w:cs="Times New Roman"/>
          <w:szCs w:val="36"/>
          <w:lang w:eastAsia="en-US"/>
        </w:rPr>
        <w:t>Nižší odvod do Európskej únie – Revízia odvod</w:t>
      </w:r>
      <w:r w:rsidRPr="00A53EAC" w:rsidR="00EC3F0D">
        <w:rPr>
          <w:rFonts w:ascii="Times New Roman" w:hAnsi="Times New Roman" w:cs="Times New Roman"/>
          <w:szCs w:val="36"/>
          <w:lang w:eastAsia="en-US"/>
        </w:rPr>
        <w:t>ov</w:t>
      </w:r>
      <w:r w:rsidRPr="00A53EAC" w:rsidR="007542B8">
        <w:rPr>
          <w:rFonts w:ascii="Times New Roman" w:hAnsi="Times New Roman" w:cs="Times New Roman"/>
          <w:szCs w:val="36"/>
          <w:lang w:eastAsia="en-US"/>
        </w:rPr>
        <w:t xml:space="preserve"> do rozpočtu EÚ zo zdrojov založených na DPH a HND vyplynula </w:t>
      </w:r>
      <w:r w:rsidRPr="00A53EAC" w:rsidR="00EC3F0D">
        <w:rPr>
          <w:rFonts w:ascii="Times New Roman" w:hAnsi="Times New Roman" w:cs="Times New Roman"/>
          <w:szCs w:val="36"/>
          <w:lang w:eastAsia="en-US"/>
        </w:rPr>
        <w:t>z úprav</w:t>
      </w:r>
      <w:r w:rsidRPr="00A53EAC" w:rsidR="00842FAA">
        <w:rPr>
          <w:rFonts w:ascii="Times New Roman" w:hAnsi="Times New Roman" w:cs="Times New Roman"/>
          <w:szCs w:val="36"/>
          <w:lang w:eastAsia="en-US"/>
        </w:rPr>
        <w:t>y</w:t>
      </w:r>
      <w:r w:rsidRPr="00A53EAC" w:rsidR="00EC3F0D">
        <w:rPr>
          <w:rFonts w:ascii="Times New Roman" w:hAnsi="Times New Roman" w:cs="Times New Roman"/>
          <w:szCs w:val="36"/>
          <w:lang w:eastAsia="en-US"/>
        </w:rPr>
        <w:t xml:space="preserve"> časových radov DPH a HND za obdobie 1995 až 2013. </w:t>
      </w:r>
      <w:r w:rsidRPr="00A53EAC" w:rsidR="007542B8">
        <w:rPr>
          <w:rFonts w:ascii="Times New Roman" w:hAnsi="Times New Roman" w:cs="Times New Roman"/>
          <w:szCs w:val="36"/>
          <w:lang w:eastAsia="en-US"/>
        </w:rPr>
        <w:t xml:space="preserve">Podľa usmernenia Eurostatu sa mala revízia odvodov do EÚ zaúčtovať akruálne do roku 2014 bez ohľadu na hotovostné </w:t>
      </w:r>
      <w:r w:rsidRPr="00A53EAC" w:rsidR="00EC3F0D">
        <w:rPr>
          <w:rFonts w:ascii="Times New Roman" w:hAnsi="Times New Roman" w:cs="Times New Roman"/>
          <w:szCs w:val="36"/>
          <w:lang w:eastAsia="en-US"/>
        </w:rPr>
        <w:t>vysporiadanie</w:t>
      </w:r>
      <w:r w:rsidRPr="00A53EAC" w:rsidR="007542B8">
        <w:rPr>
          <w:rFonts w:ascii="Times New Roman" w:hAnsi="Times New Roman" w:cs="Times New Roman"/>
          <w:szCs w:val="36"/>
          <w:lang w:eastAsia="en-US"/>
        </w:rPr>
        <w:t xml:space="preserve">, ktoré </w:t>
      </w:r>
      <w:r w:rsidRPr="00A53EAC" w:rsidR="00EC3F0D">
        <w:rPr>
          <w:rFonts w:ascii="Times New Roman" w:hAnsi="Times New Roman" w:cs="Times New Roman"/>
          <w:szCs w:val="36"/>
          <w:lang w:eastAsia="en-US"/>
        </w:rPr>
        <w:t xml:space="preserve">malo </w:t>
      </w:r>
      <w:r w:rsidRPr="00A53EAC" w:rsidR="007542B8">
        <w:rPr>
          <w:rFonts w:ascii="Times New Roman" w:hAnsi="Times New Roman" w:cs="Times New Roman"/>
          <w:szCs w:val="36"/>
          <w:lang w:eastAsia="en-US"/>
        </w:rPr>
        <w:t xml:space="preserve">čiastočne </w:t>
      </w:r>
      <w:r w:rsidRPr="00A53EAC" w:rsidR="00EC3F0D">
        <w:rPr>
          <w:rFonts w:ascii="Times New Roman" w:hAnsi="Times New Roman" w:cs="Times New Roman"/>
          <w:szCs w:val="36"/>
          <w:lang w:eastAsia="en-US"/>
        </w:rPr>
        <w:t>prebiehať aj</w:t>
      </w:r>
      <w:r w:rsidRPr="00A53EAC" w:rsidR="007542B8">
        <w:rPr>
          <w:rFonts w:ascii="Times New Roman" w:hAnsi="Times New Roman" w:cs="Times New Roman"/>
          <w:szCs w:val="36"/>
          <w:lang w:eastAsia="en-US"/>
        </w:rPr>
        <w:t xml:space="preserve"> v roku 2015. </w:t>
      </w:r>
      <w:r w:rsidRPr="00A53EAC" w:rsidR="00EC3F0D">
        <w:rPr>
          <w:rFonts w:ascii="Times New Roman" w:hAnsi="Times New Roman" w:cs="Times New Roman"/>
          <w:szCs w:val="36"/>
          <w:lang w:eastAsia="en-US"/>
        </w:rPr>
        <w:t>Zároveň došlo z dôvodu noviel rozpočtu EÚ k zníženiu národných odvodov na rok 2014. Celková revízia odvodov</w:t>
      </w:r>
      <w:r w:rsidRPr="00A53EAC" w:rsidR="00842FAA">
        <w:rPr>
          <w:rFonts w:ascii="Times New Roman" w:hAnsi="Times New Roman" w:cs="Times New Roman"/>
          <w:szCs w:val="36"/>
          <w:lang w:eastAsia="en-US"/>
        </w:rPr>
        <w:t xml:space="preserve"> jednorazovo znížila výdavky</w:t>
      </w:r>
      <w:r w:rsidRPr="00A53EAC" w:rsidR="007542B8">
        <w:rPr>
          <w:rFonts w:ascii="Times New Roman" w:hAnsi="Times New Roman" w:cs="Times New Roman"/>
          <w:szCs w:val="36"/>
          <w:lang w:eastAsia="en-US"/>
        </w:rPr>
        <w:t xml:space="preserve"> v sume </w:t>
      </w:r>
      <w:r w:rsidRPr="00A53EAC" w:rsidR="00842FAA">
        <w:rPr>
          <w:rFonts w:ascii="Times New Roman" w:hAnsi="Times New Roman" w:cs="Times New Roman"/>
          <w:szCs w:val="36"/>
          <w:lang w:eastAsia="en-US"/>
        </w:rPr>
        <w:t>87 444 tis.</w:t>
      </w:r>
      <w:r w:rsidRPr="00A53EAC" w:rsidR="007542B8">
        <w:rPr>
          <w:rFonts w:ascii="Times New Roman" w:hAnsi="Times New Roman" w:cs="Times New Roman"/>
          <w:szCs w:val="36"/>
          <w:lang w:eastAsia="en-US"/>
        </w:rPr>
        <w:t xml:space="preserve"> eur</w:t>
      </w:r>
      <w:r w:rsidRPr="00A53EAC" w:rsidR="00842FAA">
        <w:rPr>
          <w:rFonts w:ascii="Times New Roman" w:hAnsi="Times New Roman" w:cs="Times New Roman"/>
          <w:szCs w:val="36"/>
          <w:lang w:eastAsia="en-US"/>
        </w:rPr>
        <w:t>.</w:t>
      </w:r>
    </w:p>
    <w:p w:rsidR="00842FAA" w:rsidRPr="00A53EAC" w:rsidP="00842FAA">
      <w:pPr>
        <w:pStyle w:val="ListParagraph"/>
        <w:numPr>
          <w:numId w:val="18"/>
        </w:numPr>
        <w:bidi w:val="0"/>
        <w:spacing w:line="336" w:lineRule="auto"/>
        <w:contextualSpacing w:val="0"/>
        <w:jc w:val="both"/>
        <w:rPr>
          <w:rFonts w:ascii="Times New Roman" w:hAnsi="Times New Roman" w:cs="Times New Roman"/>
        </w:rPr>
      </w:pPr>
      <w:r w:rsidRPr="00A53EAC">
        <w:rPr>
          <w:rFonts w:ascii="Times New Roman" w:hAnsi="Times New Roman" w:cs="Times New Roman"/>
        </w:rPr>
        <w:t>Jednorazové starobné dôcho</w:t>
      </w:r>
      <w:r w:rsidRPr="00A53EAC" w:rsidR="006B0DB7">
        <w:rPr>
          <w:rFonts w:ascii="Times New Roman" w:hAnsi="Times New Roman" w:cs="Times New Roman"/>
        </w:rPr>
        <w:t>dky silovým zložkám – Sociálna p</w:t>
      </w:r>
      <w:r w:rsidRPr="00A53EAC">
        <w:rPr>
          <w:rFonts w:ascii="Times New Roman" w:hAnsi="Times New Roman" w:cs="Times New Roman"/>
        </w:rPr>
        <w:t xml:space="preserve">oisťovňa v minulosti zamietala vyplácanie dôchodkov pre príslušníkov silových zložiek, ktorí nemali odpracované minimálne obdobie potrebné na priznanie dôchodku vo všeobecnom systéme. Na základe rozsudkov Najvyššieho súdu </w:t>
      </w:r>
      <w:r w:rsidRPr="00A53EAC" w:rsidR="006B0DB7">
        <w:rPr>
          <w:rFonts w:ascii="Times New Roman" w:hAnsi="Times New Roman" w:cs="Times New Roman"/>
        </w:rPr>
        <w:t>SR v rokoch 2013 a</w:t>
      </w:r>
      <w:r w:rsidRPr="00A53EAC">
        <w:rPr>
          <w:rFonts w:ascii="Times New Roman" w:hAnsi="Times New Roman" w:cs="Times New Roman"/>
        </w:rPr>
        <w:t xml:space="preserve"> 2014 </w:t>
      </w:r>
      <w:r w:rsidRPr="00A53EAC" w:rsidR="006B0DB7">
        <w:rPr>
          <w:rFonts w:ascii="Times New Roman" w:hAnsi="Times New Roman" w:cs="Times New Roman"/>
        </w:rPr>
        <w:t xml:space="preserve">Sociálna poisťovňa spätne priznala výsluhové dôchodky zamestnancom ozbrojených zložiek, ktorí si ich nárokovali. </w:t>
      </w:r>
      <w:r w:rsidRPr="00A53EAC">
        <w:rPr>
          <w:rFonts w:ascii="Times New Roman" w:hAnsi="Times New Roman" w:cs="Times New Roman"/>
        </w:rPr>
        <w:t xml:space="preserve">Vyplácaná suma prekročila </w:t>
      </w:r>
      <w:r w:rsidRPr="00A53EAC" w:rsidR="006B0DB7">
        <w:rPr>
          <w:rFonts w:ascii="Times New Roman" w:hAnsi="Times New Roman" w:cs="Times New Roman"/>
        </w:rPr>
        <w:t xml:space="preserve">kritérium na zaradenie medzi jednorazové vplyvy </w:t>
      </w:r>
      <w:r w:rsidRPr="00A53EAC">
        <w:rPr>
          <w:rFonts w:ascii="Times New Roman" w:hAnsi="Times New Roman" w:cs="Times New Roman"/>
        </w:rPr>
        <w:t>0,05 % HDP len v roku 2014</w:t>
      </w:r>
      <w:r w:rsidRPr="00A53EAC" w:rsidR="001E633F">
        <w:rPr>
          <w:rFonts w:ascii="Times New Roman" w:hAnsi="Times New Roman" w:cs="Times New Roman"/>
        </w:rPr>
        <w:t>, kedy jednorazovo zvýšila výdavky v sume</w:t>
      </w:r>
      <w:r w:rsidRPr="00A53EAC">
        <w:rPr>
          <w:rFonts w:ascii="Times New Roman" w:hAnsi="Times New Roman" w:cs="Times New Roman"/>
        </w:rPr>
        <w:t xml:space="preserve"> </w:t>
      </w:r>
      <w:r w:rsidRPr="00A53EAC" w:rsidR="001E633F">
        <w:rPr>
          <w:rFonts w:ascii="Times New Roman" w:hAnsi="Times New Roman" w:cs="Times New Roman"/>
        </w:rPr>
        <w:t xml:space="preserve">58 452 tis. </w:t>
      </w:r>
      <w:r w:rsidRPr="00A53EAC">
        <w:rPr>
          <w:rFonts w:ascii="Times New Roman" w:hAnsi="Times New Roman" w:cs="Times New Roman"/>
        </w:rPr>
        <w:t>eur.</w:t>
      </w:r>
    </w:p>
    <w:p w:rsidR="008707A5" w:rsidRPr="00A53EAC" w:rsidP="00AE4F3F">
      <w:pPr>
        <w:bidi w:val="0"/>
        <w:spacing w:before="240" w:line="336" w:lineRule="auto"/>
        <w:jc w:val="both"/>
        <w:rPr>
          <w:rFonts w:ascii="Times New Roman" w:hAnsi="Times New Roman" w:cs="Times New Roman"/>
          <w:bCs/>
        </w:rPr>
      </w:pPr>
      <w:r w:rsidRPr="00A53EAC" w:rsidR="00B641E4">
        <w:rPr>
          <w:rFonts w:ascii="Times New Roman" w:hAnsi="Times New Roman" w:cs="Times New Roman"/>
        </w:rPr>
        <w:t>Cyklická zložka</w:t>
      </w:r>
      <w:r w:rsidRPr="00A53EAC">
        <w:rPr>
          <w:rFonts w:ascii="Times New Roman" w:hAnsi="Times New Roman" w:cs="Times New Roman"/>
        </w:rPr>
        <w:t xml:space="preserve"> vyjadruje reakciu príjmov a výdavkov verejnej správy na zmeny v produkčnej medzere</w:t>
      </w:r>
      <w:r w:rsidRPr="00A53EAC" w:rsidR="008411B5">
        <w:rPr>
          <w:rFonts w:ascii="Times New Roman" w:hAnsi="Times New Roman" w:cs="Times New Roman"/>
        </w:rPr>
        <w:t xml:space="preserve">, ktoré vyplývajú </w:t>
      </w:r>
      <w:r w:rsidRPr="00A53EAC">
        <w:rPr>
          <w:rFonts w:ascii="Times New Roman" w:hAnsi="Times New Roman" w:cs="Times New Roman"/>
        </w:rPr>
        <w:t>z </w:t>
      </w:r>
      <w:r w:rsidRPr="00A53EAC" w:rsidR="00B82629">
        <w:rPr>
          <w:rFonts w:ascii="Times New Roman" w:hAnsi="Times New Roman" w:cs="Times New Roman"/>
        </w:rPr>
        <w:t>fluktuácie</w:t>
      </w:r>
      <w:r w:rsidRPr="00A53EAC">
        <w:rPr>
          <w:rFonts w:ascii="Times New Roman" w:hAnsi="Times New Roman" w:cs="Times New Roman"/>
        </w:rPr>
        <w:t xml:space="preserve"> ekonomiky okolo svojho potenciálu. Veľkosť cyklickej zložky závisí od veľkosti produkčnej medzery a od elasticít vybraných príjmových a výdavkových kategórií, ktoré reagujú na výkyvy v ekonomickej aktivite.</w:t>
      </w:r>
      <w:r w:rsidRPr="00A53EAC" w:rsidR="008411B5">
        <w:rPr>
          <w:rFonts w:ascii="Times New Roman" w:hAnsi="Times New Roman" w:cs="Times New Roman"/>
        </w:rPr>
        <w:t xml:space="preserve"> V roku 2014 sa slovenská ekonomika nachádzala naďalej pod svojím potenciálom. Odhadnutá cyklická zložka znížila štrukturálne saldo o 0,7 % HDP.</w:t>
      </w:r>
    </w:p>
    <w:p w:rsidR="008707A5" w:rsidRPr="00A53EAC" w:rsidP="00C15EB2">
      <w:pPr>
        <w:bidi w:val="0"/>
        <w:spacing w:before="240" w:line="336" w:lineRule="auto"/>
        <w:jc w:val="both"/>
        <w:rPr>
          <w:rFonts w:ascii="Times New Roman" w:hAnsi="Times New Roman" w:cs="Times New Roman"/>
        </w:rPr>
      </w:pPr>
      <w:r w:rsidRPr="00A53EAC" w:rsidR="008411B5">
        <w:rPr>
          <w:rFonts w:ascii="Times New Roman" w:hAnsi="Times New Roman" w:cs="Times New Roman"/>
        </w:rPr>
        <w:t>Š</w:t>
      </w:r>
      <w:r w:rsidRPr="00A53EAC" w:rsidR="00B641E4">
        <w:rPr>
          <w:rFonts w:ascii="Times New Roman" w:hAnsi="Times New Roman" w:cs="Times New Roman"/>
        </w:rPr>
        <w:t>trukturálne</w:t>
      </w:r>
      <w:r w:rsidRPr="00A53EAC" w:rsidR="008411B5">
        <w:rPr>
          <w:rFonts w:ascii="Times New Roman" w:hAnsi="Times New Roman" w:cs="Times New Roman"/>
        </w:rPr>
        <w:t xml:space="preserve"> saldo</w:t>
      </w:r>
      <w:r w:rsidRPr="00A53EAC" w:rsidR="00B641E4">
        <w:rPr>
          <w:rFonts w:ascii="Times New Roman" w:hAnsi="Times New Roman" w:cs="Times New Roman"/>
        </w:rPr>
        <w:t xml:space="preserve"> je definované ako saldo verejnej správy upravené o jednorazové vplyvy a vplyv hospodárskeho cyklu</w:t>
      </w:r>
      <w:r w:rsidRPr="00A53EAC" w:rsidR="00DF429A">
        <w:rPr>
          <w:rFonts w:ascii="Times New Roman" w:hAnsi="Times New Roman" w:cs="Times New Roman"/>
        </w:rPr>
        <w:t xml:space="preserve"> (cyklickú zložku).</w:t>
      </w:r>
      <w:r w:rsidRPr="00A53EAC" w:rsidR="00DF429A">
        <w:rPr>
          <w:rFonts w:ascii="Times New Roman" w:hAnsi="Times New Roman" w:cs="Times New Roman"/>
          <w:bCs/>
        </w:rPr>
        <w:t xml:space="preserve"> </w:t>
      </w:r>
      <w:r w:rsidRPr="00A53EAC">
        <w:rPr>
          <w:rFonts w:ascii="Times New Roman" w:hAnsi="Times New Roman" w:cs="Times New Roman"/>
        </w:rPr>
        <w:t>Štrukturálny deficit dosiahol v roku 201</w:t>
      </w:r>
      <w:r w:rsidRPr="00A53EAC" w:rsidR="00DF429A">
        <w:rPr>
          <w:rFonts w:ascii="Times New Roman" w:hAnsi="Times New Roman" w:cs="Times New Roman"/>
        </w:rPr>
        <w:t>4 výšku 2,4 % HDP.</w:t>
      </w:r>
      <w:r w:rsidRPr="00A53EAC" w:rsidR="00DF429A">
        <w:rPr>
          <w:rFonts w:ascii="Times New Roman" w:hAnsi="Times New Roman" w:cs="Times New Roman"/>
          <w:b/>
        </w:rPr>
        <w:t xml:space="preserve"> F</w:t>
      </w:r>
      <w:r w:rsidRPr="00A53EAC">
        <w:rPr>
          <w:rFonts w:ascii="Times New Roman" w:hAnsi="Times New Roman" w:cs="Times New Roman"/>
          <w:b/>
        </w:rPr>
        <w:t xml:space="preserve">iškálna politika bola </w:t>
      </w:r>
      <w:r w:rsidRPr="00A53EAC" w:rsidR="00DF429A">
        <w:rPr>
          <w:rFonts w:ascii="Times New Roman" w:hAnsi="Times New Roman" w:cs="Times New Roman"/>
          <w:b/>
        </w:rPr>
        <w:t>vzhľadom na medziročný rast štrukturálneho deficitu o 0,5 % HDP mierne expanzívna</w:t>
      </w:r>
      <w:r w:rsidRPr="00A53EAC">
        <w:rPr>
          <w:rFonts w:ascii="Times New Roman" w:hAnsi="Times New Roman" w:cs="Times New Roman"/>
        </w:rPr>
        <w:t>.</w:t>
      </w:r>
    </w:p>
    <w:p w:rsidR="00DF429A" w:rsidRPr="00A53EAC" w:rsidP="00C15EB2">
      <w:pPr>
        <w:bidi w:val="0"/>
        <w:spacing w:before="240" w:line="336" w:lineRule="auto"/>
        <w:jc w:val="both"/>
        <w:rPr>
          <w:rFonts w:ascii="Times New Roman" w:hAnsi="Times New Roman" w:cs="Times New Roman"/>
          <w:bCs/>
        </w:rPr>
      </w:pPr>
      <w:r w:rsidRPr="00A53EAC" w:rsidR="00D60BE1">
        <w:rPr>
          <w:rFonts w:ascii="Times New Roman" w:hAnsi="Times New Roman" w:cs="Times New Roman"/>
          <w:bCs/>
        </w:rPr>
        <w:t>Počnúc rokom</w:t>
      </w:r>
      <w:r w:rsidRPr="00A53EAC" w:rsidR="00EC1E66">
        <w:rPr>
          <w:rFonts w:ascii="Times New Roman" w:hAnsi="Times New Roman" w:cs="Times New Roman"/>
          <w:bCs/>
        </w:rPr>
        <w:t xml:space="preserve"> 2014 </w:t>
      </w:r>
      <w:r w:rsidRPr="00A53EAC" w:rsidR="00D60BE1">
        <w:rPr>
          <w:rFonts w:ascii="Times New Roman" w:hAnsi="Times New Roman" w:cs="Times New Roman"/>
          <w:bCs/>
        </w:rPr>
        <w:t>nadobúda štrukturálne saldo zásadný význam</w:t>
      </w:r>
      <w:r w:rsidRPr="00A53EAC" w:rsidR="00EC1E66">
        <w:rPr>
          <w:rFonts w:ascii="Times New Roman" w:hAnsi="Times New Roman" w:cs="Times New Roman"/>
          <w:bCs/>
        </w:rPr>
        <w:t xml:space="preserve"> z hľadiska hodnotenia </w:t>
      </w:r>
      <w:r w:rsidRPr="00A53EAC" w:rsidR="002D6090">
        <w:rPr>
          <w:rFonts w:ascii="Times New Roman" w:hAnsi="Times New Roman" w:cs="Times New Roman"/>
          <w:bCs/>
        </w:rPr>
        <w:t>slovenských verejných financií</w:t>
      </w:r>
      <w:r w:rsidRPr="00A53EAC" w:rsidR="00D60BE1">
        <w:rPr>
          <w:rFonts w:ascii="Times New Roman" w:hAnsi="Times New Roman" w:cs="Times New Roman"/>
          <w:bCs/>
        </w:rPr>
        <w:t xml:space="preserve"> a národných fiškálnych pravidiel. </w:t>
      </w:r>
      <w:r w:rsidRPr="00A53EAC" w:rsidR="0083205F">
        <w:rPr>
          <w:rFonts w:ascii="Times New Roman" w:hAnsi="Times New Roman" w:cs="Times New Roman"/>
          <w:bCs/>
        </w:rPr>
        <w:t>Z dôvodu implementácie</w:t>
      </w:r>
      <w:r w:rsidRPr="00A53EAC" w:rsidR="00D60BE1">
        <w:rPr>
          <w:rFonts w:ascii="Times New Roman" w:hAnsi="Times New Roman" w:cs="Times New Roman"/>
          <w:bCs/>
        </w:rPr>
        <w:t xml:space="preserve"> európskeho fiškálneho kompaktu </w:t>
      </w:r>
      <w:r w:rsidRPr="00A53EAC" w:rsidR="0083205F">
        <w:rPr>
          <w:rFonts w:ascii="Times New Roman" w:hAnsi="Times New Roman" w:cs="Times New Roman"/>
          <w:bCs/>
        </w:rPr>
        <w:t>bolo</w:t>
      </w:r>
      <w:r w:rsidRPr="00A53EAC" w:rsidR="00D60BE1">
        <w:rPr>
          <w:rFonts w:ascii="Times New Roman" w:hAnsi="Times New Roman" w:cs="Times New Roman"/>
          <w:bCs/>
        </w:rPr>
        <w:t xml:space="preserve"> do zákona o rozpočtových pravidlách verejnej správy</w:t>
      </w:r>
      <w:r w:rsidRPr="00A53EAC" w:rsidR="0083205F">
        <w:rPr>
          <w:rFonts w:ascii="Times New Roman" w:hAnsi="Times New Roman" w:cs="Times New Roman"/>
          <w:bCs/>
        </w:rPr>
        <w:t xml:space="preserve"> premietnuté pravidlo o vyrovnanom rozpočte s účinnosťou od 1.1.2014. Podľa tohto pravidla je rozpočet vyrovnaný, ak je štrukturálny deficit verejnej správy vo výške maximálne 0,5 % HDP.</w:t>
      </w:r>
      <w:r w:rsidRPr="00A53EAC" w:rsidR="00191267">
        <w:rPr>
          <w:rFonts w:ascii="Times New Roman" w:hAnsi="Times New Roman" w:cs="Times New Roman"/>
          <w:bCs/>
        </w:rPr>
        <w:t xml:space="preserve"> Ak rozpočet nie je vyrovnaný alebo sa verejné financie nekonsolidujú dostatočným tempom k naplneniu tohto cieľa (znižovaním štrukturálneho deficitu a</w:t>
      </w:r>
      <w:r w:rsidRPr="00A53EAC" w:rsidR="002D6090">
        <w:rPr>
          <w:rFonts w:ascii="Times New Roman" w:hAnsi="Times New Roman" w:cs="Times New Roman"/>
          <w:bCs/>
        </w:rPr>
        <w:t xml:space="preserve"> primeraným vývojom upravených výdavkov), uplatní sa </w:t>
      </w:r>
      <w:r w:rsidRPr="00A53EAC" w:rsidR="00191267">
        <w:rPr>
          <w:rFonts w:ascii="Times New Roman" w:hAnsi="Times New Roman" w:cs="Times New Roman"/>
          <w:bCs/>
        </w:rPr>
        <w:t>tzv. korekčný mechanizmus</w:t>
      </w:r>
      <w:r w:rsidRPr="00A53EAC" w:rsidR="002D6090">
        <w:rPr>
          <w:rFonts w:ascii="Times New Roman" w:hAnsi="Times New Roman" w:cs="Times New Roman"/>
          <w:bCs/>
        </w:rPr>
        <w:t xml:space="preserve">. Korekčný mechanizmus obsahuje limit verejných výdavkov a konsolidačné opatrenia zamerané na korekciu </w:t>
      </w:r>
      <w:r w:rsidRPr="00A53EAC" w:rsidR="00B206B6">
        <w:rPr>
          <w:rFonts w:ascii="Times New Roman" w:hAnsi="Times New Roman" w:cs="Times New Roman"/>
          <w:bCs/>
        </w:rPr>
        <w:t xml:space="preserve">výraznej </w:t>
      </w:r>
      <w:r w:rsidRPr="00A53EAC" w:rsidR="002D6090">
        <w:rPr>
          <w:rFonts w:ascii="Times New Roman" w:hAnsi="Times New Roman" w:cs="Times New Roman"/>
          <w:bCs/>
        </w:rPr>
        <w:t xml:space="preserve">odchýlky medzi skutočným a predpísaným stavom rozpočtu. </w:t>
      </w:r>
      <w:r w:rsidRPr="00A53EAC" w:rsidR="00B206B6">
        <w:rPr>
          <w:rFonts w:ascii="Times New Roman" w:hAnsi="Times New Roman" w:cs="Times New Roman"/>
          <w:bCs/>
        </w:rPr>
        <w:t>Podľa zákona je Ministerstvo financií SR povinné dvakrát ročne (do 30. júna a 30. novembra) zverejniť hodnotenie, či došlo k výraznej odchýlke od pravidla vyrovnaného rozpočtu. Následne po MF SR svoje hodnotenie zverejňuje Rada rozpočtovej zodpovednosti ako poverený nezávislý orgán.</w:t>
      </w:r>
    </w:p>
    <w:p w:rsidR="00B206B6" w:rsidRPr="00A53EAC" w:rsidP="00C15EB2">
      <w:pPr>
        <w:bidi w:val="0"/>
        <w:spacing w:before="240" w:line="336" w:lineRule="auto"/>
        <w:jc w:val="both"/>
        <w:rPr>
          <w:rFonts w:ascii="Times New Roman" w:hAnsi="Times New Roman" w:cs="Times New Roman"/>
          <w:bCs/>
        </w:rPr>
      </w:pPr>
      <w:r w:rsidRPr="00A53EAC">
        <w:rPr>
          <w:rFonts w:ascii="Times New Roman" w:hAnsi="Times New Roman" w:cs="Times New Roman"/>
          <w:bCs/>
        </w:rPr>
        <w:t>Obe inštitúcie vo svojich prvých hodnoteniach konštatovali, že v roku 2014 nedošlo k výraznej odchýlke od plnenia pravidla o vyrovnanom rozpočte</w:t>
      </w:r>
      <w:r w:rsidR="00F37242">
        <w:rPr>
          <w:rFonts w:ascii="Times New Roman" w:hAnsi="Times New Roman" w:cs="Times New Roman"/>
          <w:bCs/>
        </w:rPr>
        <w:t>,</w:t>
      </w:r>
      <w:r w:rsidRPr="00A53EAC">
        <w:rPr>
          <w:rFonts w:ascii="Times New Roman" w:hAnsi="Times New Roman" w:cs="Times New Roman"/>
          <w:bCs/>
        </w:rPr>
        <w:t xml:space="preserve"> a preto sa nenavrhuje spustenie korekčného mechanizmu.</w:t>
      </w:r>
      <w:r w:rsidRPr="00A53EAC" w:rsidR="007B31ED">
        <w:rPr>
          <w:rFonts w:ascii="Times New Roman" w:hAnsi="Times New Roman" w:cs="Times New Roman"/>
          <w:bCs/>
        </w:rPr>
        <w:t xml:space="preserve"> Podobne Európska komisia vo svojom hodnotení pravidiel Paktu stability a rastu, ktoré stanovujú tempo znižovania štrukturálneho deficitu a upravených výdavkov, nekonštatovala v roku 2014 výraznú odchýlku. </w:t>
      </w:r>
    </w:p>
    <w:p w:rsidR="008707A5" w:rsidRPr="00A53EAC" w:rsidP="001767F0">
      <w:pPr>
        <w:pStyle w:val="Heading2"/>
        <w:numPr>
          <w:numId w:val="3"/>
        </w:numPr>
        <w:bidi w:val="0"/>
        <w:spacing w:before="120" w:after="120"/>
        <w:ind w:left="425" w:hanging="425"/>
        <w:rPr>
          <w:rFonts w:hint="default"/>
        </w:rPr>
      </w:pPr>
      <w:bookmarkStart w:id="57" w:name="_Toc401920021"/>
      <w:bookmarkStart w:id="58" w:name="_Toc433099567"/>
      <w:r w:rsidRPr="00A53EAC">
        <w:rPr>
          <w:rFonts w:hint="default"/>
        </w:rPr>
        <w:t>Č</w:t>
      </w:r>
      <w:r w:rsidRPr="00A53EAC">
        <w:rPr>
          <w:rFonts w:hint="default"/>
        </w:rPr>
        <w:t>istý</w:t>
      </w:r>
      <w:r w:rsidRPr="00A53EAC">
        <w:rPr>
          <w:rFonts w:hint="default"/>
        </w:rPr>
        <w:t xml:space="preserve"> dlh verejnej sprá</w:t>
      </w:r>
      <w:r w:rsidRPr="00A53EAC">
        <w:rPr>
          <w:rFonts w:hint="default"/>
        </w:rPr>
        <w:t>vy</w:t>
      </w:r>
      <w:bookmarkEnd w:id="57"/>
      <w:bookmarkEnd w:id="58"/>
    </w:p>
    <w:p w:rsidR="008707A5" w:rsidRPr="00A53EAC" w:rsidP="008707A5">
      <w:pPr>
        <w:bidi w:val="0"/>
        <w:spacing w:after="120" w:line="336" w:lineRule="auto"/>
        <w:jc w:val="both"/>
        <w:rPr>
          <w:rFonts w:ascii="Times New Roman" w:hAnsi="Times New Roman" w:cs="Times New Roman"/>
        </w:rPr>
      </w:pPr>
      <w:r w:rsidRPr="00A53EAC">
        <w:rPr>
          <w:rFonts w:ascii="Times New Roman" w:hAnsi="Times New Roman" w:cs="Times New Roman"/>
        </w:rPr>
        <w:t xml:space="preserve">Čistý dlh ukazuje schopnosť štátu splatiť svoj hrubý dlh na základe speňaženia svojich najlikvidnejších finančných aktív. Pokiaľ hrubý dlh verejnej správy prezentovaný v prvej kapitole je presne vymedzený v metodike ESA 2010, metodiku čistého dlhu zatiaľ upravuje len definícia v usmernení Európskej komisie. Podľa tejto definície čistý dlh verejnej správy predstavuje rozdiel medzi hrubým maastrichtským dlhom a súčtom zlata a SDR, hotovosti, cenných papierov v trhovej hodnote (okrem akcií) a kótovaných akcií v trhovej hodnote. </w:t>
      </w:r>
    </w:p>
    <w:p w:rsidR="00CB7EBC" w:rsidRPr="00A53EAC" w:rsidP="00C15AF7">
      <w:pPr>
        <w:bidi w:val="0"/>
        <w:spacing w:before="120" w:after="120" w:line="336" w:lineRule="auto"/>
        <w:jc w:val="both"/>
        <w:rPr>
          <w:rFonts w:ascii="Times New Roman" w:hAnsi="Times New Roman" w:cs="Times New Roman"/>
        </w:rPr>
      </w:pPr>
      <w:r w:rsidRPr="00A53EAC" w:rsidR="008707A5">
        <w:rPr>
          <w:rFonts w:ascii="Times New Roman" w:hAnsi="Times New Roman" w:cs="Times New Roman"/>
        </w:rPr>
        <w:t xml:space="preserve">Čistý dlh verejnej správy je analyticky vhodnejší ukazovateľ ako hrubý dlh pri pohľade na medziročnú dynamiku dlhu, pretože na rozdiel od ukazovateľa hrubého dlhu eliminuje rozdiely vzniknuté nárastom alebo poklesom finančných aktív a tým vernejšie zobrazuje skutočný nárast zadlženosti štátu. </w:t>
      </w:r>
      <w:r w:rsidRPr="00A53EAC" w:rsidR="0025486C">
        <w:rPr>
          <w:rFonts w:ascii="Times New Roman" w:hAnsi="Times New Roman" w:cs="Times New Roman"/>
        </w:rPr>
        <w:t>Pokým hrubý dlh dosiahol k 31.12.2014 na HDP hodnotu</w:t>
      </w:r>
      <w:r w:rsidRPr="00A53EAC" w:rsidR="00BE1688">
        <w:rPr>
          <w:rFonts w:ascii="Times New Roman" w:hAnsi="Times New Roman" w:cs="Times New Roman"/>
        </w:rPr>
        <w:t xml:space="preserve"> 53,5 % HDP a</w:t>
      </w:r>
      <w:r w:rsidRPr="00A53EAC" w:rsidR="0025486C">
        <w:rPr>
          <w:rFonts w:ascii="Times New Roman" w:hAnsi="Times New Roman" w:cs="Times New Roman"/>
        </w:rPr>
        <w:t xml:space="preserve"> </w:t>
      </w:r>
      <w:r w:rsidRPr="00A53EAC" w:rsidR="00BE1688">
        <w:rPr>
          <w:rFonts w:ascii="Times New Roman" w:hAnsi="Times New Roman" w:cs="Times New Roman"/>
        </w:rPr>
        <w:t xml:space="preserve">medziročne </w:t>
      </w:r>
      <w:r w:rsidRPr="00A53EAC" w:rsidR="0025486C">
        <w:rPr>
          <w:rFonts w:ascii="Times New Roman" w:hAnsi="Times New Roman" w:cs="Times New Roman"/>
        </w:rPr>
        <w:t>poklesol o</w:t>
      </w:r>
      <w:r w:rsidRPr="00A53EAC" w:rsidR="00BE1688">
        <w:rPr>
          <w:rFonts w:ascii="Times New Roman" w:hAnsi="Times New Roman" w:cs="Times New Roman"/>
        </w:rPr>
        <w:t> 1,1 p.b</w:t>
      </w:r>
      <w:r w:rsidRPr="00A53EAC" w:rsidR="00C15AF7">
        <w:rPr>
          <w:rFonts w:ascii="Times New Roman" w:hAnsi="Times New Roman" w:cs="Times New Roman"/>
        </w:rPr>
        <w:t>.</w:t>
      </w:r>
      <w:r w:rsidRPr="00A53EAC" w:rsidR="00BE1688">
        <w:rPr>
          <w:rFonts w:ascii="Times New Roman" w:hAnsi="Times New Roman" w:cs="Times New Roman"/>
        </w:rPr>
        <w:t xml:space="preserve">, </w:t>
      </w:r>
      <w:r w:rsidRPr="00A53EAC" w:rsidR="00BE1688">
        <w:rPr>
          <w:rFonts w:ascii="Times New Roman" w:hAnsi="Times New Roman" w:cs="Times New Roman"/>
          <w:b/>
        </w:rPr>
        <w:t>čistý dlh Slovenskej republiky dosiahol k 31.12.2014 výšku 37 742 995 tis. eur (50,0 % HDP) a oproti roku 2013 vzrástol o 1,9 p.b.</w:t>
      </w:r>
      <w:r w:rsidRPr="00A53EAC" w:rsidR="00BE1688">
        <w:rPr>
          <w:rFonts w:ascii="Times New Roman" w:hAnsi="Times New Roman" w:cs="Times New Roman"/>
        </w:rPr>
        <w:t xml:space="preserve"> </w:t>
      </w:r>
      <w:r w:rsidRPr="00A53EAC" w:rsidR="00350FCE">
        <w:rPr>
          <w:rFonts w:ascii="Times New Roman" w:hAnsi="Times New Roman" w:cs="Times New Roman"/>
        </w:rPr>
        <w:t xml:space="preserve">Rozdielny </w:t>
      </w:r>
      <w:r w:rsidRPr="00A53EAC" w:rsidR="00C15AF7">
        <w:rPr>
          <w:rFonts w:ascii="Times New Roman" w:hAnsi="Times New Roman" w:cs="Times New Roman"/>
        </w:rPr>
        <w:t>trend vývoja hrubého a čistého dlhu bol zapríčinený použitím hotovostných rezerv verejnej správy na financovanie dlhu.</w:t>
      </w:r>
    </w:p>
    <w:p w:rsidR="00CB210E">
      <w:pPr>
        <w:bidi w:val="0"/>
      </w:pPr>
      <w:bookmarkStart w:id="59" w:name="_Toc399324368"/>
      <w:bookmarkStart w:id="60" w:name="_Toc401920022"/>
      <w:bookmarkEnd w:id="56"/>
      <w:r>
        <w:br w:type="page"/>
      </w:r>
    </w:p>
    <w:tbl>
      <w:tblPr>
        <w:tblStyle w:val="TableNormal"/>
        <w:tblW w:w="5000" w:type="pct"/>
        <w:tblCellMar>
          <w:left w:w="70" w:type="dxa"/>
          <w:right w:w="70" w:type="dxa"/>
        </w:tblCellMar>
        <w:tblLook w:val="04A0"/>
      </w:tblPr>
      <w:tblGrid>
        <w:gridCol w:w="2554"/>
        <w:gridCol w:w="541"/>
        <w:gridCol w:w="1269"/>
        <w:gridCol w:w="1269"/>
        <w:gridCol w:w="1269"/>
        <w:gridCol w:w="847"/>
        <w:gridCol w:w="847"/>
        <w:gridCol w:w="615"/>
      </w:tblGrid>
      <w:tr>
        <w:tblPrEx>
          <w:tblW w:w="5000" w:type="pct"/>
          <w:tblCellMar>
            <w:left w:w="70" w:type="dxa"/>
            <w:right w:w="70" w:type="dxa"/>
          </w:tblCellMar>
          <w:tblLook w:val="04A0"/>
        </w:tblPrEx>
        <w:trPr>
          <w:trHeight w:val="255"/>
        </w:trPr>
        <w:tc>
          <w:tcPr>
            <w:tcW w:w="4666" w:type="pct"/>
            <w:gridSpan w:val="7"/>
            <w:tcBorders>
              <w:top w:val="nil"/>
              <w:left w:val="nil"/>
              <w:bottom w:val="nil"/>
              <w:right w:val="nil"/>
            </w:tcBorders>
            <w:shd w:val="clear" w:color="000000" w:fill="000000"/>
            <w:textDirection w:val="lrTb"/>
            <w:vAlign w:val="center"/>
            <w:hideMark/>
          </w:tcPr>
          <w:p w:rsidR="00C15AF7" w:rsidRPr="00A53EAC" w:rsidP="00667B85">
            <w:pPr>
              <w:bidi w:val="0"/>
              <w:spacing w:after="0" w:line="240" w:lineRule="auto"/>
              <w:jc w:val="both"/>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Čistý dlh verejnej správy</w:t>
            </w:r>
          </w:p>
        </w:tc>
        <w:tc>
          <w:tcPr>
            <w:tcW w:w="334" w:type="pct"/>
            <w:tcBorders>
              <w:top w:val="nil"/>
              <w:left w:val="nil"/>
              <w:bottom w:val="nil"/>
              <w:right w:val="nil"/>
            </w:tcBorders>
            <w:shd w:val="clear" w:color="000000" w:fill="000000"/>
            <w:noWrap/>
            <w:textDirection w:val="lrTb"/>
            <w:vAlign w:val="center"/>
            <w:hideMark/>
          </w:tcPr>
          <w:p w:rsidR="00C15AF7" w:rsidRPr="00A53EAC" w:rsidP="00667B85">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r>
      <w:tr>
        <w:tblPrEx>
          <w:tblW w:w="5000" w:type="pct"/>
          <w:tblCellMar>
            <w:left w:w="70" w:type="dxa"/>
            <w:right w:w="70" w:type="dxa"/>
          </w:tblCellMar>
          <w:tblLook w:val="04A0"/>
        </w:tblPrEx>
        <w:trPr>
          <w:trHeight w:val="255"/>
        </w:trPr>
        <w:tc>
          <w:tcPr>
            <w:tcW w:w="1386" w:type="pct"/>
            <w:tcBorders>
              <w:top w:val="nil"/>
              <w:left w:val="nil"/>
              <w:bottom w:val="nil"/>
              <w:right w:val="nil"/>
            </w:tcBorders>
            <w:shd w:val="clear" w:color="000000" w:fill="C0C0C0"/>
            <w:noWrap/>
            <w:textDirection w:val="lrTb"/>
            <w:vAlign w:val="center"/>
            <w:hideMark/>
          </w:tcPr>
          <w:p w:rsidR="00C15AF7" w:rsidRPr="00A53EAC" w:rsidP="00667B85">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c>
          <w:tcPr>
            <w:tcW w:w="293" w:type="pct"/>
            <w:tcBorders>
              <w:top w:val="nil"/>
              <w:left w:val="nil"/>
              <w:bottom w:val="nil"/>
              <w:right w:val="nil"/>
            </w:tcBorders>
            <w:shd w:val="clear" w:color="000000" w:fill="C0C0C0"/>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c>
          <w:tcPr>
            <w:tcW w:w="689" w:type="pct"/>
            <w:tcBorders>
              <w:top w:val="nil"/>
              <w:left w:val="nil"/>
              <w:bottom w:val="nil"/>
              <w:right w:val="nil"/>
            </w:tcBorders>
            <w:shd w:val="clear" w:color="000000" w:fill="C0C0C0"/>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c>
          <w:tcPr>
            <w:tcW w:w="689" w:type="pct"/>
            <w:tcBorders>
              <w:top w:val="nil"/>
              <w:left w:val="nil"/>
              <w:bottom w:val="nil"/>
              <w:right w:val="nil"/>
            </w:tcBorders>
            <w:shd w:val="clear" w:color="000000" w:fill="C0C0C0"/>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tis. eur</w:t>
            </w:r>
          </w:p>
        </w:tc>
        <w:tc>
          <w:tcPr>
            <w:tcW w:w="689" w:type="pct"/>
            <w:tcBorders>
              <w:top w:val="nil"/>
              <w:left w:val="nil"/>
              <w:bottom w:val="nil"/>
              <w:right w:val="nil"/>
            </w:tcBorders>
            <w:shd w:val="clear" w:color="000000" w:fill="C0C0C0"/>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c>
          <w:tcPr>
            <w:tcW w:w="460" w:type="pct"/>
            <w:tcBorders>
              <w:top w:val="nil"/>
              <w:left w:val="nil"/>
              <w:bottom w:val="nil"/>
              <w:right w:val="nil"/>
            </w:tcBorders>
            <w:shd w:val="clear" w:color="000000" w:fill="C0C0C0"/>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c>
          <w:tcPr>
            <w:tcW w:w="460" w:type="pct"/>
            <w:tcBorders>
              <w:top w:val="nil"/>
              <w:left w:val="nil"/>
              <w:bottom w:val="nil"/>
              <w:right w:val="nil"/>
            </w:tcBorders>
            <w:shd w:val="clear" w:color="000000" w:fill="C0C0C0"/>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HDP</w:t>
            </w:r>
          </w:p>
        </w:tc>
        <w:tc>
          <w:tcPr>
            <w:tcW w:w="334" w:type="pct"/>
            <w:tcBorders>
              <w:top w:val="nil"/>
              <w:left w:val="nil"/>
              <w:bottom w:val="nil"/>
              <w:right w:val="nil"/>
            </w:tcBorders>
            <w:shd w:val="clear" w:color="000000" w:fill="C0C0C0"/>
            <w:noWrap/>
            <w:textDirection w:val="lrTb"/>
            <w:vAlign w:val="center"/>
            <w:hideMark/>
          </w:tcPr>
          <w:p w:rsidR="00C15AF7" w:rsidRPr="00A53EAC" w:rsidP="00667B85">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r>
      <w:tr>
        <w:tblPrEx>
          <w:tblW w:w="5000" w:type="pct"/>
          <w:tblCellMar>
            <w:left w:w="70" w:type="dxa"/>
            <w:right w:w="70" w:type="dxa"/>
          </w:tblCellMar>
          <w:tblLook w:val="04A0"/>
        </w:tblPrEx>
        <w:trPr>
          <w:trHeight w:val="270"/>
        </w:trPr>
        <w:tc>
          <w:tcPr>
            <w:tcW w:w="1386" w:type="pct"/>
            <w:tcBorders>
              <w:top w:val="nil"/>
              <w:left w:val="nil"/>
              <w:bottom w:val="single" w:sz="8" w:space="0" w:color="auto"/>
              <w:right w:val="nil"/>
            </w:tcBorders>
            <w:shd w:val="clear" w:color="000000" w:fill="C0C0C0"/>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c>
          <w:tcPr>
            <w:tcW w:w="293" w:type="pct"/>
            <w:tcBorders>
              <w:top w:val="nil"/>
              <w:left w:val="nil"/>
              <w:bottom w:val="single" w:sz="8" w:space="0" w:color="auto"/>
              <w:right w:val="nil"/>
            </w:tcBorders>
            <w:shd w:val="clear" w:color="000000" w:fill="C0C0C0"/>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c>
          <w:tcPr>
            <w:tcW w:w="689" w:type="pct"/>
            <w:tcBorders>
              <w:top w:val="nil"/>
              <w:left w:val="nil"/>
              <w:bottom w:val="single" w:sz="8" w:space="0" w:color="auto"/>
              <w:right w:val="nil"/>
            </w:tcBorders>
            <w:shd w:val="clear" w:color="000000" w:fill="C0C0C0"/>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2012</w:t>
            </w:r>
          </w:p>
        </w:tc>
        <w:tc>
          <w:tcPr>
            <w:tcW w:w="689" w:type="pct"/>
            <w:tcBorders>
              <w:top w:val="nil"/>
              <w:left w:val="nil"/>
              <w:bottom w:val="single" w:sz="8" w:space="0" w:color="auto"/>
              <w:right w:val="nil"/>
            </w:tcBorders>
            <w:shd w:val="clear" w:color="000000" w:fill="C0C0C0"/>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2013</w:t>
            </w:r>
          </w:p>
        </w:tc>
        <w:tc>
          <w:tcPr>
            <w:tcW w:w="689" w:type="pct"/>
            <w:tcBorders>
              <w:top w:val="nil"/>
              <w:left w:val="nil"/>
              <w:bottom w:val="single" w:sz="8" w:space="0" w:color="auto"/>
              <w:right w:val="nil"/>
            </w:tcBorders>
            <w:shd w:val="clear" w:color="000000" w:fill="C0C0C0"/>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2014</w:t>
            </w:r>
          </w:p>
        </w:tc>
        <w:tc>
          <w:tcPr>
            <w:tcW w:w="460" w:type="pct"/>
            <w:tcBorders>
              <w:top w:val="nil"/>
              <w:left w:val="nil"/>
              <w:bottom w:val="single" w:sz="8" w:space="0" w:color="auto"/>
              <w:right w:val="nil"/>
            </w:tcBorders>
            <w:shd w:val="clear" w:color="000000" w:fill="C0C0C0"/>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2012</w:t>
            </w:r>
          </w:p>
        </w:tc>
        <w:tc>
          <w:tcPr>
            <w:tcW w:w="460" w:type="pct"/>
            <w:tcBorders>
              <w:top w:val="nil"/>
              <w:left w:val="nil"/>
              <w:bottom w:val="single" w:sz="8" w:space="0" w:color="auto"/>
              <w:right w:val="nil"/>
            </w:tcBorders>
            <w:shd w:val="clear" w:color="000000" w:fill="C0C0C0"/>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2013</w:t>
            </w:r>
          </w:p>
        </w:tc>
        <w:tc>
          <w:tcPr>
            <w:tcW w:w="334" w:type="pct"/>
            <w:tcBorders>
              <w:top w:val="nil"/>
              <w:left w:val="nil"/>
              <w:bottom w:val="single" w:sz="8" w:space="0" w:color="auto"/>
              <w:right w:val="nil"/>
            </w:tcBorders>
            <w:shd w:val="clear" w:color="000000" w:fill="C0C0C0"/>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2014</w:t>
            </w:r>
          </w:p>
        </w:tc>
      </w:tr>
      <w:tr>
        <w:tblPrEx>
          <w:tblW w:w="5000" w:type="pct"/>
          <w:tblCellMar>
            <w:left w:w="70" w:type="dxa"/>
            <w:right w:w="70" w:type="dxa"/>
          </w:tblCellMar>
          <w:tblLook w:val="04A0"/>
        </w:tblPrEx>
        <w:trPr>
          <w:trHeight w:val="255"/>
        </w:trPr>
        <w:tc>
          <w:tcPr>
            <w:tcW w:w="1386" w:type="pct"/>
            <w:tcBorders>
              <w:top w:val="nil"/>
              <w:left w:val="nil"/>
              <w:bottom w:val="nil"/>
              <w:right w:val="nil"/>
            </w:tcBorders>
            <w:noWrap/>
            <w:textDirection w:val="lrTb"/>
            <w:vAlign w:val="center"/>
            <w:hideMark/>
          </w:tcPr>
          <w:p w:rsidR="00C15AF7" w:rsidRPr="00A53EAC" w:rsidP="00667B85">
            <w:pPr>
              <w:bidi w:val="0"/>
              <w:spacing w:after="0" w:line="240" w:lineRule="auto"/>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Hrubý dlh verejnej správy</w:t>
            </w:r>
          </w:p>
        </w:tc>
        <w:tc>
          <w:tcPr>
            <w:tcW w:w="293" w:type="pct"/>
            <w:tcBorders>
              <w:top w:val="nil"/>
              <w:left w:val="nil"/>
              <w:bottom w:val="nil"/>
              <w:right w:val="nil"/>
            </w:tcBorders>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(1)</w:t>
            </w: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37 613 664</w:t>
            </w: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40 284 291</w:t>
            </w:r>
          </w:p>
        </w:tc>
        <w:tc>
          <w:tcPr>
            <w:tcW w:w="689" w:type="pct"/>
            <w:tcBorders>
              <w:top w:val="nil"/>
              <w:left w:val="nil"/>
              <w:bottom w:val="nil"/>
              <w:right w:val="single" w:sz="8" w:space="0" w:color="auto"/>
            </w:tcBorders>
            <w:textDirection w:val="lrTb"/>
            <w:vAlign w:val="center"/>
            <w:hideMark/>
          </w:tcPr>
          <w:p w:rsidR="00C15AF7" w:rsidRPr="00A53EAC" w:rsidP="00667B8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40 403 787</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51,9</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54,6</w:t>
            </w:r>
          </w:p>
        </w:tc>
        <w:tc>
          <w:tcPr>
            <w:tcW w:w="334"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53,5</w:t>
            </w:r>
          </w:p>
        </w:tc>
      </w:tr>
      <w:tr>
        <w:tblPrEx>
          <w:tblW w:w="5000" w:type="pct"/>
          <w:tblCellMar>
            <w:left w:w="70" w:type="dxa"/>
            <w:right w:w="70" w:type="dxa"/>
          </w:tblCellMar>
          <w:tblLook w:val="04A0"/>
        </w:tblPrEx>
        <w:trPr>
          <w:trHeight w:val="255"/>
        </w:trPr>
        <w:tc>
          <w:tcPr>
            <w:tcW w:w="1386" w:type="pct"/>
            <w:tcBorders>
              <w:top w:val="nil"/>
              <w:left w:val="nil"/>
              <w:bottom w:val="nil"/>
              <w:right w:val="nil"/>
            </w:tcBorders>
            <w:noWrap/>
            <w:textDirection w:val="lrTb"/>
            <w:vAlign w:val="center"/>
            <w:hideMark/>
          </w:tcPr>
          <w:p w:rsidR="00C15AF7" w:rsidRPr="00A53EAC" w:rsidP="00667B85">
            <w:pPr>
              <w:bidi w:val="0"/>
              <w:spacing w:after="0" w:line="240" w:lineRule="auto"/>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xml:space="preserve">Likvidné finančné aktíva:    </w:t>
            </w:r>
          </w:p>
        </w:tc>
        <w:tc>
          <w:tcPr>
            <w:tcW w:w="293" w:type="pct"/>
            <w:tcBorders>
              <w:top w:val="nil"/>
              <w:left w:val="nil"/>
              <w:bottom w:val="nil"/>
              <w:right w:val="nil"/>
            </w:tcBorders>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w:t>
            </w: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4 527 680</w:t>
            </w: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4 781 654</w:t>
            </w:r>
          </w:p>
        </w:tc>
        <w:tc>
          <w:tcPr>
            <w:tcW w:w="689" w:type="pct"/>
            <w:tcBorders>
              <w:top w:val="nil"/>
              <w:left w:val="nil"/>
              <w:bottom w:val="nil"/>
              <w:right w:val="single" w:sz="8" w:space="0" w:color="auto"/>
            </w:tcBorders>
            <w:textDirection w:val="lrTb"/>
            <w:vAlign w:val="center"/>
            <w:hideMark/>
          </w:tcPr>
          <w:p w:rsidR="00C15AF7" w:rsidRPr="00A53EAC" w:rsidP="00667B85">
            <w:pPr>
              <w:bidi w:val="0"/>
              <w:spacing w:after="0" w:line="240" w:lineRule="auto"/>
              <w:jc w:val="right"/>
              <w:rPr>
                <w:rFonts w:ascii="Times New Roman" w:hAnsi="Times New Roman" w:cs="Times New Roman"/>
                <w:b/>
                <w:bCs/>
                <w:sz w:val="20"/>
                <w:szCs w:val="20"/>
                <w:lang w:eastAsia="sk-SK"/>
              </w:rPr>
            </w:pPr>
            <w:r w:rsidRPr="00A53EAC">
              <w:rPr>
                <w:rFonts w:ascii="Times New Roman" w:hAnsi="Times New Roman" w:cs="Times New Roman"/>
                <w:b/>
                <w:bCs/>
                <w:sz w:val="20"/>
                <w:szCs w:val="20"/>
                <w:lang w:eastAsia="sk-SK"/>
              </w:rPr>
              <w:t>2 660 792</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6,3</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6,5</w:t>
            </w:r>
          </w:p>
        </w:tc>
        <w:tc>
          <w:tcPr>
            <w:tcW w:w="334"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3,5</w:t>
            </w:r>
          </w:p>
        </w:tc>
      </w:tr>
      <w:tr>
        <w:tblPrEx>
          <w:tblW w:w="5000" w:type="pct"/>
          <w:tblCellMar>
            <w:left w:w="70" w:type="dxa"/>
            <w:right w:w="70" w:type="dxa"/>
          </w:tblCellMar>
          <w:tblLook w:val="04A0"/>
        </w:tblPrEx>
        <w:trPr>
          <w:trHeight w:val="330"/>
        </w:trPr>
        <w:tc>
          <w:tcPr>
            <w:tcW w:w="1386" w:type="pct"/>
            <w:tcBorders>
              <w:top w:val="nil"/>
              <w:left w:val="nil"/>
              <w:bottom w:val="nil"/>
              <w:right w:val="nil"/>
            </w:tcBorders>
            <w:noWrap/>
            <w:textDirection w:val="lrTb"/>
            <w:vAlign w:val="center"/>
            <w:hideMark/>
          </w:tcPr>
          <w:p w:rsidR="00C15AF7" w:rsidRPr="00A53EAC" w:rsidP="00667B85">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menové zlato a SDR </w:t>
            </w:r>
          </w:p>
        </w:tc>
        <w:tc>
          <w:tcPr>
            <w:tcW w:w="293" w:type="pct"/>
            <w:tcBorders>
              <w:top w:val="nil"/>
              <w:left w:val="nil"/>
              <w:bottom w:val="nil"/>
              <w:right w:val="nil"/>
            </w:tcBorders>
            <w:noWrap/>
            <w:textDirection w:val="lrTb"/>
            <w:vAlign w:val="bottom"/>
            <w:hideMark/>
          </w:tcPr>
          <w:p w:rsidR="00C15AF7" w:rsidRPr="00A53EAC" w:rsidP="00667B85">
            <w:pPr>
              <w:bidi w:val="0"/>
              <w:spacing w:after="0" w:line="240" w:lineRule="auto"/>
              <w:rPr>
                <w:rFonts w:ascii="Times New Roman" w:hAnsi="Times New Roman" w:cs="Times New Roman"/>
                <w:color w:val="000000"/>
                <w:sz w:val="20"/>
                <w:szCs w:val="20"/>
                <w:lang w:eastAsia="sk-SK"/>
              </w:rPr>
            </w:pP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689" w:type="pct"/>
            <w:tcBorders>
              <w:top w:val="nil"/>
              <w:left w:val="nil"/>
              <w:bottom w:val="nil"/>
              <w:right w:val="single" w:sz="8" w:space="0" w:color="auto"/>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w:t>
            </w:r>
          </w:p>
        </w:tc>
        <w:tc>
          <w:tcPr>
            <w:tcW w:w="334"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0,0</w:t>
            </w:r>
          </w:p>
        </w:tc>
      </w:tr>
      <w:tr>
        <w:tblPrEx>
          <w:tblW w:w="5000" w:type="pct"/>
          <w:tblCellMar>
            <w:left w:w="70" w:type="dxa"/>
            <w:right w:w="70" w:type="dxa"/>
          </w:tblCellMar>
          <w:tblLook w:val="04A0"/>
        </w:tblPrEx>
        <w:trPr>
          <w:trHeight w:val="330"/>
        </w:trPr>
        <w:tc>
          <w:tcPr>
            <w:tcW w:w="1386" w:type="pct"/>
            <w:tcBorders>
              <w:top w:val="nil"/>
              <w:left w:val="nil"/>
              <w:bottom w:val="nil"/>
              <w:right w:val="nil"/>
            </w:tcBorders>
            <w:noWrap/>
            <w:textDirection w:val="lrTb"/>
            <w:vAlign w:val="center"/>
            <w:hideMark/>
          </w:tcPr>
          <w:p w:rsidR="00C15AF7" w:rsidRPr="00A53EAC" w:rsidP="00667B85">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hotovosť na účtoch VS </w:t>
            </w:r>
          </w:p>
        </w:tc>
        <w:tc>
          <w:tcPr>
            <w:tcW w:w="293" w:type="pct"/>
            <w:tcBorders>
              <w:top w:val="nil"/>
              <w:left w:val="nil"/>
              <w:bottom w:val="nil"/>
              <w:right w:val="nil"/>
            </w:tcBorders>
            <w:noWrap/>
            <w:textDirection w:val="lrTb"/>
            <w:vAlign w:val="bottom"/>
            <w:hideMark/>
          </w:tcPr>
          <w:p w:rsidR="00C15AF7" w:rsidRPr="00A53EAC" w:rsidP="00667B85">
            <w:pPr>
              <w:bidi w:val="0"/>
              <w:spacing w:after="0" w:line="240" w:lineRule="auto"/>
              <w:rPr>
                <w:rFonts w:ascii="Times New Roman" w:hAnsi="Times New Roman" w:cs="Times New Roman"/>
                <w:color w:val="000000"/>
                <w:sz w:val="20"/>
                <w:szCs w:val="20"/>
                <w:lang w:eastAsia="sk-SK"/>
              </w:rPr>
            </w:pP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4 321 353</w:t>
            </w: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4 761 196</w:t>
            </w:r>
          </w:p>
        </w:tc>
        <w:tc>
          <w:tcPr>
            <w:tcW w:w="689" w:type="pct"/>
            <w:tcBorders>
              <w:top w:val="nil"/>
              <w:left w:val="nil"/>
              <w:bottom w:val="nil"/>
              <w:right w:val="single" w:sz="8" w:space="0" w:color="auto"/>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2 610 790</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6,0</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6,4</w:t>
            </w:r>
          </w:p>
        </w:tc>
        <w:tc>
          <w:tcPr>
            <w:tcW w:w="334"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3,5</w:t>
            </w:r>
          </w:p>
        </w:tc>
      </w:tr>
      <w:tr>
        <w:tblPrEx>
          <w:tblW w:w="5000" w:type="pct"/>
          <w:tblCellMar>
            <w:left w:w="70" w:type="dxa"/>
            <w:right w:w="70" w:type="dxa"/>
          </w:tblCellMar>
          <w:tblLook w:val="04A0"/>
        </w:tblPrEx>
        <w:trPr>
          <w:trHeight w:val="330"/>
        </w:trPr>
        <w:tc>
          <w:tcPr>
            <w:tcW w:w="1386" w:type="pct"/>
            <w:tcBorders>
              <w:top w:val="nil"/>
              <w:left w:val="nil"/>
              <w:bottom w:val="nil"/>
              <w:right w:val="nil"/>
            </w:tcBorders>
            <w:noWrap/>
            <w:textDirection w:val="lrTb"/>
            <w:vAlign w:val="center"/>
            <w:hideMark/>
          </w:tcPr>
          <w:p w:rsidR="00C15AF7" w:rsidRPr="00A53EAC" w:rsidP="00667B85">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cenné papiere</w:t>
            </w:r>
          </w:p>
        </w:tc>
        <w:tc>
          <w:tcPr>
            <w:tcW w:w="293" w:type="pct"/>
            <w:tcBorders>
              <w:top w:val="nil"/>
              <w:left w:val="nil"/>
              <w:bottom w:val="nil"/>
              <w:right w:val="nil"/>
            </w:tcBorders>
            <w:noWrap/>
            <w:textDirection w:val="lrTb"/>
            <w:vAlign w:val="bottom"/>
            <w:hideMark/>
          </w:tcPr>
          <w:p w:rsidR="00C15AF7" w:rsidRPr="00A53EAC" w:rsidP="00667B85">
            <w:pPr>
              <w:bidi w:val="0"/>
              <w:spacing w:after="0" w:line="240" w:lineRule="auto"/>
              <w:rPr>
                <w:rFonts w:ascii="Times New Roman" w:hAnsi="Times New Roman" w:cs="Times New Roman"/>
                <w:color w:val="000000"/>
                <w:sz w:val="20"/>
                <w:szCs w:val="20"/>
                <w:lang w:eastAsia="sk-SK"/>
              </w:rPr>
            </w:pP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206 327</w:t>
            </w: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20 458</w:t>
            </w:r>
          </w:p>
        </w:tc>
        <w:tc>
          <w:tcPr>
            <w:tcW w:w="689" w:type="pct"/>
            <w:tcBorders>
              <w:top w:val="nil"/>
              <w:left w:val="nil"/>
              <w:bottom w:val="nil"/>
              <w:right w:val="single" w:sz="8" w:space="0" w:color="auto"/>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50 002</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0,3</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w:t>
            </w:r>
          </w:p>
        </w:tc>
        <w:tc>
          <w:tcPr>
            <w:tcW w:w="334"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0,1</w:t>
            </w:r>
          </w:p>
        </w:tc>
      </w:tr>
      <w:tr>
        <w:tblPrEx>
          <w:tblW w:w="5000" w:type="pct"/>
          <w:tblCellMar>
            <w:left w:w="70" w:type="dxa"/>
            <w:right w:w="70" w:type="dxa"/>
          </w:tblCellMar>
          <w:tblLook w:val="04A0"/>
        </w:tblPrEx>
        <w:trPr>
          <w:trHeight w:val="330"/>
        </w:trPr>
        <w:tc>
          <w:tcPr>
            <w:tcW w:w="1386" w:type="pct"/>
            <w:tcBorders>
              <w:top w:val="nil"/>
              <w:left w:val="nil"/>
              <w:bottom w:val="nil"/>
              <w:right w:val="nil"/>
            </w:tcBorders>
            <w:noWrap/>
            <w:textDirection w:val="lrTb"/>
            <w:vAlign w:val="center"/>
            <w:hideMark/>
          </w:tcPr>
          <w:p w:rsidR="00C15AF7" w:rsidRPr="00A53EAC" w:rsidP="00667B85">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kótované akcie</w:t>
            </w:r>
          </w:p>
        </w:tc>
        <w:tc>
          <w:tcPr>
            <w:tcW w:w="293" w:type="pct"/>
            <w:tcBorders>
              <w:top w:val="nil"/>
              <w:left w:val="nil"/>
              <w:bottom w:val="nil"/>
              <w:right w:val="nil"/>
            </w:tcBorders>
            <w:noWrap/>
            <w:textDirection w:val="lrTb"/>
            <w:vAlign w:val="bottom"/>
            <w:hideMark/>
          </w:tcPr>
          <w:p w:rsidR="00C15AF7" w:rsidRPr="00A53EAC" w:rsidP="00667B85">
            <w:pPr>
              <w:bidi w:val="0"/>
              <w:spacing w:after="0" w:line="240" w:lineRule="auto"/>
              <w:rPr>
                <w:rFonts w:ascii="Times New Roman" w:hAnsi="Times New Roman" w:cs="Times New Roman"/>
                <w:color w:val="000000"/>
                <w:sz w:val="20"/>
                <w:szCs w:val="20"/>
                <w:lang w:eastAsia="sk-SK"/>
              </w:rPr>
            </w:pP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689" w:type="pct"/>
            <w:tcBorders>
              <w:top w:val="nil"/>
              <w:left w:val="nil"/>
              <w:bottom w:val="nil"/>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689" w:type="pct"/>
            <w:tcBorders>
              <w:top w:val="nil"/>
              <w:left w:val="nil"/>
              <w:bottom w:val="nil"/>
              <w:right w:val="single" w:sz="8" w:space="0" w:color="auto"/>
            </w:tcBorders>
            <w:textDirection w:val="lrTb"/>
            <w:vAlign w:val="center"/>
            <w:hideMark/>
          </w:tcPr>
          <w:p w:rsidR="00C15AF7" w:rsidRPr="00A53EAC" w:rsidP="00667B85">
            <w:pPr>
              <w:bidi w:val="0"/>
              <w:spacing w:after="0" w:line="240" w:lineRule="auto"/>
              <w:jc w:val="right"/>
              <w:rPr>
                <w:rFonts w:ascii="Times New Roman" w:hAnsi="Times New Roman" w:cs="Times New Roman"/>
                <w:sz w:val="20"/>
                <w:szCs w:val="20"/>
                <w:lang w:eastAsia="sk-SK"/>
              </w:rPr>
            </w:pPr>
            <w:r w:rsidRPr="00A53EAC">
              <w:rPr>
                <w:rFonts w:ascii="Times New Roman" w:hAnsi="Times New Roman" w:cs="Times New Roman"/>
                <w:sz w:val="20"/>
                <w:szCs w:val="20"/>
                <w:lang w:eastAsia="sk-SK"/>
              </w:rPr>
              <w:t>0</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w:t>
            </w:r>
          </w:p>
        </w:tc>
        <w:tc>
          <w:tcPr>
            <w:tcW w:w="460"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w:t>
            </w:r>
          </w:p>
        </w:tc>
        <w:tc>
          <w:tcPr>
            <w:tcW w:w="334" w:type="pct"/>
            <w:tcBorders>
              <w:top w:val="nil"/>
              <w:left w:val="nil"/>
              <w:bottom w:val="nil"/>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0,0</w:t>
            </w:r>
          </w:p>
        </w:tc>
      </w:tr>
      <w:tr>
        <w:tblPrEx>
          <w:tblW w:w="5000" w:type="pct"/>
          <w:tblCellMar>
            <w:left w:w="70" w:type="dxa"/>
            <w:right w:w="70" w:type="dxa"/>
          </w:tblCellMar>
          <w:tblLook w:val="04A0"/>
        </w:tblPrEx>
        <w:trPr>
          <w:trHeight w:val="270"/>
        </w:trPr>
        <w:tc>
          <w:tcPr>
            <w:tcW w:w="1386" w:type="pct"/>
            <w:tcBorders>
              <w:top w:val="nil"/>
              <w:left w:val="nil"/>
              <w:bottom w:val="single" w:sz="8" w:space="0" w:color="auto"/>
              <w:right w:val="nil"/>
            </w:tcBorders>
            <w:noWrap/>
            <w:textDirection w:val="lrTb"/>
            <w:vAlign w:val="center"/>
            <w:hideMark/>
          </w:tcPr>
          <w:p w:rsidR="00C15AF7" w:rsidRPr="00A53EAC" w:rsidP="00667B85">
            <w:pPr>
              <w:bidi w:val="0"/>
              <w:spacing w:after="0" w:line="240" w:lineRule="auto"/>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xml:space="preserve">Čistý dlh verejnej správy </w:t>
            </w:r>
            <w:r w:rsidRPr="00A53EAC">
              <w:rPr>
                <w:rFonts w:ascii="Times New Roman" w:hAnsi="Times New Roman" w:cs="Times New Roman"/>
                <w:color w:val="000000"/>
                <w:sz w:val="20"/>
                <w:szCs w:val="20"/>
                <w:lang w:eastAsia="sk-SK"/>
              </w:rPr>
              <w:t xml:space="preserve">                              </w:t>
            </w:r>
          </w:p>
        </w:tc>
        <w:tc>
          <w:tcPr>
            <w:tcW w:w="293" w:type="pct"/>
            <w:tcBorders>
              <w:top w:val="nil"/>
              <w:left w:val="nil"/>
              <w:bottom w:val="single" w:sz="8" w:space="0" w:color="auto"/>
              <w:right w:val="nil"/>
            </w:tcBorders>
            <w:noWrap/>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(1-2)</w:t>
            </w:r>
          </w:p>
        </w:tc>
        <w:tc>
          <w:tcPr>
            <w:tcW w:w="689" w:type="pct"/>
            <w:tcBorders>
              <w:top w:val="nil"/>
              <w:left w:val="nil"/>
              <w:bottom w:val="single" w:sz="8" w:space="0" w:color="auto"/>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33 085 984</w:t>
            </w:r>
          </w:p>
        </w:tc>
        <w:tc>
          <w:tcPr>
            <w:tcW w:w="689" w:type="pct"/>
            <w:tcBorders>
              <w:top w:val="nil"/>
              <w:left w:val="nil"/>
              <w:bottom w:val="single" w:sz="8" w:space="0" w:color="auto"/>
              <w:right w:val="nil"/>
            </w:tcBorders>
            <w:textDirection w:val="lrTb"/>
            <w:vAlign w:val="center"/>
            <w:hideMark/>
          </w:tcPr>
          <w:p w:rsidR="00C15AF7" w:rsidRPr="00A53EAC" w:rsidP="00667B85">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35 502 637</w:t>
            </w:r>
          </w:p>
        </w:tc>
        <w:tc>
          <w:tcPr>
            <w:tcW w:w="689" w:type="pct"/>
            <w:tcBorders>
              <w:top w:val="nil"/>
              <w:left w:val="nil"/>
              <w:bottom w:val="single" w:sz="8" w:space="0" w:color="auto"/>
              <w:right w:val="single" w:sz="8" w:space="0" w:color="auto"/>
            </w:tcBorders>
            <w:textDirection w:val="lrTb"/>
            <w:vAlign w:val="center"/>
            <w:hideMark/>
          </w:tcPr>
          <w:p w:rsidR="00C15AF7" w:rsidRPr="00A53EAC" w:rsidP="00667B85">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37 742 995</w:t>
            </w:r>
          </w:p>
        </w:tc>
        <w:tc>
          <w:tcPr>
            <w:tcW w:w="460" w:type="pct"/>
            <w:tcBorders>
              <w:top w:val="nil"/>
              <w:left w:val="nil"/>
              <w:bottom w:val="single" w:sz="8" w:space="0" w:color="auto"/>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45,7</w:t>
            </w:r>
          </w:p>
        </w:tc>
        <w:tc>
          <w:tcPr>
            <w:tcW w:w="460" w:type="pct"/>
            <w:tcBorders>
              <w:top w:val="nil"/>
              <w:left w:val="nil"/>
              <w:bottom w:val="single" w:sz="8" w:space="0" w:color="auto"/>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48,1</w:t>
            </w:r>
          </w:p>
        </w:tc>
        <w:tc>
          <w:tcPr>
            <w:tcW w:w="334" w:type="pct"/>
            <w:tcBorders>
              <w:top w:val="nil"/>
              <w:left w:val="nil"/>
              <w:bottom w:val="single" w:sz="8" w:space="0" w:color="auto"/>
              <w:right w:val="nil"/>
            </w:tcBorders>
            <w:textDirection w:val="lrTb"/>
            <w:vAlign w:val="center"/>
            <w:hideMark/>
          </w:tcPr>
          <w:p w:rsidR="00C15AF7" w:rsidRPr="00A53EAC" w:rsidP="00667B85">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50,0</w:t>
            </w:r>
          </w:p>
        </w:tc>
      </w:tr>
    </w:tbl>
    <w:p w:rsidR="0035366F" w:rsidRPr="00A53EAC" w:rsidP="001767F0">
      <w:pPr>
        <w:pStyle w:val="Heading2"/>
        <w:numPr>
          <w:numId w:val="3"/>
        </w:numPr>
        <w:bidi w:val="0"/>
        <w:spacing w:before="240" w:after="120"/>
        <w:ind w:left="425" w:hanging="425"/>
      </w:pPr>
      <w:bookmarkStart w:id="61" w:name="_Toc433099568"/>
      <w:r w:rsidRPr="00A53EAC">
        <w:rPr>
          <w:rFonts w:hint="default"/>
        </w:rPr>
        <w:t>Vyhodnotenie straté</w:t>
      </w:r>
      <w:r w:rsidRPr="00A53EAC">
        <w:rPr>
          <w:rFonts w:hint="default"/>
        </w:rPr>
        <w:t>gie riadenia š</w:t>
      </w:r>
      <w:r w:rsidRPr="00A53EAC">
        <w:rPr>
          <w:rFonts w:hint="default"/>
        </w:rPr>
        <w:t>tá</w:t>
      </w:r>
      <w:r w:rsidRPr="00A53EAC">
        <w:rPr>
          <w:rFonts w:hint="default"/>
        </w:rPr>
        <w:t>tneho dlhu za rok 201</w:t>
      </w:r>
      <w:bookmarkEnd w:id="59"/>
      <w:bookmarkEnd w:id="60"/>
      <w:r w:rsidRPr="00A53EAC" w:rsidR="004B57C3">
        <w:t>4</w:t>
      </w:r>
      <w:bookmarkEnd w:id="61"/>
    </w:p>
    <w:p w:rsidR="004B57C3" w:rsidRPr="00A53EAC" w:rsidP="001767F0">
      <w:pPr>
        <w:autoSpaceDE w:val="0"/>
        <w:autoSpaceDN w:val="0"/>
        <w:bidi w:val="0"/>
        <w:adjustRightInd w:val="0"/>
        <w:spacing w:before="120" w:after="120" w:line="336" w:lineRule="auto"/>
        <w:jc w:val="both"/>
        <w:rPr>
          <w:rFonts w:ascii="Times New Roman" w:hAnsi="Times New Roman" w:cs="Times New Roman"/>
        </w:rPr>
      </w:pPr>
      <w:bookmarkStart w:id="62" w:name="_Toc399324369"/>
      <w:r w:rsidRPr="00A53EAC">
        <w:rPr>
          <w:rFonts w:ascii="Times New Roman" w:hAnsi="Times New Roman" w:cs="Times New Roman"/>
        </w:rPr>
        <w:t>Situácia na finančných trhoch bola počas roka 2014 pozitívna. Nízke a v prípade niektorých krajín aj negatívne úrokové sadzby zvýšili aktivitu bánk pri splácaní trojročných repo operácií (LTRO) z predošlých rokov. Akciové trhy boli počas celého roku 2014 na vzostupe, s niekoľkými korekciami najmä pod vplyvom geopolitickej destabilizácie. Rast bol podporený nízkymi úrokovými sadzbami a pozitívnymi makroekonomickými správami. Euro počas celého roku 2014 relatívne kontinuálne oslabovalo voči americkému doláru, ako aj väčšine ostatných mien okrem japonského jenu. Kurz EUR/USD sa posunul z úrovne 1,36 na začiatku 2014 až na 1,23 v závere roka. Výnosy dlhopisov Španielska a Talianska, ktoré predstavovali najvážnejšie riziká pre osud eurozóny, pokračovali v</w:t>
      </w:r>
      <w:r w:rsidR="00F37242">
        <w:rPr>
          <w:rFonts w:ascii="Times New Roman" w:hAnsi="Times New Roman" w:cs="Times New Roman"/>
        </w:rPr>
        <w:t> </w:t>
      </w:r>
      <w:r w:rsidRPr="00A53EAC">
        <w:rPr>
          <w:rFonts w:ascii="Times New Roman" w:hAnsi="Times New Roman" w:cs="Times New Roman"/>
        </w:rPr>
        <w:t>trende prudkého poklesu a dostali sa stabilne pod hranicu 2</w:t>
      </w:r>
      <w:r w:rsidRPr="00A53EAC" w:rsidR="00513E60">
        <w:rPr>
          <w:rFonts w:ascii="Times New Roman" w:hAnsi="Times New Roman" w:cs="Times New Roman"/>
        </w:rPr>
        <w:t> </w:t>
      </w:r>
      <w:r w:rsidRPr="00A53EAC">
        <w:rPr>
          <w:rFonts w:ascii="Times New Roman" w:hAnsi="Times New Roman" w:cs="Times New Roman"/>
        </w:rPr>
        <w:t xml:space="preserve">%. Výnos na gréckych 10-ročných štátnych dlhopisoch naopak v druhej polovici roka 2014 prudko vzrástol, hlavne kvôli </w:t>
      </w:r>
      <w:r w:rsidRPr="00E324E7" w:rsidR="00E324E7">
        <w:rPr>
          <w:rFonts w:ascii="Times New Roman" w:hAnsi="Times New Roman" w:cs="Times New Roman"/>
        </w:rPr>
        <w:t>politickej situácii a pochybnostiam ohľadom udržateľnosti verejného dlhu tejto krajiny.</w:t>
      </w:r>
    </w:p>
    <w:p w:rsidR="00CB7EBC" w:rsidRPr="00A53EAC" w:rsidP="00F37242">
      <w:pPr>
        <w:autoSpaceDE w:val="0"/>
        <w:autoSpaceDN w:val="0"/>
        <w:bidi w:val="0"/>
        <w:adjustRightInd w:val="0"/>
        <w:spacing w:after="0" w:line="336" w:lineRule="auto"/>
        <w:jc w:val="both"/>
        <w:rPr>
          <w:rFonts w:ascii="Times New Roman" w:hAnsi="Times New Roman" w:cs="Times New Roman"/>
        </w:rPr>
      </w:pPr>
      <w:r w:rsidRPr="00A53EAC" w:rsidR="004B57C3">
        <w:rPr>
          <w:rFonts w:ascii="Times New Roman" w:hAnsi="Times New Roman" w:cs="Times New Roman"/>
        </w:rPr>
        <w:t>Financovanie slovenského štátneho dlhu v roku 2014 zabezpečovala Agentúra pre riadenie dlhu a likvidity v mene MF SR v relatívne stabilných podmienkach bez nutnosti použitia menej tradičných foriem financovania. Koncom roka sa znížila hotovostná rezerva systému štátnej pokladnice v</w:t>
      </w:r>
      <w:r w:rsidR="00F37242">
        <w:rPr>
          <w:rFonts w:ascii="Times New Roman" w:hAnsi="Times New Roman" w:cs="Times New Roman"/>
        </w:rPr>
        <w:t> </w:t>
      </w:r>
      <w:r w:rsidRPr="00A53EAC" w:rsidR="004B57C3">
        <w:rPr>
          <w:rFonts w:ascii="Times New Roman" w:hAnsi="Times New Roman" w:cs="Times New Roman"/>
        </w:rPr>
        <w:t>priemere o 2 mld. eur na 1,4 mld. eur oproti roku 2013. Zníženie hotovostnej rezervy bolo aj dôsledkom predčasného odkúpenia časti štátnych dlhopisov pred splatnosťou, čo prinieslo komfortnejšie splácanie veľkých emisií štátnych dlhopisov a redukciu nákladov spojených s</w:t>
      </w:r>
      <w:r w:rsidR="00F37242">
        <w:rPr>
          <w:rFonts w:ascii="Times New Roman" w:hAnsi="Times New Roman" w:cs="Times New Roman"/>
        </w:rPr>
        <w:t> </w:t>
      </w:r>
      <w:r w:rsidRPr="00A53EAC" w:rsidR="004B57C3">
        <w:rPr>
          <w:rFonts w:ascii="Times New Roman" w:hAnsi="Times New Roman" w:cs="Times New Roman"/>
        </w:rPr>
        <w:t>držbou hotovostnej rezervy. Konsolidácia na kapitálových trhoch priniesla postupne výhodné podmienky pre „bezpečné“ krajiny v podobe úrokových sadzieb na úrovni historických miním a pre Slovensko navyše aj dopyt tých investorov, ktorí považujú Slovensko za jadrovú krajinu eurozóny. Priaznivé podmienky na finančných trhoch využilo Slovensko na podstatné zlepšenie rizikového profilu portfólia štátneho dlhu smerom k väčšej priemernej splatnosti a menšieho rizika negatívneho precenenia portfólia. Vďaka tomu priemerná vážená doba splatnosti portfólia stúpla na 6,8 roka a priemerná vážená durácia na 6,2 roka. Ide o historicky najlepšie parametre portfólia.</w:t>
      </w:r>
    </w:p>
    <w:p w:rsidR="00CB210E">
      <w:pPr>
        <w:bidi w:val="0"/>
      </w:pPr>
      <w:r>
        <w:br w:type="page"/>
      </w:r>
    </w:p>
    <w:tbl>
      <w:tblPr>
        <w:tblStyle w:val="TableNormal"/>
        <w:tblpPr w:leftFromText="141" w:rightFromText="141" w:vertAnchor="text" w:horzAnchor="margin" w:tblpY="113"/>
        <w:tblW w:w="9142" w:type="dxa"/>
        <w:tblCellMar>
          <w:left w:w="70" w:type="dxa"/>
          <w:right w:w="70" w:type="dxa"/>
        </w:tblCellMar>
        <w:tblLook w:val="04A0"/>
      </w:tblPr>
      <w:tblGrid>
        <w:gridCol w:w="9142"/>
      </w:tblGrid>
      <w:tr>
        <w:tblPrEx>
          <w:tblW w:w="9142" w:type="dxa"/>
          <w:tblCellMar>
            <w:left w:w="70" w:type="dxa"/>
            <w:right w:w="70" w:type="dxa"/>
          </w:tblCellMar>
          <w:tblLook w:val="04A0"/>
        </w:tblPrEx>
        <w:trPr>
          <w:trHeight w:val="226"/>
        </w:trPr>
        <w:tc>
          <w:tcPr>
            <w:tcW w:w="9142" w:type="dxa"/>
            <w:tcBorders>
              <w:top w:val="nil"/>
              <w:left w:val="nil"/>
              <w:bottom w:val="none" w:sz="0" w:space="0" w:color="auto"/>
              <w:right w:val="nil"/>
            </w:tcBorders>
            <w:shd w:val="clear" w:color="000000" w:fill="000000"/>
            <w:noWrap/>
            <w:textDirection w:val="lrTb"/>
            <w:vAlign w:val="center"/>
            <w:hideMark/>
          </w:tcPr>
          <w:p w:rsidR="00F37242" w:rsidP="004B57C3">
            <w:pPr>
              <w:bidi w:val="0"/>
              <w:spacing w:after="0" w:line="240" w:lineRule="auto"/>
              <w:rPr>
                <w:rFonts w:ascii="Times New Roman" w:hAnsi="Times New Roman" w:cs="Times New Roman"/>
                <w:b/>
              </w:rPr>
            </w:pPr>
            <w:r w:rsidRPr="00A53EAC" w:rsidR="004B57C3">
              <w:rPr>
                <w:rFonts w:ascii="Times New Roman" w:hAnsi="Times New Roman" w:cs="Times New Roman"/>
                <w:b/>
              </w:rPr>
              <w:t xml:space="preserve">Výnosy vybraných slovenských vládnych dlhopisov a riziková prirážka voči nemeckým </w:t>
            </w:r>
          </w:p>
          <w:p w:rsidR="004B57C3" w:rsidRPr="00A53EAC" w:rsidP="004B57C3">
            <w:pPr>
              <w:bidi w:val="0"/>
              <w:spacing w:after="0" w:line="240" w:lineRule="auto"/>
              <w:rPr>
                <w:rFonts w:ascii="Times New Roman" w:hAnsi="Times New Roman" w:cs="Times New Roman"/>
                <w:b/>
              </w:rPr>
            </w:pPr>
            <w:r w:rsidRPr="00A53EAC">
              <w:rPr>
                <w:rFonts w:ascii="Times New Roman" w:hAnsi="Times New Roman" w:cs="Times New Roman"/>
                <w:b/>
              </w:rPr>
              <w:t>10-ročným štátnym dlhopisom (v % a p.b.)</w:t>
            </w:r>
          </w:p>
        </w:tc>
      </w:tr>
      <w:tr>
        <w:tblPrEx>
          <w:tblW w:w="9142" w:type="dxa"/>
          <w:tblCellMar>
            <w:left w:w="70" w:type="dxa"/>
            <w:right w:w="70" w:type="dxa"/>
          </w:tblCellMar>
          <w:tblLook w:val="04A0"/>
        </w:tblPrEx>
        <w:trPr>
          <w:trHeight w:val="490"/>
        </w:trPr>
        <w:tc>
          <w:tcPr>
            <w:tcW w:w="9142" w:type="dxa"/>
            <w:vMerge w:val="restart"/>
            <w:tcBorders>
              <w:top w:val="nil"/>
              <w:left w:val="nil"/>
              <w:bottom w:val="single" w:sz="4" w:space="0" w:color="auto"/>
              <w:right w:val="nil"/>
            </w:tcBorders>
            <w:noWrap/>
            <w:textDirection w:val="lrTb"/>
            <w:vAlign w:val="bottom"/>
            <w:hideMark/>
          </w:tcPr>
          <w:p w:rsidR="004B57C3" w:rsidRPr="00A53EAC" w:rsidP="004B57C3">
            <w:pPr>
              <w:bidi w:val="0"/>
              <w:spacing w:after="0" w:line="240" w:lineRule="auto"/>
              <w:jc w:val="center"/>
              <w:rPr>
                <w:rFonts w:ascii="Times New Roman" w:hAnsi="Times New Roman"/>
                <w:color w:val="FF0000"/>
                <w:sz w:val="18"/>
                <w:szCs w:val="18"/>
                <w:lang w:eastAsia="sk-SK"/>
              </w:rPr>
            </w:pPr>
            <w:r>
              <w:rPr>
                <w:noProof/>
                <w:rtl w:val="0"/>
                <w:lang w:eastAsia="sk-SK"/>
              </w:rPr>
              <w:pict>
                <v:shape id="Graf 3" o:spid="_x0000_i1027" type="#_x0000_t75" style="width:415.25pt;height:174.8pt;visibility:visible" stroked="f">
                  <v:imagedata r:id="rId11" o:title="" cropbottom="-19f"/>
                  <o:lock v:ext="edit" aspectratio="f"/>
                </v:shape>
              </w:pict>
            </w:r>
          </w:p>
        </w:tc>
      </w:tr>
      <w:tr>
        <w:tblPrEx>
          <w:tblW w:w="9142" w:type="dxa"/>
          <w:tblCellMar>
            <w:left w:w="70" w:type="dxa"/>
            <w:right w:w="70" w:type="dxa"/>
          </w:tblCellMar>
          <w:tblLook w:val="04A0"/>
        </w:tblPrEx>
        <w:trPr>
          <w:trHeight w:val="226"/>
        </w:trPr>
        <w:tc>
          <w:tcPr>
            <w:tcW w:w="9142" w:type="dxa"/>
            <w:vMerge/>
            <w:tcBorders>
              <w:top w:val="nil"/>
              <w:left w:val="nil"/>
              <w:bottom w:val="single" w:sz="4" w:space="0" w:color="auto"/>
              <w:right w:val="nil"/>
            </w:tcBorders>
            <w:textDirection w:val="lrTb"/>
            <w:vAlign w:val="center"/>
            <w:hideMark/>
          </w:tcPr>
          <w:p w:rsidR="004B57C3" w:rsidRPr="00A53EAC" w:rsidP="004B57C3">
            <w:pPr>
              <w:bidi w:val="0"/>
              <w:spacing w:after="0" w:line="240" w:lineRule="auto"/>
              <w:rPr>
                <w:rFonts w:ascii="Times New Roman" w:hAnsi="Times New Roman"/>
                <w:color w:val="000000"/>
                <w:sz w:val="18"/>
                <w:szCs w:val="18"/>
                <w:lang w:eastAsia="sk-SK"/>
              </w:rPr>
            </w:pPr>
          </w:p>
        </w:tc>
      </w:tr>
      <w:tr>
        <w:tblPrEx>
          <w:tblW w:w="9142" w:type="dxa"/>
          <w:tblCellMar>
            <w:left w:w="70" w:type="dxa"/>
            <w:right w:w="70" w:type="dxa"/>
          </w:tblCellMar>
          <w:tblLook w:val="04A0"/>
        </w:tblPrEx>
        <w:trPr>
          <w:trHeight w:val="226"/>
        </w:trPr>
        <w:tc>
          <w:tcPr>
            <w:tcW w:w="9142" w:type="dxa"/>
            <w:vMerge/>
            <w:tcBorders>
              <w:top w:val="nil"/>
              <w:left w:val="nil"/>
              <w:bottom w:val="single" w:sz="4" w:space="0" w:color="auto"/>
              <w:right w:val="nil"/>
            </w:tcBorders>
            <w:textDirection w:val="lrTb"/>
            <w:vAlign w:val="center"/>
            <w:hideMark/>
          </w:tcPr>
          <w:p w:rsidR="004B57C3" w:rsidRPr="00A53EAC" w:rsidP="004B57C3">
            <w:pPr>
              <w:bidi w:val="0"/>
              <w:spacing w:after="0" w:line="240" w:lineRule="auto"/>
              <w:rPr>
                <w:rFonts w:ascii="Times New Roman" w:hAnsi="Times New Roman"/>
                <w:color w:val="000000"/>
                <w:sz w:val="18"/>
                <w:szCs w:val="18"/>
                <w:lang w:eastAsia="sk-SK"/>
              </w:rPr>
            </w:pPr>
          </w:p>
        </w:tc>
      </w:tr>
      <w:tr>
        <w:tblPrEx>
          <w:tblW w:w="9142" w:type="dxa"/>
          <w:tblCellMar>
            <w:left w:w="70" w:type="dxa"/>
            <w:right w:w="70" w:type="dxa"/>
          </w:tblCellMar>
          <w:tblLook w:val="04A0"/>
        </w:tblPrEx>
        <w:trPr>
          <w:trHeight w:val="226"/>
        </w:trPr>
        <w:tc>
          <w:tcPr>
            <w:tcW w:w="9142" w:type="dxa"/>
            <w:vMerge/>
            <w:tcBorders>
              <w:top w:val="nil"/>
              <w:left w:val="nil"/>
              <w:bottom w:val="single" w:sz="4" w:space="0" w:color="auto"/>
              <w:right w:val="nil"/>
            </w:tcBorders>
            <w:textDirection w:val="lrTb"/>
            <w:vAlign w:val="center"/>
            <w:hideMark/>
          </w:tcPr>
          <w:p w:rsidR="004B57C3" w:rsidRPr="00A53EAC" w:rsidP="004B57C3">
            <w:pPr>
              <w:bidi w:val="0"/>
              <w:spacing w:after="0" w:line="240" w:lineRule="auto"/>
              <w:rPr>
                <w:rFonts w:ascii="Times New Roman" w:hAnsi="Times New Roman"/>
                <w:color w:val="000000"/>
                <w:sz w:val="18"/>
                <w:szCs w:val="18"/>
                <w:lang w:eastAsia="sk-SK"/>
              </w:rPr>
            </w:pPr>
          </w:p>
        </w:tc>
      </w:tr>
      <w:tr>
        <w:tblPrEx>
          <w:tblW w:w="9142" w:type="dxa"/>
          <w:tblCellMar>
            <w:left w:w="70" w:type="dxa"/>
            <w:right w:w="70" w:type="dxa"/>
          </w:tblCellMar>
          <w:tblLook w:val="04A0"/>
        </w:tblPrEx>
        <w:trPr>
          <w:trHeight w:val="226"/>
        </w:trPr>
        <w:tc>
          <w:tcPr>
            <w:tcW w:w="9142" w:type="dxa"/>
            <w:vMerge/>
            <w:tcBorders>
              <w:top w:val="nil"/>
              <w:left w:val="nil"/>
              <w:bottom w:val="single" w:sz="4" w:space="0" w:color="auto"/>
              <w:right w:val="nil"/>
            </w:tcBorders>
            <w:textDirection w:val="lrTb"/>
            <w:vAlign w:val="center"/>
            <w:hideMark/>
          </w:tcPr>
          <w:p w:rsidR="004B57C3" w:rsidRPr="00A53EAC" w:rsidP="004B57C3">
            <w:pPr>
              <w:bidi w:val="0"/>
              <w:spacing w:after="0" w:line="240" w:lineRule="auto"/>
              <w:rPr>
                <w:rFonts w:ascii="Times New Roman" w:hAnsi="Times New Roman"/>
                <w:color w:val="000000"/>
                <w:sz w:val="18"/>
                <w:szCs w:val="18"/>
                <w:lang w:eastAsia="sk-SK"/>
              </w:rPr>
            </w:pPr>
          </w:p>
        </w:tc>
      </w:tr>
      <w:tr>
        <w:tblPrEx>
          <w:tblW w:w="9142" w:type="dxa"/>
          <w:tblCellMar>
            <w:left w:w="70" w:type="dxa"/>
            <w:right w:w="70" w:type="dxa"/>
          </w:tblCellMar>
          <w:tblLook w:val="04A0"/>
        </w:tblPrEx>
        <w:trPr>
          <w:trHeight w:val="226"/>
        </w:trPr>
        <w:tc>
          <w:tcPr>
            <w:tcW w:w="9142" w:type="dxa"/>
            <w:vMerge/>
            <w:tcBorders>
              <w:top w:val="nil"/>
              <w:left w:val="nil"/>
              <w:bottom w:val="single" w:sz="4" w:space="0" w:color="auto"/>
              <w:right w:val="nil"/>
            </w:tcBorders>
            <w:textDirection w:val="lrTb"/>
            <w:vAlign w:val="center"/>
            <w:hideMark/>
          </w:tcPr>
          <w:p w:rsidR="004B57C3" w:rsidRPr="00A53EAC" w:rsidP="004B57C3">
            <w:pPr>
              <w:bidi w:val="0"/>
              <w:spacing w:after="0" w:line="240" w:lineRule="auto"/>
              <w:rPr>
                <w:rFonts w:ascii="Times New Roman" w:hAnsi="Times New Roman"/>
                <w:color w:val="000000"/>
                <w:sz w:val="18"/>
                <w:szCs w:val="18"/>
                <w:lang w:eastAsia="sk-SK"/>
              </w:rPr>
            </w:pPr>
          </w:p>
        </w:tc>
      </w:tr>
      <w:tr>
        <w:tblPrEx>
          <w:tblW w:w="9142" w:type="dxa"/>
          <w:tblCellMar>
            <w:left w:w="70" w:type="dxa"/>
            <w:right w:w="70" w:type="dxa"/>
          </w:tblCellMar>
          <w:tblLook w:val="04A0"/>
        </w:tblPrEx>
        <w:trPr>
          <w:trHeight w:val="226"/>
        </w:trPr>
        <w:tc>
          <w:tcPr>
            <w:tcW w:w="9142" w:type="dxa"/>
            <w:vMerge/>
            <w:tcBorders>
              <w:top w:val="nil"/>
              <w:left w:val="nil"/>
              <w:bottom w:val="single" w:sz="4" w:space="0" w:color="auto"/>
              <w:right w:val="nil"/>
            </w:tcBorders>
            <w:textDirection w:val="lrTb"/>
            <w:vAlign w:val="center"/>
            <w:hideMark/>
          </w:tcPr>
          <w:p w:rsidR="004B57C3" w:rsidRPr="00A53EAC" w:rsidP="004B57C3">
            <w:pPr>
              <w:bidi w:val="0"/>
              <w:spacing w:after="0" w:line="240" w:lineRule="auto"/>
              <w:rPr>
                <w:rFonts w:ascii="Times New Roman" w:hAnsi="Times New Roman"/>
                <w:color w:val="000000"/>
                <w:sz w:val="18"/>
                <w:szCs w:val="18"/>
                <w:lang w:eastAsia="sk-SK"/>
              </w:rPr>
            </w:pPr>
          </w:p>
        </w:tc>
      </w:tr>
    </w:tbl>
    <w:p w:rsidR="0089468D" w:rsidRPr="00A53EAC" w:rsidP="00F37242">
      <w:pPr>
        <w:autoSpaceDE w:val="0"/>
        <w:autoSpaceDN w:val="0"/>
        <w:bidi w:val="0"/>
        <w:adjustRightInd w:val="0"/>
        <w:spacing w:after="0" w:line="240" w:lineRule="auto"/>
        <w:ind w:left="5664"/>
        <w:jc w:val="right"/>
        <w:rPr>
          <w:rFonts w:ascii="Times New Roman" w:hAnsi="Times New Roman" w:cs="Times New Roman"/>
          <w:i/>
          <w:sz w:val="18"/>
          <w:szCs w:val="18"/>
        </w:rPr>
      </w:pPr>
      <w:r w:rsidRPr="00A53EAC">
        <w:rPr>
          <w:rFonts w:ascii="Times New Roman" w:hAnsi="Times New Roman" w:cs="Times New Roman"/>
          <w:i/>
          <w:sz w:val="18"/>
          <w:szCs w:val="18"/>
        </w:rPr>
        <w:t xml:space="preserve">   </w:t>
      </w:r>
      <w:r w:rsidRPr="00A53EAC" w:rsidR="00B840B0">
        <w:rPr>
          <w:rFonts w:ascii="Times New Roman" w:hAnsi="Times New Roman" w:cs="Times New Roman"/>
          <w:i/>
          <w:sz w:val="18"/>
          <w:szCs w:val="18"/>
        </w:rPr>
        <w:t xml:space="preserve">         </w:t>
      </w:r>
      <w:r w:rsidRPr="00A53EAC">
        <w:rPr>
          <w:rFonts w:ascii="Times New Roman" w:hAnsi="Times New Roman" w:cs="Times New Roman"/>
          <w:i/>
          <w:sz w:val="18"/>
          <w:szCs w:val="18"/>
        </w:rPr>
        <w:t xml:space="preserve">    </w:t>
      </w:r>
      <w:r w:rsidR="00F37242">
        <w:rPr>
          <w:rFonts w:ascii="Times New Roman" w:hAnsi="Times New Roman" w:cs="Times New Roman"/>
          <w:i/>
          <w:sz w:val="18"/>
          <w:szCs w:val="18"/>
        </w:rPr>
        <w:t>Z</w:t>
      </w:r>
      <w:r w:rsidRPr="00A53EAC">
        <w:rPr>
          <w:rFonts w:ascii="Times New Roman" w:hAnsi="Times New Roman" w:cs="Times New Roman"/>
          <w:i/>
          <w:sz w:val="18"/>
          <w:szCs w:val="18"/>
        </w:rPr>
        <w:t>droj: Bloomberg, MF SR</w:t>
      </w:r>
    </w:p>
    <w:p w:rsidR="0089468D" w:rsidRPr="00A53EAC" w:rsidP="00B840B0">
      <w:pPr>
        <w:bidi w:val="0"/>
        <w:spacing w:before="240" w:after="120" w:line="336" w:lineRule="auto"/>
        <w:jc w:val="both"/>
        <w:rPr>
          <w:rFonts w:ascii="Times New Roman" w:hAnsi="Times New Roman" w:cs="Times New Roman"/>
        </w:rPr>
      </w:pPr>
      <w:r w:rsidRPr="00A53EAC">
        <w:rPr>
          <w:rFonts w:ascii="Times New Roman" w:hAnsi="Times New Roman" w:cs="Times New Roman"/>
        </w:rPr>
        <w:t>Domáci bankový sektor je stabilný, vklady obyvateľstva a podnikov prevyšovali ku koncu roka 2014 poskytnuté úvery o 10,7</w:t>
      </w:r>
      <w:r w:rsidRPr="00A53EAC" w:rsidR="00513E60">
        <w:rPr>
          <w:rFonts w:ascii="Times New Roman" w:hAnsi="Times New Roman" w:cs="Times New Roman"/>
        </w:rPr>
        <w:t> </w:t>
      </w:r>
      <w:r w:rsidRPr="00A53EAC">
        <w:rPr>
          <w:rFonts w:ascii="Times New Roman" w:hAnsi="Times New Roman" w:cs="Times New Roman"/>
        </w:rPr>
        <w:t>%. Súkromné zadlženie obyvateľov a firiem je nižšie ako by zodpovedalo ekonomickej vyspelosti Slovenska v porovnaní s krajinami EÚ. Podiel nesplatených úverov na celkovo poskytnutých úveroch vzrástol medziročne o</w:t>
      </w:r>
      <w:r w:rsidRPr="00A53EAC" w:rsidR="00513E60">
        <w:rPr>
          <w:rFonts w:ascii="Times New Roman" w:hAnsi="Times New Roman" w:cs="Times New Roman"/>
        </w:rPr>
        <w:t> </w:t>
      </w:r>
      <w:r w:rsidRPr="00A53EAC">
        <w:rPr>
          <w:rFonts w:ascii="Times New Roman" w:hAnsi="Times New Roman" w:cs="Times New Roman"/>
        </w:rPr>
        <w:t>4</w:t>
      </w:r>
      <w:r w:rsidRPr="00A53EAC" w:rsidR="00513E60">
        <w:rPr>
          <w:rFonts w:ascii="Times New Roman" w:hAnsi="Times New Roman" w:cs="Times New Roman"/>
        </w:rPr>
        <w:t> </w:t>
      </w:r>
      <w:r w:rsidRPr="00A53EAC">
        <w:rPr>
          <w:rFonts w:ascii="Times New Roman" w:hAnsi="Times New Roman" w:cs="Times New Roman"/>
        </w:rPr>
        <w:t>%, ale stále sa pohybuje na nízkej úrovni 5,3</w:t>
      </w:r>
      <w:r w:rsidRPr="00A53EAC" w:rsidR="00513E60">
        <w:rPr>
          <w:rFonts w:ascii="Times New Roman" w:hAnsi="Times New Roman" w:cs="Times New Roman"/>
        </w:rPr>
        <w:t> </w:t>
      </w:r>
      <w:r w:rsidRPr="00A53EAC">
        <w:rPr>
          <w:rFonts w:ascii="Times New Roman" w:hAnsi="Times New Roman" w:cs="Times New Roman"/>
        </w:rPr>
        <w:t xml:space="preserve">%. </w:t>
      </w:r>
    </w:p>
    <w:p w:rsidR="00B3796F" w:rsidRPr="00A53EAC" w:rsidP="00B3796F">
      <w:pPr>
        <w:bidi w:val="0"/>
        <w:spacing w:after="120" w:line="336" w:lineRule="auto"/>
        <w:jc w:val="both"/>
        <w:rPr>
          <w:rFonts w:ascii="Times New Roman" w:hAnsi="Times New Roman" w:cs="Times New Roman"/>
          <w:b/>
          <w:szCs w:val="22"/>
        </w:rPr>
      </w:pPr>
      <w:r w:rsidRPr="00A53EAC">
        <w:rPr>
          <w:rFonts w:ascii="Times New Roman" w:hAnsi="Times New Roman" w:cs="Times New Roman"/>
          <w:b/>
          <w:szCs w:val="22"/>
        </w:rPr>
        <w:t>Vyhodnotenie plnenia cieľov stratégie riadenia štátneho dlhu</w:t>
      </w:r>
    </w:p>
    <w:p w:rsidR="0089468D" w:rsidRPr="00A53EAC" w:rsidP="00B3796F">
      <w:pPr>
        <w:bidi w:val="0"/>
        <w:spacing w:after="120" w:line="336" w:lineRule="auto"/>
        <w:jc w:val="both"/>
        <w:rPr>
          <w:rFonts w:ascii="Times New Roman" w:hAnsi="Times New Roman" w:cs="Times New Roman"/>
          <w:szCs w:val="22"/>
        </w:rPr>
      </w:pPr>
      <w:r w:rsidRPr="00A53EAC">
        <w:rPr>
          <w:rFonts w:ascii="Times New Roman" w:hAnsi="Times New Roman" w:cs="Times New Roman"/>
          <w:szCs w:val="22"/>
        </w:rPr>
        <w:t>V rámci stratégie riadenia štátneho dlhu sú stanovené kvantitatívne limity pre refinančné a úrokové riziko. Cieľom riadenia dlhu je dosiahnutie tesného priblíženia sa k stanoveným hodnotám, resp. udržanie parametrov dlhu čo najbližšie k stanoveným hodnotám.</w:t>
      </w:r>
    </w:p>
    <w:p w:rsidR="0089468D" w:rsidRPr="00A53EAC" w:rsidP="007B2348">
      <w:pPr>
        <w:pStyle w:val="ListParagraph"/>
        <w:numPr>
          <w:numId w:val="1"/>
        </w:numPr>
        <w:bidi w:val="0"/>
        <w:spacing w:after="120" w:line="336" w:lineRule="auto"/>
        <w:ind w:left="357" w:hanging="357"/>
        <w:contextualSpacing w:val="0"/>
        <w:jc w:val="both"/>
        <w:rPr>
          <w:rFonts w:ascii="Times New Roman" w:hAnsi="Times New Roman" w:cs="Times New Roman"/>
        </w:rPr>
      </w:pPr>
      <w:r w:rsidRPr="00A53EAC">
        <w:rPr>
          <w:rFonts w:ascii="Times New Roman" w:hAnsi="Times New Roman" w:cs="Times New Roman"/>
        </w:rPr>
        <w:t>Hodnota refinančného rizika kumulatívnej splatnosti do jedného roka bola stanovená na úrovni 25</w:t>
      </w:r>
      <w:r w:rsidRPr="00A53EAC" w:rsidR="002C7EB2">
        <w:rPr>
          <w:rFonts w:ascii="Times New Roman" w:hAnsi="Times New Roman" w:cs="Times New Roman"/>
        </w:rPr>
        <w:t> %</w:t>
      </w:r>
      <w:r w:rsidRPr="00A53EAC">
        <w:rPr>
          <w:rFonts w:ascii="Times New Roman" w:hAnsi="Times New Roman" w:cs="Times New Roman"/>
        </w:rPr>
        <w:t xml:space="preserve"> záväzkov splatných do jedného roka k celkovým záväzkom. Hodnota tohto kritéria ku koncu roka 2014 sa medziročne zvýšila z hodnoty 9,6 % vykázanej ku koncu roka 2013 na úroveň 12,3</w:t>
      </w:r>
      <w:r w:rsidRPr="00A53EAC" w:rsidR="002C7EB2">
        <w:rPr>
          <w:rFonts w:ascii="Times New Roman" w:hAnsi="Times New Roman" w:cs="Times New Roman"/>
        </w:rPr>
        <w:t> </w:t>
      </w:r>
      <w:r w:rsidRPr="00A53EAC">
        <w:rPr>
          <w:rFonts w:ascii="Times New Roman" w:hAnsi="Times New Roman" w:cs="Times New Roman"/>
        </w:rPr>
        <w:t xml:space="preserve">% celkových záväzkov. Hodnota refinančného rizika kumulatívnej splatnosti do piatich rokov bola stanovená na úrovni 65 % záväzkov splatných do piatich rokov k celkovým záväzkom. Hodnota tohto kritéria dosiahla úroveň 45,5 % na konci roka 2014. V porovnaní s rovnakým obdobím minulého roka došlo k poklesu z hodnoty 47,6 % z celkových záväzkov. </w:t>
      </w:r>
    </w:p>
    <w:p w:rsidR="0089468D" w:rsidRPr="00A53EAC" w:rsidP="007B2348">
      <w:pPr>
        <w:pStyle w:val="ListParagraph"/>
        <w:numPr>
          <w:numId w:val="1"/>
        </w:numPr>
        <w:bidi w:val="0"/>
        <w:spacing w:after="120" w:line="336" w:lineRule="auto"/>
        <w:ind w:left="357" w:hanging="357"/>
        <w:contextualSpacing w:val="0"/>
        <w:jc w:val="both"/>
        <w:rPr>
          <w:rFonts w:ascii="Times New Roman" w:hAnsi="Times New Roman" w:cs="Times New Roman"/>
        </w:rPr>
      </w:pPr>
      <w:r w:rsidRPr="00A53EAC">
        <w:rPr>
          <w:rFonts w:ascii="Times New Roman" w:hAnsi="Times New Roman" w:cs="Times New Roman"/>
        </w:rPr>
        <w:t>Hodnota úrokového rizika kumulatívnej refixácie do jedného roka bola stanovená taktiež na úrovni 25 % záväzkov refixovaných do jedného roka k celkovým záväzkom. Hodnota tohto kritéria bola na úrovni 16,5% ku koncu roka 2014 (16,6 % ku koncu roka 2013). Hodnota úrokového rizika kumulatívnej refixácie do piatich rokov bola stanovená na úrovni 65 % záväzkov refixovaných do piatich rokov k celkovým záväzkom. Hodnota tohto kritéria bola na úrovni 45,5</w:t>
      </w:r>
      <w:r w:rsidRPr="00A53EAC" w:rsidR="002C7EB2">
        <w:rPr>
          <w:rFonts w:ascii="Times New Roman" w:hAnsi="Times New Roman" w:cs="Times New Roman"/>
        </w:rPr>
        <w:t> </w:t>
      </w:r>
      <w:r w:rsidRPr="00A53EAC">
        <w:rPr>
          <w:rFonts w:ascii="Times New Roman" w:hAnsi="Times New Roman" w:cs="Times New Roman"/>
        </w:rPr>
        <w:t xml:space="preserve">% ku koncu roka 2014 (47,7 % ku koncu roka 2013). Vo všetkých uvedených ukazovateľoch portfólia štátneho dlhu sa </w:t>
      </w:r>
      <w:r w:rsidRPr="00A53EAC" w:rsidR="002C7EB2">
        <w:rPr>
          <w:rFonts w:ascii="Times New Roman" w:hAnsi="Times New Roman" w:cs="Times New Roman"/>
        </w:rPr>
        <w:t xml:space="preserve">pozitívne </w:t>
      </w:r>
      <w:r w:rsidRPr="00A53EAC">
        <w:rPr>
          <w:rFonts w:ascii="Times New Roman" w:hAnsi="Times New Roman" w:cs="Times New Roman"/>
        </w:rPr>
        <w:t>premietla emisná politika, cieľom ktorej bolo využívanie možností emitovania štátnych dlhopisov s dlhšou splatnosťou na úkor využívania krátkodobých lacnejších zdrojov financovania.</w:t>
      </w:r>
    </w:p>
    <w:p w:rsidR="0089468D" w:rsidRPr="00A53EAC" w:rsidP="007B2348">
      <w:pPr>
        <w:pStyle w:val="ListParagraph"/>
        <w:numPr>
          <w:numId w:val="1"/>
        </w:numPr>
        <w:bidi w:val="0"/>
        <w:spacing w:after="120" w:line="336" w:lineRule="auto"/>
        <w:ind w:left="357" w:hanging="357"/>
        <w:contextualSpacing w:val="0"/>
        <w:jc w:val="both"/>
        <w:rPr>
          <w:rFonts w:ascii="Times New Roman" w:hAnsi="Times New Roman" w:cs="Times New Roman"/>
        </w:rPr>
      </w:pPr>
      <w:r w:rsidRPr="00A53EAC">
        <w:rPr>
          <w:rFonts w:ascii="Times New Roman" w:hAnsi="Times New Roman" w:cs="Times New Roman"/>
        </w:rPr>
        <w:t>V rámci cieľa diverzifikácie inv</w:t>
      </w:r>
      <w:r w:rsidR="00CE1C18">
        <w:rPr>
          <w:rFonts w:ascii="Times New Roman" w:hAnsi="Times New Roman" w:cs="Times New Roman"/>
        </w:rPr>
        <w:t xml:space="preserve">estorskej základne v roku 2014 </w:t>
      </w:r>
      <w:r w:rsidRPr="00A53EAC">
        <w:rPr>
          <w:rFonts w:ascii="Times New Roman" w:hAnsi="Times New Roman" w:cs="Times New Roman"/>
        </w:rPr>
        <w:t>boli emitované dva dlhopisy v</w:t>
      </w:r>
      <w:r w:rsidR="00B55DB0">
        <w:rPr>
          <w:rFonts w:ascii="Times New Roman" w:hAnsi="Times New Roman" w:cs="Times New Roman"/>
        </w:rPr>
        <w:t> </w:t>
      </w:r>
      <w:r w:rsidRPr="00A53EAC">
        <w:rPr>
          <w:rFonts w:ascii="Times New Roman" w:hAnsi="Times New Roman" w:cs="Times New Roman"/>
        </w:rPr>
        <w:t>nórskej korune v súhrnnej hodnote 407 967 tis. eur a priemernou splatnosťou 11 rokov. Predaj slovenských dlhopisov mimo eurozóny prináša väčšiu stabilitu financovania slovenského štátneho dlhu najmä v obdobiach náhlych zmien trhových podmienok na kapitálovom a bankovom trhu. Podiel nerezidentov na vlastníctve štátnych cenných papierov dosiahol 49,9</w:t>
      </w:r>
      <w:r w:rsidRPr="00A53EAC" w:rsidR="002C7EB2">
        <w:rPr>
          <w:rFonts w:ascii="Times New Roman" w:hAnsi="Times New Roman" w:cs="Times New Roman"/>
        </w:rPr>
        <w:t> </w:t>
      </w:r>
      <w:r w:rsidRPr="00A53EAC">
        <w:rPr>
          <w:rFonts w:ascii="Times New Roman" w:hAnsi="Times New Roman" w:cs="Times New Roman"/>
        </w:rPr>
        <w:t xml:space="preserve">% ku koncu roka 2014. </w:t>
      </w:r>
    </w:p>
    <w:p w:rsidR="00B3796F" w:rsidRPr="00A53EAC" w:rsidP="007B2348">
      <w:pPr>
        <w:pStyle w:val="ListParagraph"/>
        <w:numPr>
          <w:numId w:val="1"/>
        </w:numPr>
        <w:bidi w:val="0"/>
        <w:spacing w:after="120" w:line="336" w:lineRule="auto"/>
        <w:ind w:left="357" w:hanging="357"/>
        <w:contextualSpacing w:val="0"/>
        <w:jc w:val="both"/>
        <w:rPr>
          <w:rFonts w:ascii="Times New Roman" w:hAnsi="Times New Roman" w:cs="Times New Roman"/>
        </w:rPr>
      </w:pPr>
      <w:r w:rsidRPr="00A53EAC" w:rsidR="0089468D">
        <w:rPr>
          <w:rFonts w:ascii="Times New Roman" w:hAnsi="Times New Roman" w:cs="Times New Roman"/>
        </w:rPr>
        <w:t>Od začiatku roka 2011 sú vydávané benchmarkové emisie štátnych dlhopisov v štandardnej veľkosti 3 mld. eur, ostatné emisie štátnych dlhopisov a štátnych pokladničných poukážok sú vydávané v štandardnej veľkosti emisie 1,5 mld. eur. Výnimku tvoria niektoré špeciálne emisie štátnych dlhopisov, ktoré boli vydané na základe špeciálneho dopytu buď formou „private placement“ alebo ako cudzo menové dlhopisy. V rokoch 2013 a 2014 boli vydané dlhopisy zo splatnosťou 20 rokov (jedna emisia ako „private placement“). Od roku 2012 sa vo väčšom rozsahu realizujú spätné nákupy štátnych dlhopisov (1,5 mld. eur za rok 2014) s cieľom efektívnejšieho riadenia dlhu a likvidity a zníženia veľkosti dlhu ku koncu roka.</w:t>
      </w:r>
    </w:p>
    <w:p w:rsidR="00B3796F" w:rsidRPr="00A53EAC" w:rsidP="00B3796F">
      <w:pPr>
        <w:bidi w:val="0"/>
        <w:spacing w:before="240" w:after="120" w:line="336" w:lineRule="auto"/>
        <w:jc w:val="both"/>
        <w:rPr>
          <w:rFonts w:ascii="Times New Roman" w:hAnsi="Times New Roman" w:cs="Times New Roman"/>
          <w:b/>
          <w:szCs w:val="22"/>
        </w:rPr>
      </w:pPr>
      <w:r w:rsidRPr="00A53EAC">
        <w:rPr>
          <w:rFonts w:ascii="Times New Roman" w:hAnsi="Times New Roman" w:cs="Times New Roman"/>
          <w:b/>
          <w:szCs w:val="22"/>
        </w:rPr>
        <w:t>Ri</w:t>
      </w:r>
      <w:r w:rsidRPr="00A53EAC" w:rsidR="003B3993">
        <w:rPr>
          <w:rFonts w:ascii="Times New Roman" w:hAnsi="Times New Roman" w:cs="Times New Roman"/>
          <w:b/>
          <w:szCs w:val="22"/>
        </w:rPr>
        <w:t>adenie štátneho dlhu v roku 2014</w:t>
      </w:r>
    </w:p>
    <w:p w:rsidR="00A401EB" w:rsidRPr="00A53EAC" w:rsidP="00A401EB">
      <w:pPr>
        <w:bidi w:val="0"/>
        <w:spacing w:after="120" w:line="336" w:lineRule="auto"/>
        <w:jc w:val="both"/>
        <w:rPr>
          <w:rFonts w:ascii="Times New Roman" w:hAnsi="Times New Roman" w:cs="Times New Roman"/>
        </w:rPr>
      </w:pPr>
      <w:r w:rsidRPr="00A53EAC">
        <w:rPr>
          <w:rFonts w:ascii="Times New Roman" w:hAnsi="Times New Roman" w:cs="Times New Roman"/>
        </w:rPr>
        <w:t>Nasledujúca tabuľka ukazuje základné kvantitatívne parametre riadenia štátneho dlhu v roku 2014. V tabuľke vidno priemernú úrokovú sadzbu a splatnosť pri novom vydanom (emitovanom) dlhu. Agentúra pre riadene dlhu a likvidity emitovala v mene MF SR v roku 2014 cenné papiere v celkovej hodnote 4 880 767 tis. eur (</w:t>
      </w:r>
      <w:r w:rsidR="00B55DB0">
        <w:rPr>
          <w:rFonts w:ascii="Times New Roman" w:hAnsi="Times New Roman" w:cs="Times New Roman"/>
        </w:rPr>
        <w:t>6</w:t>
      </w:r>
      <w:r w:rsidRPr="00A53EAC">
        <w:rPr>
          <w:rFonts w:ascii="Times New Roman" w:hAnsi="Times New Roman" w:cs="Times New Roman"/>
        </w:rPr>
        <w:t>,</w:t>
      </w:r>
      <w:r w:rsidR="00B55DB0">
        <w:rPr>
          <w:rFonts w:ascii="Times New Roman" w:hAnsi="Times New Roman" w:cs="Times New Roman"/>
        </w:rPr>
        <w:t>5</w:t>
      </w:r>
      <w:r w:rsidRPr="00A53EAC">
        <w:rPr>
          <w:rFonts w:ascii="Times New Roman" w:hAnsi="Times New Roman" w:cs="Times New Roman"/>
        </w:rPr>
        <w:t xml:space="preserve"> % HDP). Okrem štátnych dlhopisov neboli na krytie dlhu použité v roku 2014 žiadne iné finančné nástroje (štátne pokladničné poukážky, úvery). </w:t>
      </w:r>
    </w:p>
    <w:tbl>
      <w:tblPr>
        <w:tblStyle w:val="TableNormal"/>
        <w:tblW w:w="8600" w:type="dxa"/>
        <w:tblInd w:w="70" w:type="dxa"/>
        <w:tblCellMar>
          <w:left w:w="70" w:type="dxa"/>
          <w:right w:w="70" w:type="dxa"/>
        </w:tblCellMar>
        <w:tblLook w:val="04A0"/>
      </w:tblPr>
      <w:tblGrid>
        <w:gridCol w:w="2340"/>
        <w:gridCol w:w="1420"/>
        <w:gridCol w:w="1860"/>
        <w:gridCol w:w="1500"/>
        <w:gridCol w:w="1480"/>
      </w:tblGrid>
      <w:tr>
        <w:tblPrEx>
          <w:tblW w:w="8600" w:type="dxa"/>
          <w:tblInd w:w="70" w:type="dxa"/>
          <w:tblCellMar>
            <w:left w:w="70" w:type="dxa"/>
            <w:right w:w="70" w:type="dxa"/>
          </w:tblCellMar>
          <w:tblLook w:val="04A0"/>
        </w:tblPrEx>
        <w:trPr>
          <w:trHeight w:val="390"/>
        </w:trPr>
        <w:tc>
          <w:tcPr>
            <w:tcW w:w="5620" w:type="dxa"/>
            <w:gridSpan w:val="3"/>
            <w:tcBorders>
              <w:top w:val="nil"/>
              <w:left w:val="nil"/>
              <w:bottom w:val="nil"/>
              <w:right w:val="nil"/>
            </w:tcBorders>
            <w:shd w:val="clear" w:color="000000" w:fill="000000"/>
            <w:noWrap/>
            <w:textDirection w:val="lrTb"/>
            <w:vAlign w:val="center"/>
            <w:hideMark/>
          </w:tcPr>
          <w:p w:rsidR="00A401EB" w:rsidRPr="00A53EAC" w:rsidP="003D1A42">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Štátny dlh realizovaný v roku 2014 (tis. eur)</w:t>
            </w:r>
          </w:p>
        </w:tc>
        <w:tc>
          <w:tcPr>
            <w:tcW w:w="1500" w:type="dxa"/>
            <w:tcBorders>
              <w:top w:val="nil"/>
              <w:left w:val="nil"/>
              <w:bottom w:val="nil"/>
              <w:right w:val="nil"/>
            </w:tcBorders>
            <w:shd w:val="clear" w:color="000000" w:fill="000000"/>
            <w:noWrap/>
            <w:textDirection w:val="lrTb"/>
            <w:vAlign w:val="center"/>
            <w:hideMark/>
          </w:tcPr>
          <w:p w:rsidR="00A401EB" w:rsidRPr="00A53EAC" w:rsidP="003D1A42">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 </w:t>
            </w:r>
          </w:p>
        </w:tc>
        <w:tc>
          <w:tcPr>
            <w:tcW w:w="1480" w:type="dxa"/>
            <w:tcBorders>
              <w:top w:val="nil"/>
              <w:left w:val="nil"/>
              <w:bottom w:val="nil"/>
              <w:right w:val="nil"/>
            </w:tcBorders>
            <w:shd w:val="clear" w:color="000000" w:fill="000000"/>
            <w:noWrap/>
            <w:textDirection w:val="lrTb"/>
            <w:vAlign w:val="center"/>
            <w:hideMark/>
          </w:tcPr>
          <w:p w:rsidR="00A401EB" w:rsidRPr="00A53EAC" w:rsidP="003D1A42">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 </w:t>
            </w:r>
          </w:p>
        </w:tc>
      </w:tr>
      <w:tr>
        <w:tblPrEx>
          <w:tblW w:w="8600" w:type="dxa"/>
          <w:tblInd w:w="70" w:type="dxa"/>
          <w:tblCellMar>
            <w:left w:w="70" w:type="dxa"/>
            <w:right w:w="70" w:type="dxa"/>
          </w:tblCellMar>
          <w:tblLook w:val="04A0"/>
        </w:tblPrEx>
        <w:trPr>
          <w:trHeight w:val="522"/>
        </w:trPr>
        <w:tc>
          <w:tcPr>
            <w:tcW w:w="2340" w:type="dxa"/>
            <w:tcBorders>
              <w:top w:val="nil"/>
              <w:left w:val="nil"/>
              <w:bottom w:val="nil"/>
              <w:right w:val="nil"/>
            </w:tcBorders>
            <w:shd w:val="clear" w:color="000000" w:fill="BFBFBF"/>
            <w:textDirection w:val="lrTb"/>
            <w:vAlign w:val="center"/>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Typ cenného papiera</w:t>
            </w:r>
          </w:p>
        </w:tc>
        <w:tc>
          <w:tcPr>
            <w:tcW w:w="1420" w:type="dxa"/>
            <w:tcBorders>
              <w:top w:val="nil"/>
              <w:left w:val="nil"/>
              <w:bottom w:val="nil"/>
              <w:right w:val="nil"/>
            </w:tcBorders>
            <w:shd w:val="clear" w:color="000000" w:fill="BFBFBF"/>
            <w:textDirection w:val="lrTb"/>
            <w:vAlign w:val="center"/>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Nominálna hodnota</w:t>
            </w:r>
          </w:p>
        </w:tc>
        <w:tc>
          <w:tcPr>
            <w:tcW w:w="1860" w:type="dxa"/>
            <w:tcBorders>
              <w:top w:val="nil"/>
              <w:left w:val="nil"/>
              <w:bottom w:val="nil"/>
              <w:right w:val="nil"/>
            </w:tcBorders>
            <w:shd w:val="clear" w:color="000000" w:fill="BFBFBF"/>
            <w:textDirection w:val="lrTb"/>
            <w:vAlign w:val="center"/>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Priemerný úrok / prirážka (ŠD float)</w:t>
            </w:r>
          </w:p>
        </w:tc>
        <w:tc>
          <w:tcPr>
            <w:tcW w:w="1500" w:type="dxa"/>
            <w:tcBorders>
              <w:top w:val="nil"/>
              <w:left w:val="nil"/>
              <w:bottom w:val="nil"/>
              <w:right w:val="nil"/>
            </w:tcBorders>
            <w:shd w:val="clear" w:color="000000" w:fill="BFBFBF"/>
            <w:textDirection w:val="lrTb"/>
            <w:vAlign w:val="center"/>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Priemerná splatnosť (rok)</w:t>
            </w:r>
          </w:p>
        </w:tc>
        <w:tc>
          <w:tcPr>
            <w:tcW w:w="1480" w:type="dxa"/>
            <w:tcBorders>
              <w:top w:val="nil"/>
              <w:left w:val="nil"/>
              <w:bottom w:val="nil"/>
              <w:right w:val="nil"/>
            </w:tcBorders>
            <w:shd w:val="clear" w:color="000000" w:fill="BFBFBF"/>
            <w:textDirection w:val="lrTb"/>
            <w:vAlign w:val="center"/>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Typ kupónovej sadzby</w:t>
            </w:r>
          </w:p>
        </w:tc>
      </w:tr>
      <w:tr>
        <w:tblPrEx>
          <w:tblW w:w="8600" w:type="dxa"/>
          <w:tblInd w:w="70" w:type="dxa"/>
          <w:tblCellMar>
            <w:left w:w="70" w:type="dxa"/>
            <w:right w:w="70" w:type="dxa"/>
          </w:tblCellMar>
          <w:tblLook w:val="04A0"/>
        </w:tblPrEx>
        <w:trPr>
          <w:trHeight w:val="330"/>
        </w:trPr>
        <w:tc>
          <w:tcPr>
            <w:tcW w:w="2340" w:type="dxa"/>
            <w:tcBorders>
              <w:top w:val="single" w:sz="4" w:space="0" w:color="auto"/>
              <w:left w:val="nil"/>
              <w:bottom w:val="nil"/>
              <w:right w:val="nil"/>
            </w:tcBorders>
            <w:noWrap/>
            <w:textDirection w:val="lrTb"/>
            <w:vAlign w:val="bottom"/>
            <w:hideMark/>
          </w:tcPr>
          <w:p w:rsidR="00A401EB" w:rsidRPr="00A53EAC" w:rsidP="003D1A4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ŠD fix</w:t>
            </w:r>
          </w:p>
        </w:tc>
        <w:tc>
          <w:tcPr>
            <w:tcW w:w="1420" w:type="dxa"/>
            <w:tcBorders>
              <w:top w:val="single" w:sz="4" w:space="0" w:color="auto"/>
              <w:left w:val="nil"/>
              <w:bottom w:val="nil"/>
              <w:right w:val="nil"/>
            </w:tcBorders>
            <w:noWrap/>
            <w:textDirection w:val="lrTb"/>
            <w:vAlign w:val="bottom"/>
            <w:hideMark/>
          </w:tcPr>
          <w:p w:rsidR="00A401EB" w:rsidRPr="00A53EAC" w:rsidP="003D1A4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4 553 167</w:t>
            </w:r>
          </w:p>
        </w:tc>
        <w:tc>
          <w:tcPr>
            <w:tcW w:w="1860" w:type="dxa"/>
            <w:tcBorders>
              <w:top w:val="single" w:sz="4" w:space="0" w:color="auto"/>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2,55%</w:t>
            </w:r>
          </w:p>
        </w:tc>
        <w:tc>
          <w:tcPr>
            <w:tcW w:w="1500" w:type="dxa"/>
            <w:tcBorders>
              <w:top w:val="single" w:sz="4" w:space="0" w:color="auto"/>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11,8</w:t>
            </w:r>
          </w:p>
        </w:tc>
        <w:tc>
          <w:tcPr>
            <w:tcW w:w="1480" w:type="dxa"/>
            <w:tcBorders>
              <w:top w:val="single" w:sz="4" w:space="0" w:color="auto"/>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fixná</w:t>
            </w:r>
          </w:p>
        </w:tc>
      </w:tr>
      <w:tr>
        <w:tblPrEx>
          <w:tblW w:w="8600" w:type="dxa"/>
          <w:tblInd w:w="70" w:type="dxa"/>
          <w:tblCellMar>
            <w:left w:w="70" w:type="dxa"/>
            <w:right w:w="70" w:type="dxa"/>
          </w:tblCellMar>
          <w:tblLook w:val="04A0"/>
        </w:tblPrEx>
        <w:trPr>
          <w:trHeight w:val="330"/>
        </w:trPr>
        <w:tc>
          <w:tcPr>
            <w:tcW w:w="2340" w:type="dxa"/>
            <w:tcBorders>
              <w:top w:val="nil"/>
              <w:left w:val="nil"/>
              <w:bottom w:val="nil"/>
              <w:right w:val="nil"/>
            </w:tcBorders>
            <w:noWrap/>
            <w:textDirection w:val="lrTb"/>
            <w:vAlign w:val="bottom"/>
            <w:hideMark/>
          </w:tcPr>
          <w:p w:rsidR="00A401EB" w:rsidRPr="00A53EAC" w:rsidP="003D1A4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ŠD float</w:t>
            </w:r>
          </w:p>
        </w:tc>
        <w:tc>
          <w:tcPr>
            <w:tcW w:w="1420" w:type="dxa"/>
            <w:tcBorders>
              <w:top w:val="nil"/>
              <w:left w:val="nil"/>
              <w:bottom w:val="nil"/>
              <w:right w:val="nil"/>
            </w:tcBorders>
            <w:noWrap/>
            <w:textDirection w:val="lrTb"/>
            <w:vAlign w:val="bottom"/>
            <w:hideMark/>
          </w:tcPr>
          <w:p w:rsidR="00A401EB" w:rsidRPr="00A53EAC" w:rsidP="003D1A4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327 600</w:t>
            </w:r>
          </w:p>
        </w:tc>
        <w:tc>
          <w:tcPr>
            <w:tcW w:w="186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1,00%</w:t>
            </w:r>
          </w:p>
        </w:tc>
        <w:tc>
          <w:tcPr>
            <w:tcW w:w="150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2,7</w:t>
            </w:r>
          </w:p>
        </w:tc>
        <w:tc>
          <w:tcPr>
            <w:tcW w:w="148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6M Euribor</w:t>
            </w:r>
          </w:p>
        </w:tc>
      </w:tr>
      <w:tr>
        <w:tblPrEx>
          <w:tblW w:w="8600" w:type="dxa"/>
          <w:tblInd w:w="70" w:type="dxa"/>
          <w:tblCellMar>
            <w:left w:w="70" w:type="dxa"/>
            <w:right w:w="70" w:type="dxa"/>
          </w:tblCellMar>
          <w:tblLook w:val="04A0"/>
        </w:tblPrEx>
        <w:trPr>
          <w:trHeight w:val="330"/>
        </w:trPr>
        <w:tc>
          <w:tcPr>
            <w:tcW w:w="2340" w:type="dxa"/>
            <w:tcBorders>
              <w:top w:val="nil"/>
              <w:left w:val="nil"/>
              <w:bottom w:val="nil"/>
              <w:right w:val="nil"/>
            </w:tcBorders>
            <w:noWrap/>
            <w:textDirection w:val="lrTb"/>
            <w:vAlign w:val="bottom"/>
            <w:hideMark/>
          </w:tcPr>
          <w:p w:rsidR="00A401EB" w:rsidRPr="00A53EAC" w:rsidP="003D1A42">
            <w:pPr>
              <w:bidi w:val="0"/>
              <w:spacing w:after="0" w:line="240" w:lineRule="auto"/>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Hrubý dlh</w:t>
            </w:r>
          </w:p>
        </w:tc>
        <w:tc>
          <w:tcPr>
            <w:tcW w:w="1420" w:type="dxa"/>
            <w:tcBorders>
              <w:top w:val="nil"/>
              <w:left w:val="nil"/>
              <w:bottom w:val="nil"/>
              <w:right w:val="nil"/>
            </w:tcBorders>
            <w:noWrap/>
            <w:textDirection w:val="lrTb"/>
            <w:vAlign w:val="bottom"/>
            <w:hideMark/>
          </w:tcPr>
          <w:p w:rsidR="00A401EB" w:rsidRPr="00A53EAC" w:rsidP="003D1A4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4 880 767</w:t>
            </w:r>
          </w:p>
        </w:tc>
        <w:tc>
          <w:tcPr>
            <w:tcW w:w="186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w:t>
            </w:r>
          </w:p>
        </w:tc>
        <w:tc>
          <w:tcPr>
            <w:tcW w:w="150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w:t>
            </w:r>
          </w:p>
        </w:tc>
        <w:tc>
          <w:tcPr>
            <w:tcW w:w="148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w:t>
            </w:r>
          </w:p>
        </w:tc>
      </w:tr>
      <w:tr>
        <w:tblPrEx>
          <w:tblW w:w="8600" w:type="dxa"/>
          <w:tblInd w:w="70" w:type="dxa"/>
          <w:tblCellMar>
            <w:left w:w="70" w:type="dxa"/>
            <w:right w:w="70" w:type="dxa"/>
          </w:tblCellMar>
          <w:tblLook w:val="04A0"/>
        </w:tblPrEx>
        <w:trPr>
          <w:trHeight w:val="330"/>
        </w:trPr>
        <w:tc>
          <w:tcPr>
            <w:tcW w:w="2340" w:type="dxa"/>
            <w:tcBorders>
              <w:top w:val="nil"/>
              <w:left w:val="nil"/>
              <w:bottom w:val="nil"/>
              <w:right w:val="nil"/>
            </w:tcBorders>
            <w:noWrap/>
            <w:textDirection w:val="lrTb"/>
            <w:vAlign w:val="bottom"/>
            <w:hideMark/>
          </w:tcPr>
          <w:p w:rsidR="00A401EB" w:rsidRPr="00A53EAC" w:rsidP="003D1A4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ŠD spätný odkup fix</w:t>
            </w:r>
          </w:p>
        </w:tc>
        <w:tc>
          <w:tcPr>
            <w:tcW w:w="1420" w:type="dxa"/>
            <w:tcBorders>
              <w:top w:val="nil"/>
              <w:left w:val="nil"/>
              <w:bottom w:val="nil"/>
              <w:right w:val="nil"/>
            </w:tcBorders>
            <w:noWrap/>
            <w:textDirection w:val="lrTb"/>
            <w:vAlign w:val="bottom"/>
            <w:hideMark/>
          </w:tcPr>
          <w:p w:rsidR="00A401EB" w:rsidRPr="00A53EAC" w:rsidP="003D1A4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-836 380</w:t>
            </w:r>
          </w:p>
        </w:tc>
        <w:tc>
          <w:tcPr>
            <w:tcW w:w="186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0,02%</w:t>
            </w:r>
          </w:p>
        </w:tc>
        <w:tc>
          <w:tcPr>
            <w:tcW w:w="150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0,25</w:t>
            </w:r>
          </w:p>
        </w:tc>
        <w:tc>
          <w:tcPr>
            <w:tcW w:w="148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fixná</w:t>
            </w:r>
          </w:p>
        </w:tc>
      </w:tr>
      <w:tr>
        <w:tblPrEx>
          <w:tblW w:w="8600" w:type="dxa"/>
          <w:tblInd w:w="70" w:type="dxa"/>
          <w:tblCellMar>
            <w:left w:w="70" w:type="dxa"/>
            <w:right w:w="70" w:type="dxa"/>
          </w:tblCellMar>
          <w:tblLook w:val="04A0"/>
        </w:tblPrEx>
        <w:trPr>
          <w:trHeight w:val="330"/>
        </w:trPr>
        <w:tc>
          <w:tcPr>
            <w:tcW w:w="2340" w:type="dxa"/>
            <w:tcBorders>
              <w:top w:val="nil"/>
              <w:left w:val="nil"/>
              <w:bottom w:val="nil"/>
              <w:right w:val="nil"/>
            </w:tcBorders>
            <w:noWrap/>
            <w:textDirection w:val="lrTb"/>
            <w:vAlign w:val="bottom"/>
            <w:hideMark/>
          </w:tcPr>
          <w:p w:rsidR="00A401EB" w:rsidRPr="00A53EAC" w:rsidP="003D1A4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ŠD spätný odkup float</w:t>
            </w:r>
          </w:p>
        </w:tc>
        <w:tc>
          <w:tcPr>
            <w:tcW w:w="1420" w:type="dxa"/>
            <w:tcBorders>
              <w:top w:val="nil"/>
              <w:left w:val="nil"/>
              <w:bottom w:val="nil"/>
              <w:right w:val="nil"/>
            </w:tcBorders>
            <w:noWrap/>
            <w:textDirection w:val="lrTb"/>
            <w:vAlign w:val="bottom"/>
            <w:hideMark/>
          </w:tcPr>
          <w:p w:rsidR="00A401EB" w:rsidRPr="00A53EAC" w:rsidP="003D1A4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-674 839</w:t>
            </w:r>
          </w:p>
        </w:tc>
        <w:tc>
          <w:tcPr>
            <w:tcW w:w="186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-0,03%</w:t>
            </w:r>
          </w:p>
        </w:tc>
        <w:tc>
          <w:tcPr>
            <w:tcW w:w="150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0,1</w:t>
            </w:r>
          </w:p>
        </w:tc>
        <w:tc>
          <w:tcPr>
            <w:tcW w:w="1480" w:type="dxa"/>
            <w:tcBorders>
              <w:top w:val="nil"/>
              <w:left w:val="nil"/>
              <w:bottom w:val="nil"/>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6M Euribor</w:t>
            </w:r>
          </w:p>
        </w:tc>
      </w:tr>
      <w:tr>
        <w:tblPrEx>
          <w:tblW w:w="8600" w:type="dxa"/>
          <w:tblInd w:w="70" w:type="dxa"/>
          <w:tblCellMar>
            <w:left w:w="70" w:type="dxa"/>
            <w:right w:w="70" w:type="dxa"/>
          </w:tblCellMar>
          <w:tblLook w:val="04A0"/>
        </w:tblPrEx>
        <w:trPr>
          <w:trHeight w:val="330"/>
        </w:trPr>
        <w:tc>
          <w:tcPr>
            <w:tcW w:w="2340" w:type="dxa"/>
            <w:tcBorders>
              <w:top w:val="nil"/>
              <w:left w:val="nil"/>
              <w:bottom w:val="single" w:sz="4" w:space="0" w:color="auto"/>
              <w:right w:val="nil"/>
            </w:tcBorders>
            <w:noWrap/>
            <w:textDirection w:val="lrTb"/>
            <w:vAlign w:val="bottom"/>
            <w:hideMark/>
          </w:tcPr>
          <w:p w:rsidR="00A401EB" w:rsidRPr="00A53EAC" w:rsidP="003D1A42">
            <w:pPr>
              <w:bidi w:val="0"/>
              <w:spacing w:after="0" w:line="240" w:lineRule="auto"/>
              <w:rPr>
                <w:rFonts w:ascii="Times New Roman" w:hAnsi="Times New Roman" w:cs="Times New Roman"/>
                <w:b/>
                <w:bCs/>
                <w:color w:val="000000"/>
                <w:sz w:val="20"/>
                <w:szCs w:val="20"/>
                <w:lang w:eastAsia="sk-SK"/>
              </w:rPr>
            </w:pPr>
            <w:r w:rsidRPr="00A53EAC" w:rsidR="00C51623">
              <w:rPr>
                <w:rFonts w:ascii="Times New Roman" w:hAnsi="Times New Roman" w:cs="Times New Roman"/>
                <w:b/>
                <w:bCs/>
                <w:color w:val="000000"/>
                <w:sz w:val="20"/>
                <w:szCs w:val="20"/>
                <w:lang w:eastAsia="sk-SK"/>
              </w:rPr>
              <w:t>Čistá pozícia</w:t>
            </w:r>
          </w:p>
        </w:tc>
        <w:tc>
          <w:tcPr>
            <w:tcW w:w="1420" w:type="dxa"/>
            <w:tcBorders>
              <w:top w:val="nil"/>
              <w:left w:val="nil"/>
              <w:bottom w:val="single" w:sz="4" w:space="0" w:color="auto"/>
              <w:right w:val="nil"/>
            </w:tcBorders>
            <w:noWrap/>
            <w:textDirection w:val="lrTb"/>
            <w:vAlign w:val="bottom"/>
            <w:hideMark/>
          </w:tcPr>
          <w:p w:rsidR="00A401EB" w:rsidRPr="00A53EAC" w:rsidP="003D1A4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3 369 548</w:t>
            </w:r>
          </w:p>
        </w:tc>
        <w:tc>
          <w:tcPr>
            <w:tcW w:w="1860" w:type="dxa"/>
            <w:tcBorders>
              <w:top w:val="nil"/>
              <w:left w:val="nil"/>
              <w:bottom w:val="single" w:sz="4" w:space="0" w:color="auto"/>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1500" w:type="dxa"/>
            <w:tcBorders>
              <w:top w:val="nil"/>
              <w:left w:val="nil"/>
              <w:bottom w:val="single" w:sz="4" w:space="0" w:color="auto"/>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c>
          <w:tcPr>
            <w:tcW w:w="1480" w:type="dxa"/>
            <w:tcBorders>
              <w:top w:val="nil"/>
              <w:left w:val="nil"/>
              <w:bottom w:val="single" w:sz="4" w:space="0" w:color="auto"/>
              <w:right w:val="nil"/>
            </w:tcBorders>
            <w:noWrap/>
            <w:textDirection w:val="lrTb"/>
            <w:vAlign w:val="bottom"/>
            <w:hideMark/>
          </w:tcPr>
          <w:p w:rsidR="00A401EB" w:rsidRPr="00A53EAC" w:rsidP="003D1A42">
            <w:pPr>
              <w:bidi w:val="0"/>
              <w:spacing w:after="0" w:line="240" w:lineRule="auto"/>
              <w:jc w:val="center"/>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w:t>
            </w:r>
          </w:p>
        </w:tc>
      </w:tr>
    </w:tbl>
    <w:p w:rsidR="00B840B0" w:rsidRPr="00A53EAC" w:rsidP="00B840B0">
      <w:pPr>
        <w:bidi w:val="0"/>
        <w:spacing w:before="240" w:after="120" w:line="336" w:lineRule="auto"/>
        <w:jc w:val="both"/>
        <w:rPr>
          <w:rFonts w:ascii="Times New Roman" w:hAnsi="Times New Roman" w:cs="Times New Roman"/>
        </w:rPr>
      </w:pPr>
      <w:r w:rsidRPr="00A53EAC">
        <w:rPr>
          <w:rFonts w:ascii="Times New Roman" w:hAnsi="Times New Roman" w:cs="Times New Roman"/>
        </w:rPr>
        <w:t>Štruktúra prezentovaných priemerných úrokov (nákladov) a splatností zodpovedá jednotlivým druhom cenných papierov, ktoré boli v rámci svojej kategórie agregované. „ŠD fix“ označuje dlhopis s pevnou úrokovou sadzbou; „ŠD float“ dlhopis s plávajúcou úrokovou sadzbou, kde náklad tvorí meniaca sa sadzba (6M EURIBOR) a prirážka. V prípade zahraničných dlhopisov, ktoré boli zabezpečené prostredníctvom derivátneho obchodu, je do výpočtu zahrnutý aj vplyv týchto transakcií. „ŠD fix a float spätné odkupy“ označujú predčasné umorenie štátnych dlhopisov s fixnou, resp. plávajúcou sadzbou pôvodne splatných v neskoršom období. Tieto transakcie fakticky znížili dlh v roku 2014</w:t>
      </w:r>
      <w:r w:rsidR="00BF14E8">
        <w:rPr>
          <w:rFonts w:ascii="Times New Roman" w:hAnsi="Times New Roman" w:cs="Times New Roman"/>
        </w:rPr>
        <w:t>,</w:t>
      </w:r>
      <w:r w:rsidRPr="00A53EAC">
        <w:rPr>
          <w:rFonts w:ascii="Times New Roman" w:hAnsi="Times New Roman" w:cs="Times New Roman"/>
        </w:rPr>
        <w:t xml:space="preserve"> a preto je v tabuľke</w:t>
      </w:r>
      <w:r w:rsidR="00BF14E8">
        <w:rPr>
          <w:rFonts w:ascii="Times New Roman" w:hAnsi="Times New Roman" w:cs="Times New Roman"/>
        </w:rPr>
        <w:t xml:space="preserve"> uvedený dlh v hrubom vyjadrení</w:t>
      </w:r>
      <w:r w:rsidRPr="00A53EAC">
        <w:rPr>
          <w:rFonts w:ascii="Times New Roman" w:hAnsi="Times New Roman" w:cs="Times New Roman"/>
        </w:rPr>
        <w:t xml:space="preserve"> aj ako čistá pozícia.</w:t>
      </w:r>
    </w:p>
    <w:p w:rsidR="00B840B0" w:rsidRPr="00A53EAC" w:rsidP="00B840B0">
      <w:pPr>
        <w:bidi w:val="0"/>
        <w:spacing w:after="120" w:line="336" w:lineRule="auto"/>
        <w:jc w:val="both"/>
        <w:rPr>
          <w:rFonts w:ascii="Times New Roman" w:hAnsi="Times New Roman" w:cs="Times New Roman"/>
        </w:rPr>
      </w:pPr>
      <w:r w:rsidRPr="00A53EAC">
        <w:rPr>
          <w:rFonts w:ascii="Times New Roman" w:hAnsi="Times New Roman" w:cs="Times New Roman"/>
        </w:rPr>
        <w:t>Vážená priemerná úroková sadzba všetkých emitovaných cenných papierov ku koncu roka 2014 ostala približne rovnaká ako v roku 2013</w:t>
      </w:r>
      <w:r w:rsidR="00BF14E8">
        <w:rPr>
          <w:rFonts w:ascii="Times New Roman" w:hAnsi="Times New Roman" w:cs="Times New Roman"/>
        </w:rPr>
        <w:t>,</w:t>
      </w:r>
      <w:r w:rsidRPr="00A53EAC">
        <w:rPr>
          <w:rFonts w:ascii="Times New Roman" w:hAnsi="Times New Roman" w:cs="Times New Roman"/>
        </w:rPr>
        <w:t xml:space="preserve"> a to na úrovni 3,6 %. Na jednej strane klesol priemerný úrok emitovaných dlhopisov, keď z portfólia vypadli staršie dlhopisy s vyšším úrokom so splatnosťou v roku 2014 a zároveň boli v tomto roku emitované dlhopisy s nižším výnosom. Na druhej strane však na rozdiel od roku 2013 neboli v roku 2014 emitované žiadne štátne pokladničné poukážky, ktoré sa vyznačujú kvôli kratšej dob</w:t>
      </w:r>
      <w:r w:rsidR="00E00741">
        <w:rPr>
          <w:rFonts w:ascii="Times New Roman" w:hAnsi="Times New Roman" w:cs="Times New Roman"/>
        </w:rPr>
        <w:t>e</w:t>
      </w:r>
      <w:r w:rsidRPr="00A53EAC">
        <w:rPr>
          <w:rFonts w:ascii="Times New Roman" w:hAnsi="Times New Roman" w:cs="Times New Roman"/>
        </w:rPr>
        <w:t xml:space="preserve"> splatnosti do jedného roka nižším úrokovým výnosom ako dlhopisy. Priemerná úroková sadzba sa teda neznížila, ale priaznivé podmienky na finančných trhoch boli využité na emisiu dlhopisov s dlhšou priemernou splatnosťou, čo zlepšilo parametre dlhu z hľadiska refinančného a úrokového rizika.</w:t>
      </w:r>
    </w:p>
    <w:p w:rsidR="00B840B0" w:rsidRPr="00A53EAC" w:rsidP="00B840B0">
      <w:pPr>
        <w:bidi w:val="0"/>
        <w:spacing w:before="240" w:after="120" w:line="336" w:lineRule="auto"/>
        <w:jc w:val="both"/>
        <w:rPr>
          <w:rFonts w:ascii="Times New Roman" w:hAnsi="Times New Roman" w:cs="Times New Roman"/>
        </w:rPr>
      </w:pPr>
    </w:p>
    <w:p w:rsidR="00421098" w:rsidRPr="00A53EAC" w:rsidP="00360E3C">
      <w:pPr>
        <w:bidi w:val="0"/>
        <w:spacing w:before="120" w:after="120" w:line="336" w:lineRule="auto"/>
        <w:jc w:val="both"/>
        <w:rPr>
          <w:rFonts w:ascii="Times New Roman" w:hAnsi="Times New Roman" w:cs="Times New Roman"/>
        </w:rPr>
      </w:pPr>
    </w:p>
    <w:p w:rsidR="00472200" w:rsidRPr="00A53EAC">
      <w:pPr>
        <w:bidi w:val="0"/>
        <w:rPr>
          <w:rFonts w:ascii="Times New Roman" w:eastAsia="Cambria" w:hAnsi="Times New Roman" w:cs="Times New Roman"/>
          <w:b/>
          <w:bCs/>
          <w:sz w:val="26"/>
          <w:szCs w:val="26"/>
        </w:rPr>
      </w:pPr>
      <w:bookmarkStart w:id="63" w:name="_Toc401920023"/>
      <w:r w:rsidRPr="00A53EAC">
        <w:rPr>
          <w:rFonts w:eastAsia="Cambria"/>
        </w:rPr>
        <w:br w:type="page"/>
      </w:r>
    </w:p>
    <w:p w:rsidR="00A544B6" w:rsidRPr="00A53EAC" w:rsidP="0012459D">
      <w:pPr>
        <w:pStyle w:val="Heading1"/>
        <w:numPr>
          <w:numId w:val="3"/>
        </w:numPr>
        <w:bidi w:val="0"/>
        <w:ind w:left="426" w:hanging="426"/>
        <w:rPr>
          <w:rFonts w:eastAsia="Cambria" w:hint="default"/>
        </w:rPr>
      </w:pPr>
      <w:bookmarkStart w:id="64" w:name="_Toc433099569"/>
      <w:r w:rsidRPr="00A53EAC">
        <w:rPr>
          <w:rFonts w:eastAsia="Cambria" w:hint="default"/>
        </w:rPr>
        <w:t>Č</w:t>
      </w:r>
      <w:r w:rsidRPr="00A53EAC">
        <w:rPr>
          <w:rFonts w:eastAsia="Cambria" w:hint="default"/>
        </w:rPr>
        <w:t>isté</w:t>
      </w:r>
      <w:r w:rsidRPr="00A53EAC">
        <w:rPr>
          <w:rFonts w:eastAsia="Cambria" w:hint="default"/>
        </w:rPr>
        <w:t xml:space="preserve"> bohatstvo</w:t>
      </w:r>
      <w:bookmarkEnd w:id="62"/>
      <w:bookmarkEnd w:id="63"/>
      <w:bookmarkEnd w:id="64"/>
    </w:p>
    <w:p w:rsidR="004B50DB" w:rsidRPr="00A53EAC" w:rsidP="004B50DB">
      <w:pPr>
        <w:bidi w:val="0"/>
        <w:spacing w:after="120" w:line="336" w:lineRule="auto"/>
        <w:jc w:val="both"/>
        <w:rPr>
          <w:rFonts w:ascii="Times New Roman" w:eastAsia="Cambria" w:hAnsi="Times New Roman" w:cs="Times New Roman" w:hint="default"/>
          <w:szCs w:val="22"/>
        </w:rPr>
      </w:pPr>
      <w:r w:rsidRPr="00A53EAC">
        <w:rPr>
          <w:rFonts w:ascii="Times New Roman" w:eastAsia="Cambria" w:hAnsi="Times New Roman" w:cs="Times New Roman" w:hint="default"/>
          <w:szCs w:val="22"/>
        </w:rPr>
        <w:t>Prvé</w:t>
      </w:r>
      <w:r w:rsidRPr="00A53EAC">
        <w:rPr>
          <w:rFonts w:ascii="Times New Roman" w:eastAsia="Cambria" w:hAnsi="Times New Roman" w:cs="Times New Roman" w:hint="default"/>
          <w:szCs w:val="22"/>
        </w:rPr>
        <w:t xml:space="preserve"> dve kapitoly sú</w:t>
      </w:r>
      <w:r w:rsidRPr="00A53EAC">
        <w:rPr>
          <w:rFonts w:ascii="Times New Roman" w:eastAsia="Cambria" w:hAnsi="Times New Roman" w:cs="Times New Roman" w:hint="default"/>
          <w:szCs w:val="22"/>
        </w:rPr>
        <w:t>hrnnej vý</w:t>
      </w:r>
      <w:r w:rsidRPr="00A53EAC">
        <w:rPr>
          <w:rFonts w:ascii="Times New Roman" w:eastAsia="Cambria" w:hAnsi="Times New Roman" w:cs="Times New Roman" w:hint="default"/>
          <w:szCs w:val="22"/>
        </w:rPr>
        <w:t>roč</w:t>
      </w:r>
      <w:r w:rsidRPr="00A53EAC">
        <w:rPr>
          <w:rFonts w:ascii="Times New Roman" w:eastAsia="Cambria" w:hAnsi="Times New Roman" w:cs="Times New Roman" w:hint="default"/>
          <w:szCs w:val="22"/>
        </w:rPr>
        <w:t>nej sprá</w:t>
      </w:r>
      <w:r w:rsidRPr="00A53EAC">
        <w:rPr>
          <w:rFonts w:ascii="Times New Roman" w:eastAsia="Cambria" w:hAnsi="Times New Roman" w:cs="Times New Roman" w:hint="default"/>
          <w:szCs w:val="22"/>
        </w:rPr>
        <w:t>vy hodnotili hospodá</w:t>
      </w:r>
      <w:r w:rsidRPr="00A53EAC">
        <w:rPr>
          <w:rFonts w:ascii="Times New Roman" w:eastAsia="Cambria" w:hAnsi="Times New Roman" w:cs="Times New Roman" w:hint="default"/>
          <w:szCs w:val="22"/>
        </w:rPr>
        <w:t>renie verejný</w:t>
      </w:r>
      <w:r w:rsidRPr="00A53EAC">
        <w:rPr>
          <w:rFonts w:ascii="Times New Roman" w:eastAsia="Cambria" w:hAnsi="Times New Roman" w:cs="Times New Roman" w:hint="default"/>
          <w:szCs w:val="22"/>
        </w:rPr>
        <w:t>ch financií</w:t>
      </w:r>
      <w:r w:rsidRPr="00A53EAC">
        <w:rPr>
          <w:rFonts w:ascii="Times New Roman" w:eastAsia="Cambria" w:hAnsi="Times New Roman" w:cs="Times New Roman" w:hint="default"/>
          <w:szCs w:val="22"/>
        </w:rPr>
        <w:t xml:space="preserve"> z </w:t>
      </w:r>
      <w:r w:rsidRPr="00A53EAC">
        <w:rPr>
          <w:rFonts w:ascii="Times New Roman" w:eastAsia="Cambria" w:hAnsi="Times New Roman" w:cs="Times New Roman" w:hint="default"/>
          <w:szCs w:val="22"/>
        </w:rPr>
        <w:t>pohľ</w:t>
      </w:r>
      <w:r w:rsidRPr="00A53EAC">
        <w:rPr>
          <w:rFonts w:ascii="Times New Roman" w:eastAsia="Cambria" w:hAnsi="Times New Roman" w:cs="Times New Roman" w:hint="default"/>
          <w:szCs w:val="22"/>
        </w:rPr>
        <w:t>adu sektora verejnej sprá</w:t>
      </w:r>
      <w:r w:rsidRPr="00A53EAC">
        <w:rPr>
          <w:rFonts w:ascii="Times New Roman" w:eastAsia="Cambria" w:hAnsi="Times New Roman" w:cs="Times New Roman" w:hint="default"/>
          <w:szCs w:val="22"/>
        </w:rPr>
        <w:t xml:space="preserve">vy tak, ako ho definuje Eurostat v metodike </w:t>
      </w:r>
      <w:r w:rsidRPr="00A53EAC">
        <w:rPr>
          <w:rFonts w:ascii="Times New Roman" w:eastAsia="Cambria" w:hAnsi="Times New Roman" w:cs="Times New Roman" w:hint="default"/>
          <w:szCs w:val="22"/>
        </w:rPr>
        <w:t>ESA. Tento pohľ</w:t>
      </w:r>
      <w:r w:rsidRPr="00A53EAC">
        <w:rPr>
          <w:rFonts w:ascii="Times New Roman" w:eastAsia="Cambria" w:hAnsi="Times New Roman" w:cs="Times New Roman" w:hint="default"/>
          <w:szCs w:val="22"/>
        </w:rPr>
        <w:t>ad je v </w:t>
      </w:r>
      <w:r w:rsidRPr="00A53EAC">
        <w:rPr>
          <w:rFonts w:ascii="Times New Roman" w:eastAsia="Cambria" w:hAnsi="Times New Roman" w:cs="Times New Roman" w:hint="default"/>
          <w:szCs w:val="22"/>
        </w:rPr>
        <w:t>podmienkach krají</w:t>
      </w:r>
      <w:r w:rsidRPr="00A53EAC">
        <w:rPr>
          <w:rFonts w:ascii="Times New Roman" w:eastAsia="Cambria" w:hAnsi="Times New Roman" w:cs="Times New Roman" w:hint="default"/>
          <w:szCs w:val="22"/>
        </w:rPr>
        <w:t>n EÚ</w:t>
      </w:r>
      <w:r w:rsidRPr="00A53EAC">
        <w:rPr>
          <w:rFonts w:ascii="Times New Roman" w:eastAsia="Cambria" w:hAnsi="Times New Roman" w:cs="Times New Roman" w:hint="default"/>
          <w:szCs w:val="22"/>
        </w:rPr>
        <w:t xml:space="preserve"> najviac zauží</w:t>
      </w:r>
      <w:r w:rsidRPr="00A53EAC">
        <w:rPr>
          <w:rFonts w:ascii="Times New Roman" w:eastAsia="Cambria" w:hAnsi="Times New Roman" w:cs="Times New Roman" w:hint="default"/>
          <w:szCs w:val="22"/>
        </w:rPr>
        <w:t>vaný</w:t>
      </w:r>
      <w:r w:rsidRPr="00A53EAC">
        <w:rPr>
          <w:rFonts w:ascii="Times New Roman" w:eastAsia="Cambria" w:hAnsi="Times New Roman" w:cs="Times New Roman" w:hint="default"/>
          <w:szCs w:val="22"/>
        </w:rPr>
        <w:t xml:space="preserve"> kvô</w:t>
      </w:r>
      <w:r w:rsidRPr="00A53EAC">
        <w:rPr>
          <w:rFonts w:ascii="Times New Roman" w:eastAsia="Cambria" w:hAnsi="Times New Roman" w:cs="Times New Roman" w:hint="default"/>
          <w:szCs w:val="22"/>
        </w:rPr>
        <w:t>li tomu, ž</w:t>
      </w:r>
      <w:r w:rsidRPr="00A53EAC">
        <w:rPr>
          <w:rFonts w:ascii="Times New Roman" w:eastAsia="Cambria" w:hAnsi="Times New Roman" w:cs="Times New Roman" w:hint="default"/>
          <w:szCs w:val="22"/>
        </w:rPr>
        <w:t>e euró</w:t>
      </w:r>
      <w:r w:rsidRPr="00A53EAC">
        <w:rPr>
          <w:rFonts w:ascii="Times New Roman" w:eastAsia="Cambria" w:hAnsi="Times New Roman" w:cs="Times New Roman" w:hint="default"/>
          <w:szCs w:val="22"/>
        </w:rPr>
        <w:t>pske fiš</w:t>
      </w:r>
      <w:r w:rsidRPr="00A53EAC">
        <w:rPr>
          <w:rFonts w:ascii="Times New Roman" w:eastAsia="Cambria" w:hAnsi="Times New Roman" w:cs="Times New Roman" w:hint="default"/>
          <w:szCs w:val="22"/>
        </w:rPr>
        <w:t>ká</w:t>
      </w:r>
      <w:r w:rsidRPr="00A53EAC">
        <w:rPr>
          <w:rFonts w:ascii="Times New Roman" w:eastAsia="Cambria" w:hAnsi="Times New Roman" w:cs="Times New Roman" w:hint="default"/>
          <w:szCs w:val="22"/>
        </w:rPr>
        <w:t>lne pravidlá</w:t>
      </w:r>
      <w:r>
        <w:rPr>
          <w:rStyle w:val="FootnoteReference"/>
          <w:rFonts w:ascii="Times New Roman" w:eastAsia="Cambria" w:hAnsi="Times New Roman"/>
          <w:szCs w:val="22"/>
          <w:rtl w:val="0"/>
        </w:rPr>
        <w:footnoteReference w:id="3"/>
      </w:r>
      <w:r w:rsidRPr="00A53EAC">
        <w:rPr>
          <w:rFonts w:ascii="Times New Roman" w:eastAsia="Cambria" w:hAnsi="Times New Roman" w:cs="Times New Roman" w:hint="default"/>
          <w:szCs w:val="22"/>
        </w:rPr>
        <w:t xml:space="preserve"> sú</w:t>
      </w:r>
      <w:r w:rsidRPr="00A53EAC">
        <w:rPr>
          <w:rFonts w:ascii="Times New Roman" w:eastAsia="Cambria" w:hAnsi="Times New Roman" w:cs="Times New Roman" w:hint="default"/>
          <w:szCs w:val="22"/>
        </w:rPr>
        <w:t xml:space="preserve"> formulované</w:t>
      </w:r>
      <w:r w:rsidRPr="00A53EAC">
        <w:rPr>
          <w:rFonts w:ascii="Times New Roman" w:eastAsia="Cambria" w:hAnsi="Times New Roman" w:cs="Times New Roman" w:hint="default"/>
          <w:szCs w:val="22"/>
        </w:rPr>
        <w:t xml:space="preserve"> pre verejnú</w:t>
      </w:r>
      <w:r w:rsidRPr="00A53EAC">
        <w:rPr>
          <w:rFonts w:ascii="Times New Roman" w:eastAsia="Cambria" w:hAnsi="Times New Roman" w:cs="Times New Roman" w:hint="default"/>
          <w:szCs w:val="22"/>
        </w:rPr>
        <w:t xml:space="preserve"> sprá</w:t>
      </w:r>
      <w:r w:rsidRPr="00A53EAC">
        <w:rPr>
          <w:rFonts w:ascii="Times New Roman" w:eastAsia="Cambria" w:hAnsi="Times New Roman" w:cs="Times New Roman" w:hint="default"/>
          <w:szCs w:val="22"/>
        </w:rPr>
        <w:t>vu a </w:t>
      </w:r>
      <w:r w:rsidRPr="00A53EAC">
        <w:rPr>
          <w:rFonts w:ascii="Times New Roman" w:eastAsia="Cambria" w:hAnsi="Times New Roman" w:cs="Times New Roman" w:hint="default"/>
          <w:szCs w:val="22"/>
        </w:rPr>
        <w:t>ná</w:t>
      </w:r>
      <w:r w:rsidRPr="00A53EAC">
        <w:rPr>
          <w:rFonts w:ascii="Times New Roman" w:eastAsia="Cambria" w:hAnsi="Times New Roman" w:cs="Times New Roman" w:hint="default"/>
          <w:szCs w:val="22"/>
        </w:rPr>
        <w:t>rodné</w:t>
      </w:r>
      <w:r w:rsidRPr="00A53EAC">
        <w:rPr>
          <w:rFonts w:ascii="Times New Roman" w:eastAsia="Cambria" w:hAnsi="Times New Roman" w:cs="Times New Roman" w:hint="default"/>
          <w:szCs w:val="22"/>
        </w:rPr>
        <w:t xml:space="preserve"> rozpoč</w:t>
      </w:r>
      <w:r w:rsidRPr="00A53EAC">
        <w:rPr>
          <w:rFonts w:ascii="Times New Roman" w:eastAsia="Cambria" w:hAnsi="Times New Roman" w:cs="Times New Roman" w:hint="default"/>
          <w:szCs w:val="22"/>
        </w:rPr>
        <w:t>ty väčš</w:t>
      </w:r>
      <w:r w:rsidRPr="00A53EAC">
        <w:rPr>
          <w:rFonts w:ascii="Times New Roman" w:eastAsia="Cambria" w:hAnsi="Times New Roman" w:cs="Times New Roman" w:hint="default"/>
          <w:szCs w:val="22"/>
        </w:rPr>
        <w:t>iny krají</w:t>
      </w:r>
      <w:r w:rsidRPr="00A53EAC">
        <w:rPr>
          <w:rFonts w:ascii="Times New Roman" w:eastAsia="Cambria" w:hAnsi="Times New Roman" w:cs="Times New Roman" w:hint="default"/>
          <w:szCs w:val="22"/>
        </w:rPr>
        <w:t>n sú</w:t>
      </w:r>
      <w:r w:rsidRPr="00A53EAC">
        <w:rPr>
          <w:rFonts w:ascii="Times New Roman" w:eastAsia="Cambria" w:hAnsi="Times New Roman" w:cs="Times New Roman" w:hint="default"/>
          <w:szCs w:val="22"/>
        </w:rPr>
        <w:t xml:space="preserve"> zostavované</w:t>
      </w:r>
      <w:r w:rsidRPr="00A53EAC">
        <w:rPr>
          <w:rFonts w:ascii="Times New Roman" w:eastAsia="Cambria" w:hAnsi="Times New Roman" w:cs="Times New Roman" w:hint="default"/>
          <w:szCs w:val="22"/>
        </w:rPr>
        <w:t xml:space="preserve"> v </w:t>
      </w:r>
      <w:r w:rsidRPr="00A53EAC">
        <w:rPr>
          <w:rFonts w:ascii="Times New Roman" w:eastAsia="Cambria" w:hAnsi="Times New Roman" w:cs="Times New Roman" w:hint="default"/>
          <w:szCs w:val="22"/>
        </w:rPr>
        <w:t>súč</w:t>
      </w:r>
      <w:r w:rsidRPr="00A53EAC">
        <w:rPr>
          <w:rFonts w:ascii="Times New Roman" w:eastAsia="Cambria" w:hAnsi="Times New Roman" w:cs="Times New Roman" w:hint="default"/>
          <w:szCs w:val="22"/>
        </w:rPr>
        <w:t>asnosti tiež</w:t>
      </w:r>
      <w:r w:rsidRPr="00A53EAC">
        <w:rPr>
          <w:rFonts w:ascii="Times New Roman" w:eastAsia="Cambria" w:hAnsi="Times New Roman" w:cs="Times New Roman" w:hint="default"/>
          <w:szCs w:val="22"/>
        </w:rPr>
        <w:t xml:space="preserve"> za okruh verejnej sprá</w:t>
      </w:r>
      <w:r w:rsidRPr="00A53EAC">
        <w:rPr>
          <w:rFonts w:ascii="Times New Roman" w:eastAsia="Cambria" w:hAnsi="Times New Roman" w:cs="Times New Roman" w:hint="default"/>
          <w:szCs w:val="22"/>
        </w:rPr>
        <w:t xml:space="preserve">vy a v tejto metodike. </w:t>
      </w:r>
      <w:r w:rsidRPr="00A53EAC">
        <w:rPr>
          <w:rFonts w:ascii="Times New Roman" w:eastAsia="Cambria" w:hAnsi="Times New Roman" w:cs="Times New Roman" w:hint="default"/>
          <w:b/>
          <w:szCs w:val="22"/>
        </w:rPr>
        <w:t>Tá</w:t>
      </w:r>
      <w:r w:rsidRPr="00A53EAC">
        <w:rPr>
          <w:rFonts w:ascii="Times New Roman" w:eastAsia="Cambria" w:hAnsi="Times New Roman" w:cs="Times New Roman" w:hint="default"/>
          <w:b/>
          <w:szCs w:val="22"/>
        </w:rPr>
        <w:t>to</w:t>
      </w:r>
      <w:r w:rsidRPr="00A53EAC">
        <w:rPr>
          <w:rFonts w:ascii="Times New Roman" w:eastAsia="Cambria" w:hAnsi="Times New Roman" w:cs="Times New Roman" w:hint="default"/>
          <w:b/>
          <w:szCs w:val="22"/>
        </w:rPr>
        <w:t xml:space="preserve"> kapitola rozš</w:t>
      </w:r>
      <w:r w:rsidRPr="00A53EAC">
        <w:rPr>
          <w:rFonts w:ascii="Times New Roman" w:eastAsia="Cambria" w:hAnsi="Times New Roman" w:cs="Times New Roman" w:hint="default"/>
          <w:b/>
          <w:szCs w:val="22"/>
        </w:rPr>
        <w:t>iruje pohľ</w:t>
      </w:r>
      <w:r w:rsidRPr="00A53EAC">
        <w:rPr>
          <w:rFonts w:ascii="Times New Roman" w:eastAsia="Cambria" w:hAnsi="Times New Roman" w:cs="Times New Roman" w:hint="default"/>
          <w:b/>
          <w:szCs w:val="22"/>
        </w:rPr>
        <w:t>ad na verejné</w:t>
      </w:r>
      <w:r w:rsidRPr="00A53EAC">
        <w:rPr>
          <w:rFonts w:ascii="Times New Roman" w:eastAsia="Cambria" w:hAnsi="Times New Roman" w:cs="Times New Roman" w:hint="default"/>
          <w:b/>
          <w:szCs w:val="22"/>
        </w:rPr>
        <w:t xml:space="preserve"> financie z </w:t>
      </w:r>
      <w:r w:rsidRPr="00A53EAC">
        <w:rPr>
          <w:rFonts w:ascii="Times New Roman" w:eastAsia="Cambria" w:hAnsi="Times New Roman" w:cs="Times New Roman" w:hint="default"/>
          <w:b/>
          <w:szCs w:val="22"/>
        </w:rPr>
        <w:t>verejnej sprá</w:t>
      </w:r>
      <w:r w:rsidRPr="00A53EAC">
        <w:rPr>
          <w:rFonts w:ascii="Times New Roman" w:eastAsia="Cambria" w:hAnsi="Times New Roman" w:cs="Times New Roman" w:hint="default"/>
          <w:b/>
          <w:szCs w:val="22"/>
        </w:rPr>
        <w:t>vy na verejný</w:t>
      </w:r>
      <w:r w:rsidRPr="00A53EAC">
        <w:rPr>
          <w:rFonts w:ascii="Times New Roman" w:eastAsia="Cambria" w:hAnsi="Times New Roman" w:cs="Times New Roman" w:hint="default"/>
          <w:b/>
          <w:szCs w:val="22"/>
        </w:rPr>
        <w:t xml:space="preserve"> sektor a </w:t>
      </w:r>
      <w:r w:rsidRPr="00A53EAC">
        <w:rPr>
          <w:rFonts w:ascii="Times New Roman" w:eastAsia="Cambria" w:hAnsi="Times New Roman" w:cs="Times New Roman" w:hint="default"/>
          <w:b/>
          <w:szCs w:val="22"/>
        </w:rPr>
        <w:t>jeho hlavný</w:t>
      </w:r>
      <w:r w:rsidRPr="00A53EAC">
        <w:rPr>
          <w:rFonts w:ascii="Times New Roman" w:eastAsia="Cambria" w:hAnsi="Times New Roman" w:cs="Times New Roman" w:hint="default"/>
          <w:b/>
          <w:szCs w:val="22"/>
        </w:rPr>
        <w:t xml:space="preserve"> ukazovateľ</w:t>
      </w:r>
      <w:r w:rsidRPr="00A53EAC">
        <w:rPr>
          <w:rFonts w:ascii="Times New Roman" w:eastAsia="Cambria" w:hAnsi="Times New Roman" w:cs="Times New Roman" w:hint="default"/>
          <w:b/>
          <w:szCs w:val="22"/>
        </w:rPr>
        <w:t xml:space="preserve"> č</w:t>
      </w:r>
      <w:r w:rsidRPr="00A53EAC">
        <w:rPr>
          <w:rFonts w:ascii="Times New Roman" w:eastAsia="Cambria" w:hAnsi="Times New Roman" w:cs="Times New Roman" w:hint="default"/>
          <w:b/>
          <w:szCs w:val="22"/>
        </w:rPr>
        <w:t>isté</w:t>
      </w:r>
      <w:r w:rsidRPr="00A53EAC">
        <w:rPr>
          <w:rFonts w:ascii="Times New Roman" w:eastAsia="Cambria" w:hAnsi="Times New Roman" w:cs="Times New Roman" w:hint="default"/>
          <w:b/>
          <w:szCs w:val="22"/>
        </w:rPr>
        <w:t xml:space="preserve"> bohatstvo.</w:t>
      </w:r>
      <w:r w:rsidRPr="00A53EAC">
        <w:rPr>
          <w:rFonts w:ascii="Times New Roman" w:eastAsia="Cambria" w:hAnsi="Times New Roman" w:cs="Times New Roman" w:hint="default"/>
          <w:szCs w:val="22"/>
        </w:rPr>
        <w:t xml:space="preserve"> Povinnosť</w:t>
      </w:r>
      <w:r w:rsidRPr="00A53EAC">
        <w:rPr>
          <w:rFonts w:ascii="Times New Roman" w:eastAsia="Cambria" w:hAnsi="Times New Roman" w:cs="Times New Roman" w:hint="default"/>
          <w:szCs w:val="22"/>
        </w:rPr>
        <w:t xml:space="preserve"> prezentovať</w:t>
      </w:r>
      <w:r w:rsidRPr="00A53EAC">
        <w:rPr>
          <w:rFonts w:ascii="Times New Roman" w:eastAsia="Cambria" w:hAnsi="Times New Roman" w:cs="Times New Roman" w:hint="default"/>
          <w:szCs w:val="22"/>
        </w:rPr>
        <w:t xml:space="preserve"> v </w:t>
      </w:r>
      <w:r w:rsidRPr="00A53EAC">
        <w:rPr>
          <w:rFonts w:ascii="Times New Roman" w:eastAsia="Cambria" w:hAnsi="Times New Roman" w:cs="Times New Roman" w:hint="default"/>
          <w:szCs w:val="22"/>
        </w:rPr>
        <w:t>sú</w:t>
      </w:r>
      <w:r w:rsidRPr="00A53EAC">
        <w:rPr>
          <w:rFonts w:ascii="Times New Roman" w:eastAsia="Cambria" w:hAnsi="Times New Roman" w:cs="Times New Roman" w:hint="default"/>
          <w:szCs w:val="22"/>
        </w:rPr>
        <w:t>hrnnej vý</w:t>
      </w:r>
      <w:r w:rsidRPr="00A53EAC">
        <w:rPr>
          <w:rFonts w:ascii="Times New Roman" w:eastAsia="Cambria" w:hAnsi="Times New Roman" w:cs="Times New Roman" w:hint="default"/>
          <w:szCs w:val="22"/>
        </w:rPr>
        <w:t>roč</w:t>
      </w:r>
      <w:r w:rsidRPr="00A53EAC">
        <w:rPr>
          <w:rFonts w:ascii="Times New Roman" w:eastAsia="Cambria" w:hAnsi="Times New Roman" w:cs="Times New Roman" w:hint="default"/>
          <w:szCs w:val="22"/>
        </w:rPr>
        <w:t>nej sprá</w:t>
      </w:r>
      <w:r w:rsidRPr="00A53EAC">
        <w:rPr>
          <w:rFonts w:ascii="Times New Roman" w:eastAsia="Cambria" w:hAnsi="Times New Roman" w:cs="Times New Roman" w:hint="default"/>
          <w:szCs w:val="22"/>
        </w:rPr>
        <w:t>ve č</w:t>
      </w:r>
      <w:r w:rsidRPr="00A53EAC">
        <w:rPr>
          <w:rFonts w:ascii="Times New Roman" w:eastAsia="Cambria" w:hAnsi="Times New Roman" w:cs="Times New Roman" w:hint="default"/>
          <w:szCs w:val="22"/>
        </w:rPr>
        <w:t>isté</w:t>
      </w:r>
      <w:r w:rsidRPr="00A53EAC">
        <w:rPr>
          <w:rFonts w:ascii="Times New Roman" w:eastAsia="Cambria" w:hAnsi="Times New Roman" w:cs="Times New Roman" w:hint="default"/>
          <w:szCs w:val="22"/>
        </w:rPr>
        <w:t xml:space="preserve"> bohatstvo a </w:t>
      </w:r>
      <w:r w:rsidRPr="00A53EAC">
        <w:rPr>
          <w:rFonts w:ascii="Times New Roman" w:eastAsia="Cambria" w:hAnsi="Times New Roman" w:cs="Times New Roman" w:hint="default"/>
          <w:szCs w:val="22"/>
        </w:rPr>
        <w:t>tiež</w:t>
      </w:r>
      <w:r w:rsidRPr="00A53EAC">
        <w:rPr>
          <w:rFonts w:ascii="Times New Roman" w:eastAsia="Cambria" w:hAnsi="Times New Roman" w:cs="Times New Roman" w:hint="default"/>
          <w:szCs w:val="22"/>
        </w:rPr>
        <w:t xml:space="preserve"> informá</w:t>
      </w:r>
      <w:r w:rsidRPr="00A53EAC">
        <w:rPr>
          <w:rFonts w:ascii="Times New Roman" w:eastAsia="Cambria" w:hAnsi="Times New Roman" w:cs="Times New Roman" w:hint="default"/>
          <w:szCs w:val="22"/>
        </w:rPr>
        <w:t>cie o </w:t>
      </w:r>
      <w:r w:rsidRPr="00A53EAC">
        <w:rPr>
          <w:rFonts w:ascii="Times New Roman" w:eastAsia="Cambria" w:hAnsi="Times New Roman" w:cs="Times New Roman" w:hint="default"/>
          <w:szCs w:val="22"/>
        </w:rPr>
        <w:t>hospodá</w:t>
      </w:r>
      <w:r w:rsidRPr="00A53EAC">
        <w:rPr>
          <w:rFonts w:ascii="Times New Roman" w:eastAsia="Cambria" w:hAnsi="Times New Roman" w:cs="Times New Roman" w:hint="default"/>
          <w:szCs w:val="22"/>
        </w:rPr>
        <w:t>rení</w:t>
      </w:r>
      <w:r w:rsidRPr="00A53EAC">
        <w:rPr>
          <w:rFonts w:ascii="Times New Roman" w:eastAsia="Cambria" w:hAnsi="Times New Roman" w:cs="Times New Roman" w:hint="default"/>
          <w:szCs w:val="22"/>
        </w:rPr>
        <w:t xml:space="preserve"> podnikov š</w:t>
      </w:r>
      <w:r w:rsidRPr="00A53EAC">
        <w:rPr>
          <w:rFonts w:ascii="Times New Roman" w:eastAsia="Cambria" w:hAnsi="Times New Roman" w:cs="Times New Roman" w:hint="default"/>
          <w:szCs w:val="22"/>
        </w:rPr>
        <w:t>tá</w:t>
      </w:r>
      <w:r w:rsidRPr="00A53EAC">
        <w:rPr>
          <w:rFonts w:ascii="Times New Roman" w:eastAsia="Cambria" w:hAnsi="Times New Roman" w:cs="Times New Roman" w:hint="default"/>
          <w:szCs w:val="22"/>
        </w:rPr>
        <w:t>tnej sprá</w:t>
      </w:r>
      <w:r w:rsidRPr="00A53EAC">
        <w:rPr>
          <w:rFonts w:ascii="Times New Roman" w:eastAsia="Cambria" w:hAnsi="Times New Roman" w:cs="Times New Roman" w:hint="default"/>
          <w:szCs w:val="22"/>
        </w:rPr>
        <w:t>vy vyplý</w:t>
      </w:r>
      <w:r w:rsidRPr="00A53EAC">
        <w:rPr>
          <w:rFonts w:ascii="Times New Roman" w:eastAsia="Cambria" w:hAnsi="Times New Roman" w:cs="Times New Roman" w:hint="default"/>
          <w:szCs w:val="22"/>
        </w:rPr>
        <w:t xml:space="preserve">va z </w:t>
      </w:r>
      <w:r w:rsidRPr="00A53EAC">
        <w:rPr>
          <w:rFonts w:ascii="Times New Roman" w:eastAsia="Cambria" w:hAnsi="Times New Roman" w:cs="Times New Roman" w:hint="default"/>
          <w:szCs w:val="22"/>
        </w:rPr>
        <w:t>ú</w:t>
      </w:r>
      <w:r w:rsidRPr="00A53EAC">
        <w:rPr>
          <w:rFonts w:ascii="Times New Roman" w:eastAsia="Cambria" w:hAnsi="Times New Roman" w:cs="Times New Roman" w:hint="default"/>
          <w:szCs w:val="22"/>
        </w:rPr>
        <w:t>stavné</w:t>
      </w:r>
      <w:r w:rsidRPr="00A53EAC">
        <w:rPr>
          <w:rFonts w:ascii="Times New Roman" w:eastAsia="Cambria" w:hAnsi="Times New Roman" w:cs="Times New Roman" w:hint="default"/>
          <w:szCs w:val="22"/>
        </w:rPr>
        <w:t>ho zá</w:t>
      </w:r>
      <w:r w:rsidRPr="00A53EAC">
        <w:rPr>
          <w:rFonts w:ascii="Times New Roman" w:eastAsia="Cambria" w:hAnsi="Times New Roman" w:cs="Times New Roman" w:hint="default"/>
          <w:szCs w:val="22"/>
        </w:rPr>
        <w:t>kona o </w:t>
      </w:r>
      <w:r w:rsidRPr="00A53EAC">
        <w:rPr>
          <w:rFonts w:ascii="Times New Roman" w:eastAsia="Cambria" w:hAnsi="Times New Roman" w:cs="Times New Roman" w:hint="default"/>
          <w:szCs w:val="22"/>
        </w:rPr>
        <w:t>rozpoč</w:t>
      </w:r>
      <w:r w:rsidRPr="00A53EAC">
        <w:rPr>
          <w:rFonts w:ascii="Times New Roman" w:eastAsia="Cambria" w:hAnsi="Times New Roman" w:cs="Times New Roman" w:hint="default"/>
          <w:szCs w:val="22"/>
        </w:rPr>
        <w:t>tovej zodpovednosti. Dô</w:t>
      </w:r>
      <w:r w:rsidRPr="00A53EAC">
        <w:rPr>
          <w:rFonts w:ascii="Times New Roman" w:eastAsia="Cambria" w:hAnsi="Times New Roman" w:cs="Times New Roman" w:hint="default"/>
          <w:szCs w:val="22"/>
        </w:rPr>
        <w:t>raz je kladený</w:t>
      </w:r>
      <w:r w:rsidRPr="00A53EAC">
        <w:rPr>
          <w:rFonts w:ascii="Times New Roman" w:eastAsia="Cambria" w:hAnsi="Times New Roman" w:cs="Times New Roman" w:hint="default"/>
          <w:szCs w:val="22"/>
        </w:rPr>
        <w:t xml:space="preserve"> na vysvetlenie medziroč</w:t>
      </w:r>
      <w:r w:rsidRPr="00A53EAC">
        <w:rPr>
          <w:rFonts w:ascii="Times New Roman" w:eastAsia="Cambria" w:hAnsi="Times New Roman" w:cs="Times New Roman" w:hint="default"/>
          <w:szCs w:val="22"/>
        </w:rPr>
        <w:t>ný</w:t>
      </w:r>
      <w:r w:rsidRPr="00A53EAC">
        <w:rPr>
          <w:rFonts w:ascii="Times New Roman" w:eastAsia="Cambria" w:hAnsi="Times New Roman" w:cs="Times New Roman" w:hint="default"/>
          <w:szCs w:val="22"/>
        </w:rPr>
        <w:t>ch zmien polož</w:t>
      </w:r>
      <w:r w:rsidRPr="00A53EAC">
        <w:rPr>
          <w:rFonts w:ascii="Times New Roman" w:eastAsia="Cambria" w:hAnsi="Times New Roman" w:cs="Times New Roman" w:hint="default"/>
          <w:szCs w:val="22"/>
        </w:rPr>
        <w:t>iek č</w:t>
      </w:r>
      <w:r w:rsidRPr="00A53EAC">
        <w:rPr>
          <w:rFonts w:ascii="Times New Roman" w:eastAsia="Cambria" w:hAnsi="Times New Roman" w:cs="Times New Roman" w:hint="default"/>
          <w:szCs w:val="22"/>
        </w:rPr>
        <w:t>isté</w:t>
      </w:r>
      <w:r w:rsidRPr="00A53EAC">
        <w:rPr>
          <w:rFonts w:ascii="Times New Roman" w:eastAsia="Cambria" w:hAnsi="Times New Roman" w:cs="Times New Roman" w:hint="default"/>
          <w:szCs w:val="22"/>
        </w:rPr>
        <w:t>ho bohatstva.</w:t>
      </w:r>
    </w:p>
    <w:p w:rsidR="00A544B6" w:rsidRPr="00A53EAC" w:rsidP="001767F0">
      <w:pPr>
        <w:pStyle w:val="Heading2"/>
        <w:numPr>
          <w:numId w:val="3"/>
        </w:numPr>
        <w:bidi w:val="0"/>
        <w:spacing w:before="120" w:after="120" w:line="336" w:lineRule="auto"/>
        <w:ind w:left="425" w:hanging="425"/>
        <w:rPr>
          <w:rFonts w:eastAsia="Cambria" w:hint="default"/>
        </w:rPr>
      </w:pPr>
      <w:bookmarkStart w:id="65" w:name="_Toc399324370"/>
      <w:bookmarkStart w:id="66" w:name="_Toc401920024"/>
      <w:bookmarkStart w:id="67" w:name="_Toc433099570"/>
      <w:r w:rsidRPr="00A53EAC">
        <w:rPr>
          <w:rFonts w:eastAsia="Cambria" w:hint="default"/>
        </w:rPr>
        <w:t>Koncept č</w:t>
      </w:r>
      <w:r w:rsidRPr="00A53EAC">
        <w:rPr>
          <w:rFonts w:eastAsia="Cambria" w:hint="default"/>
        </w:rPr>
        <w:t>isté</w:t>
      </w:r>
      <w:r w:rsidRPr="00A53EAC">
        <w:rPr>
          <w:rFonts w:eastAsia="Cambria" w:hint="default"/>
        </w:rPr>
        <w:t>ho bohatstva</w:t>
      </w:r>
      <w:bookmarkEnd w:id="65"/>
      <w:bookmarkEnd w:id="66"/>
      <w:bookmarkEnd w:id="67"/>
    </w:p>
    <w:p w:rsidR="00C03D4C" w:rsidRPr="00A53EAC" w:rsidP="00C03D4C">
      <w:pPr>
        <w:bidi w:val="0"/>
        <w:spacing w:after="120" w:line="336" w:lineRule="auto"/>
        <w:jc w:val="both"/>
        <w:rPr>
          <w:rFonts w:ascii="Times New Roman" w:eastAsia="Cambria" w:hAnsi="Times New Roman" w:cs="Times New Roman" w:hint="default"/>
          <w:szCs w:val="22"/>
        </w:rPr>
      </w:pPr>
      <w:r w:rsidRPr="00A53EAC">
        <w:rPr>
          <w:rFonts w:ascii="Times New Roman" w:eastAsia="Cambria" w:hAnsi="Times New Roman" w:cs="Times New Roman" w:hint="default"/>
          <w:szCs w:val="22"/>
        </w:rPr>
        <w:t>Verejný</w:t>
      </w:r>
      <w:r w:rsidRPr="00A53EAC">
        <w:rPr>
          <w:rFonts w:ascii="Times New Roman" w:eastAsia="Cambria" w:hAnsi="Times New Roman" w:cs="Times New Roman" w:hint="default"/>
          <w:szCs w:val="22"/>
        </w:rPr>
        <w:t xml:space="preserve"> sektor a č</w:t>
      </w:r>
      <w:r w:rsidRPr="00A53EAC">
        <w:rPr>
          <w:rFonts w:ascii="Times New Roman" w:eastAsia="Cambria" w:hAnsi="Times New Roman" w:cs="Times New Roman" w:hint="default"/>
          <w:szCs w:val="22"/>
        </w:rPr>
        <w:t>isté</w:t>
      </w:r>
      <w:r w:rsidRPr="00A53EAC">
        <w:rPr>
          <w:rFonts w:ascii="Times New Roman" w:eastAsia="Cambria" w:hAnsi="Times New Roman" w:cs="Times New Roman" w:hint="default"/>
          <w:szCs w:val="22"/>
        </w:rPr>
        <w:t xml:space="preserve"> bohatstvo sú</w:t>
      </w:r>
      <w:r w:rsidRPr="00A53EAC">
        <w:rPr>
          <w:rFonts w:ascii="Times New Roman" w:eastAsia="Cambria" w:hAnsi="Times New Roman" w:cs="Times New Roman" w:hint="default"/>
          <w:szCs w:val="22"/>
        </w:rPr>
        <w:t xml:space="preserve"> relatí</w:t>
      </w:r>
      <w:r w:rsidRPr="00A53EAC">
        <w:rPr>
          <w:rFonts w:ascii="Times New Roman" w:eastAsia="Cambria" w:hAnsi="Times New Roman" w:cs="Times New Roman" w:hint="default"/>
          <w:szCs w:val="22"/>
        </w:rPr>
        <w:t>vne nové</w:t>
      </w:r>
      <w:r w:rsidRPr="00A53EAC">
        <w:rPr>
          <w:rFonts w:ascii="Times New Roman" w:eastAsia="Cambria" w:hAnsi="Times New Roman" w:cs="Times New Roman" w:hint="default"/>
          <w:szCs w:val="22"/>
        </w:rPr>
        <w:t xml:space="preserve"> pojmy, ktoré</w:t>
      </w:r>
      <w:r w:rsidRPr="00A53EAC">
        <w:rPr>
          <w:rFonts w:ascii="Times New Roman" w:eastAsia="Cambria" w:hAnsi="Times New Roman" w:cs="Times New Roman" w:hint="default"/>
          <w:szCs w:val="22"/>
        </w:rPr>
        <w:t xml:space="preserve"> mož</w:t>
      </w:r>
      <w:r w:rsidRPr="00A53EAC">
        <w:rPr>
          <w:rFonts w:ascii="Times New Roman" w:eastAsia="Cambria" w:hAnsi="Times New Roman" w:cs="Times New Roman" w:hint="default"/>
          <w:szCs w:val="22"/>
        </w:rPr>
        <w:t>no najlepš</w:t>
      </w:r>
      <w:r w:rsidRPr="00A53EAC">
        <w:rPr>
          <w:rFonts w:ascii="Times New Roman" w:eastAsia="Cambria" w:hAnsi="Times New Roman" w:cs="Times New Roman" w:hint="default"/>
          <w:szCs w:val="22"/>
        </w:rPr>
        <w:t>ie definovať</w:t>
      </w:r>
      <w:r w:rsidRPr="00A53EAC">
        <w:rPr>
          <w:rFonts w:ascii="Times New Roman" w:eastAsia="Cambria" w:hAnsi="Times New Roman" w:cs="Times New Roman" w:hint="default"/>
          <w:szCs w:val="22"/>
        </w:rPr>
        <w:t xml:space="preserve"> prostrední</w:t>
      </w:r>
      <w:r w:rsidRPr="00A53EAC">
        <w:rPr>
          <w:rFonts w:ascii="Times New Roman" w:eastAsia="Cambria" w:hAnsi="Times New Roman" w:cs="Times New Roman" w:hint="default"/>
          <w:szCs w:val="22"/>
        </w:rPr>
        <w:t>ctvom</w:t>
      </w:r>
      <w:r w:rsidRPr="00A53EAC">
        <w:rPr>
          <w:rFonts w:ascii="Times New Roman" w:eastAsia="Cambria" w:hAnsi="Times New Roman" w:cs="Times New Roman" w:hint="default"/>
          <w:szCs w:val="22"/>
        </w:rPr>
        <w:t xml:space="preserve"> ich porovnania s </w:t>
      </w:r>
      <w:r w:rsidRPr="00A53EAC">
        <w:rPr>
          <w:rFonts w:ascii="Times New Roman" w:eastAsia="Cambria" w:hAnsi="Times New Roman" w:cs="Times New Roman" w:hint="default"/>
          <w:szCs w:val="22"/>
        </w:rPr>
        <w:t>verejnou sprá</w:t>
      </w:r>
      <w:r w:rsidRPr="00A53EAC">
        <w:rPr>
          <w:rFonts w:ascii="Times New Roman" w:eastAsia="Cambria" w:hAnsi="Times New Roman" w:cs="Times New Roman" w:hint="default"/>
          <w:szCs w:val="22"/>
        </w:rPr>
        <w:t>vou:</w:t>
      </w:r>
    </w:p>
    <w:p w:rsidR="00C03D4C" w:rsidRPr="00A53EAC" w:rsidP="0012459D">
      <w:pPr>
        <w:pStyle w:val="ListParagraph"/>
        <w:numPr>
          <w:numId w:val="4"/>
        </w:numPr>
        <w:bidi w:val="0"/>
        <w:spacing w:after="120" w:line="336" w:lineRule="auto"/>
        <w:ind w:left="357" w:hanging="357"/>
        <w:contextualSpacing w:val="0"/>
        <w:jc w:val="both"/>
        <w:rPr>
          <w:rFonts w:ascii="Times New Roman" w:eastAsia="Cambria" w:hAnsi="Times New Roman" w:cs="Times New Roman" w:hint="default"/>
        </w:rPr>
      </w:pPr>
      <w:r w:rsidRPr="00A53EAC" w:rsidR="005D25E4">
        <w:rPr>
          <w:rFonts w:ascii="Times New Roman" w:eastAsia="Cambria" w:hAnsi="Times New Roman" w:cs="Times New Roman"/>
          <w:b/>
        </w:rPr>
        <w:t>V</w:t>
      </w:r>
      <w:r w:rsidRPr="00A53EAC">
        <w:rPr>
          <w:rFonts w:ascii="Times New Roman" w:eastAsia="Cambria" w:hAnsi="Times New Roman" w:cs="Times New Roman"/>
          <w:b/>
        </w:rPr>
        <w:t>erejn</w:t>
      </w:r>
      <w:r w:rsidRPr="00A53EAC" w:rsidR="005D25E4">
        <w:rPr>
          <w:rFonts w:ascii="Times New Roman" w:eastAsia="Cambria" w:hAnsi="Times New Roman" w:cs="Times New Roman" w:hint="default"/>
          <w:b/>
        </w:rPr>
        <w:t>ú</w:t>
      </w:r>
      <w:r w:rsidRPr="00A53EAC">
        <w:rPr>
          <w:rFonts w:ascii="Times New Roman" w:eastAsia="Cambria" w:hAnsi="Times New Roman" w:cs="Times New Roman" w:hint="default"/>
          <w:b/>
        </w:rPr>
        <w:t xml:space="preserve"> sprá</w:t>
      </w:r>
      <w:r w:rsidRPr="00A53EAC">
        <w:rPr>
          <w:rFonts w:ascii="Times New Roman" w:eastAsia="Cambria" w:hAnsi="Times New Roman" w:cs="Times New Roman" w:hint="default"/>
          <w:b/>
        </w:rPr>
        <w:t>v</w:t>
      </w:r>
      <w:r w:rsidRPr="00A53EAC" w:rsidR="005D25E4">
        <w:rPr>
          <w:rFonts w:ascii="Times New Roman" w:eastAsia="Cambria" w:hAnsi="Times New Roman" w:cs="Times New Roman"/>
          <w:b/>
        </w:rPr>
        <w:t>u</w:t>
      </w:r>
      <w:r w:rsidRPr="00A53EAC">
        <w:rPr>
          <w:rFonts w:ascii="Times New Roman" w:eastAsia="Cambria" w:hAnsi="Times New Roman" w:cs="Times New Roman"/>
        </w:rPr>
        <w:t xml:space="preserve"> </w:t>
      </w:r>
      <w:r w:rsidRPr="00A53EAC" w:rsidR="00E33BFF">
        <w:rPr>
          <w:rFonts w:ascii="Times New Roman" w:eastAsia="Cambria" w:hAnsi="Times New Roman" w:cs="Times New Roman"/>
        </w:rPr>
        <w:t>vymedzuje</w:t>
      </w:r>
      <w:r w:rsidRPr="00A53EAC">
        <w:rPr>
          <w:rFonts w:ascii="Times New Roman" w:eastAsia="Cambria" w:hAnsi="Times New Roman" w:cs="Times New Roman" w:hint="default"/>
        </w:rPr>
        <w:t xml:space="preserve"> medziná</w:t>
      </w:r>
      <w:r w:rsidRPr="00A53EAC">
        <w:rPr>
          <w:rFonts w:ascii="Times New Roman" w:eastAsia="Cambria" w:hAnsi="Times New Roman" w:cs="Times New Roman" w:hint="default"/>
        </w:rPr>
        <w:t>rodná</w:t>
      </w:r>
      <w:r w:rsidRPr="00A53EAC">
        <w:rPr>
          <w:rFonts w:ascii="Times New Roman" w:eastAsia="Cambria" w:hAnsi="Times New Roman" w:cs="Times New Roman" w:hint="default"/>
        </w:rPr>
        <w:t xml:space="preserve"> metodika ná</w:t>
      </w:r>
      <w:r w:rsidRPr="00A53EAC">
        <w:rPr>
          <w:rFonts w:ascii="Times New Roman" w:eastAsia="Cambria" w:hAnsi="Times New Roman" w:cs="Times New Roman" w:hint="default"/>
        </w:rPr>
        <w:t>rodný</w:t>
      </w:r>
      <w:r w:rsidRPr="00A53EAC">
        <w:rPr>
          <w:rFonts w:ascii="Times New Roman" w:eastAsia="Cambria" w:hAnsi="Times New Roman" w:cs="Times New Roman" w:hint="default"/>
        </w:rPr>
        <w:t>ch úč</w:t>
      </w:r>
      <w:r w:rsidRPr="00A53EAC">
        <w:rPr>
          <w:rFonts w:ascii="Times New Roman" w:eastAsia="Cambria" w:hAnsi="Times New Roman" w:cs="Times New Roman" w:hint="default"/>
        </w:rPr>
        <w:t xml:space="preserve">tov ESA. </w:t>
      </w:r>
      <w:r w:rsidRPr="00A53EAC" w:rsidR="005D25E4">
        <w:rPr>
          <w:rFonts w:ascii="Times New Roman" w:eastAsia="Cambria" w:hAnsi="Times New Roman" w:cs="Times New Roman" w:hint="default"/>
        </w:rPr>
        <w:t>Sektor verejnej sprá</w:t>
      </w:r>
      <w:r w:rsidRPr="00A53EAC" w:rsidR="005D25E4">
        <w:rPr>
          <w:rFonts w:ascii="Times New Roman" w:eastAsia="Cambria" w:hAnsi="Times New Roman" w:cs="Times New Roman" w:hint="default"/>
        </w:rPr>
        <w:t>vy t</w:t>
      </w:r>
      <w:r w:rsidRPr="00A53EAC" w:rsidR="00E33BFF">
        <w:rPr>
          <w:rFonts w:ascii="Times New Roman" w:eastAsia="Cambria" w:hAnsi="Times New Roman" w:cs="Times New Roman" w:hint="default"/>
        </w:rPr>
        <w:t>voria subjekty ú</w:t>
      </w:r>
      <w:r w:rsidRPr="00A53EAC" w:rsidR="00E33BFF">
        <w:rPr>
          <w:rFonts w:ascii="Times New Roman" w:eastAsia="Cambria" w:hAnsi="Times New Roman" w:cs="Times New Roman" w:hint="default"/>
        </w:rPr>
        <w:t>strednej sprá</w:t>
      </w:r>
      <w:r w:rsidRPr="00A53EAC" w:rsidR="00E33BFF">
        <w:rPr>
          <w:rFonts w:ascii="Times New Roman" w:eastAsia="Cambria" w:hAnsi="Times New Roman" w:cs="Times New Roman" w:hint="default"/>
        </w:rPr>
        <w:t>vy, ú</w:t>
      </w:r>
      <w:r w:rsidRPr="00A53EAC" w:rsidR="00E33BFF">
        <w:rPr>
          <w:rFonts w:ascii="Times New Roman" w:eastAsia="Cambria" w:hAnsi="Times New Roman" w:cs="Times New Roman" w:hint="default"/>
        </w:rPr>
        <w:t>zemnej samosprá</w:t>
      </w:r>
      <w:r w:rsidRPr="00A53EAC" w:rsidR="00E33BFF">
        <w:rPr>
          <w:rFonts w:ascii="Times New Roman" w:eastAsia="Cambria" w:hAnsi="Times New Roman" w:cs="Times New Roman" w:hint="default"/>
        </w:rPr>
        <w:t>vy a </w:t>
      </w:r>
      <w:r w:rsidRPr="00A53EAC" w:rsidR="00E33BFF">
        <w:rPr>
          <w:rFonts w:ascii="Times New Roman" w:eastAsia="Cambria" w:hAnsi="Times New Roman" w:cs="Times New Roman" w:hint="default"/>
        </w:rPr>
        <w:t>fondy sociá</w:t>
      </w:r>
      <w:r w:rsidRPr="00A53EAC" w:rsidR="00E33BFF">
        <w:rPr>
          <w:rFonts w:ascii="Times New Roman" w:eastAsia="Cambria" w:hAnsi="Times New Roman" w:cs="Times New Roman" w:hint="default"/>
        </w:rPr>
        <w:t>lneho a </w:t>
      </w:r>
      <w:r w:rsidRPr="00A53EAC" w:rsidR="00E33BFF">
        <w:rPr>
          <w:rFonts w:ascii="Times New Roman" w:eastAsia="Cambria" w:hAnsi="Times New Roman" w:cs="Times New Roman" w:hint="default"/>
        </w:rPr>
        <w:t>zdravotné</w:t>
      </w:r>
      <w:r w:rsidRPr="00A53EAC" w:rsidR="00E33BFF">
        <w:rPr>
          <w:rFonts w:ascii="Times New Roman" w:eastAsia="Cambria" w:hAnsi="Times New Roman" w:cs="Times New Roman" w:hint="default"/>
        </w:rPr>
        <w:t>ho poistenia. Hospodá</w:t>
      </w:r>
      <w:r w:rsidRPr="00A53EAC" w:rsidR="00E33BFF">
        <w:rPr>
          <w:rFonts w:ascii="Times New Roman" w:eastAsia="Cambria" w:hAnsi="Times New Roman" w:cs="Times New Roman" w:hint="default"/>
        </w:rPr>
        <w:t>renie verejnej sprá</w:t>
      </w:r>
      <w:r w:rsidRPr="00A53EAC" w:rsidR="00E33BFF">
        <w:rPr>
          <w:rFonts w:ascii="Times New Roman" w:eastAsia="Cambria" w:hAnsi="Times New Roman" w:cs="Times New Roman" w:hint="default"/>
        </w:rPr>
        <w:t>vy</w:t>
      </w:r>
      <w:r w:rsidRPr="00A53EAC">
        <w:rPr>
          <w:rFonts w:ascii="Times New Roman" w:eastAsia="Cambria" w:hAnsi="Times New Roman" w:cs="Times New Roman" w:hint="default"/>
        </w:rPr>
        <w:t xml:space="preserve"> sa sleduje najmä</w:t>
      </w:r>
      <w:r w:rsidRPr="00A53EAC">
        <w:rPr>
          <w:rFonts w:ascii="Times New Roman" w:eastAsia="Cambria" w:hAnsi="Times New Roman" w:cs="Times New Roman" w:hint="default"/>
        </w:rPr>
        <w:t xml:space="preserve"> prostrední</w:t>
      </w:r>
      <w:r w:rsidRPr="00A53EAC">
        <w:rPr>
          <w:rFonts w:ascii="Times New Roman" w:eastAsia="Cambria" w:hAnsi="Times New Roman" w:cs="Times New Roman" w:hint="default"/>
        </w:rPr>
        <w:t>ctvom tokový</w:t>
      </w:r>
      <w:r w:rsidRPr="00A53EAC">
        <w:rPr>
          <w:rFonts w:ascii="Times New Roman" w:eastAsia="Cambria" w:hAnsi="Times New Roman" w:cs="Times New Roman" w:hint="default"/>
        </w:rPr>
        <w:t>ch veličí</w:t>
      </w:r>
      <w:r w:rsidRPr="00A53EAC">
        <w:rPr>
          <w:rFonts w:ascii="Times New Roman" w:eastAsia="Cambria" w:hAnsi="Times New Roman" w:cs="Times New Roman" w:hint="default"/>
        </w:rPr>
        <w:t>n, ako sú</w:t>
      </w:r>
      <w:r w:rsidRPr="00A53EAC">
        <w:rPr>
          <w:rFonts w:ascii="Times New Roman" w:eastAsia="Cambria" w:hAnsi="Times New Roman" w:cs="Times New Roman" w:hint="default"/>
        </w:rPr>
        <w:t xml:space="preserve"> prí</w:t>
      </w:r>
      <w:r w:rsidRPr="00A53EAC">
        <w:rPr>
          <w:rFonts w:ascii="Times New Roman" w:eastAsia="Cambria" w:hAnsi="Times New Roman" w:cs="Times New Roman" w:hint="default"/>
        </w:rPr>
        <w:t>jmy, vý</w:t>
      </w:r>
      <w:r w:rsidRPr="00A53EAC">
        <w:rPr>
          <w:rFonts w:ascii="Times New Roman" w:eastAsia="Cambria" w:hAnsi="Times New Roman" w:cs="Times New Roman" w:hint="default"/>
        </w:rPr>
        <w:t>davky a </w:t>
      </w:r>
      <w:r w:rsidRPr="00A53EAC">
        <w:rPr>
          <w:rFonts w:ascii="Times New Roman" w:eastAsia="Cambria" w:hAnsi="Times New Roman" w:cs="Times New Roman" w:hint="default"/>
        </w:rPr>
        <w:t>saldo, ktoré</w:t>
      </w:r>
      <w:r w:rsidRPr="00A53EAC">
        <w:rPr>
          <w:rFonts w:ascii="Times New Roman" w:eastAsia="Cambria" w:hAnsi="Times New Roman" w:cs="Times New Roman" w:hint="default"/>
        </w:rPr>
        <w:t xml:space="preserve"> popisujú</w:t>
      </w:r>
      <w:r w:rsidRPr="00A53EAC">
        <w:rPr>
          <w:rFonts w:ascii="Times New Roman" w:eastAsia="Cambria" w:hAnsi="Times New Roman" w:cs="Times New Roman" w:hint="default"/>
        </w:rPr>
        <w:t xml:space="preserve"> hospodá</w:t>
      </w:r>
      <w:r w:rsidRPr="00A53EAC">
        <w:rPr>
          <w:rFonts w:ascii="Times New Roman" w:eastAsia="Cambria" w:hAnsi="Times New Roman" w:cs="Times New Roman" w:hint="default"/>
        </w:rPr>
        <w:t>renie za daný</w:t>
      </w:r>
      <w:r w:rsidRPr="00A53EAC">
        <w:rPr>
          <w:rFonts w:ascii="Times New Roman" w:eastAsia="Cambria" w:hAnsi="Times New Roman" w:cs="Times New Roman" w:hint="default"/>
        </w:rPr>
        <w:t xml:space="preserve"> rok. </w:t>
      </w:r>
    </w:p>
    <w:p w:rsidR="00C03D4C" w:rsidRPr="00A53EAC" w:rsidP="0012459D">
      <w:pPr>
        <w:pStyle w:val="ListParagraph"/>
        <w:numPr>
          <w:numId w:val="4"/>
        </w:numPr>
        <w:bidi w:val="0"/>
        <w:spacing w:after="120" w:line="336" w:lineRule="auto"/>
        <w:ind w:left="357" w:hanging="357"/>
        <w:contextualSpacing w:val="0"/>
        <w:jc w:val="both"/>
        <w:rPr>
          <w:rFonts w:ascii="Times New Roman" w:eastAsia="Cambria" w:hAnsi="Times New Roman" w:cs="Times New Roman" w:hint="default"/>
        </w:rPr>
      </w:pPr>
      <w:r w:rsidRPr="00A53EAC">
        <w:rPr>
          <w:rFonts w:ascii="Times New Roman" w:eastAsia="Cambria" w:hAnsi="Times New Roman" w:cs="Times New Roman" w:hint="default"/>
          <w:b/>
        </w:rPr>
        <w:t>Verejný</w:t>
      </w:r>
      <w:r w:rsidRPr="00A53EAC">
        <w:rPr>
          <w:rFonts w:ascii="Times New Roman" w:eastAsia="Cambria" w:hAnsi="Times New Roman" w:cs="Times New Roman" w:hint="default"/>
          <w:b/>
        </w:rPr>
        <w:t xml:space="preserve"> sektor</w:t>
      </w:r>
      <w:r w:rsidRPr="00A53EAC">
        <w:rPr>
          <w:rFonts w:ascii="Times New Roman" w:eastAsia="Cambria" w:hAnsi="Times New Roman" w:cs="Times New Roman" w:hint="default"/>
        </w:rPr>
        <w:t xml:space="preserve"> je š</w:t>
      </w:r>
      <w:r w:rsidRPr="00A53EAC">
        <w:rPr>
          <w:rFonts w:ascii="Times New Roman" w:eastAsia="Cambria" w:hAnsi="Times New Roman" w:cs="Times New Roman" w:hint="default"/>
        </w:rPr>
        <w:t>irší</w:t>
      </w:r>
      <w:r w:rsidRPr="00A53EAC">
        <w:rPr>
          <w:rFonts w:ascii="Times New Roman" w:eastAsia="Cambria" w:hAnsi="Times New Roman" w:cs="Times New Roman" w:hint="default"/>
        </w:rPr>
        <w:t xml:space="preserve"> pojem ako verejná</w:t>
      </w:r>
      <w:r w:rsidRPr="00A53EAC">
        <w:rPr>
          <w:rFonts w:ascii="Times New Roman" w:eastAsia="Cambria" w:hAnsi="Times New Roman" w:cs="Times New Roman" w:hint="default"/>
        </w:rPr>
        <w:t xml:space="preserve"> sprá</w:t>
      </w:r>
      <w:r w:rsidRPr="00A53EAC">
        <w:rPr>
          <w:rFonts w:ascii="Times New Roman" w:eastAsia="Cambria" w:hAnsi="Times New Roman" w:cs="Times New Roman" w:hint="default"/>
        </w:rPr>
        <w:t>va, nad rá</w:t>
      </w:r>
      <w:r w:rsidRPr="00A53EAC">
        <w:rPr>
          <w:rFonts w:ascii="Times New Roman" w:eastAsia="Cambria" w:hAnsi="Times New Roman" w:cs="Times New Roman" w:hint="default"/>
        </w:rPr>
        <w:t>mec sektora verejnej sprá</w:t>
      </w:r>
      <w:r w:rsidRPr="00A53EAC">
        <w:rPr>
          <w:rFonts w:ascii="Times New Roman" w:eastAsia="Cambria" w:hAnsi="Times New Roman" w:cs="Times New Roman" w:hint="default"/>
        </w:rPr>
        <w:t>vy zahŕň</w:t>
      </w:r>
      <w:r w:rsidRPr="00A53EAC">
        <w:rPr>
          <w:rFonts w:ascii="Times New Roman" w:eastAsia="Cambria" w:hAnsi="Times New Roman" w:cs="Times New Roman" w:hint="default"/>
        </w:rPr>
        <w:t>a aj podniky verejnej sprá</w:t>
      </w:r>
      <w:r w:rsidRPr="00A53EAC">
        <w:rPr>
          <w:rFonts w:ascii="Times New Roman" w:eastAsia="Cambria" w:hAnsi="Times New Roman" w:cs="Times New Roman" w:hint="default"/>
        </w:rPr>
        <w:t>vy a Ná</w:t>
      </w:r>
      <w:r w:rsidRPr="00A53EAC">
        <w:rPr>
          <w:rFonts w:ascii="Times New Roman" w:eastAsia="Cambria" w:hAnsi="Times New Roman" w:cs="Times New Roman" w:hint="default"/>
        </w:rPr>
        <w:t>rodnú</w:t>
      </w:r>
      <w:r w:rsidRPr="00A53EAC">
        <w:rPr>
          <w:rFonts w:ascii="Times New Roman" w:eastAsia="Cambria" w:hAnsi="Times New Roman" w:cs="Times New Roman" w:hint="default"/>
        </w:rPr>
        <w:t xml:space="preserve"> ba</w:t>
      </w:r>
      <w:r w:rsidRPr="00A53EAC">
        <w:rPr>
          <w:rFonts w:ascii="Times New Roman" w:eastAsia="Cambria" w:hAnsi="Times New Roman" w:cs="Times New Roman" w:hint="default"/>
        </w:rPr>
        <w:t>nku Slovenska.</w:t>
      </w:r>
      <w:r w:rsidRPr="00A53EAC" w:rsidR="00805A12">
        <w:rPr>
          <w:rFonts w:ascii="Times New Roman" w:eastAsia="Cambria" w:hAnsi="Times New Roman" w:cs="Times New Roman"/>
        </w:rPr>
        <w:t xml:space="preserve"> </w:t>
      </w:r>
      <w:r w:rsidRPr="00A53EAC">
        <w:rPr>
          <w:rFonts w:ascii="Times New Roman" w:eastAsia="Cambria" w:hAnsi="Times New Roman" w:cs="Times New Roman"/>
        </w:rPr>
        <w:t xml:space="preserve">V podmienkach Slovenska je </w:t>
      </w:r>
      <w:r w:rsidRPr="00A53EAC" w:rsidR="00E33BFF">
        <w:rPr>
          <w:rFonts w:ascii="Times New Roman" w:eastAsia="Cambria" w:hAnsi="Times New Roman" w:cs="Times New Roman" w:hint="default"/>
        </w:rPr>
        <w:t>verejný</w:t>
      </w:r>
      <w:r w:rsidRPr="00A53EAC" w:rsidR="00E33BFF">
        <w:rPr>
          <w:rFonts w:ascii="Times New Roman" w:eastAsia="Cambria" w:hAnsi="Times New Roman" w:cs="Times New Roman" w:hint="default"/>
        </w:rPr>
        <w:t xml:space="preserve"> sektor</w:t>
      </w:r>
      <w:r w:rsidRPr="00A53EAC">
        <w:rPr>
          <w:rFonts w:ascii="Times New Roman" w:eastAsia="Cambria" w:hAnsi="Times New Roman" w:cs="Times New Roman" w:hint="default"/>
        </w:rPr>
        <w:t xml:space="preserve"> definovaný</w:t>
      </w:r>
      <w:r w:rsidRPr="00A53EAC">
        <w:rPr>
          <w:rFonts w:ascii="Times New Roman" w:eastAsia="Cambria" w:hAnsi="Times New Roman" w:cs="Times New Roman" w:hint="default"/>
        </w:rPr>
        <w:t xml:space="preserve"> ú</w:t>
      </w:r>
      <w:r w:rsidRPr="00A53EAC">
        <w:rPr>
          <w:rFonts w:ascii="Times New Roman" w:eastAsia="Cambria" w:hAnsi="Times New Roman" w:cs="Times New Roman" w:hint="default"/>
        </w:rPr>
        <w:t>stavný</w:t>
      </w:r>
      <w:r w:rsidRPr="00A53EAC">
        <w:rPr>
          <w:rFonts w:ascii="Times New Roman" w:eastAsia="Cambria" w:hAnsi="Times New Roman" w:cs="Times New Roman" w:hint="default"/>
        </w:rPr>
        <w:t>m zá</w:t>
      </w:r>
      <w:r w:rsidRPr="00A53EAC">
        <w:rPr>
          <w:rFonts w:ascii="Times New Roman" w:eastAsia="Cambria" w:hAnsi="Times New Roman" w:cs="Times New Roman" w:hint="default"/>
        </w:rPr>
        <w:t>konom o </w:t>
      </w:r>
      <w:r w:rsidRPr="00A53EAC">
        <w:rPr>
          <w:rFonts w:ascii="Times New Roman" w:eastAsia="Cambria" w:hAnsi="Times New Roman" w:cs="Times New Roman" w:hint="default"/>
        </w:rPr>
        <w:t>rozpoč</w:t>
      </w:r>
      <w:r w:rsidRPr="00A53EAC">
        <w:rPr>
          <w:rFonts w:ascii="Times New Roman" w:eastAsia="Cambria" w:hAnsi="Times New Roman" w:cs="Times New Roman" w:hint="default"/>
        </w:rPr>
        <w:t>tovej zodpovednosti pre potrebu vyčí</w:t>
      </w:r>
      <w:r w:rsidRPr="00A53EAC">
        <w:rPr>
          <w:rFonts w:ascii="Times New Roman" w:eastAsia="Cambria" w:hAnsi="Times New Roman" w:cs="Times New Roman" w:hint="default"/>
        </w:rPr>
        <w:t>slenia č</w:t>
      </w:r>
      <w:r w:rsidRPr="00A53EAC">
        <w:rPr>
          <w:rFonts w:ascii="Times New Roman" w:eastAsia="Cambria" w:hAnsi="Times New Roman" w:cs="Times New Roman" w:hint="default"/>
        </w:rPr>
        <w:t>isté</w:t>
      </w:r>
      <w:r w:rsidRPr="00A53EAC">
        <w:rPr>
          <w:rFonts w:ascii="Times New Roman" w:eastAsia="Cambria" w:hAnsi="Times New Roman" w:cs="Times New Roman" w:hint="default"/>
        </w:rPr>
        <w:t xml:space="preserve">ho bohatstva SR. </w:t>
      </w:r>
    </w:p>
    <w:p w:rsidR="0021117C" w:rsidRPr="00A53EAC" w:rsidP="0012459D">
      <w:pPr>
        <w:pStyle w:val="ListParagraph"/>
        <w:numPr>
          <w:numId w:val="4"/>
        </w:numPr>
        <w:bidi w:val="0"/>
        <w:spacing w:after="120" w:line="336" w:lineRule="auto"/>
        <w:ind w:left="357" w:hanging="357"/>
        <w:contextualSpacing w:val="0"/>
        <w:jc w:val="both"/>
        <w:rPr>
          <w:rFonts w:ascii="Times New Roman" w:hAnsi="Times New Roman" w:cs="Times New Roman"/>
        </w:rPr>
      </w:pPr>
      <w:r w:rsidRPr="00A53EAC" w:rsidR="00C03D4C">
        <w:rPr>
          <w:rFonts w:ascii="Times New Roman" w:eastAsia="Cambria" w:hAnsi="Times New Roman" w:cs="Times New Roman" w:hint="default"/>
          <w:b/>
        </w:rPr>
        <w:t>Č</w:t>
      </w:r>
      <w:r w:rsidRPr="00A53EAC" w:rsidR="00C03D4C">
        <w:rPr>
          <w:rFonts w:ascii="Times New Roman" w:eastAsia="Cambria" w:hAnsi="Times New Roman" w:cs="Times New Roman" w:hint="default"/>
          <w:b/>
        </w:rPr>
        <w:t>isté</w:t>
      </w:r>
      <w:r w:rsidRPr="00A53EAC" w:rsidR="00C03D4C">
        <w:rPr>
          <w:rFonts w:ascii="Times New Roman" w:eastAsia="Cambria" w:hAnsi="Times New Roman" w:cs="Times New Roman" w:hint="default"/>
          <w:b/>
        </w:rPr>
        <w:t xml:space="preserve"> bohatstvo</w:t>
      </w:r>
      <w:r w:rsidRPr="00A53EAC" w:rsidR="00C03D4C">
        <w:rPr>
          <w:rFonts w:ascii="Times New Roman" w:eastAsia="Cambria" w:hAnsi="Times New Roman" w:cs="Times New Roman" w:hint="default"/>
        </w:rPr>
        <w:t>, ako hlavný</w:t>
      </w:r>
      <w:r w:rsidRPr="00A53EAC" w:rsidR="00C03D4C">
        <w:rPr>
          <w:rFonts w:ascii="Times New Roman" w:eastAsia="Cambria" w:hAnsi="Times New Roman" w:cs="Times New Roman" w:hint="default"/>
        </w:rPr>
        <w:t xml:space="preserve"> ukazovateľ</w:t>
      </w:r>
      <w:r w:rsidRPr="00A53EAC" w:rsidR="00C03D4C">
        <w:rPr>
          <w:rFonts w:ascii="Times New Roman" w:eastAsia="Cambria" w:hAnsi="Times New Roman" w:cs="Times New Roman" w:hint="default"/>
        </w:rPr>
        <w:t xml:space="preserve"> verejné</w:t>
      </w:r>
      <w:r w:rsidRPr="00A53EAC" w:rsidR="00C03D4C">
        <w:rPr>
          <w:rFonts w:ascii="Times New Roman" w:eastAsia="Cambria" w:hAnsi="Times New Roman" w:cs="Times New Roman" w:hint="default"/>
        </w:rPr>
        <w:t>ho sektora, je stavový</w:t>
      </w:r>
      <w:r w:rsidRPr="00A53EAC" w:rsidR="00C03D4C">
        <w:rPr>
          <w:rFonts w:ascii="Times New Roman" w:eastAsia="Cambria" w:hAnsi="Times New Roman" w:cs="Times New Roman" w:hint="default"/>
        </w:rPr>
        <w:t xml:space="preserve"> ukazovateľ</w:t>
      </w:r>
      <w:r w:rsidRPr="00A53EAC" w:rsidR="00C03D4C">
        <w:rPr>
          <w:rFonts w:ascii="Times New Roman" w:eastAsia="Cambria" w:hAnsi="Times New Roman" w:cs="Times New Roman" w:hint="default"/>
        </w:rPr>
        <w:t>, ktorý</w:t>
      </w:r>
      <w:r w:rsidRPr="00A53EAC" w:rsidR="00C03D4C">
        <w:rPr>
          <w:rFonts w:ascii="Times New Roman" w:eastAsia="Cambria" w:hAnsi="Times New Roman" w:cs="Times New Roman" w:hint="default"/>
        </w:rPr>
        <w:t xml:space="preserve"> popisuje s</w:t>
      </w:r>
      <w:r w:rsidRPr="00A53EAC" w:rsidR="00C03D4C">
        <w:rPr>
          <w:rFonts w:ascii="Times New Roman" w:eastAsia="Cambria" w:hAnsi="Times New Roman" w:cs="Times New Roman" w:hint="default"/>
        </w:rPr>
        <w:t>tav hospodá</w:t>
      </w:r>
      <w:r w:rsidRPr="00A53EAC" w:rsidR="00C03D4C">
        <w:rPr>
          <w:rFonts w:ascii="Times New Roman" w:eastAsia="Cambria" w:hAnsi="Times New Roman" w:cs="Times New Roman" w:hint="default"/>
        </w:rPr>
        <w:t>renia verejné</w:t>
      </w:r>
      <w:r w:rsidRPr="00A53EAC" w:rsidR="00C03D4C">
        <w:rPr>
          <w:rFonts w:ascii="Times New Roman" w:eastAsia="Cambria" w:hAnsi="Times New Roman" w:cs="Times New Roman" w:hint="default"/>
        </w:rPr>
        <w:t xml:space="preserve">ho sektora ku koncu roka. </w:t>
      </w:r>
      <w:r w:rsidRPr="00A53EAC" w:rsidR="00C03D4C">
        <w:rPr>
          <w:rFonts w:ascii="Times New Roman" w:hAnsi="Times New Roman" w:cs="Times New Roman"/>
        </w:rPr>
        <w:t>P</w:t>
      </w:r>
      <w:r w:rsidRPr="00A53EAC" w:rsidR="00C03D4C">
        <w:rPr>
          <w:rFonts w:ascii="Times New Roman" w:eastAsia="Cambria" w:hAnsi="Times New Roman" w:cs="Times New Roman" w:hint="default"/>
        </w:rPr>
        <w:t>odľ</w:t>
      </w:r>
      <w:r w:rsidRPr="00A53EAC" w:rsidR="00C03D4C">
        <w:rPr>
          <w:rFonts w:ascii="Times New Roman" w:eastAsia="Cambria" w:hAnsi="Times New Roman" w:cs="Times New Roman" w:hint="default"/>
        </w:rPr>
        <w:t>a ú</w:t>
      </w:r>
      <w:r w:rsidRPr="00A53EAC" w:rsidR="00C03D4C">
        <w:rPr>
          <w:rFonts w:ascii="Times New Roman" w:eastAsia="Cambria" w:hAnsi="Times New Roman" w:cs="Times New Roman" w:hint="default"/>
        </w:rPr>
        <w:t>stavné</w:t>
      </w:r>
      <w:r w:rsidRPr="00A53EAC" w:rsidR="00C03D4C">
        <w:rPr>
          <w:rFonts w:ascii="Times New Roman" w:eastAsia="Cambria" w:hAnsi="Times New Roman" w:cs="Times New Roman" w:hint="default"/>
        </w:rPr>
        <w:t>ho zá</w:t>
      </w:r>
      <w:r w:rsidRPr="00A53EAC" w:rsidR="00C03D4C">
        <w:rPr>
          <w:rFonts w:ascii="Times New Roman" w:eastAsia="Cambria" w:hAnsi="Times New Roman" w:cs="Times New Roman" w:hint="default"/>
        </w:rPr>
        <w:t>kona o rozpoč</w:t>
      </w:r>
      <w:r w:rsidRPr="00A53EAC" w:rsidR="00C03D4C">
        <w:rPr>
          <w:rFonts w:ascii="Times New Roman" w:eastAsia="Cambria" w:hAnsi="Times New Roman" w:cs="Times New Roman" w:hint="default"/>
        </w:rPr>
        <w:t>tovej zodpovednosti sa pod č</w:t>
      </w:r>
      <w:r w:rsidRPr="00A53EAC" w:rsidR="00C03D4C">
        <w:rPr>
          <w:rFonts w:ascii="Times New Roman" w:eastAsia="Cambria" w:hAnsi="Times New Roman" w:cs="Times New Roman" w:hint="default"/>
        </w:rPr>
        <w:t>istý</w:t>
      </w:r>
      <w:r w:rsidRPr="00A53EAC" w:rsidR="00C03D4C">
        <w:rPr>
          <w:rFonts w:ascii="Times New Roman" w:eastAsia="Cambria" w:hAnsi="Times New Roman" w:cs="Times New Roman" w:hint="default"/>
        </w:rPr>
        <w:t>m bohatstvom rozumie súč</w:t>
      </w:r>
      <w:r w:rsidRPr="00A53EAC" w:rsidR="00C03D4C">
        <w:rPr>
          <w:rFonts w:ascii="Times New Roman" w:eastAsia="Cambria" w:hAnsi="Times New Roman" w:cs="Times New Roman" w:hint="default"/>
        </w:rPr>
        <w:t>et vlastné</w:t>
      </w:r>
      <w:r w:rsidRPr="00A53EAC" w:rsidR="00C03D4C">
        <w:rPr>
          <w:rFonts w:ascii="Times New Roman" w:eastAsia="Cambria" w:hAnsi="Times New Roman" w:cs="Times New Roman" w:hint="default"/>
        </w:rPr>
        <w:t>ho imania subjektov verejnej sprá</w:t>
      </w:r>
      <w:r w:rsidRPr="00A53EAC" w:rsidR="00C03D4C">
        <w:rPr>
          <w:rFonts w:ascii="Times New Roman" w:eastAsia="Cambria" w:hAnsi="Times New Roman" w:cs="Times New Roman" w:hint="default"/>
        </w:rPr>
        <w:t>vy, vlastné</w:t>
      </w:r>
      <w:r w:rsidRPr="00A53EAC" w:rsidR="00C03D4C">
        <w:rPr>
          <w:rFonts w:ascii="Times New Roman" w:eastAsia="Cambria" w:hAnsi="Times New Roman" w:cs="Times New Roman" w:hint="default"/>
        </w:rPr>
        <w:t>ho imania Ná</w:t>
      </w:r>
      <w:r w:rsidRPr="00A53EAC" w:rsidR="00C03D4C">
        <w:rPr>
          <w:rFonts w:ascii="Times New Roman" w:eastAsia="Cambria" w:hAnsi="Times New Roman" w:cs="Times New Roman" w:hint="default"/>
        </w:rPr>
        <w:t>rodnej banky Slovenska, vlastné</w:t>
      </w:r>
      <w:r w:rsidRPr="00A53EAC" w:rsidR="00C03D4C">
        <w:rPr>
          <w:rFonts w:ascii="Times New Roman" w:eastAsia="Cambria" w:hAnsi="Times New Roman" w:cs="Times New Roman" w:hint="default"/>
        </w:rPr>
        <w:t>ho imania podnikov š</w:t>
      </w:r>
      <w:r w:rsidRPr="00A53EAC" w:rsidR="00C03D4C">
        <w:rPr>
          <w:rFonts w:ascii="Times New Roman" w:eastAsia="Cambria" w:hAnsi="Times New Roman" w:cs="Times New Roman" w:hint="default"/>
        </w:rPr>
        <w:t>tá</w:t>
      </w:r>
      <w:r w:rsidRPr="00A53EAC" w:rsidR="00C03D4C">
        <w:rPr>
          <w:rFonts w:ascii="Times New Roman" w:eastAsia="Cambria" w:hAnsi="Times New Roman" w:cs="Times New Roman" w:hint="default"/>
        </w:rPr>
        <w:t>tnej sprá</w:t>
      </w:r>
      <w:r w:rsidRPr="00A53EAC" w:rsidR="00C03D4C">
        <w:rPr>
          <w:rFonts w:ascii="Times New Roman" w:eastAsia="Cambria" w:hAnsi="Times New Roman" w:cs="Times New Roman" w:hint="default"/>
        </w:rPr>
        <w:t>vy a </w:t>
      </w:r>
      <w:r w:rsidRPr="00A53EAC" w:rsidR="00C03D4C">
        <w:rPr>
          <w:rFonts w:ascii="Times New Roman" w:eastAsia="Cambria" w:hAnsi="Times New Roman" w:cs="Times New Roman" w:hint="default"/>
        </w:rPr>
        <w:t>podnikov ú</w:t>
      </w:r>
      <w:r w:rsidRPr="00A53EAC" w:rsidR="00C03D4C">
        <w:rPr>
          <w:rFonts w:ascii="Times New Roman" w:eastAsia="Cambria" w:hAnsi="Times New Roman" w:cs="Times New Roman" w:hint="default"/>
        </w:rPr>
        <w:t>zemnej samosprá</w:t>
      </w:r>
      <w:r w:rsidRPr="00A53EAC" w:rsidR="00C03D4C">
        <w:rPr>
          <w:rFonts w:ascii="Times New Roman" w:eastAsia="Cambria" w:hAnsi="Times New Roman" w:cs="Times New Roman" w:hint="default"/>
        </w:rPr>
        <w:t>vy, upravený</w:t>
      </w:r>
      <w:r w:rsidRPr="00A53EAC" w:rsidR="00C03D4C">
        <w:rPr>
          <w:rFonts w:ascii="Times New Roman" w:eastAsia="Cambria" w:hAnsi="Times New Roman" w:cs="Times New Roman" w:hint="default"/>
        </w:rPr>
        <w:t xml:space="preserve"> o </w:t>
      </w:r>
      <w:r w:rsidRPr="00A53EAC" w:rsidR="00C03D4C">
        <w:rPr>
          <w:rFonts w:ascii="Times New Roman" w:eastAsia="Cambria" w:hAnsi="Times New Roman" w:cs="Times New Roman" w:hint="default"/>
        </w:rPr>
        <w:t>implicitné</w:t>
      </w:r>
      <w:r w:rsidRPr="00A53EAC" w:rsidR="00C03D4C">
        <w:rPr>
          <w:rFonts w:ascii="Times New Roman" w:eastAsia="Cambria" w:hAnsi="Times New Roman" w:cs="Times New Roman" w:hint="default"/>
        </w:rPr>
        <w:t xml:space="preserve"> zá</w:t>
      </w:r>
      <w:r w:rsidRPr="00A53EAC" w:rsidR="00C03D4C">
        <w:rPr>
          <w:rFonts w:ascii="Times New Roman" w:eastAsia="Cambria" w:hAnsi="Times New Roman" w:cs="Times New Roman" w:hint="default"/>
        </w:rPr>
        <w:t>vä</w:t>
      </w:r>
      <w:r w:rsidRPr="00A53EAC" w:rsidR="00C03D4C">
        <w:rPr>
          <w:rFonts w:ascii="Times New Roman" w:eastAsia="Cambria" w:hAnsi="Times New Roman" w:cs="Times New Roman" w:hint="default"/>
        </w:rPr>
        <w:t>zky, iné</w:t>
      </w:r>
      <w:r w:rsidRPr="00A53EAC" w:rsidR="00C03D4C">
        <w:rPr>
          <w:rFonts w:ascii="Times New Roman" w:eastAsia="Cambria" w:hAnsi="Times New Roman" w:cs="Times New Roman" w:hint="default"/>
        </w:rPr>
        <w:t xml:space="preserve"> aktí</w:t>
      </w:r>
      <w:r w:rsidRPr="00A53EAC" w:rsidR="00C03D4C">
        <w:rPr>
          <w:rFonts w:ascii="Times New Roman" w:eastAsia="Cambria" w:hAnsi="Times New Roman" w:cs="Times New Roman" w:hint="default"/>
        </w:rPr>
        <w:t>va a iné</w:t>
      </w:r>
      <w:r w:rsidRPr="00A53EAC" w:rsidR="00C03D4C">
        <w:rPr>
          <w:rFonts w:ascii="Times New Roman" w:eastAsia="Cambria" w:hAnsi="Times New Roman" w:cs="Times New Roman" w:hint="default"/>
        </w:rPr>
        <w:t xml:space="preserve"> pasí</w:t>
      </w:r>
      <w:r w:rsidRPr="00A53EAC" w:rsidR="00C03D4C">
        <w:rPr>
          <w:rFonts w:ascii="Times New Roman" w:eastAsia="Cambria" w:hAnsi="Times New Roman" w:cs="Times New Roman" w:hint="default"/>
        </w:rPr>
        <w:t xml:space="preserve">va </w:t>
      </w:r>
      <w:r w:rsidRPr="00A53EAC" w:rsidR="00E33BFF">
        <w:rPr>
          <w:rFonts w:ascii="Times New Roman" w:eastAsia="Cambria" w:hAnsi="Times New Roman" w:cs="Times New Roman" w:hint="default"/>
        </w:rPr>
        <w:t>vrá</w:t>
      </w:r>
      <w:r w:rsidRPr="00A53EAC" w:rsidR="00E33BFF">
        <w:rPr>
          <w:rFonts w:ascii="Times New Roman" w:eastAsia="Cambria" w:hAnsi="Times New Roman" w:cs="Times New Roman" w:hint="default"/>
        </w:rPr>
        <w:t>tane podmienený</w:t>
      </w:r>
      <w:r w:rsidRPr="00A53EAC" w:rsidR="00E33BFF">
        <w:rPr>
          <w:rFonts w:ascii="Times New Roman" w:eastAsia="Cambria" w:hAnsi="Times New Roman" w:cs="Times New Roman" w:hint="default"/>
        </w:rPr>
        <w:t>ch zá</w:t>
      </w:r>
      <w:r w:rsidRPr="00A53EAC" w:rsidR="00E33BFF">
        <w:rPr>
          <w:rFonts w:ascii="Times New Roman" w:eastAsia="Cambria" w:hAnsi="Times New Roman" w:cs="Times New Roman" w:hint="default"/>
        </w:rPr>
        <w:t>vä</w:t>
      </w:r>
      <w:r w:rsidRPr="00A53EAC" w:rsidR="00E33BFF">
        <w:rPr>
          <w:rFonts w:ascii="Times New Roman" w:eastAsia="Cambria" w:hAnsi="Times New Roman" w:cs="Times New Roman" w:hint="default"/>
        </w:rPr>
        <w:t>zkov</w:t>
      </w:r>
      <w:r w:rsidRPr="00A53EAC" w:rsidR="00C03D4C">
        <w:rPr>
          <w:rFonts w:ascii="Times New Roman" w:eastAsia="Cambria" w:hAnsi="Times New Roman" w:cs="Times New Roman" w:hint="default"/>
        </w:rPr>
        <w:t>. Informá</w:t>
      </w:r>
      <w:r w:rsidRPr="00A53EAC" w:rsidR="00C03D4C">
        <w:rPr>
          <w:rFonts w:ascii="Times New Roman" w:eastAsia="Cambria" w:hAnsi="Times New Roman" w:cs="Times New Roman" w:hint="default"/>
        </w:rPr>
        <w:t>cie zí</w:t>
      </w:r>
      <w:r w:rsidRPr="00A53EAC" w:rsidR="00C03D4C">
        <w:rPr>
          <w:rFonts w:ascii="Times New Roman" w:eastAsia="Cambria" w:hAnsi="Times New Roman" w:cs="Times New Roman" w:hint="default"/>
        </w:rPr>
        <w:t>skané</w:t>
      </w:r>
      <w:r w:rsidRPr="00A53EAC" w:rsidR="00C03D4C">
        <w:rPr>
          <w:rFonts w:ascii="Times New Roman" w:eastAsia="Cambria" w:hAnsi="Times New Roman" w:cs="Times New Roman" w:hint="default"/>
        </w:rPr>
        <w:t xml:space="preserve"> vyčí</w:t>
      </w:r>
      <w:r w:rsidRPr="00A53EAC" w:rsidR="00C03D4C">
        <w:rPr>
          <w:rFonts w:ascii="Times New Roman" w:eastAsia="Cambria" w:hAnsi="Times New Roman" w:cs="Times New Roman" w:hint="default"/>
        </w:rPr>
        <w:t>slení</w:t>
      </w:r>
      <w:r w:rsidRPr="00A53EAC" w:rsidR="00C03D4C">
        <w:rPr>
          <w:rFonts w:ascii="Times New Roman" w:eastAsia="Cambria" w:hAnsi="Times New Roman" w:cs="Times New Roman" w:hint="default"/>
        </w:rPr>
        <w:t>m č</w:t>
      </w:r>
      <w:r w:rsidRPr="00A53EAC" w:rsidR="00C03D4C">
        <w:rPr>
          <w:rFonts w:ascii="Times New Roman" w:eastAsia="Cambria" w:hAnsi="Times New Roman" w:cs="Times New Roman" w:hint="default"/>
        </w:rPr>
        <w:t>isté</w:t>
      </w:r>
      <w:r w:rsidRPr="00A53EAC" w:rsidR="00C03D4C">
        <w:rPr>
          <w:rFonts w:ascii="Times New Roman" w:eastAsia="Cambria" w:hAnsi="Times New Roman" w:cs="Times New Roman" w:hint="default"/>
        </w:rPr>
        <w:t>ho bohatstva pomá</w:t>
      </w:r>
      <w:r w:rsidRPr="00A53EAC" w:rsidR="00C03D4C">
        <w:rPr>
          <w:rFonts w:ascii="Times New Roman" w:eastAsia="Cambria" w:hAnsi="Times New Roman" w:cs="Times New Roman" w:hint="default"/>
        </w:rPr>
        <w:t>hajú</w:t>
      </w:r>
      <w:r w:rsidRPr="00A53EAC" w:rsidR="00C03D4C">
        <w:rPr>
          <w:rFonts w:ascii="Times New Roman" w:eastAsia="Cambria" w:hAnsi="Times New Roman" w:cs="Times New Roman" w:hint="default"/>
        </w:rPr>
        <w:t xml:space="preserve"> lepš</w:t>
      </w:r>
      <w:r w:rsidRPr="00A53EAC" w:rsidR="00C03D4C">
        <w:rPr>
          <w:rFonts w:ascii="Times New Roman" w:eastAsia="Cambria" w:hAnsi="Times New Roman" w:cs="Times New Roman" w:hint="default"/>
        </w:rPr>
        <w:t>ie porozumieť</w:t>
      </w:r>
      <w:r w:rsidRPr="00A53EAC" w:rsidR="00C03D4C">
        <w:rPr>
          <w:rFonts w:ascii="Times New Roman" w:eastAsia="Cambria" w:hAnsi="Times New Roman" w:cs="Times New Roman" w:hint="default"/>
        </w:rPr>
        <w:t xml:space="preserve"> procesom a </w:t>
      </w:r>
      <w:r w:rsidRPr="00A53EAC" w:rsidR="00C03D4C">
        <w:rPr>
          <w:rFonts w:ascii="Times New Roman" w:eastAsia="Cambria" w:hAnsi="Times New Roman" w:cs="Times New Roman" w:hint="default"/>
        </w:rPr>
        <w:t>transakciá</w:t>
      </w:r>
      <w:r w:rsidRPr="00A53EAC" w:rsidR="00C03D4C">
        <w:rPr>
          <w:rFonts w:ascii="Times New Roman" w:eastAsia="Cambria" w:hAnsi="Times New Roman" w:cs="Times New Roman" w:hint="default"/>
        </w:rPr>
        <w:t>m vo verejný</w:t>
      </w:r>
      <w:r w:rsidRPr="00A53EAC" w:rsidR="00C03D4C">
        <w:rPr>
          <w:rFonts w:ascii="Times New Roman" w:eastAsia="Cambria" w:hAnsi="Times New Roman" w:cs="Times New Roman" w:hint="default"/>
        </w:rPr>
        <w:t>ch financiá</w:t>
      </w:r>
      <w:r w:rsidRPr="00A53EAC" w:rsidR="00C03D4C">
        <w:rPr>
          <w:rFonts w:ascii="Times New Roman" w:eastAsia="Cambria" w:hAnsi="Times New Roman" w:cs="Times New Roman" w:hint="default"/>
        </w:rPr>
        <w:t>ch, čí</w:t>
      </w:r>
      <w:r w:rsidRPr="00A53EAC" w:rsidR="00C03D4C">
        <w:rPr>
          <w:rFonts w:ascii="Times New Roman" w:eastAsia="Cambria" w:hAnsi="Times New Roman" w:cs="Times New Roman" w:hint="default"/>
        </w:rPr>
        <w:t xml:space="preserve">m </w:t>
      </w:r>
      <w:r w:rsidRPr="00A53EAC" w:rsidR="00C03D4C">
        <w:rPr>
          <w:rFonts w:ascii="Times New Roman" w:eastAsia="Cambria" w:hAnsi="Times New Roman" w:cs="Times New Roman" w:hint="default"/>
        </w:rPr>
        <w:t>sa jednoduchš</w:t>
      </w:r>
      <w:r w:rsidRPr="00A53EAC" w:rsidR="00C03D4C">
        <w:rPr>
          <w:rFonts w:ascii="Times New Roman" w:eastAsia="Cambria" w:hAnsi="Times New Roman" w:cs="Times New Roman" w:hint="default"/>
        </w:rPr>
        <w:t>ie identifikujú</w:t>
      </w:r>
      <w:r w:rsidRPr="00A53EAC" w:rsidR="00C03D4C">
        <w:rPr>
          <w:rFonts w:ascii="Times New Roman" w:eastAsia="Cambria" w:hAnsi="Times New Roman" w:cs="Times New Roman" w:hint="default"/>
        </w:rPr>
        <w:t xml:space="preserve"> politiky vedú</w:t>
      </w:r>
      <w:r w:rsidRPr="00A53EAC" w:rsidR="00C03D4C">
        <w:rPr>
          <w:rFonts w:ascii="Times New Roman" w:eastAsia="Cambria" w:hAnsi="Times New Roman" w:cs="Times New Roman" w:hint="default"/>
        </w:rPr>
        <w:t>ce k </w:t>
      </w:r>
      <w:r w:rsidRPr="00A53EAC" w:rsidR="00C03D4C">
        <w:rPr>
          <w:rFonts w:ascii="Times New Roman" w:eastAsia="Cambria" w:hAnsi="Times New Roman" w:cs="Times New Roman" w:hint="default"/>
        </w:rPr>
        <w:t>zvyš</w:t>
      </w:r>
      <w:r w:rsidRPr="00A53EAC" w:rsidR="00C03D4C">
        <w:rPr>
          <w:rFonts w:ascii="Times New Roman" w:eastAsia="Cambria" w:hAnsi="Times New Roman" w:cs="Times New Roman" w:hint="default"/>
        </w:rPr>
        <w:t>ovaniu alebo zniž</w:t>
      </w:r>
      <w:r w:rsidRPr="00A53EAC" w:rsidR="00C03D4C">
        <w:rPr>
          <w:rFonts w:ascii="Times New Roman" w:eastAsia="Cambria" w:hAnsi="Times New Roman" w:cs="Times New Roman" w:hint="default"/>
        </w:rPr>
        <w:t>ovaniu bohatstva (majetku) krajiny.</w:t>
      </w:r>
    </w:p>
    <w:p w:rsidR="00805A12" w:rsidRPr="00A53EAC" w:rsidP="00B20EEE">
      <w:pPr>
        <w:bidi w:val="0"/>
        <w:spacing w:after="120" w:line="336" w:lineRule="auto"/>
        <w:jc w:val="both"/>
        <w:rPr>
          <w:rFonts w:ascii="Times New Roman" w:hAnsi="Times New Roman" w:cs="Times New Roman"/>
          <w:szCs w:val="22"/>
        </w:rPr>
      </w:pPr>
      <w:r w:rsidRPr="00A53EAC" w:rsidR="00AB768E">
        <w:rPr>
          <w:rFonts w:ascii="Times New Roman" w:hAnsi="Times New Roman" w:cs="Times New Roman"/>
          <w:szCs w:val="22"/>
        </w:rPr>
        <w:t>Čisté bohatstvo má veľmi špecifickú štruktúru</w:t>
      </w:r>
      <w:r w:rsidR="00BF14E8">
        <w:rPr>
          <w:rFonts w:ascii="Times New Roman" w:hAnsi="Times New Roman" w:cs="Times New Roman"/>
          <w:szCs w:val="22"/>
        </w:rPr>
        <w:t>,</w:t>
      </w:r>
      <w:r w:rsidRPr="00A53EAC" w:rsidR="00AB768E">
        <w:rPr>
          <w:rFonts w:ascii="Times New Roman" w:hAnsi="Times New Roman" w:cs="Times New Roman"/>
          <w:szCs w:val="22"/>
        </w:rPr>
        <w:t xml:space="preserve"> a preto je</w:t>
      </w:r>
      <w:r w:rsidRPr="00A53EAC" w:rsidR="00AB768E">
        <w:rPr>
          <w:rFonts w:ascii="Times New Roman" w:hAnsi="Times New Roman" w:cs="Times New Roman"/>
          <w:b/>
          <w:szCs w:val="22"/>
        </w:rPr>
        <w:t xml:space="preserve"> veľmi dôležitá jeho správna interpretácia</w:t>
      </w:r>
      <w:r w:rsidRPr="00A53EAC" w:rsidR="00AB768E">
        <w:rPr>
          <w:rFonts w:ascii="Times New Roman" w:hAnsi="Times New Roman" w:cs="Times New Roman"/>
          <w:szCs w:val="22"/>
        </w:rPr>
        <w:t xml:space="preserve">. </w:t>
      </w:r>
      <w:r w:rsidRPr="00A53EAC" w:rsidR="00B20EEE">
        <w:rPr>
          <w:rFonts w:ascii="Times New Roman" w:hAnsi="Times New Roman" w:cs="Times New Roman"/>
          <w:szCs w:val="22"/>
        </w:rPr>
        <w:t xml:space="preserve">Spravidla najväčšou položkou čistého bohatstva bývajú v krajinách s priebežným systémom financovania starobných dôchodkov implicitné záväzky tohto systému. Keďže systém vytvára záväzky, ktoré nie sú v danom čase ešte kryté aktívami (príjmami), do čistého bohatstva sú takéto záväzky zaznamenané v podobe implicitných záväzkov. Takéto implicitné záväzky majú v krajinách s relatívne štedrým sociálnym systémom spravidla </w:t>
      </w:r>
      <w:r w:rsidRPr="00A53EAC">
        <w:rPr>
          <w:rFonts w:ascii="Times New Roman" w:hAnsi="Times New Roman" w:cs="Times New Roman"/>
          <w:szCs w:val="22"/>
        </w:rPr>
        <w:t>významnú sumu</w:t>
      </w:r>
      <w:r w:rsidRPr="00A53EAC" w:rsidR="00B20EEE">
        <w:rPr>
          <w:rFonts w:ascii="Times New Roman" w:hAnsi="Times New Roman" w:cs="Times New Roman"/>
          <w:szCs w:val="22"/>
        </w:rPr>
        <w:t xml:space="preserve"> (na Slovensku tvoril implicitný dlh dôchodkového systému a zdravotníctva </w:t>
      </w:r>
      <w:r w:rsidRPr="00A53EAC" w:rsidR="007956F2">
        <w:rPr>
          <w:rFonts w:ascii="Times New Roman" w:hAnsi="Times New Roman" w:cs="Times New Roman"/>
          <w:szCs w:val="22"/>
        </w:rPr>
        <w:t>157,2</w:t>
      </w:r>
      <w:r w:rsidRPr="00A53EAC" w:rsidR="00C15EB2">
        <w:rPr>
          <w:rFonts w:ascii="Times New Roman" w:hAnsi="Times New Roman" w:cs="Times New Roman"/>
          <w:szCs w:val="22"/>
        </w:rPr>
        <w:t> </w:t>
      </w:r>
      <w:r w:rsidRPr="00A53EAC" w:rsidR="00B20EEE">
        <w:rPr>
          <w:rFonts w:ascii="Times New Roman" w:hAnsi="Times New Roman" w:cs="Times New Roman"/>
          <w:szCs w:val="22"/>
        </w:rPr>
        <w:t>%</w:t>
      </w:r>
      <w:r w:rsidRPr="00A53EAC" w:rsidR="00AB768E">
        <w:rPr>
          <w:rFonts w:ascii="Times New Roman" w:hAnsi="Times New Roman" w:cs="Times New Roman"/>
          <w:szCs w:val="22"/>
        </w:rPr>
        <w:t xml:space="preserve"> HDP k 31.12.201</w:t>
      </w:r>
      <w:r w:rsidRPr="00A53EAC" w:rsidR="007956F2">
        <w:rPr>
          <w:rFonts w:ascii="Times New Roman" w:hAnsi="Times New Roman" w:cs="Times New Roman"/>
          <w:szCs w:val="22"/>
        </w:rPr>
        <w:t>4</w:t>
      </w:r>
      <w:r w:rsidRPr="00A53EAC" w:rsidR="00B20EEE">
        <w:rPr>
          <w:rFonts w:ascii="Times New Roman" w:hAnsi="Times New Roman" w:cs="Times New Roman"/>
          <w:szCs w:val="22"/>
        </w:rPr>
        <w:t xml:space="preserve">). Tieto záväzky však reálne nepredstavujú pre finančnú stabilitu štátu taký problém ako napríklad hrubý dlh verejnej správy, ktorý je väčšinou rádovo menší (na Slovensku </w:t>
      </w:r>
      <w:r w:rsidRPr="00A53EAC" w:rsidR="00AB0B01">
        <w:rPr>
          <w:rFonts w:ascii="Times New Roman" w:hAnsi="Times New Roman" w:cs="Times New Roman"/>
          <w:szCs w:val="22"/>
        </w:rPr>
        <w:t>53,5</w:t>
      </w:r>
      <w:r w:rsidRPr="00A53EAC" w:rsidR="00B20EEE">
        <w:rPr>
          <w:rFonts w:ascii="Times New Roman" w:hAnsi="Times New Roman" w:cs="Times New Roman"/>
          <w:szCs w:val="22"/>
        </w:rPr>
        <w:t> % HDP k 31.12.201</w:t>
      </w:r>
      <w:r w:rsidRPr="00A53EAC" w:rsidR="007956F2">
        <w:rPr>
          <w:rFonts w:ascii="Times New Roman" w:hAnsi="Times New Roman" w:cs="Times New Roman"/>
          <w:szCs w:val="22"/>
        </w:rPr>
        <w:t>4</w:t>
      </w:r>
      <w:r w:rsidRPr="00A53EAC" w:rsidR="00B20EEE">
        <w:rPr>
          <w:rFonts w:ascii="Times New Roman" w:hAnsi="Times New Roman" w:cs="Times New Roman"/>
          <w:szCs w:val="22"/>
        </w:rPr>
        <w:t xml:space="preserve">). Tento dlh je totiž explicitný a je potrebné ho v danom čase splatiť, resp. financovať na kapitálových trhoch. </w:t>
      </w:r>
    </w:p>
    <w:p w:rsidR="00B20EEE" w:rsidRPr="00A53EAC" w:rsidP="00B20EEE">
      <w:pPr>
        <w:bidi w:val="0"/>
        <w:spacing w:after="120" w:line="336" w:lineRule="auto"/>
        <w:jc w:val="both"/>
        <w:rPr>
          <w:rFonts w:ascii="Times New Roman" w:hAnsi="Times New Roman" w:cs="Times New Roman"/>
          <w:szCs w:val="22"/>
        </w:rPr>
      </w:pPr>
      <w:r w:rsidRPr="00A53EAC" w:rsidR="00805A12">
        <w:rPr>
          <w:rFonts w:ascii="Times New Roman" w:hAnsi="Times New Roman" w:cs="Times New Roman"/>
          <w:szCs w:val="22"/>
        </w:rPr>
        <w:t>I</w:t>
      </w:r>
      <w:r w:rsidRPr="00A53EAC">
        <w:rPr>
          <w:rFonts w:ascii="Times New Roman" w:hAnsi="Times New Roman" w:cs="Times New Roman"/>
          <w:szCs w:val="22"/>
        </w:rPr>
        <w:t>mplicitný dlh dôchodkového systému majú krajiny možnosť riešiť postupne v čase zvyšovaním príjmov (rast sadzieb dôchodkového poistenia) alebo parametrickými úpravami výdavkov systému (zvyšovanie veku odchodu do dôchodku).</w:t>
      </w:r>
      <w:r w:rsidRPr="00A53EAC" w:rsidR="007956F2">
        <w:rPr>
          <w:rFonts w:ascii="Times New Roman" w:hAnsi="Times New Roman" w:cs="Times New Roman"/>
          <w:szCs w:val="22"/>
        </w:rPr>
        <w:t xml:space="preserve"> Navyše, odhadnutá veľkosť implicitného dlhu v rámci sociálneho systému býva citlivá na prijaté dlhodobé predpoklady o makroekonomickom a demografickom vývoji.</w:t>
      </w:r>
    </w:p>
    <w:p w:rsidR="00B20EEE" w:rsidRPr="00A53EAC" w:rsidP="00B20EEE">
      <w:pPr>
        <w:bidi w:val="0"/>
        <w:spacing w:after="120" w:line="336" w:lineRule="auto"/>
        <w:jc w:val="both"/>
        <w:rPr>
          <w:rFonts w:ascii="Times New Roman" w:hAnsi="Times New Roman" w:cs="Times New Roman"/>
          <w:szCs w:val="22"/>
        </w:rPr>
      </w:pPr>
      <w:r w:rsidRPr="00AD53CE" w:rsidR="00805A12">
        <w:rPr>
          <w:rFonts w:ascii="Times New Roman" w:hAnsi="Times New Roman" w:cs="Times New Roman"/>
          <w:b/>
          <w:szCs w:val="22"/>
        </w:rPr>
        <w:t xml:space="preserve">Súhrnná výška čistého bohatstva </w:t>
      </w:r>
      <w:r w:rsidRPr="00AD53CE" w:rsidR="007956F2">
        <w:rPr>
          <w:rFonts w:ascii="Times New Roman" w:hAnsi="Times New Roman" w:cs="Times New Roman"/>
          <w:b/>
          <w:szCs w:val="22"/>
        </w:rPr>
        <w:t xml:space="preserve">preto </w:t>
      </w:r>
      <w:r w:rsidRPr="00AD53CE" w:rsidR="00805A12">
        <w:rPr>
          <w:rFonts w:ascii="Times New Roman" w:hAnsi="Times New Roman" w:cs="Times New Roman"/>
          <w:b/>
          <w:szCs w:val="22"/>
        </w:rPr>
        <w:t>nemá veľkú vypovedaciu hodnotu a nemala by byť</w:t>
      </w:r>
      <w:r w:rsidRPr="00AD53CE" w:rsidR="00AB768E">
        <w:rPr>
          <w:rFonts w:ascii="Times New Roman" w:hAnsi="Times New Roman" w:cs="Times New Roman"/>
          <w:b/>
          <w:szCs w:val="22"/>
        </w:rPr>
        <w:t xml:space="preserve"> používaná v analytickom kontexte.</w:t>
      </w:r>
      <w:r w:rsidRPr="00A53EAC" w:rsidR="00AB768E">
        <w:rPr>
          <w:rFonts w:ascii="Times New Roman" w:hAnsi="Times New Roman" w:cs="Times New Roman"/>
          <w:szCs w:val="22"/>
        </w:rPr>
        <w:t xml:space="preserve"> </w:t>
      </w:r>
      <w:r w:rsidRPr="00A53EAC">
        <w:rPr>
          <w:rFonts w:ascii="Times New Roman" w:hAnsi="Times New Roman" w:cs="Times New Roman"/>
          <w:szCs w:val="22"/>
        </w:rPr>
        <w:t xml:space="preserve">Pri veľkosti čistého bohatstva má význam analyzovať len jednotlivé zložky jeho štruktúry, ako napríklad vlastné imanie podnikov, podmienené záväzky či implicitné záväzky, pretože tie majú z ekonomického hľadiska vypovedaciu schopnosť. Čisté bohatstvo treba vnímať ako </w:t>
      </w:r>
      <w:r w:rsidRPr="00A53EAC" w:rsidR="007C63FF">
        <w:rPr>
          <w:rFonts w:ascii="Times New Roman" w:hAnsi="Times New Roman" w:cs="Times New Roman"/>
          <w:szCs w:val="22"/>
        </w:rPr>
        <w:t>komplex</w:t>
      </w:r>
      <w:r w:rsidRPr="00A53EAC">
        <w:rPr>
          <w:rFonts w:ascii="Times New Roman" w:hAnsi="Times New Roman" w:cs="Times New Roman"/>
          <w:szCs w:val="22"/>
        </w:rPr>
        <w:t xml:space="preserve"> všetkých typov ukazovateľov, ktoré sú podstatné z hľadiska finančnej stability a bohatstva štátu. </w:t>
      </w:r>
    </w:p>
    <w:p w:rsidR="00B20EEE" w:rsidRPr="00A53EAC" w:rsidP="00B20EEE">
      <w:pPr>
        <w:bidi w:val="0"/>
        <w:spacing w:after="120" w:line="336" w:lineRule="auto"/>
        <w:jc w:val="both"/>
        <w:rPr>
          <w:rFonts w:ascii="Times New Roman" w:hAnsi="Times New Roman" w:cs="Times New Roman"/>
          <w:szCs w:val="22"/>
        </w:rPr>
      </w:pPr>
      <w:r w:rsidRPr="00A53EAC" w:rsidR="007C63FF">
        <w:rPr>
          <w:rFonts w:ascii="Times New Roman" w:hAnsi="Times New Roman" w:cs="Times New Roman"/>
          <w:b/>
          <w:szCs w:val="22"/>
        </w:rPr>
        <w:t>V</w:t>
      </w:r>
      <w:r w:rsidRPr="00A53EAC">
        <w:rPr>
          <w:rFonts w:ascii="Times New Roman" w:hAnsi="Times New Roman" w:cs="Times New Roman"/>
          <w:b/>
          <w:szCs w:val="22"/>
        </w:rPr>
        <w:t>ýznam čistého bohatstva spočíva v sledovaní jeho medziročných zmien</w:t>
      </w:r>
      <w:r w:rsidRPr="00A53EAC">
        <w:rPr>
          <w:rFonts w:ascii="Times New Roman" w:hAnsi="Times New Roman" w:cs="Times New Roman"/>
          <w:szCs w:val="22"/>
        </w:rPr>
        <w:t>. Práve analýza a vysvetlenie týchto zmien poskytuje dôležité informácie o hospodárení štátu, ktoré nemusí zachytiť tradičný pohľad na saldo a dlh verejnej správy. Existujú totiž politiky a transakcie, ktoré sa z metodických dôvodov nemusia prejaviť na salde a dlhu verejnej správy, ale majú negatívny alebo naopak pozitívny vplyv na čisté bohatstvo štátu. Koncept čistého bohatstva teda umožňuje predovšetkým kvalitnejšie zhodnotenie hospodárskej politiky štátu z pohľadu verejných financií.</w:t>
      </w:r>
    </w:p>
    <w:p w:rsidR="00A544B6" w:rsidRPr="00A53EAC" w:rsidP="00D83FFE">
      <w:pPr>
        <w:pStyle w:val="Heading2"/>
        <w:numPr>
          <w:numId w:val="3"/>
        </w:numPr>
        <w:bidi w:val="0"/>
        <w:spacing w:before="240" w:after="120" w:line="336" w:lineRule="auto"/>
        <w:ind w:left="425" w:hanging="425"/>
        <w:rPr>
          <w:rFonts w:eastAsia="Cambria"/>
        </w:rPr>
      </w:pPr>
      <w:bookmarkStart w:id="68" w:name="_Toc399324371"/>
      <w:bookmarkStart w:id="69" w:name="_Toc401920025"/>
      <w:bookmarkStart w:id="70" w:name="_Toc433099571"/>
      <w:r w:rsidRPr="00A53EAC">
        <w:rPr>
          <w:rFonts w:eastAsia="Cambria" w:hint="default"/>
        </w:rPr>
        <w:t>Odhad č</w:t>
      </w:r>
      <w:r w:rsidRPr="00A53EAC">
        <w:rPr>
          <w:rFonts w:eastAsia="Cambria" w:hint="default"/>
        </w:rPr>
        <w:t>isté</w:t>
      </w:r>
      <w:r w:rsidRPr="00A53EAC">
        <w:rPr>
          <w:rFonts w:eastAsia="Cambria" w:hint="default"/>
        </w:rPr>
        <w:t>ho bohatstva za rok 201</w:t>
      </w:r>
      <w:bookmarkEnd w:id="68"/>
      <w:bookmarkEnd w:id="69"/>
      <w:r w:rsidRPr="00A53EAC" w:rsidR="00F517A0">
        <w:rPr>
          <w:rFonts w:eastAsia="Cambria"/>
        </w:rPr>
        <w:t>4</w:t>
      </w:r>
      <w:bookmarkEnd w:id="70"/>
    </w:p>
    <w:p w:rsidR="00EB566D" w:rsidRPr="00A53EAC" w:rsidP="00D83FFE">
      <w:pPr>
        <w:bidi w:val="0"/>
        <w:spacing w:after="120" w:line="336" w:lineRule="auto"/>
        <w:jc w:val="both"/>
        <w:rPr>
          <w:rFonts w:ascii="Times New Roman" w:hAnsi="Times New Roman" w:cs="Times New Roman"/>
        </w:rPr>
      </w:pPr>
      <w:r w:rsidRPr="00EB566D">
        <w:rPr>
          <w:rFonts w:ascii="Times New Roman" w:hAnsi="Times New Roman" w:cs="Times New Roman"/>
        </w:rPr>
        <w:t xml:space="preserve">Odhadnutá výška čistého bohatstva Slovenskej republiky dosiahla k 31.12.2014 zápornú hodnotu </w:t>
      </w:r>
      <w:r w:rsidRPr="00EB566D">
        <w:rPr>
          <w:rFonts w:ascii="Times New Roman" w:hAnsi="Times New Roman" w:cs="Times New Roman"/>
          <w:b/>
          <w:bCs/>
        </w:rPr>
        <w:t>141 154 876 </w:t>
      </w:r>
      <w:r w:rsidRPr="00EB566D">
        <w:rPr>
          <w:rFonts w:ascii="Times New Roman" w:hAnsi="Times New Roman" w:cs="Times New Roman"/>
          <w:b/>
        </w:rPr>
        <w:t>tis. eur (-186,8 % HDP)</w:t>
      </w:r>
      <w:r w:rsidRPr="00EB566D">
        <w:rPr>
          <w:rFonts w:ascii="Times New Roman" w:hAnsi="Times New Roman" w:cs="Times New Roman"/>
        </w:rPr>
        <w:t>. Oproti predchádzajúcemu roku sa zlepšila hodnota čistého bohatstva o 27 956 520 tis. eur, čím sa znížil negatívny podiel na HDP o 42,2 p.b.</w:t>
      </w:r>
    </w:p>
    <w:tbl>
      <w:tblPr>
        <w:tblStyle w:val="TableNormal"/>
        <w:tblW w:w="5000" w:type="pct"/>
        <w:tblCellMar>
          <w:left w:w="70" w:type="dxa"/>
          <w:right w:w="70" w:type="dxa"/>
        </w:tblCellMar>
        <w:tblLook w:val="04A0"/>
      </w:tblPr>
      <w:tblGrid>
        <w:gridCol w:w="5290"/>
        <w:gridCol w:w="1345"/>
        <w:gridCol w:w="1345"/>
        <w:gridCol w:w="1231"/>
      </w:tblGrid>
      <w:tr>
        <w:tblPrEx>
          <w:tblW w:w="5000" w:type="pct"/>
          <w:tblCellMar>
            <w:left w:w="70" w:type="dxa"/>
            <w:right w:w="70" w:type="dxa"/>
          </w:tblCellMar>
          <w:tblLook w:val="04A0"/>
        </w:tblPrEx>
        <w:trPr>
          <w:trHeight w:val="300"/>
        </w:trPr>
        <w:tc>
          <w:tcPr>
            <w:tcW w:w="3601" w:type="pct"/>
            <w:gridSpan w:val="2"/>
            <w:tcBorders>
              <w:top w:val="nil"/>
              <w:left w:val="nil"/>
              <w:bottom w:val="nil"/>
              <w:right w:val="nil"/>
            </w:tcBorders>
            <w:shd w:val="clear" w:color="000000" w:fill="000000"/>
            <w:textDirection w:val="lrTb"/>
            <w:vAlign w:val="top"/>
            <w:hideMark/>
          </w:tcPr>
          <w:p w:rsidR="00EB566D" w:rsidRPr="00EB566D" w:rsidP="00107FB8">
            <w:pPr>
              <w:bidi w:val="0"/>
              <w:spacing w:after="0" w:line="240" w:lineRule="auto"/>
              <w:rPr>
                <w:rFonts w:ascii="Times New Roman" w:hAnsi="Times New Roman" w:cs="Times New Roman"/>
                <w:b/>
                <w:bCs/>
                <w:color w:val="FFFFFF"/>
                <w:sz w:val="20"/>
                <w:szCs w:val="20"/>
                <w:lang w:eastAsia="sk-SK"/>
              </w:rPr>
            </w:pPr>
            <w:r w:rsidRPr="00EB566D">
              <w:rPr>
                <w:rFonts w:ascii="Times New Roman" w:hAnsi="Times New Roman" w:cs="Times New Roman"/>
                <w:b/>
                <w:bCs/>
                <w:color w:val="FFFFFF"/>
                <w:sz w:val="20"/>
                <w:szCs w:val="20"/>
                <w:lang w:eastAsia="sk-SK"/>
              </w:rPr>
              <w:t>Čisté bohatstvo Slovenskej republiky k 31.12.201</w:t>
            </w:r>
            <w:r w:rsidR="00107FB8">
              <w:rPr>
                <w:rFonts w:ascii="Times New Roman" w:hAnsi="Times New Roman" w:cs="Times New Roman"/>
                <w:b/>
                <w:bCs/>
                <w:color w:val="FFFFFF"/>
                <w:sz w:val="20"/>
                <w:szCs w:val="20"/>
                <w:lang w:eastAsia="sk-SK"/>
              </w:rPr>
              <w:t>4</w:t>
            </w:r>
            <w:r w:rsidRPr="00EB566D">
              <w:rPr>
                <w:rFonts w:ascii="Times New Roman" w:hAnsi="Times New Roman" w:cs="Times New Roman"/>
                <w:b/>
                <w:bCs/>
                <w:color w:val="FFFFFF"/>
                <w:sz w:val="20"/>
                <w:szCs w:val="20"/>
                <w:lang w:eastAsia="sk-SK"/>
              </w:rPr>
              <w:t xml:space="preserve"> (tis. eur)</w:t>
            </w:r>
          </w:p>
        </w:tc>
        <w:tc>
          <w:tcPr>
            <w:tcW w:w="730" w:type="pct"/>
            <w:tcBorders>
              <w:top w:val="nil"/>
              <w:left w:val="nil"/>
              <w:bottom w:val="nil"/>
              <w:right w:val="nil"/>
            </w:tcBorders>
            <w:shd w:val="clear" w:color="000000" w:fill="000000"/>
            <w:noWrap/>
            <w:textDirection w:val="lrTb"/>
            <w:vAlign w:val="bottom"/>
            <w:hideMark/>
          </w:tcPr>
          <w:p w:rsidR="00EB566D" w:rsidRPr="00EB566D" w:rsidP="004B7DC7">
            <w:pPr>
              <w:bidi w:val="0"/>
              <w:spacing w:after="0" w:line="240" w:lineRule="auto"/>
              <w:rPr>
                <w:rFonts w:ascii="Calibri" w:hAnsi="Calibri" w:cs="Times New Roman"/>
                <w:color w:val="000000"/>
                <w:sz w:val="20"/>
                <w:szCs w:val="20"/>
                <w:lang w:eastAsia="sk-SK"/>
              </w:rPr>
            </w:pPr>
            <w:r w:rsidRPr="00EB566D">
              <w:rPr>
                <w:rFonts w:ascii="Calibri" w:hAnsi="Calibri" w:cs="Times New Roman"/>
                <w:color w:val="000000"/>
                <w:sz w:val="20"/>
                <w:szCs w:val="20"/>
                <w:lang w:eastAsia="sk-SK"/>
              </w:rPr>
              <w:t> </w:t>
            </w:r>
          </w:p>
        </w:tc>
        <w:tc>
          <w:tcPr>
            <w:tcW w:w="669" w:type="pct"/>
            <w:tcBorders>
              <w:top w:val="nil"/>
              <w:left w:val="nil"/>
              <w:bottom w:val="nil"/>
              <w:right w:val="nil"/>
            </w:tcBorders>
            <w:shd w:val="clear" w:color="000000" w:fill="000000"/>
            <w:noWrap/>
            <w:textDirection w:val="lrTb"/>
            <w:vAlign w:val="bottom"/>
            <w:hideMark/>
          </w:tcPr>
          <w:p w:rsidR="00EB566D" w:rsidRPr="00EB566D" w:rsidP="004B7DC7">
            <w:pPr>
              <w:bidi w:val="0"/>
              <w:spacing w:after="0" w:line="240" w:lineRule="auto"/>
              <w:rPr>
                <w:rFonts w:ascii="Calibri" w:hAnsi="Calibri" w:cs="Times New Roman"/>
                <w:color w:val="000000"/>
                <w:sz w:val="20"/>
                <w:szCs w:val="20"/>
                <w:lang w:eastAsia="sk-SK"/>
              </w:rPr>
            </w:pPr>
            <w:r w:rsidRPr="00EB566D">
              <w:rPr>
                <w:rFonts w:ascii="Calibri" w:hAnsi="Calibri" w:cs="Times New Roman"/>
                <w:color w:val="000000"/>
                <w:sz w:val="20"/>
                <w:szCs w:val="20"/>
                <w:lang w:eastAsia="sk-SK"/>
              </w:rPr>
              <w:t> </w:t>
            </w:r>
          </w:p>
        </w:tc>
      </w:tr>
      <w:tr>
        <w:tblPrEx>
          <w:tblW w:w="5000" w:type="pct"/>
          <w:tblCellMar>
            <w:left w:w="70" w:type="dxa"/>
            <w:right w:w="70" w:type="dxa"/>
          </w:tblCellMar>
          <w:tblLook w:val="04A0"/>
        </w:tblPrEx>
        <w:trPr>
          <w:trHeight w:val="300"/>
        </w:trPr>
        <w:tc>
          <w:tcPr>
            <w:tcW w:w="2872" w:type="pct"/>
            <w:tcBorders>
              <w:top w:val="single" w:sz="4" w:space="0" w:color="auto"/>
              <w:left w:val="nil"/>
              <w:bottom w:val="nil"/>
              <w:right w:val="nil"/>
            </w:tcBorders>
            <w:shd w:val="clear" w:color="000000" w:fill="BFBFBF"/>
            <w:textDirection w:val="lrTb"/>
            <w:vAlign w:val="bottom"/>
            <w:hideMark/>
          </w:tcPr>
          <w:p w:rsidR="00EB566D" w:rsidRPr="00EB566D" w:rsidP="004B7DC7">
            <w:pPr>
              <w:bidi w:val="0"/>
              <w:spacing w:after="0" w:line="240" w:lineRule="auto"/>
              <w:rPr>
                <w:rFonts w:ascii="Times New Roman" w:hAnsi="Times New Roman" w:cs="Times New Roman"/>
                <w:b/>
                <w:bCs/>
                <w:sz w:val="20"/>
                <w:szCs w:val="20"/>
                <w:lang w:eastAsia="sk-SK"/>
              </w:rPr>
            </w:pPr>
            <w:r w:rsidRPr="00EB566D">
              <w:rPr>
                <w:rFonts w:ascii="Times New Roman" w:hAnsi="Times New Roman" w:cs="Times New Roman"/>
                <w:b/>
                <w:bCs/>
                <w:sz w:val="20"/>
                <w:szCs w:val="20"/>
                <w:lang w:eastAsia="sk-SK"/>
              </w:rPr>
              <w:t> </w:t>
            </w:r>
          </w:p>
        </w:tc>
        <w:tc>
          <w:tcPr>
            <w:tcW w:w="730" w:type="pct"/>
            <w:tcBorders>
              <w:top w:val="single" w:sz="4" w:space="0" w:color="auto"/>
              <w:left w:val="nil"/>
              <w:bottom w:val="nil"/>
              <w:right w:val="nil"/>
            </w:tcBorders>
            <w:shd w:val="clear" w:color="000000" w:fill="BFBFBF"/>
            <w:textDirection w:val="lrTb"/>
            <w:vAlign w:val="bottom"/>
            <w:hideMark/>
          </w:tcPr>
          <w:p w:rsidR="00EB566D" w:rsidRPr="00EB566D" w:rsidP="004B7DC7">
            <w:pPr>
              <w:bidi w:val="0"/>
              <w:spacing w:after="0" w:line="240" w:lineRule="auto"/>
              <w:jc w:val="right"/>
              <w:rPr>
                <w:rFonts w:ascii="Times New Roman" w:hAnsi="Times New Roman" w:cs="Times New Roman"/>
                <w:b/>
                <w:bCs/>
                <w:sz w:val="20"/>
                <w:szCs w:val="20"/>
                <w:lang w:eastAsia="sk-SK"/>
              </w:rPr>
            </w:pPr>
            <w:r w:rsidRPr="00EB566D">
              <w:rPr>
                <w:rFonts w:ascii="Times New Roman" w:hAnsi="Times New Roman" w:cs="Times New Roman"/>
                <w:b/>
                <w:bCs/>
                <w:sz w:val="20"/>
                <w:szCs w:val="20"/>
                <w:lang w:eastAsia="sk-SK"/>
              </w:rPr>
              <w:t>31.12.2013</w:t>
            </w:r>
          </w:p>
        </w:tc>
        <w:tc>
          <w:tcPr>
            <w:tcW w:w="730" w:type="pct"/>
            <w:tcBorders>
              <w:top w:val="single" w:sz="4" w:space="0" w:color="auto"/>
              <w:left w:val="nil"/>
              <w:bottom w:val="nil"/>
              <w:right w:val="nil"/>
            </w:tcBorders>
            <w:shd w:val="clear" w:color="000000" w:fill="BFBFBF"/>
            <w:textDirection w:val="lrTb"/>
            <w:vAlign w:val="bottom"/>
            <w:hideMark/>
          </w:tcPr>
          <w:p w:rsidR="00EB566D" w:rsidRPr="00EB566D" w:rsidP="004B7DC7">
            <w:pPr>
              <w:bidi w:val="0"/>
              <w:spacing w:after="0" w:line="240" w:lineRule="auto"/>
              <w:jc w:val="right"/>
              <w:rPr>
                <w:rFonts w:ascii="Times New Roman" w:hAnsi="Times New Roman" w:cs="Times New Roman"/>
                <w:b/>
                <w:bCs/>
                <w:sz w:val="20"/>
                <w:szCs w:val="20"/>
                <w:lang w:eastAsia="sk-SK"/>
              </w:rPr>
            </w:pPr>
            <w:r w:rsidRPr="00EB566D">
              <w:rPr>
                <w:rFonts w:ascii="Times New Roman" w:hAnsi="Times New Roman" w:cs="Times New Roman"/>
                <w:b/>
                <w:bCs/>
                <w:sz w:val="20"/>
                <w:szCs w:val="20"/>
                <w:lang w:eastAsia="sk-SK"/>
              </w:rPr>
              <w:t>31.12.2014</w:t>
            </w:r>
          </w:p>
        </w:tc>
        <w:tc>
          <w:tcPr>
            <w:tcW w:w="669" w:type="pct"/>
            <w:tcBorders>
              <w:top w:val="single" w:sz="4" w:space="0" w:color="auto"/>
              <w:left w:val="nil"/>
              <w:bottom w:val="nil"/>
              <w:right w:val="nil"/>
            </w:tcBorders>
            <w:shd w:val="clear" w:color="000000" w:fill="BFBFBF"/>
            <w:textDirection w:val="lrTb"/>
            <w:vAlign w:val="bottom"/>
            <w:hideMark/>
          </w:tcPr>
          <w:p w:rsidR="00EB566D" w:rsidRPr="00EB566D" w:rsidP="004B7DC7">
            <w:pPr>
              <w:bidi w:val="0"/>
              <w:spacing w:after="0" w:line="240" w:lineRule="auto"/>
              <w:jc w:val="right"/>
              <w:rPr>
                <w:rFonts w:ascii="Times New Roman" w:hAnsi="Times New Roman" w:cs="Times New Roman"/>
                <w:b/>
                <w:bCs/>
                <w:sz w:val="20"/>
                <w:szCs w:val="20"/>
                <w:lang w:eastAsia="sk-SK"/>
              </w:rPr>
            </w:pPr>
            <w:r w:rsidRPr="00EB566D">
              <w:rPr>
                <w:rFonts w:ascii="Times New Roman" w:hAnsi="Times New Roman" w:cs="Times New Roman"/>
                <w:b/>
                <w:bCs/>
                <w:sz w:val="20"/>
                <w:szCs w:val="20"/>
                <w:lang w:eastAsia="sk-SK"/>
              </w:rPr>
              <w:t>2014-2013</w:t>
            </w:r>
          </w:p>
        </w:tc>
      </w:tr>
      <w:tr>
        <w:tblPrEx>
          <w:tblW w:w="5000" w:type="pct"/>
          <w:tblCellMar>
            <w:left w:w="70" w:type="dxa"/>
            <w:right w:w="70" w:type="dxa"/>
          </w:tblCellMar>
          <w:tblLook w:val="04A0"/>
        </w:tblPrEx>
        <w:trPr>
          <w:trHeight w:val="300"/>
        </w:trPr>
        <w:tc>
          <w:tcPr>
            <w:tcW w:w="2872" w:type="pct"/>
            <w:tcBorders>
              <w:top w:val="nil"/>
              <w:left w:val="nil"/>
              <w:bottom w:val="nil"/>
              <w:right w:val="nil"/>
            </w:tcBorders>
            <w:textDirection w:val="lrTb"/>
            <w:vAlign w:val="bottom"/>
            <w:hideMark/>
          </w:tcPr>
          <w:p w:rsidR="00EB566D" w:rsidRPr="00EB566D" w:rsidP="004B7DC7">
            <w:pPr>
              <w:bidi w:val="0"/>
              <w:spacing w:after="0" w:line="240" w:lineRule="auto"/>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Vlastné imanie verejného sektora                               (1)</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2 195 667</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-17 153 233</w:t>
            </w:r>
          </w:p>
        </w:tc>
        <w:tc>
          <w:tcPr>
            <w:tcW w:w="669"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-19 348 900</w:t>
            </w:r>
          </w:p>
        </w:tc>
      </w:tr>
      <w:tr>
        <w:tblPrEx>
          <w:tblW w:w="5000" w:type="pct"/>
          <w:tblCellMar>
            <w:left w:w="70" w:type="dxa"/>
            <w:right w:w="70" w:type="dxa"/>
          </w:tblCellMar>
          <w:tblLook w:val="04A0"/>
        </w:tblPrEx>
        <w:trPr>
          <w:trHeight w:val="300"/>
        </w:trPr>
        <w:tc>
          <w:tcPr>
            <w:tcW w:w="2872" w:type="pct"/>
            <w:tcBorders>
              <w:top w:val="nil"/>
              <w:left w:val="nil"/>
              <w:bottom w:val="nil"/>
              <w:right w:val="nil"/>
            </w:tcBorders>
            <w:textDirection w:val="lrTb"/>
            <w:vAlign w:val="bottom"/>
            <w:hideMark/>
          </w:tcPr>
          <w:p w:rsidR="00EB566D" w:rsidRPr="00EB566D" w:rsidP="004B7DC7">
            <w:pPr>
              <w:bidi w:val="0"/>
              <w:spacing w:after="0" w:line="240" w:lineRule="auto"/>
              <w:ind w:firstLine="600" w:firstLineChars="300"/>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VI súhrnného celku verejnej správy</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672 141</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-14 039 738</w:t>
            </w:r>
          </w:p>
        </w:tc>
        <w:tc>
          <w:tcPr>
            <w:tcW w:w="669"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-14 711 879</w:t>
            </w:r>
          </w:p>
        </w:tc>
      </w:tr>
      <w:tr>
        <w:tblPrEx>
          <w:tblW w:w="5000" w:type="pct"/>
          <w:tblCellMar>
            <w:left w:w="70" w:type="dxa"/>
            <w:right w:w="70" w:type="dxa"/>
          </w:tblCellMar>
          <w:tblLook w:val="04A0"/>
        </w:tblPrEx>
        <w:trPr>
          <w:trHeight w:val="300"/>
        </w:trPr>
        <w:tc>
          <w:tcPr>
            <w:tcW w:w="2872" w:type="pct"/>
            <w:tcBorders>
              <w:top w:val="nil"/>
              <w:left w:val="nil"/>
              <w:bottom w:val="nil"/>
              <w:right w:val="nil"/>
            </w:tcBorders>
            <w:textDirection w:val="lrTb"/>
            <w:vAlign w:val="bottom"/>
            <w:hideMark/>
          </w:tcPr>
          <w:p w:rsidR="00EB566D" w:rsidRPr="00EB566D" w:rsidP="004B7DC7">
            <w:pPr>
              <w:bidi w:val="0"/>
              <w:spacing w:after="0" w:line="240" w:lineRule="auto"/>
              <w:ind w:firstLine="600" w:firstLineChars="300"/>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VI podnikov pod Fondom národného majetku SR</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5 194 733</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303 726</w:t>
            </w:r>
          </w:p>
        </w:tc>
        <w:tc>
          <w:tcPr>
            <w:tcW w:w="669"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-4 891 007</w:t>
            </w:r>
          </w:p>
        </w:tc>
      </w:tr>
      <w:tr>
        <w:tblPrEx>
          <w:tblW w:w="5000" w:type="pct"/>
          <w:tblCellMar>
            <w:left w:w="70" w:type="dxa"/>
            <w:right w:w="70" w:type="dxa"/>
          </w:tblCellMar>
          <w:tblLook w:val="04A0"/>
        </w:tblPrEx>
        <w:trPr>
          <w:trHeight w:val="300"/>
        </w:trPr>
        <w:tc>
          <w:tcPr>
            <w:tcW w:w="2872" w:type="pct"/>
            <w:tcBorders>
              <w:top w:val="nil"/>
              <w:left w:val="nil"/>
              <w:bottom w:val="nil"/>
              <w:right w:val="nil"/>
            </w:tcBorders>
            <w:textDirection w:val="lrTb"/>
            <w:vAlign w:val="bottom"/>
            <w:hideMark/>
          </w:tcPr>
          <w:p w:rsidR="00EB566D" w:rsidRPr="00EB566D" w:rsidP="004B7DC7">
            <w:pPr>
              <w:bidi w:val="0"/>
              <w:spacing w:after="0" w:line="240" w:lineRule="auto"/>
              <w:ind w:firstLine="600" w:firstLineChars="300"/>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VI Národnej banky Slovenska</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-3 671 207</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-3 417 221</w:t>
            </w:r>
          </w:p>
        </w:tc>
        <w:tc>
          <w:tcPr>
            <w:tcW w:w="669"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253 986</w:t>
            </w:r>
          </w:p>
        </w:tc>
      </w:tr>
      <w:tr>
        <w:tblPrEx>
          <w:tblW w:w="5000" w:type="pct"/>
          <w:tblCellMar>
            <w:left w:w="70" w:type="dxa"/>
            <w:right w:w="70" w:type="dxa"/>
          </w:tblCellMar>
          <w:tblLook w:val="04A0"/>
        </w:tblPrEx>
        <w:trPr>
          <w:trHeight w:val="300"/>
        </w:trPr>
        <w:tc>
          <w:tcPr>
            <w:tcW w:w="2872" w:type="pct"/>
            <w:tcBorders>
              <w:top w:val="nil"/>
              <w:left w:val="nil"/>
              <w:bottom w:val="nil"/>
              <w:right w:val="nil"/>
            </w:tcBorders>
            <w:textDirection w:val="lrTb"/>
            <w:vAlign w:val="bottom"/>
            <w:hideMark/>
          </w:tcPr>
          <w:p w:rsidR="00EB566D" w:rsidRPr="00EB566D" w:rsidP="004B7DC7">
            <w:pPr>
              <w:bidi w:val="0"/>
              <w:spacing w:after="0" w:line="240" w:lineRule="auto"/>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Implicitné záväzky                                                      (2)</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159 932 386</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111 466 637</w:t>
            </w:r>
          </w:p>
        </w:tc>
        <w:tc>
          <w:tcPr>
            <w:tcW w:w="669"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-48 465 749</w:t>
            </w:r>
          </w:p>
        </w:tc>
      </w:tr>
      <w:tr>
        <w:tblPrEx>
          <w:tblW w:w="5000" w:type="pct"/>
          <w:tblCellMar>
            <w:left w:w="70" w:type="dxa"/>
            <w:right w:w="70" w:type="dxa"/>
          </w:tblCellMar>
          <w:tblLook w:val="04A0"/>
        </w:tblPrEx>
        <w:trPr>
          <w:trHeight w:val="300"/>
        </w:trPr>
        <w:tc>
          <w:tcPr>
            <w:tcW w:w="2872" w:type="pct"/>
            <w:tcBorders>
              <w:top w:val="nil"/>
              <w:left w:val="nil"/>
              <w:bottom w:val="nil"/>
              <w:right w:val="nil"/>
            </w:tcBorders>
            <w:textDirection w:val="lrTb"/>
            <w:vAlign w:val="bottom"/>
            <w:hideMark/>
          </w:tcPr>
          <w:p w:rsidR="00EB566D" w:rsidRPr="00EB566D" w:rsidP="004B7DC7">
            <w:pPr>
              <w:bidi w:val="0"/>
              <w:spacing w:after="0" w:line="240" w:lineRule="auto"/>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Podmienené záväzky                                                   (3)</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12 063 322</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13 401 059</w:t>
            </w:r>
          </w:p>
        </w:tc>
        <w:tc>
          <w:tcPr>
            <w:tcW w:w="669"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1 337 737</w:t>
            </w:r>
          </w:p>
        </w:tc>
      </w:tr>
      <w:tr>
        <w:tblPrEx>
          <w:tblW w:w="5000" w:type="pct"/>
          <w:tblCellMar>
            <w:left w:w="70" w:type="dxa"/>
            <w:right w:w="70" w:type="dxa"/>
          </w:tblCellMar>
          <w:tblLook w:val="04A0"/>
        </w:tblPrEx>
        <w:trPr>
          <w:trHeight w:val="300"/>
        </w:trPr>
        <w:tc>
          <w:tcPr>
            <w:tcW w:w="2872" w:type="pct"/>
            <w:tcBorders>
              <w:top w:val="nil"/>
              <w:left w:val="nil"/>
              <w:bottom w:val="nil"/>
              <w:right w:val="nil"/>
            </w:tcBorders>
            <w:textDirection w:val="lrTb"/>
            <w:vAlign w:val="bottom"/>
            <w:hideMark/>
          </w:tcPr>
          <w:p w:rsidR="00EB566D" w:rsidRPr="00EB566D" w:rsidP="004B7DC7">
            <w:pPr>
              <w:bidi w:val="0"/>
              <w:spacing w:after="0" w:line="240" w:lineRule="auto"/>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Iné aktíva                                                                     (4)</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688 645</w:t>
            </w:r>
          </w:p>
        </w:tc>
        <w:tc>
          <w:tcPr>
            <w:tcW w:w="730"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866 053</w:t>
            </w:r>
          </w:p>
        </w:tc>
        <w:tc>
          <w:tcPr>
            <w:tcW w:w="669" w:type="pct"/>
            <w:tcBorders>
              <w:top w:val="nil"/>
              <w:left w:val="nil"/>
              <w:bottom w:val="nil"/>
              <w:right w:val="nil"/>
            </w:tcBorders>
            <w:textDirection w:val="lrTb"/>
            <w:vAlign w:val="bottom"/>
            <w:hideMark/>
          </w:tcPr>
          <w:p w:rsidR="00EB566D" w:rsidRPr="00EB566D" w:rsidP="004B7DC7">
            <w:pPr>
              <w:bidi w:val="0"/>
              <w:spacing w:after="0" w:line="240" w:lineRule="auto"/>
              <w:jc w:val="right"/>
              <w:rPr>
                <w:rFonts w:ascii="Times New Roman" w:hAnsi="Times New Roman" w:cs="Times New Roman"/>
                <w:color w:val="000000"/>
                <w:sz w:val="20"/>
                <w:szCs w:val="20"/>
                <w:lang w:eastAsia="sk-SK"/>
              </w:rPr>
            </w:pPr>
            <w:r w:rsidRPr="00EB566D">
              <w:rPr>
                <w:rFonts w:ascii="Times New Roman" w:hAnsi="Times New Roman" w:cs="Times New Roman"/>
                <w:color w:val="000000"/>
                <w:sz w:val="20"/>
                <w:szCs w:val="20"/>
                <w:lang w:eastAsia="sk-SK"/>
              </w:rPr>
              <w:t>177 408</w:t>
            </w:r>
          </w:p>
        </w:tc>
      </w:tr>
      <w:tr>
        <w:tblPrEx>
          <w:tblW w:w="5000" w:type="pct"/>
          <w:tblCellMar>
            <w:left w:w="70" w:type="dxa"/>
            <w:right w:w="70" w:type="dxa"/>
          </w:tblCellMar>
          <w:tblLook w:val="04A0"/>
        </w:tblPrEx>
        <w:trPr>
          <w:trHeight w:val="300"/>
        </w:trPr>
        <w:tc>
          <w:tcPr>
            <w:tcW w:w="2872" w:type="pct"/>
            <w:tcBorders>
              <w:top w:val="single" w:sz="4" w:space="0" w:color="auto"/>
              <w:left w:val="nil"/>
              <w:bottom w:val="nil"/>
              <w:right w:val="nil"/>
            </w:tcBorders>
            <w:shd w:val="clear" w:color="000000" w:fill="BFBFBF"/>
            <w:textDirection w:val="lrTb"/>
            <w:vAlign w:val="bottom"/>
            <w:hideMark/>
          </w:tcPr>
          <w:p w:rsidR="00EB566D" w:rsidRPr="00EB566D" w:rsidP="004B7DC7">
            <w:pPr>
              <w:bidi w:val="0"/>
              <w:spacing w:after="0" w:line="240" w:lineRule="auto"/>
              <w:rPr>
                <w:rFonts w:ascii="Times New Roman" w:hAnsi="Times New Roman" w:cs="Times New Roman"/>
                <w:b/>
                <w:bCs/>
                <w:sz w:val="20"/>
                <w:szCs w:val="20"/>
                <w:lang w:eastAsia="sk-SK"/>
              </w:rPr>
            </w:pPr>
            <w:r w:rsidRPr="00EB566D">
              <w:rPr>
                <w:rFonts w:ascii="Times New Roman" w:hAnsi="Times New Roman" w:cs="Times New Roman"/>
                <w:b/>
                <w:bCs/>
                <w:sz w:val="20"/>
                <w:szCs w:val="20"/>
                <w:lang w:eastAsia="sk-SK"/>
              </w:rPr>
              <w:t>Čisté bohatstvo SR  (1-2-3+4)</w:t>
            </w:r>
          </w:p>
        </w:tc>
        <w:tc>
          <w:tcPr>
            <w:tcW w:w="730" w:type="pct"/>
            <w:tcBorders>
              <w:top w:val="single" w:sz="4" w:space="0" w:color="auto"/>
              <w:left w:val="nil"/>
              <w:bottom w:val="nil"/>
              <w:right w:val="nil"/>
            </w:tcBorders>
            <w:shd w:val="clear" w:color="000000" w:fill="BFBFBF"/>
            <w:textDirection w:val="lrTb"/>
            <w:vAlign w:val="bottom"/>
            <w:hideMark/>
          </w:tcPr>
          <w:p w:rsidR="00EB566D" w:rsidRPr="00EB566D" w:rsidP="004B7DC7">
            <w:pPr>
              <w:bidi w:val="0"/>
              <w:spacing w:after="0" w:line="240" w:lineRule="auto"/>
              <w:jc w:val="right"/>
              <w:rPr>
                <w:rFonts w:ascii="Times New Roman" w:hAnsi="Times New Roman" w:cs="Times New Roman"/>
                <w:b/>
                <w:bCs/>
                <w:color w:val="000000"/>
                <w:sz w:val="20"/>
                <w:szCs w:val="20"/>
                <w:lang w:eastAsia="sk-SK"/>
              </w:rPr>
            </w:pPr>
            <w:r w:rsidRPr="00EB566D">
              <w:rPr>
                <w:rFonts w:ascii="Times New Roman" w:hAnsi="Times New Roman" w:cs="Times New Roman"/>
                <w:b/>
                <w:bCs/>
                <w:color w:val="000000"/>
                <w:sz w:val="20"/>
                <w:szCs w:val="20"/>
                <w:lang w:eastAsia="sk-SK"/>
              </w:rPr>
              <w:t>-169 111 396</w:t>
            </w:r>
          </w:p>
        </w:tc>
        <w:tc>
          <w:tcPr>
            <w:tcW w:w="730" w:type="pct"/>
            <w:tcBorders>
              <w:top w:val="single" w:sz="4" w:space="0" w:color="auto"/>
              <w:left w:val="nil"/>
              <w:bottom w:val="nil"/>
              <w:right w:val="nil"/>
            </w:tcBorders>
            <w:shd w:val="clear" w:color="000000" w:fill="BFBFBF"/>
            <w:textDirection w:val="lrTb"/>
            <w:vAlign w:val="bottom"/>
            <w:hideMark/>
          </w:tcPr>
          <w:p w:rsidR="00EB566D" w:rsidRPr="00EB566D" w:rsidP="004B7DC7">
            <w:pPr>
              <w:bidi w:val="0"/>
              <w:spacing w:after="0" w:line="240" w:lineRule="auto"/>
              <w:jc w:val="right"/>
              <w:rPr>
                <w:rFonts w:ascii="Times New Roman" w:hAnsi="Times New Roman" w:cs="Times New Roman"/>
                <w:b/>
                <w:bCs/>
                <w:color w:val="000000"/>
                <w:sz w:val="20"/>
                <w:szCs w:val="20"/>
                <w:lang w:eastAsia="sk-SK"/>
              </w:rPr>
            </w:pPr>
            <w:r w:rsidRPr="00EB566D">
              <w:rPr>
                <w:rFonts w:ascii="Times New Roman" w:hAnsi="Times New Roman" w:cs="Times New Roman"/>
                <w:b/>
                <w:bCs/>
                <w:color w:val="000000"/>
                <w:sz w:val="20"/>
                <w:szCs w:val="20"/>
                <w:lang w:eastAsia="sk-SK"/>
              </w:rPr>
              <w:t>-141 154 876</w:t>
            </w:r>
          </w:p>
        </w:tc>
        <w:tc>
          <w:tcPr>
            <w:tcW w:w="669" w:type="pct"/>
            <w:tcBorders>
              <w:top w:val="single" w:sz="4" w:space="0" w:color="auto"/>
              <w:left w:val="nil"/>
              <w:bottom w:val="nil"/>
              <w:right w:val="nil"/>
            </w:tcBorders>
            <w:shd w:val="clear" w:color="000000" w:fill="BFBFBF"/>
            <w:textDirection w:val="lrTb"/>
            <w:vAlign w:val="bottom"/>
            <w:hideMark/>
          </w:tcPr>
          <w:p w:rsidR="00EB566D" w:rsidRPr="00EB566D" w:rsidP="004B7DC7">
            <w:pPr>
              <w:bidi w:val="0"/>
              <w:spacing w:after="0" w:line="240" w:lineRule="auto"/>
              <w:jc w:val="right"/>
              <w:rPr>
                <w:rFonts w:ascii="Times New Roman" w:hAnsi="Times New Roman" w:cs="Times New Roman"/>
                <w:b/>
                <w:bCs/>
                <w:color w:val="000000"/>
                <w:sz w:val="20"/>
                <w:szCs w:val="20"/>
                <w:lang w:eastAsia="sk-SK"/>
              </w:rPr>
            </w:pPr>
            <w:r w:rsidRPr="00EB566D">
              <w:rPr>
                <w:rFonts w:ascii="Times New Roman" w:hAnsi="Times New Roman" w:cs="Times New Roman"/>
                <w:b/>
                <w:bCs/>
                <w:color w:val="000000"/>
                <w:sz w:val="20"/>
                <w:szCs w:val="20"/>
                <w:lang w:eastAsia="sk-SK"/>
              </w:rPr>
              <w:t>27 956 520</w:t>
            </w:r>
          </w:p>
        </w:tc>
      </w:tr>
      <w:tr>
        <w:tblPrEx>
          <w:tblW w:w="5000" w:type="pct"/>
          <w:tblCellMar>
            <w:left w:w="70" w:type="dxa"/>
            <w:right w:w="70" w:type="dxa"/>
          </w:tblCellMar>
          <w:tblLook w:val="04A0"/>
        </w:tblPrEx>
        <w:trPr>
          <w:trHeight w:val="300"/>
        </w:trPr>
        <w:tc>
          <w:tcPr>
            <w:tcW w:w="2872" w:type="pct"/>
            <w:tcBorders>
              <w:top w:val="nil"/>
              <w:left w:val="nil"/>
              <w:bottom w:val="single" w:sz="4" w:space="0" w:color="auto"/>
              <w:right w:val="nil"/>
            </w:tcBorders>
            <w:shd w:val="clear" w:color="000000" w:fill="BFBFBF"/>
            <w:textDirection w:val="lrTb"/>
            <w:vAlign w:val="bottom"/>
            <w:hideMark/>
          </w:tcPr>
          <w:p w:rsidR="00EB566D" w:rsidRPr="00EB566D" w:rsidP="004B7DC7">
            <w:pPr>
              <w:bidi w:val="0"/>
              <w:spacing w:after="0" w:line="240" w:lineRule="auto"/>
              <w:ind w:firstLine="600" w:firstLineChars="300"/>
              <w:rPr>
                <w:rFonts w:ascii="Times New Roman" w:hAnsi="Times New Roman" w:cs="Times New Roman"/>
                <w:b/>
                <w:bCs/>
                <w:i/>
                <w:iCs/>
                <w:sz w:val="20"/>
                <w:szCs w:val="20"/>
                <w:lang w:eastAsia="sk-SK"/>
              </w:rPr>
            </w:pPr>
            <w:r w:rsidRPr="00EB566D">
              <w:rPr>
                <w:rFonts w:ascii="Times New Roman" w:hAnsi="Times New Roman" w:cs="Times New Roman"/>
                <w:b/>
                <w:bCs/>
                <w:i/>
                <w:iCs/>
                <w:sz w:val="20"/>
                <w:szCs w:val="20"/>
                <w:lang w:eastAsia="sk-SK"/>
              </w:rPr>
              <w:t>v % HDP</w:t>
            </w:r>
          </w:p>
        </w:tc>
        <w:tc>
          <w:tcPr>
            <w:tcW w:w="730" w:type="pct"/>
            <w:tcBorders>
              <w:top w:val="nil"/>
              <w:left w:val="nil"/>
              <w:bottom w:val="single" w:sz="4" w:space="0" w:color="auto"/>
              <w:right w:val="nil"/>
            </w:tcBorders>
            <w:shd w:val="clear" w:color="000000" w:fill="BFBFBF"/>
            <w:textDirection w:val="lrTb"/>
            <w:vAlign w:val="bottom"/>
            <w:hideMark/>
          </w:tcPr>
          <w:p w:rsidR="00EB566D" w:rsidRPr="00EB566D" w:rsidP="004B7DC7">
            <w:pPr>
              <w:bidi w:val="0"/>
              <w:spacing w:after="0" w:line="240" w:lineRule="auto"/>
              <w:jc w:val="right"/>
              <w:rPr>
                <w:rFonts w:ascii="Times New Roman" w:hAnsi="Times New Roman" w:cs="Times New Roman"/>
                <w:b/>
                <w:bCs/>
                <w:i/>
                <w:iCs/>
                <w:color w:val="000000"/>
                <w:sz w:val="20"/>
                <w:szCs w:val="20"/>
                <w:lang w:eastAsia="sk-SK"/>
              </w:rPr>
            </w:pPr>
            <w:r w:rsidRPr="00EB566D">
              <w:rPr>
                <w:rFonts w:ascii="Times New Roman" w:hAnsi="Times New Roman" w:cs="Times New Roman"/>
                <w:b/>
                <w:bCs/>
                <w:i/>
                <w:iCs/>
                <w:color w:val="000000"/>
                <w:sz w:val="20"/>
                <w:szCs w:val="20"/>
                <w:lang w:eastAsia="sk-SK"/>
              </w:rPr>
              <w:t>-229,0</w:t>
            </w:r>
          </w:p>
        </w:tc>
        <w:tc>
          <w:tcPr>
            <w:tcW w:w="730" w:type="pct"/>
            <w:tcBorders>
              <w:top w:val="nil"/>
              <w:left w:val="nil"/>
              <w:bottom w:val="single" w:sz="4" w:space="0" w:color="auto"/>
              <w:right w:val="nil"/>
            </w:tcBorders>
            <w:shd w:val="clear" w:color="000000" w:fill="BFBFBF"/>
            <w:textDirection w:val="lrTb"/>
            <w:vAlign w:val="bottom"/>
            <w:hideMark/>
          </w:tcPr>
          <w:p w:rsidR="00EB566D" w:rsidRPr="00EB566D" w:rsidP="004B7DC7">
            <w:pPr>
              <w:bidi w:val="0"/>
              <w:spacing w:after="0" w:line="240" w:lineRule="auto"/>
              <w:jc w:val="right"/>
              <w:rPr>
                <w:rFonts w:ascii="Times New Roman" w:hAnsi="Times New Roman" w:cs="Times New Roman"/>
                <w:b/>
                <w:bCs/>
                <w:i/>
                <w:iCs/>
                <w:color w:val="000000"/>
                <w:sz w:val="20"/>
                <w:szCs w:val="20"/>
                <w:lang w:eastAsia="sk-SK"/>
              </w:rPr>
            </w:pPr>
            <w:r w:rsidRPr="00EB566D">
              <w:rPr>
                <w:rFonts w:ascii="Times New Roman" w:hAnsi="Times New Roman" w:cs="Times New Roman"/>
                <w:b/>
                <w:bCs/>
                <w:i/>
                <w:iCs/>
                <w:color w:val="000000"/>
                <w:sz w:val="20"/>
                <w:szCs w:val="20"/>
                <w:lang w:eastAsia="sk-SK"/>
              </w:rPr>
              <w:t>-186,8</w:t>
            </w:r>
          </w:p>
        </w:tc>
        <w:tc>
          <w:tcPr>
            <w:tcW w:w="669" w:type="pct"/>
            <w:tcBorders>
              <w:top w:val="nil"/>
              <w:left w:val="nil"/>
              <w:bottom w:val="single" w:sz="4" w:space="0" w:color="auto"/>
              <w:right w:val="nil"/>
            </w:tcBorders>
            <w:shd w:val="clear" w:color="000000" w:fill="BFBFBF"/>
            <w:textDirection w:val="lrTb"/>
            <w:vAlign w:val="bottom"/>
            <w:hideMark/>
          </w:tcPr>
          <w:p w:rsidR="00EB566D" w:rsidRPr="00BB6B60" w:rsidP="004B7DC7">
            <w:pPr>
              <w:bidi w:val="0"/>
              <w:spacing w:after="0" w:line="240" w:lineRule="auto"/>
              <w:jc w:val="right"/>
              <w:rPr>
                <w:rFonts w:ascii="Times New Roman" w:hAnsi="Times New Roman" w:cs="Times New Roman"/>
                <w:b/>
                <w:bCs/>
                <w:color w:val="000000"/>
                <w:sz w:val="20"/>
                <w:szCs w:val="20"/>
                <w:lang w:eastAsia="sk-SK"/>
              </w:rPr>
            </w:pPr>
            <w:r w:rsidRPr="00EB566D">
              <w:rPr>
                <w:rFonts w:ascii="Times New Roman" w:hAnsi="Times New Roman" w:cs="Times New Roman"/>
                <w:b/>
                <w:bCs/>
                <w:color w:val="000000"/>
                <w:sz w:val="20"/>
                <w:szCs w:val="20"/>
                <w:lang w:eastAsia="sk-SK"/>
              </w:rPr>
              <w:t>42,2</w:t>
            </w:r>
          </w:p>
        </w:tc>
      </w:tr>
    </w:tbl>
    <w:p w:rsidR="002F1219" w:rsidRPr="00A53EAC" w:rsidP="00AB0B01">
      <w:pPr>
        <w:bidi w:val="0"/>
        <w:spacing w:before="240" w:after="120" w:line="336" w:lineRule="auto"/>
        <w:jc w:val="both"/>
        <w:rPr>
          <w:rFonts w:ascii="Times New Roman" w:hAnsi="Times New Roman" w:cs="Times New Roman"/>
        </w:rPr>
      </w:pPr>
      <w:r w:rsidRPr="00A53EAC" w:rsidR="00A3763A">
        <w:rPr>
          <w:rFonts w:ascii="Times New Roman" w:hAnsi="Times New Roman" w:cs="Times New Roman"/>
        </w:rPr>
        <w:t>Medzi hlavné faktory zmeny čistého bohatstva patrilo vykázanie rezerv na zamestnanecké požitky v ústrednej správe (v roku 201</w:t>
      </w:r>
      <w:r w:rsidRPr="00A53EAC" w:rsidR="0020400B">
        <w:rPr>
          <w:rFonts w:ascii="Times New Roman" w:hAnsi="Times New Roman" w:cs="Times New Roman"/>
        </w:rPr>
        <w:t>3 tieto rezervy vykázala len kapitola Ministerstva financií SR)</w:t>
      </w:r>
      <w:r w:rsidRPr="00A53EAC" w:rsidR="0062064D">
        <w:rPr>
          <w:rFonts w:ascii="Times New Roman" w:hAnsi="Times New Roman" w:cs="Times New Roman"/>
        </w:rPr>
        <w:t xml:space="preserve"> s negatívnym </w:t>
      </w:r>
      <w:r w:rsidRPr="007B52D3" w:rsidR="0062064D">
        <w:rPr>
          <w:rFonts w:ascii="Times New Roman" w:hAnsi="Times New Roman" w:cs="Times New Roman"/>
        </w:rPr>
        <w:t xml:space="preserve">vplyvom </w:t>
      </w:r>
      <w:r w:rsidRPr="007B52D3" w:rsidR="007B52D3">
        <w:rPr>
          <w:rFonts w:ascii="Times New Roman" w:hAnsi="Times New Roman" w:cs="Times New Roman"/>
        </w:rPr>
        <w:t>16 497 044</w:t>
      </w:r>
      <w:r w:rsidRPr="007B52D3" w:rsidR="0062064D">
        <w:rPr>
          <w:rFonts w:ascii="Times New Roman" w:hAnsi="Times New Roman" w:cs="Times New Roman"/>
        </w:rPr>
        <w:t> </w:t>
      </w:r>
      <w:r w:rsidRPr="007B52D3" w:rsidR="003160E3">
        <w:rPr>
          <w:rFonts w:ascii="Times New Roman" w:hAnsi="Times New Roman" w:cs="Times New Roman"/>
        </w:rPr>
        <w:t>tis.</w:t>
      </w:r>
      <w:r w:rsidRPr="007B52D3" w:rsidR="0062064D">
        <w:rPr>
          <w:rFonts w:ascii="Times New Roman" w:hAnsi="Times New Roman" w:cs="Times New Roman"/>
        </w:rPr>
        <w:t xml:space="preserve"> eur (2</w:t>
      </w:r>
      <w:r w:rsidRPr="007B52D3" w:rsidR="007B52D3">
        <w:rPr>
          <w:rFonts w:ascii="Times New Roman" w:hAnsi="Times New Roman" w:cs="Times New Roman"/>
        </w:rPr>
        <w:t>1</w:t>
      </w:r>
      <w:r w:rsidRPr="007B52D3" w:rsidR="0062064D">
        <w:rPr>
          <w:rFonts w:ascii="Times New Roman" w:hAnsi="Times New Roman" w:cs="Times New Roman"/>
        </w:rPr>
        <w:t>,</w:t>
      </w:r>
      <w:r w:rsidRPr="007B52D3" w:rsidR="007B52D3">
        <w:rPr>
          <w:rFonts w:ascii="Times New Roman" w:hAnsi="Times New Roman" w:cs="Times New Roman"/>
        </w:rPr>
        <w:t>8</w:t>
      </w:r>
      <w:r w:rsidRPr="007B52D3" w:rsidR="0062064D">
        <w:rPr>
          <w:rFonts w:ascii="Times New Roman" w:hAnsi="Times New Roman" w:cs="Times New Roman"/>
        </w:rPr>
        <w:t> % HDP);</w:t>
      </w:r>
      <w:r w:rsidRPr="007B52D3" w:rsidR="0020400B">
        <w:rPr>
          <w:rFonts w:ascii="Times New Roman" w:hAnsi="Times New Roman" w:cs="Times New Roman"/>
        </w:rPr>
        <w:t xml:space="preserve"> prevedenie</w:t>
      </w:r>
      <w:r w:rsidRPr="00A53EAC" w:rsidR="0020400B">
        <w:rPr>
          <w:rFonts w:ascii="Times New Roman" w:hAnsi="Times New Roman" w:cs="Times New Roman"/>
        </w:rPr>
        <w:t xml:space="preserve"> majetkových účastí </w:t>
      </w:r>
      <w:r w:rsidRPr="00A53EAC" w:rsidR="0062064D">
        <w:rPr>
          <w:rFonts w:ascii="Times New Roman" w:hAnsi="Times New Roman" w:cs="Times New Roman"/>
        </w:rPr>
        <w:t xml:space="preserve">najväčších </w:t>
      </w:r>
      <w:r w:rsidRPr="00A53EAC" w:rsidR="007E338A">
        <w:rPr>
          <w:rFonts w:ascii="Times New Roman" w:hAnsi="Times New Roman" w:cs="Times New Roman"/>
        </w:rPr>
        <w:t xml:space="preserve">podnikov FNM SR </w:t>
      </w:r>
      <w:r w:rsidRPr="00A53EAC" w:rsidR="0020400B">
        <w:rPr>
          <w:rFonts w:ascii="Times New Roman" w:hAnsi="Times New Roman" w:cs="Times New Roman"/>
        </w:rPr>
        <w:t>na MH SR a</w:t>
      </w:r>
      <w:r w:rsidRPr="00A53EAC" w:rsidR="0062064D">
        <w:rPr>
          <w:rFonts w:ascii="Times New Roman" w:hAnsi="Times New Roman" w:cs="Times New Roman"/>
        </w:rPr>
        <w:t xml:space="preserve"> následná konsolidácia ich vlastného imania v rámci </w:t>
      </w:r>
      <w:r w:rsidRPr="00A53EAC" w:rsidR="003160E3">
        <w:rPr>
          <w:rFonts w:ascii="Times New Roman" w:hAnsi="Times New Roman" w:cs="Times New Roman"/>
        </w:rPr>
        <w:t xml:space="preserve">súhrnného celku s čistým negatívnym vplyvom </w:t>
      </w:r>
      <w:r w:rsidRPr="00A53EAC" w:rsidR="00AB0B01">
        <w:rPr>
          <w:rFonts w:ascii="Times New Roman" w:hAnsi="Times New Roman" w:cs="Times New Roman"/>
        </w:rPr>
        <w:t>2 636 699 tis. eur (3,5 </w:t>
      </w:r>
      <w:r w:rsidRPr="00A53EAC" w:rsidR="003160E3">
        <w:rPr>
          <w:rFonts w:ascii="Times New Roman" w:hAnsi="Times New Roman" w:cs="Times New Roman"/>
        </w:rPr>
        <w:t>% HDP) a aktualizácia dlhodobých makroekonomických, demografických a modelových predpokladov s pozitívnym vplyvom na výšku implicitných záväzkov starnutia obyvateľstva 48 721</w:t>
      </w:r>
      <w:r w:rsidRPr="00A53EAC" w:rsidR="00C61C3D">
        <w:rPr>
          <w:rFonts w:ascii="Times New Roman" w:hAnsi="Times New Roman" w:cs="Times New Roman"/>
        </w:rPr>
        <w:t> </w:t>
      </w:r>
      <w:r w:rsidRPr="00A53EAC" w:rsidR="003160E3">
        <w:rPr>
          <w:rFonts w:ascii="Times New Roman" w:hAnsi="Times New Roman" w:cs="Times New Roman"/>
        </w:rPr>
        <w:t>660</w:t>
      </w:r>
      <w:r w:rsidRPr="00A53EAC" w:rsidR="00C61C3D">
        <w:rPr>
          <w:rFonts w:ascii="Times New Roman" w:hAnsi="Times New Roman" w:cs="Times New Roman"/>
        </w:rPr>
        <w:t> tis. eur (64,5 % HDP)</w:t>
      </w:r>
      <w:r w:rsidRPr="00A53EAC" w:rsidR="00E05A66">
        <w:rPr>
          <w:rFonts w:ascii="Times New Roman" w:hAnsi="Times New Roman" w:cs="Times New Roman"/>
        </w:rPr>
        <w:t xml:space="preserve">. Podrobnému vysvetleniu zmien v súhrnnom celku sa venuje kapitola č. 4 správy (komentár k súhrnnej účtovnej </w:t>
      </w:r>
      <w:r w:rsidRPr="00A53EAC" w:rsidR="00E41C61">
        <w:rPr>
          <w:rFonts w:ascii="Times New Roman" w:hAnsi="Times New Roman" w:cs="Times New Roman"/>
        </w:rPr>
        <w:t>závierke SR za rok 2014</w:t>
      </w:r>
      <w:r w:rsidRPr="00A53EAC" w:rsidR="00E05A66">
        <w:rPr>
          <w:rFonts w:ascii="Times New Roman" w:hAnsi="Times New Roman" w:cs="Times New Roman"/>
        </w:rPr>
        <w:t>) a príloha č. 2 (súhrnná</w:t>
      </w:r>
      <w:r w:rsidRPr="00A53EAC" w:rsidR="00E41C61">
        <w:rPr>
          <w:rFonts w:ascii="Times New Roman" w:hAnsi="Times New Roman" w:cs="Times New Roman"/>
        </w:rPr>
        <w:t xml:space="preserve"> účtovná závierka SR za rok 2014</w:t>
      </w:r>
      <w:r w:rsidRPr="00A53EAC" w:rsidR="00E05A66">
        <w:rPr>
          <w:rFonts w:ascii="Times New Roman" w:hAnsi="Times New Roman" w:cs="Times New Roman"/>
        </w:rPr>
        <w:t>).</w:t>
      </w:r>
      <w:r w:rsidRPr="00A53EAC" w:rsidR="00366AE0">
        <w:rPr>
          <w:rFonts w:ascii="Times New Roman" w:hAnsi="Times New Roman" w:cs="Times New Roman"/>
        </w:rPr>
        <w:t xml:space="preserve"> Zmeny ostatných položiek čistého bohatstva sú </w:t>
      </w:r>
      <w:r w:rsidRPr="00A53EAC" w:rsidR="00E41C61">
        <w:rPr>
          <w:rFonts w:ascii="Times New Roman" w:hAnsi="Times New Roman" w:cs="Times New Roman"/>
        </w:rPr>
        <w:t>popísané v tejto kapitole.</w:t>
      </w:r>
    </w:p>
    <w:p w:rsidR="00E05A66" w:rsidRPr="00A53EAC" w:rsidP="00D83FFE">
      <w:pPr>
        <w:bidi w:val="0"/>
        <w:spacing w:after="120" w:line="336" w:lineRule="auto"/>
        <w:jc w:val="both"/>
        <w:rPr>
          <w:rFonts w:ascii="Times New Roman" w:hAnsi="Times New Roman" w:cs="Times New Roman"/>
        </w:rPr>
      </w:pPr>
      <w:r w:rsidRPr="00A53EAC">
        <w:rPr>
          <w:rFonts w:ascii="Times New Roman" w:hAnsi="Times New Roman" w:cs="Times New Roman"/>
        </w:rPr>
        <w:t xml:space="preserve">Vlastné imanie podnikov </w:t>
      </w:r>
      <w:r w:rsidRPr="00A53EAC" w:rsidR="006E374E">
        <w:rPr>
          <w:rFonts w:ascii="Times New Roman" w:hAnsi="Times New Roman" w:cs="Times New Roman"/>
        </w:rPr>
        <w:t>Fondu</w:t>
      </w:r>
      <w:r w:rsidRPr="00A53EAC">
        <w:rPr>
          <w:rFonts w:ascii="Times New Roman" w:hAnsi="Times New Roman" w:cs="Times New Roman"/>
        </w:rPr>
        <w:t xml:space="preserve"> národného majetku</w:t>
      </w:r>
      <w:r w:rsidRPr="00A53EAC" w:rsidR="00B141BA">
        <w:rPr>
          <w:rFonts w:ascii="Times New Roman" w:hAnsi="Times New Roman" w:cs="Times New Roman"/>
        </w:rPr>
        <w:t xml:space="preserve"> </w:t>
      </w:r>
      <w:r w:rsidRPr="00A53EAC" w:rsidR="006E374E">
        <w:rPr>
          <w:rFonts w:ascii="Times New Roman" w:hAnsi="Times New Roman" w:cs="Times New Roman"/>
        </w:rPr>
        <w:t xml:space="preserve">SR </w:t>
      </w:r>
      <w:r w:rsidRPr="00A53EAC" w:rsidR="00B141BA">
        <w:rPr>
          <w:rFonts w:ascii="Times New Roman" w:hAnsi="Times New Roman" w:cs="Times New Roman"/>
        </w:rPr>
        <w:t xml:space="preserve">tvorí podmnožinu podnikov štátnej správy, ale pre účely vyčíslenia čistého bohatstva je </w:t>
      </w:r>
      <w:r w:rsidRPr="00A53EAC" w:rsidR="00313378">
        <w:rPr>
          <w:rFonts w:ascii="Times New Roman" w:hAnsi="Times New Roman" w:cs="Times New Roman"/>
        </w:rPr>
        <w:t>jeho hodnota uvedená</w:t>
      </w:r>
      <w:r w:rsidRPr="00A53EAC" w:rsidR="00B141BA">
        <w:rPr>
          <w:rFonts w:ascii="Times New Roman" w:hAnsi="Times New Roman" w:cs="Times New Roman"/>
        </w:rPr>
        <w:t xml:space="preserve"> </w:t>
      </w:r>
      <w:r w:rsidRPr="00A53EAC" w:rsidR="006E374E">
        <w:rPr>
          <w:rFonts w:ascii="Times New Roman" w:hAnsi="Times New Roman" w:cs="Times New Roman"/>
        </w:rPr>
        <w:t>osobitne</w:t>
      </w:r>
      <w:r w:rsidRPr="00A53EAC" w:rsidR="00B141BA">
        <w:rPr>
          <w:rFonts w:ascii="Times New Roman" w:hAnsi="Times New Roman" w:cs="Times New Roman"/>
        </w:rPr>
        <w:t xml:space="preserve">, pretože </w:t>
      </w:r>
      <w:r w:rsidRPr="00A53EAC" w:rsidR="00313378">
        <w:rPr>
          <w:rFonts w:ascii="Times New Roman" w:hAnsi="Times New Roman" w:cs="Times New Roman"/>
        </w:rPr>
        <w:t>táto skupina</w:t>
      </w:r>
      <w:r w:rsidRPr="00A53EAC" w:rsidR="00B141BA">
        <w:rPr>
          <w:rFonts w:ascii="Times New Roman" w:hAnsi="Times New Roman" w:cs="Times New Roman"/>
        </w:rPr>
        <w:t xml:space="preserve"> podnikov nie je súčasťou súhrnného celku</w:t>
      </w:r>
      <w:r w:rsidRPr="00A53EAC" w:rsidR="00C51623">
        <w:rPr>
          <w:rFonts w:ascii="Times New Roman" w:hAnsi="Times New Roman" w:cs="Times New Roman"/>
        </w:rPr>
        <w:t>,</w:t>
      </w:r>
      <w:r w:rsidRPr="00A53EAC" w:rsidR="00313378">
        <w:rPr>
          <w:rFonts w:ascii="Times New Roman" w:hAnsi="Times New Roman" w:cs="Times New Roman"/>
        </w:rPr>
        <w:t xml:space="preserve"> a preto </w:t>
      </w:r>
      <w:r w:rsidRPr="00A53EAC" w:rsidR="006E374E">
        <w:rPr>
          <w:rFonts w:ascii="Times New Roman" w:hAnsi="Times New Roman" w:cs="Times New Roman"/>
        </w:rPr>
        <w:t>nie je predmetom účtovnej</w:t>
      </w:r>
      <w:r w:rsidRPr="00A53EAC" w:rsidR="00313378">
        <w:rPr>
          <w:rFonts w:ascii="Times New Roman" w:hAnsi="Times New Roman" w:cs="Times New Roman"/>
        </w:rPr>
        <w:t xml:space="preserve"> konsolidácie</w:t>
      </w:r>
      <w:r w:rsidRPr="00A53EAC" w:rsidR="00B141BA">
        <w:rPr>
          <w:rFonts w:ascii="Times New Roman" w:hAnsi="Times New Roman" w:cs="Times New Roman"/>
        </w:rPr>
        <w:t xml:space="preserve">. </w:t>
      </w:r>
      <w:r w:rsidRPr="00A53EAC" w:rsidR="003C6E51">
        <w:rPr>
          <w:rFonts w:ascii="Times New Roman" w:hAnsi="Times New Roman" w:cs="Times New Roman"/>
        </w:rPr>
        <w:t>V</w:t>
      </w:r>
      <w:r w:rsidRPr="00A53EAC" w:rsidR="002F1219">
        <w:rPr>
          <w:rFonts w:ascii="Times New Roman" w:hAnsi="Times New Roman" w:cs="Times New Roman"/>
        </w:rPr>
        <w:t>lastné imanie podnikov FNM</w:t>
      </w:r>
      <w:r w:rsidRPr="00A53EAC" w:rsidR="007E338A">
        <w:rPr>
          <w:rFonts w:ascii="Times New Roman" w:hAnsi="Times New Roman" w:cs="Times New Roman"/>
        </w:rPr>
        <w:t> SR</w:t>
      </w:r>
      <w:r w:rsidRPr="00A53EAC" w:rsidR="002F1219">
        <w:rPr>
          <w:rFonts w:ascii="Times New Roman" w:hAnsi="Times New Roman" w:cs="Times New Roman"/>
        </w:rPr>
        <w:t xml:space="preserve"> tvorí súčet vlastných imaní jednotlivých podnikov z individuálnych účtovných závierok, pričom veľkosť vlastného imania je prepočítaná vlastníckym podielom štátu v týchto podnikoch.</w:t>
      </w:r>
      <w:r w:rsidRPr="00A53EAC" w:rsidR="00A37983">
        <w:rPr>
          <w:rFonts w:ascii="Times New Roman" w:hAnsi="Times New Roman" w:cs="Times New Roman"/>
        </w:rPr>
        <w:t xml:space="preserve"> </w:t>
      </w:r>
    </w:p>
    <w:p w:rsidR="006D1AF2" w:rsidRPr="00A53EAC" w:rsidP="00D83FFE">
      <w:pPr>
        <w:bidi w:val="0"/>
        <w:spacing w:after="120" w:line="336" w:lineRule="auto"/>
        <w:jc w:val="both"/>
        <w:rPr>
          <w:rFonts w:ascii="Times New Roman" w:hAnsi="Times New Roman" w:cs="Times New Roman"/>
        </w:rPr>
      </w:pPr>
      <w:r w:rsidRPr="00A53EAC" w:rsidR="007E338A">
        <w:rPr>
          <w:rFonts w:ascii="Times New Roman" w:hAnsi="Times New Roman" w:cs="Times New Roman"/>
        </w:rPr>
        <w:t xml:space="preserve">Vlastné imanie podnikov FNM SR </w:t>
      </w:r>
      <w:r w:rsidRPr="00A53EAC">
        <w:rPr>
          <w:rFonts w:ascii="Times New Roman" w:hAnsi="Times New Roman" w:cs="Times New Roman"/>
        </w:rPr>
        <w:t>kleslo ku koncu roka 2014 oproti predchádzajúcemu roku o 4 961 599 </w:t>
      </w:r>
      <w:r w:rsidRPr="00A53EAC" w:rsidR="009C3878">
        <w:rPr>
          <w:rFonts w:ascii="Times New Roman" w:hAnsi="Times New Roman" w:cs="Times New Roman"/>
        </w:rPr>
        <w:t>tis. eur. Tento veľký prep</w:t>
      </w:r>
      <w:r w:rsidRPr="00A53EAC">
        <w:rPr>
          <w:rFonts w:ascii="Times New Roman" w:hAnsi="Times New Roman" w:cs="Times New Roman"/>
        </w:rPr>
        <w:t xml:space="preserve">ad o 94,2 % bol spôsobený </w:t>
      </w:r>
      <w:r w:rsidRPr="00A53EAC" w:rsidR="009C3878">
        <w:rPr>
          <w:rFonts w:ascii="Times New Roman" w:hAnsi="Times New Roman" w:cs="Times New Roman"/>
        </w:rPr>
        <w:t xml:space="preserve">takmer </w:t>
      </w:r>
      <w:r w:rsidRPr="00A53EAC">
        <w:rPr>
          <w:rFonts w:ascii="Times New Roman" w:hAnsi="Times New Roman" w:cs="Times New Roman"/>
        </w:rPr>
        <w:t xml:space="preserve">výlučne </w:t>
      </w:r>
      <w:r w:rsidRPr="00A53EAC" w:rsidR="009C3878">
        <w:rPr>
          <w:rFonts w:ascii="Times New Roman" w:hAnsi="Times New Roman" w:cs="Times New Roman"/>
        </w:rPr>
        <w:t>prevodom majetkových účastí najväčších podnikov FNM</w:t>
      </w:r>
      <w:r w:rsidRPr="00A53EAC" w:rsidR="007E338A">
        <w:rPr>
          <w:rFonts w:ascii="Times New Roman" w:hAnsi="Times New Roman" w:cs="Times New Roman"/>
        </w:rPr>
        <w:t> SR</w:t>
      </w:r>
      <w:r w:rsidRPr="00A53EAC" w:rsidR="009C3878">
        <w:rPr>
          <w:rFonts w:ascii="Times New Roman" w:hAnsi="Times New Roman" w:cs="Times New Roman"/>
        </w:rPr>
        <w:t xml:space="preserve"> na MH SR (Slovenský plynárenský priemysel, a.s., Slovenské elektrárne, a.s., Západoslovenská energetika, a.s., Stredoslovenská energetika, a.s., Východoslovenská energetika, a.s.) a na MDVRR SR (Letisko M. R. Štefánika - Airport Bratislava, a.s. (BTS)) od 1.8.2014.</w:t>
      </w:r>
      <w:r w:rsidRPr="00A53EAC" w:rsidR="00BB0D9A">
        <w:rPr>
          <w:rFonts w:ascii="Times New Roman" w:hAnsi="Times New Roman" w:cs="Times New Roman"/>
        </w:rPr>
        <w:t xml:space="preserve"> Vlastné imanie týchto podnikov je tak od roku 2014 súčasťou vlastného imania súhrnného celku verejnej správy, čím sa súhrnný celok výrazne priblížil k</w:t>
      </w:r>
      <w:r w:rsidRPr="00A53EAC" w:rsidR="003D1A42">
        <w:rPr>
          <w:rFonts w:ascii="Times New Roman" w:hAnsi="Times New Roman" w:cs="Times New Roman"/>
        </w:rPr>
        <w:t xml:space="preserve"> definícii</w:t>
      </w:r>
      <w:r w:rsidRPr="00A53EAC" w:rsidR="00BB0D9A">
        <w:rPr>
          <w:rFonts w:ascii="Times New Roman" w:hAnsi="Times New Roman" w:cs="Times New Roman"/>
        </w:rPr>
        <w:t xml:space="preserve"> verejného sektora.</w:t>
      </w:r>
    </w:p>
    <w:p w:rsidR="00A544B6" w:rsidRPr="00A53EAC" w:rsidP="001767F0">
      <w:pPr>
        <w:pStyle w:val="Heading3"/>
        <w:bidi w:val="0"/>
        <w:spacing w:before="120"/>
        <w:ind w:left="1077"/>
        <w:contextualSpacing w:val="0"/>
        <w:rPr>
          <w:rFonts w:hint="default"/>
        </w:rPr>
      </w:pPr>
      <w:bookmarkStart w:id="71" w:name="_Toc399324372"/>
      <w:bookmarkStart w:id="72" w:name="_Toc401920026"/>
      <w:bookmarkStart w:id="73" w:name="_Toc433099572"/>
      <w:r w:rsidRPr="00A53EAC">
        <w:rPr>
          <w:rFonts w:hint="default"/>
        </w:rPr>
        <w:t>Vlastné</w:t>
      </w:r>
      <w:r w:rsidRPr="00A53EAC">
        <w:rPr>
          <w:rFonts w:hint="default"/>
        </w:rPr>
        <w:t xml:space="preserve"> imanie podnikov </w:t>
      </w:r>
      <w:r w:rsidRPr="00A53EAC" w:rsidR="00E54AD2">
        <w:rPr>
          <w:rFonts w:hint="default"/>
        </w:rPr>
        <w:t>š</w:t>
      </w:r>
      <w:r w:rsidRPr="00A53EAC" w:rsidR="00E54AD2">
        <w:rPr>
          <w:rFonts w:hint="default"/>
        </w:rPr>
        <w:t>tá</w:t>
      </w:r>
      <w:r w:rsidRPr="00A53EAC" w:rsidR="00E54AD2">
        <w:rPr>
          <w:rFonts w:hint="default"/>
        </w:rPr>
        <w:t>tnej</w:t>
      </w:r>
      <w:r w:rsidRPr="00A53EAC">
        <w:rPr>
          <w:rFonts w:hint="default"/>
        </w:rPr>
        <w:t xml:space="preserve"> sprá</w:t>
      </w:r>
      <w:r w:rsidRPr="00A53EAC">
        <w:rPr>
          <w:rFonts w:hint="default"/>
        </w:rPr>
        <w:t>vy</w:t>
      </w:r>
      <w:bookmarkEnd w:id="71"/>
      <w:bookmarkEnd w:id="72"/>
      <w:bookmarkEnd w:id="73"/>
    </w:p>
    <w:p w:rsidR="002F6582" w:rsidRPr="00A53EAC" w:rsidP="00D83FFE">
      <w:pPr>
        <w:bidi w:val="0"/>
        <w:spacing w:after="120" w:line="336" w:lineRule="auto"/>
        <w:jc w:val="both"/>
        <w:rPr>
          <w:rFonts w:ascii="Times New Roman" w:hAnsi="Times New Roman" w:cs="Times New Roman"/>
        </w:rPr>
      </w:pPr>
      <w:bookmarkStart w:id="74" w:name="_Toc399324373"/>
      <w:r w:rsidRPr="00A53EAC" w:rsidR="008D394B">
        <w:rPr>
          <w:rFonts w:ascii="Times New Roman" w:hAnsi="Times New Roman" w:cs="Times New Roman"/>
          <w:szCs w:val="22"/>
        </w:rPr>
        <w:t>Vlastné imanie</w:t>
      </w:r>
      <w:r w:rsidRPr="00A53EAC" w:rsidR="008D394B">
        <w:rPr>
          <w:rFonts w:ascii="Times New Roman" w:hAnsi="Times New Roman" w:cs="Times New Roman"/>
        </w:rPr>
        <w:t xml:space="preserve"> podnikov štátnej správy </w:t>
      </w:r>
      <w:r w:rsidRPr="00A53EAC" w:rsidR="002753EE">
        <w:rPr>
          <w:rFonts w:ascii="Times New Roman" w:hAnsi="Times New Roman" w:cs="Times New Roman"/>
        </w:rPr>
        <w:t>dosiahlo k 31.12.2014</w:t>
      </w:r>
      <w:r w:rsidRPr="00A53EAC" w:rsidR="004F6C5D">
        <w:rPr>
          <w:rFonts w:ascii="Times New Roman" w:hAnsi="Times New Roman" w:cs="Times New Roman"/>
        </w:rPr>
        <w:t xml:space="preserve"> hodnotu</w:t>
      </w:r>
      <w:r w:rsidRPr="00A53EAC" w:rsidR="008D394B">
        <w:rPr>
          <w:rFonts w:ascii="Times New Roman" w:hAnsi="Times New Roman" w:cs="Times New Roman"/>
        </w:rPr>
        <w:t xml:space="preserve"> </w:t>
      </w:r>
      <w:r w:rsidRPr="00A53EAC" w:rsidR="008D394B">
        <w:rPr>
          <w:rFonts w:ascii="Times New Roman" w:hAnsi="Times New Roman" w:cs="Times New Roman"/>
          <w:b/>
        </w:rPr>
        <w:t>16</w:t>
      </w:r>
      <w:r w:rsidRPr="00A53EAC" w:rsidR="007E338A">
        <w:rPr>
          <w:rFonts w:ascii="Times New Roman" w:hAnsi="Times New Roman" w:cs="Times New Roman"/>
          <w:b/>
        </w:rPr>
        <w:t> 818 505 </w:t>
      </w:r>
      <w:r w:rsidRPr="00A53EAC" w:rsidR="008D394B">
        <w:rPr>
          <w:rFonts w:ascii="Times New Roman" w:hAnsi="Times New Roman" w:cs="Times New Roman"/>
          <w:b/>
        </w:rPr>
        <w:t>tis. eur</w:t>
      </w:r>
      <w:r w:rsidRPr="00A53EAC" w:rsidR="004F6C5D">
        <w:rPr>
          <w:rFonts w:ascii="Times New Roman" w:hAnsi="Times New Roman" w:cs="Times New Roman"/>
          <w:b/>
        </w:rPr>
        <w:t xml:space="preserve"> (</w:t>
      </w:r>
      <w:r w:rsidRPr="00A53EAC" w:rsidR="002C623E">
        <w:rPr>
          <w:rFonts w:ascii="Times New Roman" w:hAnsi="Times New Roman" w:cs="Times New Roman"/>
          <w:b/>
        </w:rPr>
        <w:t>22,3 </w:t>
      </w:r>
      <w:r w:rsidRPr="00A53EAC" w:rsidR="004F6C5D">
        <w:rPr>
          <w:rFonts w:ascii="Times New Roman" w:hAnsi="Times New Roman" w:cs="Times New Roman"/>
          <w:b/>
        </w:rPr>
        <w:t>%</w:t>
      </w:r>
      <w:r w:rsidRPr="00A53EAC" w:rsidR="002D6D0A">
        <w:rPr>
          <w:rFonts w:ascii="Times New Roman" w:hAnsi="Times New Roman" w:cs="Times New Roman"/>
          <w:b/>
        </w:rPr>
        <w:t> </w:t>
      </w:r>
      <w:r w:rsidRPr="00A53EAC" w:rsidR="004F6C5D">
        <w:rPr>
          <w:rFonts w:ascii="Times New Roman" w:hAnsi="Times New Roman" w:cs="Times New Roman"/>
          <w:b/>
        </w:rPr>
        <w:t>HDP)</w:t>
      </w:r>
      <w:r w:rsidRPr="00A53EAC" w:rsidR="008D394B">
        <w:rPr>
          <w:rFonts w:ascii="Times New Roman" w:hAnsi="Times New Roman" w:cs="Times New Roman"/>
        </w:rPr>
        <w:t>.</w:t>
      </w:r>
      <w:r w:rsidRPr="00A53EAC" w:rsidR="008D394B">
        <w:rPr>
          <w:rFonts w:ascii="Times New Roman" w:hAnsi="Times New Roman" w:cs="Times New Roman"/>
          <w:szCs w:val="22"/>
        </w:rPr>
        <w:t xml:space="preserve"> </w:t>
      </w:r>
      <w:r w:rsidRPr="00A53EAC">
        <w:rPr>
          <w:rFonts w:ascii="Times New Roman" w:hAnsi="Times New Roman" w:cs="Times New Roman"/>
          <w:szCs w:val="22"/>
        </w:rPr>
        <w:t>Uvedený údaj je nekonsolidovaný a </w:t>
      </w:r>
      <w:r w:rsidRPr="00A53EAC" w:rsidR="00716AA7">
        <w:rPr>
          <w:rFonts w:ascii="Times New Roman" w:hAnsi="Times New Roman" w:cs="Times New Roman"/>
          <w:szCs w:val="22"/>
        </w:rPr>
        <w:t>predstavuje</w:t>
      </w:r>
      <w:r w:rsidRPr="00A53EAC">
        <w:rPr>
          <w:rFonts w:ascii="Times New Roman" w:hAnsi="Times New Roman" w:cs="Times New Roman"/>
          <w:szCs w:val="22"/>
        </w:rPr>
        <w:t xml:space="preserve"> súčet </w:t>
      </w:r>
      <w:r w:rsidRPr="00A53EAC">
        <w:rPr>
          <w:rFonts w:ascii="Times New Roman" w:hAnsi="Times New Roman" w:cs="Times New Roman"/>
        </w:rPr>
        <w:t>vlastných imaní jednotlivých podnikov z individuálnyc</w:t>
      </w:r>
      <w:r w:rsidRPr="00A53EAC" w:rsidR="00716AA7">
        <w:rPr>
          <w:rFonts w:ascii="Times New Roman" w:hAnsi="Times New Roman" w:cs="Times New Roman"/>
        </w:rPr>
        <w:t>h účtovných závierok prepočítaný</w:t>
      </w:r>
      <w:r w:rsidRPr="00A53EAC">
        <w:rPr>
          <w:rFonts w:ascii="Times New Roman" w:hAnsi="Times New Roman" w:cs="Times New Roman"/>
        </w:rPr>
        <w:t xml:space="preserve"> na veľkosť vlastníckych podielov štátu. Tento údaj nemožno dávať do súvislosti s údajom o celkovom čistom bohatstve v časti 3.2., pretože v rámci čistého bohatstva sú všetky podniky okrem podnikov FNM</w:t>
      </w:r>
      <w:r w:rsidRPr="00A53EAC" w:rsidR="002C623E">
        <w:rPr>
          <w:rFonts w:ascii="Times New Roman" w:hAnsi="Times New Roman" w:cs="Times New Roman"/>
        </w:rPr>
        <w:t> SR</w:t>
      </w:r>
      <w:r w:rsidRPr="00A53EAC">
        <w:rPr>
          <w:rFonts w:ascii="Times New Roman" w:hAnsi="Times New Roman" w:cs="Times New Roman"/>
        </w:rPr>
        <w:t xml:space="preserve"> zaradené do súhrnného celku a údaje o vlastnom imaní sú konsolidované. </w:t>
      </w:r>
    </w:p>
    <w:p w:rsidR="00B538E4" w:rsidRPr="00A53EAC" w:rsidP="008D394B">
      <w:pPr>
        <w:bidi w:val="0"/>
        <w:spacing w:after="120" w:line="336" w:lineRule="auto"/>
        <w:jc w:val="both"/>
        <w:rPr>
          <w:rFonts w:ascii="Times New Roman" w:hAnsi="Times New Roman" w:cs="Times New Roman"/>
        </w:rPr>
      </w:pPr>
      <w:r w:rsidRPr="00A53EAC" w:rsidR="002F6582">
        <w:rPr>
          <w:rFonts w:ascii="Times New Roman" w:hAnsi="Times New Roman" w:cs="Times New Roman"/>
          <w:szCs w:val="22"/>
        </w:rPr>
        <w:t>Vlastné imanie</w:t>
      </w:r>
      <w:r w:rsidRPr="00A53EAC" w:rsidR="002F6582">
        <w:rPr>
          <w:rFonts w:ascii="Times New Roman" w:hAnsi="Times New Roman" w:cs="Times New Roman"/>
        </w:rPr>
        <w:t xml:space="preserve"> podnikov štátnej správy o</w:t>
      </w:r>
      <w:r w:rsidRPr="00A53EAC" w:rsidR="008D394B">
        <w:rPr>
          <w:rFonts w:ascii="Times New Roman" w:hAnsi="Times New Roman" w:cs="Times New Roman"/>
        </w:rPr>
        <w:t xml:space="preserve">proti predchádzajúcemu roku </w:t>
      </w:r>
      <w:r w:rsidRPr="00A53EAC" w:rsidR="002753EE">
        <w:rPr>
          <w:rFonts w:ascii="Times New Roman" w:hAnsi="Times New Roman" w:cs="Times New Roman"/>
          <w:b/>
        </w:rPr>
        <w:t>vzrástlo</w:t>
      </w:r>
      <w:r w:rsidRPr="00A53EAC" w:rsidR="008D394B">
        <w:rPr>
          <w:rFonts w:ascii="Times New Roman" w:hAnsi="Times New Roman" w:cs="Times New Roman"/>
          <w:b/>
        </w:rPr>
        <w:t xml:space="preserve"> o</w:t>
      </w:r>
      <w:r w:rsidRPr="00A53EAC" w:rsidR="007E338A">
        <w:rPr>
          <w:rFonts w:ascii="Times New Roman" w:hAnsi="Times New Roman" w:cs="Times New Roman"/>
          <w:b/>
        </w:rPr>
        <w:t> </w:t>
      </w:r>
      <w:r w:rsidRPr="00A53EAC" w:rsidR="008D394B">
        <w:rPr>
          <w:rFonts w:ascii="Times New Roman" w:hAnsi="Times New Roman" w:cs="Times New Roman"/>
          <w:b/>
        </w:rPr>
        <w:t>1</w:t>
      </w:r>
      <w:r w:rsidRPr="00A53EAC" w:rsidR="007E338A">
        <w:rPr>
          <w:rFonts w:ascii="Times New Roman" w:hAnsi="Times New Roman" w:cs="Times New Roman"/>
          <w:b/>
        </w:rPr>
        <w:t>82 580 </w:t>
      </w:r>
      <w:r w:rsidRPr="00A53EAC" w:rsidR="008D394B">
        <w:rPr>
          <w:rFonts w:ascii="Times New Roman" w:hAnsi="Times New Roman" w:cs="Times New Roman"/>
          <w:b/>
        </w:rPr>
        <w:t>tis. eur</w:t>
      </w:r>
      <w:r w:rsidR="00CE1C18">
        <w:rPr>
          <w:rFonts w:ascii="Times New Roman" w:hAnsi="Times New Roman" w:cs="Times New Roman"/>
        </w:rPr>
        <w:t xml:space="preserve">. </w:t>
      </w:r>
      <w:r w:rsidRPr="00A53EAC" w:rsidR="00E82F2F">
        <w:rPr>
          <w:rFonts w:ascii="Times New Roman" w:hAnsi="Times New Roman" w:cs="Times New Roman"/>
          <w:szCs w:val="22"/>
        </w:rPr>
        <w:t>V nasledujúcej časti sú podrobnejšie komentované zmeny vlastného imania za vybrané podniky. Príloha č. 1 obsahuje tabuľkový prehľad všetkých podnikov štátnej správy, výšku ich vlastných imaní, výsledky hospodárenia, výšku vlastníckych podielov štátu a použité účtovné štandardy pri zostavovaní účtovných závierok. V poznámkach pod tabuľkou sú uvedené zmeny ku koncu roka 2014 oproti predchádzajúcemu roku u podnikov, kde sa zmenil vlastnícky podiel štátu a kde došlo k zlúčeniu, zániku</w:t>
      </w:r>
      <w:r w:rsidRPr="00A53EAC" w:rsidR="008B72A5">
        <w:rPr>
          <w:rFonts w:ascii="Times New Roman" w:hAnsi="Times New Roman" w:cs="Times New Roman"/>
          <w:szCs w:val="22"/>
        </w:rPr>
        <w:t xml:space="preserve"> či zmene názvu účtovnej jednotky.</w:t>
      </w:r>
      <w:r w:rsidRPr="00A53EAC" w:rsidR="00167EE7">
        <w:rPr>
          <w:rFonts w:ascii="Times New Roman" w:hAnsi="Times New Roman" w:cs="Times New Roman"/>
          <w:szCs w:val="22"/>
        </w:rPr>
        <w:t xml:space="preserve"> P</w:t>
      </w:r>
      <w:r w:rsidRPr="00A53EAC" w:rsidR="00167EE7">
        <w:rPr>
          <w:rFonts w:ascii="Times New Roman" w:hAnsi="Times New Roman" w:cs="Times New Roman"/>
        </w:rPr>
        <w:t>ríloha č. 1 obsahuje zoznam všetkých podnikov patriacich priamo pod kapitoly štátneho rozpočtu alebo FNM</w:t>
      </w:r>
      <w:r w:rsidRPr="00A53EAC" w:rsidR="002C623E">
        <w:rPr>
          <w:rFonts w:ascii="Times New Roman" w:hAnsi="Times New Roman" w:cs="Times New Roman"/>
        </w:rPr>
        <w:t> SR</w:t>
      </w:r>
      <w:r w:rsidRPr="00A53EAC" w:rsidR="00167EE7">
        <w:rPr>
          <w:rFonts w:ascii="Times New Roman" w:hAnsi="Times New Roman" w:cs="Times New Roman"/>
        </w:rPr>
        <w:t xml:space="preserve"> bez ohľadu na veľkosť vlastníckeho podielu štátu, ale do výpočtu čistého bohatstva a súhrnného celku sú zaradené len podniky s vlastníckym podielom štátu 20 % a viac.</w:t>
      </w:r>
    </w:p>
    <w:p w:rsidR="00D1477E" w:rsidRPr="00A53EAC" w:rsidP="008D394B">
      <w:pPr>
        <w:bidi w:val="0"/>
        <w:spacing w:after="120" w:line="336" w:lineRule="auto"/>
        <w:jc w:val="both"/>
        <w:rPr>
          <w:rFonts w:ascii="Times New Roman" w:hAnsi="Times New Roman" w:cs="Times New Roman"/>
          <w:szCs w:val="22"/>
        </w:rPr>
      </w:pPr>
      <w:r w:rsidRPr="00A53EAC" w:rsidR="007B2348">
        <w:rPr>
          <w:rFonts w:ascii="Times New Roman" w:hAnsi="Times New Roman" w:cs="Times New Roman"/>
          <w:szCs w:val="22"/>
        </w:rPr>
        <w:t>N</w:t>
      </w:r>
      <w:r w:rsidRPr="00A53EAC" w:rsidR="003F6833">
        <w:rPr>
          <w:rFonts w:ascii="Times New Roman" w:hAnsi="Times New Roman" w:cs="Times New Roman"/>
          <w:szCs w:val="22"/>
        </w:rPr>
        <w:t>a hospodárenie a vlastné imanie podnikov malo v roku 2014 vplyv ekonomické prostredie</w:t>
      </w:r>
      <w:r w:rsidRPr="00A53EAC" w:rsidR="007B2348">
        <w:rPr>
          <w:rFonts w:ascii="Times New Roman" w:hAnsi="Times New Roman" w:cs="Times New Roman"/>
          <w:szCs w:val="22"/>
        </w:rPr>
        <w:t xml:space="preserve"> a daňová politika štátu:</w:t>
      </w:r>
    </w:p>
    <w:p w:rsidR="007B2348" w:rsidRPr="00A53EAC" w:rsidP="007B2348">
      <w:pPr>
        <w:pStyle w:val="ListParagraph"/>
        <w:numPr>
          <w:numId w:val="18"/>
        </w:numPr>
        <w:bidi w:val="0"/>
        <w:spacing w:line="336" w:lineRule="auto"/>
        <w:contextualSpacing w:val="0"/>
        <w:jc w:val="both"/>
        <w:rPr>
          <w:rFonts w:ascii="Times New Roman" w:hAnsi="Times New Roman" w:cs="Times New Roman"/>
        </w:rPr>
      </w:pPr>
      <w:r w:rsidRPr="00A53EAC" w:rsidR="005A5769">
        <w:rPr>
          <w:rFonts w:ascii="Times New Roman" w:hAnsi="Times New Roman" w:cs="Times New Roman"/>
        </w:rPr>
        <w:t>Lepší ekonomický vývoj (ekonomický rast na úrovni 2,4 % v roku 2014 oproti 1,4 % v roku 2013), spojený s oživením domáceho dopytu, rastom zamestnanosti a disponibilných príjmov domácností</w:t>
      </w:r>
      <w:r w:rsidRPr="00A53EAC" w:rsidR="003D1A42">
        <w:rPr>
          <w:rFonts w:ascii="Times New Roman" w:hAnsi="Times New Roman" w:cs="Times New Roman"/>
        </w:rPr>
        <w:t>,</w:t>
      </w:r>
      <w:r w:rsidRPr="00A53EAC" w:rsidR="005A5769">
        <w:rPr>
          <w:rFonts w:ascii="Times New Roman" w:hAnsi="Times New Roman" w:cs="Times New Roman"/>
        </w:rPr>
        <w:t xml:space="preserve"> vytvoril vhodné podmienky pre rast výkonov podnikov pôsobiacich najmä v oblasti dopravy a prepravy (</w:t>
      </w:r>
      <w:r w:rsidRPr="00A53EAC" w:rsidR="00464884">
        <w:rPr>
          <w:rFonts w:ascii="Times New Roman" w:hAnsi="Times New Roman" w:cs="Times New Roman"/>
        </w:rPr>
        <w:t>železničné prepravné spoločnosti, autobusová doprava, letiská, Národná diaľničná spoločnosť, a.s.)</w:t>
      </w:r>
      <w:r w:rsidRPr="00A53EAC" w:rsidR="00381445">
        <w:rPr>
          <w:rFonts w:ascii="Times New Roman" w:hAnsi="Times New Roman" w:cs="Times New Roman"/>
        </w:rPr>
        <w:t>.</w:t>
      </w:r>
    </w:p>
    <w:p w:rsidR="007B2348" w:rsidRPr="00A53EAC" w:rsidP="007B2348">
      <w:pPr>
        <w:pStyle w:val="ListParagraph"/>
        <w:numPr>
          <w:numId w:val="18"/>
        </w:numPr>
        <w:bidi w:val="0"/>
        <w:spacing w:line="336" w:lineRule="auto"/>
        <w:contextualSpacing w:val="0"/>
        <w:jc w:val="both"/>
        <w:rPr>
          <w:rFonts w:ascii="Times New Roman" w:hAnsi="Times New Roman" w:cs="Times New Roman"/>
        </w:rPr>
      </w:pPr>
      <w:r w:rsidRPr="00A53EAC" w:rsidR="004070D5">
        <w:rPr>
          <w:rFonts w:ascii="Times New Roman" w:hAnsi="Times New Roman" w:cs="Times New Roman"/>
        </w:rPr>
        <w:t>Vývoj cien bol mimoriadne nízky, keď spotrebiteľ</w:t>
      </w:r>
      <w:r w:rsidRPr="00A53EAC" w:rsidR="003C6E51">
        <w:rPr>
          <w:rFonts w:ascii="Times New Roman" w:hAnsi="Times New Roman" w:cs="Times New Roman"/>
        </w:rPr>
        <w:t>s</w:t>
      </w:r>
      <w:r w:rsidRPr="00A53EAC" w:rsidR="004070D5">
        <w:rPr>
          <w:rFonts w:ascii="Times New Roman" w:hAnsi="Times New Roman" w:cs="Times New Roman"/>
        </w:rPr>
        <w:t>ká inflácia v roku 2014 medziročne klesla o 0,1 %. Hlavným faktoro</w:t>
      </w:r>
      <w:r w:rsidRPr="00A53EAC" w:rsidR="00381445">
        <w:rPr>
          <w:rFonts w:ascii="Times New Roman" w:hAnsi="Times New Roman" w:cs="Times New Roman"/>
        </w:rPr>
        <w:t>m nízkych cien bol výrazný pokles</w:t>
      </w:r>
      <w:r w:rsidRPr="00A53EAC" w:rsidR="004070D5">
        <w:rPr>
          <w:rFonts w:ascii="Times New Roman" w:hAnsi="Times New Roman" w:cs="Times New Roman"/>
        </w:rPr>
        <w:t xml:space="preserve"> cien energií</w:t>
      </w:r>
      <w:r w:rsidRPr="00A53EAC" w:rsidR="00381445">
        <w:rPr>
          <w:rFonts w:ascii="Times New Roman" w:hAnsi="Times New Roman" w:cs="Times New Roman"/>
        </w:rPr>
        <w:t xml:space="preserve"> (svetov</w:t>
      </w:r>
      <w:r w:rsidRPr="00A53EAC" w:rsidR="000F5F5B">
        <w:rPr>
          <w:rFonts w:ascii="Times New Roman" w:hAnsi="Times New Roman" w:cs="Times New Roman"/>
        </w:rPr>
        <w:t>á</w:t>
      </w:r>
      <w:r w:rsidRPr="00A53EAC" w:rsidR="00381445">
        <w:rPr>
          <w:rFonts w:ascii="Times New Roman" w:hAnsi="Times New Roman" w:cs="Times New Roman"/>
        </w:rPr>
        <w:t xml:space="preserve"> cen</w:t>
      </w:r>
      <w:r w:rsidRPr="00A53EAC" w:rsidR="000F5F5B">
        <w:rPr>
          <w:rFonts w:ascii="Times New Roman" w:hAnsi="Times New Roman" w:cs="Times New Roman"/>
        </w:rPr>
        <w:t>a</w:t>
      </w:r>
      <w:r w:rsidRPr="00A53EAC" w:rsidR="00381445">
        <w:rPr>
          <w:rFonts w:ascii="Times New Roman" w:hAnsi="Times New Roman" w:cs="Times New Roman"/>
        </w:rPr>
        <w:t xml:space="preserve"> ropy </w:t>
      </w:r>
      <w:r w:rsidRPr="00A53EAC" w:rsidR="000F5F5B">
        <w:rPr>
          <w:rFonts w:ascii="Times New Roman" w:hAnsi="Times New Roman" w:cs="Times New Roman"/>
        </w:rPr>
        <w:t xml:space="preserve">Brent v eurách </w:t>
      </w:r>
      <w:r w:rsidRPr="00A53EAC" w:rsidR="00381445">
        <w:rPr>
          <w:rFonts w:ascii="Times New Roman" w:hAnsi="Times New Roman" w:cs="Times New Roman"/>
        </w:rPr>
        <w:t xml:space="preserve">v roku </w:t>
      </w:r>
      <w:r w:rsidRPr="00A53EAC" w:rsidR="000F5F5B">
        <w:rPr>
          <w:rFonts w:ascii="Times New Roman" w:hAnsi="Times New Roman" w:cs="Times New Roman"/>
        </w:rPr>
        <w:t>2014 medziročne kl</w:t>
      </w:r>
      <w:r w:rsidRPr="00A53EAC" w:rsidR="003D1A42">
        <w:rPr>
          <w:rFonts w:ascii="Times New Roman" w:hAnsi="Times New Roman" w:cs="Times New Roman"/>
        </w:rPr>
        <w:t>e</w:t>
      </w:r>
      <w:r w:rsidRPr="00A53EAC" w:rsidR="000F5F5B">
        <w:rPr>
          <w:rFonts w:ascii="Times New Roman" w:hAnsi="Times New Roman" w:cs="Times New Roman"/>
        </w:rPr>
        <w:t>sla</w:t>
      </w:r>
      <w:r w:rsidRPr="00A53EAC" w:rsidR="00381445">
        <w:rPr>
          <w:rFonts w:ascii="Times New Roman" w:hAnsi="Times New Roman" w:cs="Times New Roman"/>
        </w:rPr>
        <w:t xml:space="preserve"> o</w:t>
      </w:r>
      <w:r w:rsidRPr="00A53EAC" w:rsidR="000F5F5B">
        <w:rPr>
          <w:rFonts w:ascii="Times New Roman" w:hAnsi="Times New Roman" w:cs="Times New Roman"/>
        </w:rPr>
        <w:t> 8,9 </w:t>
      </w:r>
      <w:r w:rsidRPr="00A53EAC" w:rsidR="00381445">
        <w:rPr>
          <w:rFonts w:ascii="Times New Roman" w:hAnsi="Times New Roman" w:cs="Times New Roman"/>
        </w:rPr>
        <w:t>% a európske ceny elektriny</w:t>
      </w:r>
      <w:r w:rsidRPr="00A53EAC" w:rsidR="000F5F5B">
        <w:rPr>
          <w:rFonts w:ascii="Times New Roman" w:hAnsi="Times New Roman" w:cs="Times New Roman"/>
        </w:rPr>
        <w:t xml:space="preserve"> na burze v</w:t>
      </w:r>
      <w:r w:rsidR="00AE542B">
        <w:rPr>
          <w:rFonts w:ascii="Times New Roman" w:hAnsi="Times New Roman" w:cs="Times New Roman"/>
        </w:rPr>
        <w:t> </w:t>
      </w:r>
      <w:r w:rsidRPr="00A53EAC" w:rsidR="000F5F5B">
        <w:rPr>
          <w:rFonts w:ascii="Times New Roman" w:hAnsi="Times New Roman" w:cs="Times New Roman"/>
        </w:rPr>
        <w:t>Nemecku</w:t>
      </w:r>
      <w:r w:rsidRPr="00A53EAC" w:rsidR="00381445">
        <w:rPr>
          <w:rFonts w:ascii="Times New Roman" w:hAnsi="Times New Roman" w:cs="Times New Roman"/>
        </w:rPr>
        <w:t xml:space="preserve"> o </w:t>
      </w:r>
      <w:r w:rsidRPr="00A53EAC" w:rsidR="000F5F5B">
        <w:rPr>
          <w:rFonts w:ascii="Times New Roman" w:hAnsi="Times New Roman" w:cs="Times New Roman"/>
        </w:rPr>
        <w:t>15</w:t>
      </w:r>
      <w:r w:rsidRPr="00A53EAC" w:rsidR="00381445">
        <w:rPr>
          <w:rFonts w:ascii="Times New Roman" w:hAnsi="Times New Roman" w:cs="Times New Roman"/>
        </w:rPr>
        <w:t xml:space="preserve"> %). Nízke ceny energií síce znižujú náklady podnikov pôsobiacich najmä v oblasti dopravy, na druhej strane </w:t>
      </w:r>
      <w:r w:rsidRPr="00A53EAC" w:rsidR="00FA5ACC">
        <w:rPr>
          <w:rFonts w:ascii="Times New Roman" w:hAnsi="Times New Roman" w:cs="Times New Roman"/>
        </w:rPr>
        <w:t xml:space="preserve">však negatívne pôsobia na podniky, ktoré energiu generujú a prepravujú (Slovenské elektrárne, a.s., SPP, a.s.), pričom tieto podniky majú veľkú váhu na hospodárskom výsledku a vlastnom imaní všetkých podnikov štátnej správy. </w:t>
      </w:r>
      <w:r w:rsidRPr="00A53EAC" w:rsidR="000F5F5B">
        <w:rPr>
          <w:rFonts w:ascii="Times New Roman" w:hAnsi="Times New Roman" w:cs="Times New Roman"/>
        </w:rPr>
        <w:t>Navyše, pokračujúci pokles spotreby elektrickej energie na Slovensku mal nepriaznivý vplyv na hospodárenie distribučných energetických podnikov.</w:t>
      </w:r>
    </w:p>
    <w:p w:rsidR="007B2348" w:rsidRPr="00A53EAC" w:rsidP="007B2348">
      <w:pPr>
        <w:pStyle w:val="ListParagraph"/>
        <w:numPr>
          <w:numId w:val="18"/>
        </w:numPr>
        <w:bidi w:val="0"/>
        <w:spacing w:line="336" w:lineRule="auto"/>
        <w:contextualSpacing w:val="0"/>
        <w:jc w:val="both"/>
        <w:rPr>
          <w:rFonts w:ascii="Times New Roman" w:hAnsi="Times New Roman" w:cs="Times New Roman"/>
        </w:rPr>
      </w:pPr>
      <w:r w:rsidRPr="00A53EAC" w:rsidR="000F5F5B">
        <w:rPr>
          <w:rFonts w:ascii="Times New Roman" w:hAnsi="Times New Roman" w:cs="Times New Roman"/>
        </w:rPr>
        <w:t xml:space="preserve">Prostredie rekordne nízkych úrokových sadzieb má priaznivý vplyv </w:t>
      </w:r>
      <w:r w:rsidRPr="00A53EAC" w:rsidR="00117EF0">
        <w:rPr>
          <w:rFonts w:ascii="Times New Roman" w:hAnsi="Times New Roman" w:cs="Times New Roman"/>
        </w:rPr>
        <w:t>na náklady dlhovej služby podnikov (priemerná úroková sadzba na úvery nefinančným spoločnostiam</w:t>
      </w:r>
      <w:r w:rsidRPr="00A53EAC" w:rsidR="003D1A42">
        <w:rPr>
          <w:rFonts w:ascii="Times New Roman" w:hAnsi="Times New Roman" w:cs="Times New Roman"/>
        </w:rPr>
        <w:t xml:space="preserve"> bola v roku 2014 na úrovni 2,1</w:t>
      </w:r>
      <w:r w:rsidRPr="00A53EAC" w:rsidR="00117EF0">
        <w:rPr>
          <w:rFonts w:ascii="Times New Roman" w:hAnsi="Times New Roman" w:cs="Times New Roman"/>
        </w:rPr>
        <w:t> %)</w:t>
      </w:r>
      <w:r w:rsidRPr="00A53EAC" w:rsidR="002C623E">
        <w:rPr>
          <w:rFonts w:ascii="Times New Roman" w:hAnsi="Times New Roman" w:cs="Times New Roman"/>
        </w:rPr>
        <w:t>.</w:t>
      </w:r>
    </w:p>
    <w:p w:rsidR="007B2348" w:rsidRPr="00A53EAC" w:rsidP="00117EF0">
      <w:pPr>
        <w:pStyle w:val="ListParagraph"/>
        <w:numPr>
          <w:numId w:val="18"/>
        </w:numPr>
        <w:bidi w:val="0"/>
        <w:spacing w:after="120" w:line="336" w:lineRule="auto"/>
        <w:ind w:left="357" w:hanging="357"/>
        <w:contextualSpacing w:val="0"/>
        <w:jc w:val="both"/>
        <w:rPr>
          <w:rFonts w:ascii="Times New Roman" w:hAnsi="Times New Roman" w:cs="Times New Roman"/>
        </w:rPr>
      </w:pPr>
      <w:r w:rsidRPr="00A53EAC" w:rsidR="00117EF0">
        <w:rPr>
          <w:rFonts w:ascii="Times New Roman" w:hAnsi="Times New Roman" w:cs="Times New Roman"/>
        </w:rPr>
        <w:t>Zníženie sadzby dane z príjmov právnických osôb z 23 % v roku 2013 na 22 % v roku 2014, znížilo splatnú a odloženú daň s pozitívnym dopadom na zisk po zdanení a vlastné imanie.</w:t>
      </w:r>
    </w:p>
    <w:p w:rsidR="008D394B" w:rsidRPr="00A53EAC" w:rsidP="00C51623">
      <w:pPr>
        <w:bidi w:val="0"/>
        <w:spacing w:after="0" w:line="336" w:lineRule="auto"/>
        <w:jc w:val="both"/>
        <w:rPr>
          <w:rFonts w:ascii="Times New Roman" w:hAnsi="Times New Roman" w:cs="Times New Roman"/>
          <w:szCs w:val="22"/>
        </w:rPr>
      </w:pPr>
      <w:r w:rsidRPr="00A53EAC">
        <w:rPr>
          <w:rFonts w:ascii="Times New Roman" w:hAnsi="Times New Roman" w:cs="Times New Roman"/>
          <w:szCs w:val="22"/>
        </w:rPr>
        <w:t xml:space="preserve">Pri </w:t>
      </w:r>
      <w:r w:rsidRPr="00A53EAC" w:rsidR="00716AA7">
        <w:rPr>
          <w:rFonts w:ascii="Times New Roman" w:hAnsi="Times New Roman" w:cs="Times New Roman"/>
          <w:szCs w:val="22"/>
        </w:rPr>
        <w:t>komentovaní</w:t>
      </w:r>
      <w:r w:rsidRPr="00A53EAC">
        <w:rPr>
          <w:rFonts w:ascii="Times New Roman" w:hAnsi="Times New Roman" w:cs="Times New Roman"/>
          <w:szCs w:val="22"/>
        </w:rPr>
        <w:t xml:space="preserve"> medziročných zmien vlastného imania </w:t>
      </w:r>
      <w:r w:rsidRPr="00A53EAC" w:rsidR="00D1477E">
        <w:rPr>
          <w:rFonts w:ascii="Times New Roman" w:hAnsi="Times New Roman" w:cs="Times New Roman"/>
          <w:szCs w:val="22"/>
        </w:rPr>
        <w:t xml:space="preserve">vybraných </w:t>
      </w:r>
      <w:r w:rsidRPr="00A53EAC">
        <w:rPr>
          <w:rFonts w:ascii="Times New Roman" w:hAnsi="Times New Roman" w:cs="Times New Roman"/>
          <w:szCs w:val="22"/>
        </w:rPr>
        <w:t xml:space="preserve">podnikov sa pre účely tejto správy </w:t>
      </w:r>
      <w:r w:rsidRPr="00A53EAC" w:rsidR="00716AA7">
        <w:rPr>
          <w:rFonts w:ascii="Times New Roman" w:hAnsi="Times New Roman" w:cs="Times New Roman"/>
          <w:szCs w:val="22"/>
        </w:rPr>
        <w:t>zameriavame</w:t>
      </w:r>
      <w:r w:rsidRPr="00A53EAC">
        <w:rPr>
          <w:rFonts w:ascii="Times New Roman" w:hAnsi="Times New Roman" w:cs="Times New Roman"/>
          <w:szCs w:val="22"/>
        </w:rPr>
        <w:t xml:space="preserve"> najmä na päť hlavných položiek, ktoré spôsobujú prírastok alebo</w:t>
      </w:r>
      <w:r w:rsidRPr="00A53EAC" w:rsidR="00716AA7">
        <w:rPr>
          <w:rFonts w:ascii="Times New Roman" w:hAnsi="Times New Roman" w:cs="Times New Roman"/>
          <w:szCs w:val="22"/>
        </w:rPr>
        <w:t xml:space="preserve"> úbytok vlastného imania, a to </w:t>
      </w:r>
      <w:r w:rsidRPr="00A53EAC" w:rsidR="009A7D47">
        <w:rPr>
          <w:rFonts w:ascii="Times New Roman" w:hAnsi="Times New Roman" w:cs="Times New Roman"/>
          <w:szCs w:val="22"/>
        </w:rPr>
        <w:t xml:space="preserve">na </w:t>
      </w:r>
      <w:r w:rsidRPr="00A53EAC" w:rsidR="00716AA7">
        <w:rPr>
          <w:rFonts w:ascii="Times New Roman" w:hAnsi="Times New Roman" w:cs="Times New Roman"/>
          <w:szCs w:val="22"/>
        </w:rPr>
        <w:t>výsledok hospodárenia bežného účtovného obdobia, dividendy, priame vklady spoločníkov do vlastného imania, preceňovacie zmeny maj</w:t>
      </w:r>
      <w:r w:rsidRPr="00A53EAC" w:rsidR="00C51623">
        <w:rPr>
          <w:rFonts w:ascii="Times New Roman" w:hAnsi="Times New Roman" w:cs="Times New Roman"/>
          <w:szCs w:val="22"/>
        </w:rPr>
        <w:t>etku a záväzkov a ostatné zmeny:</w:t>
      </w:r>
    </w:p>
    <w:p w:rsidR="008D394B" w:rsidRPr="00A53EAC" w:rsidP="00C51623">
      <w:pPr>
        <w:pStyle w:val="ListParagraph"/>
        <w:numPr>
          <w:numId w:val="26"/>
        </w:numPr>
        <w:bidi w:val="0"/>
        <w:spacing w:after="120" w:line="336" w:lineRule="auto"/>
        <w:jc w:val="both"/>
        <w:rPr>
          <w:rFonts w:ascii="Times New Roman" w:hAnsi="Times New Roman" w:cs="Times New Roman"/>
        </w:rPr>
      </w:pPr>
      <w:r w:rsidRPr="00A53EAC">
        <w:rPr>
          <w:rFonts w:ascii="Times New Roman" w:hAnsi="Times New Roman" w:cs="Times New Roman"/>
          <w:b/>
        </w:rPr>
        <w:t>Výsledok hospodárenia bežného účtovného obdobia</w:t>
      </w:r>
      <w:r w:rsidRPr="00A53EAC">
        <w:rPr>
          <w:rFonts w:ascii="Times New Roman" w:hAnsi="Times New Roman" w:cs="Times New Roman"/>
        </w:rPr>
        <w:t xml:space="preserve"> predstavuje čistý zisk (prírastok VI) alebo stratu (úbytok VI) za sledovaný rok. Táto položka je </w:t>
      </w:r>
      <w:r w:rsidRPr="00A53EAC" w:rsidR="00716AA7">
        <w:rPr>
          <w:rFonts w:ascii="Times New Roman" w:hAnsi="Times New Roman" w:cs="Times New Roman"/>
        </w:rPr>
        <w:t>najvýznamnejšia</w:t>
      </w:r>
      <w:r w:rsidRPr="00A53EAC">
        <w:rPr>
          <w:rFonts w:ascii="Times New Roman" w:hAnsi="Times New Roman" w:cs="Times New Roman"/>
        </w:rPr>
        <w:t>, pretože výsledky hospodárenia poukazujú priamo na pridanú hodnotu podniku k čistému bohatstvu. Ak podnik zostavuje účtovnú závierku podľa IFRS, pod výsledkom hospodárenia sa v tejto správe uvádza čistý zisk alebo strata a nie komplexný výsledok hospodárenia po zdanení.</w:t>
      </w:r>
    </w:p>
    <w:p w:rsidR="008D394B" w:rsidRPr="00A53EAC" w:rsidP="00C51623">
      <w:pPr>
        <w:pStyle w:val="ListParagraph"/>
        <w:numPr>
          <w:numId w:val="26"/>
        </w:numPr>
        <w:bidi w:val="0"/>
        <w:spacing w:after="120" w:line="336" w:lineRule="auto"/>
        <w:jc w:val="both"/>
        <w:rPr>
          <w:rFonts w:ascii="Times New Roman" w:hAnsi="Times New Roman" w:cs="Times New Roman"/>
        </w:rPr>
      </w:pPr>
      <w:r w:rsidRPr="00A53EAC">
        <w:rPr>
          <w:rFonts w:ascii="Times New Roman" w:hAnsi="Times New Roman" w:cs="Times New Roman"/>
          <w:b/>
        </w:rPr>
        <w:t xml:space="preserve">Dividendy </w:t>
      </w:r>
      <w:r w:rsidRPr="00A53EAC">
        <w:rPr>
          <w:rFonts w:ascii="Times New Roman" w:hAnsi="Times New Roman" w:cs="Times New Roman"/>
        </w:rPr>
        <w:t>sú položkou, ktorá sa zvyčajne vypláca zo zisku minulého účtovného obdobia a spôsobuje úbytok vlastného imania. Dividendy môžu byť v danom roku vyplatené, alebo len schválené na rozdelenie a následne vyplatené v neskoršom období. Cieľom analýzy zmien vlastného imania je kvantifikácia vplyvu na zmeny čistého bohatstva</w:t>
      </w:r>
      <w:r w:rsidRPr="00A53EAC" w:rsidR="00F44963">
        <w:rPr>
          <w:rFonts w:ascii="Times New Roman" w:hAnsi="Times New Roman" w:cs="Times New Roman"/>
        </w:rPr>
        <w:t>. P</w:t>
      </w:r>
      <w:r w:rsidRPr="00A53EAC">
        <w:rPr>
          <w:rFonts w:ascii="Times New Roman" w:hAnsi="Times New Roman" w:cs="Times New Roman"/>
        </w:rPr>
        <w:t xml:space="preserve">ri dividendách </w:t>
      </w:r>
      <w:r w:rsidRPr="00A53EAC" w:rsidR="00F44963">
        <w:rPr>
          <w:rFonts w:ascii="Times New Roman" w:hAnsi="Times New Roman" w:cs="Times New Roman"/>
        </w:rPr>
        <w:t xml:space="preserve">sú osobitne </w:t>
      </w:r>
      <w:r w:rsidRPr="00A53EAC">
        <w:rPr>
          <w:rFonts w:ascii="Times New Roman" w:hAnsi="Times New Roman" w:cs="Times New Roman"/>
        </w:rPr>
        <w:t xml:space="preserve">sledované superdividendy, pretože majú priamy vplyv na znižovanie čistého bohatstva. </w:t>
      </w:r>
      <w:r w:rsidRPr="00A53EAC" w:rsidR="00B82629">
        <w:rPr>
          <w:rFonts w:ascii="Times New Roman" w:hAnsi="Times New Roman" w:cs="Times New Roman"/>
        </w:rPr>
        <w:t>Superdividendy</w:t>
      </w:r>
      <w:r w:rsidRPr="00A53EAC">
        <w:rPr>
          <w:rFonts w:ascii="Times New Roman" w:hAnsi="Times New Roman" w:cs="Times New Roman"/>
        </w:rPr>
        <w:t xml:space="preserve"> sú všeobecne definované podľa metodiky národných účtov ESA 2010 ako dividendy presahujúce posl</w:t>
      </w:r>
      <w:r w:rsidRPr="00A53EAC" w:rsidR="00507F2C">
        <w:rPr>
          <w:rFonts w:ascii="Times New Roman" w:hAnsi="Times New Roman" w:cs="Times New Roman"/>
        </w:rPr>
        <w:t>ednú, respektíve nedávnu úroveň</w:t>
      </w:r>
      <w:r w:rsidRPr="00A53EAC">
        <w:rPr>
          <w:rFonts w:ascii="Times New Roman" w:hAnsi="Times New Roman" w:cs="Times New Roman"/>
        </w:rPr>
        <w:t xml:space="preserve"> dividend a ziskov.</w:t>
      </w:r>
    </w:p>
    <w:p w:rsidR="008D394B" w:rsidRPr="00A53EAC" w:rsidP="00C51623">
      <w:pPr>
        <w:pStyle w:val="ListParagraph"/>
        <w:numPr>
          <w:numId w:val="26"/>
        </w:numPr>
        <w:bidi w:val="0"/>
        <w:spacing w:after="120" w:line="336" w:lineRule="auto"/>
        <w:jc w:val="both"/>
        <w:rPr>
          <w:rFonts w:ascii="Times New Roman" w:hAnsi="Times New Roman" w:cs="Times New Roman"/>
        </w:rPr>
      </w:pPr>
      <w:r w:rsidRPr="00A53EAC">
        <w:rPr>
          <w:rFonts w:ascii="Times New Roman" w:hAnsi="Times New Roman" w:cs="Times New Roman"/>
          <w:b/>
        </w:rPr>
        <w:t>Priame vklady spoločníkov do vlastného imania</w:t>
      </w:r>
      <w:r w:rsidRPr="00A53EAC">
        <w:rPr>
          <w:rFonts w:ascii="Times New Roman" w:hAnsi="Times New Roman" w:cs="Times New Roman"/>
        </w:rPr>
        <w:t xml:space="preserve"> zvyšujú vlastné imanie spoločnosti. Pod priamymi vkladmi sa rozumejú peňažné a nepeňažné vklady do základného imania, do kapitálových fondov alebo vklady použité na úhradu straty.</w:t>
      </w:r>
    </w:p>
    <w:p w:rsidR="008D394B" w:rsidRPr="00A53EAC" w:rsidP="00C51623">
      <w:pPr>
        <w:pStyle w:val="ListParagraph"/>
        <w:numPr>
          <w:numId w:val="26"/>
        </w:numPr>
        <w:bidi w:val="0"/>
        <w:spacing w:after="120" w:line="336" w:lineRule="auto"/>
        <w:jc w:val="both"/>
        <w:rPr>
          <w:rFonts w:ascii="Times New Roman" w:hAnsi="Times New Roman" w:cs="Times New Roman"/>
        </w:rPr>
      </w:pPr>
      <w:r w:rsidRPr="00A53EAC">
        <w:rPr>
          <w:rFonts w:ascii="Times New Roman" w:hAnsi="Times New Roman" w:cs="Times New Roman"/>
          <w:b/>
        </w:rPr>
        <w:t>Preceňovacie zmeny majetku a záväzkov</w:t>
      </w:r>
      <w:r w:rsidRPr="00A53EAC">
        <w:rPr>
          <w:rFonts w:ascii="Times New Roman" w:hAnsi="Times New Roman" w:cs="Times New Roman"/>
        </w:rPr>
        <w:t xml:space="preserve"> môžu znižovať aj zvyšovať vlastné imanie na základe rozdielu medzi účtovným a reálnym ocenením určitých položiek majetku a záväzkov. Konkrétne prípady sú bližšie vysvetlené pri jednotlivých spoločnostiach. </w:t>
      </w:r>
    </w:p>
    <w:p w:rsidR="008D394B" w:rsidRPr="00A53EAC" w:rsidP="00C51623">
      <w:pPr>
        <w:pStyle w:val="ListParagraph"/>
        <w:numPr>
          <w:numId w:val="26"/>
        </w:numPr>
        <w:bidi w:val="0"/>
        <w:spacing w:after="120" w:line="336" w:lineRule="auto"/>
        <w:jc w:val="both"/>
        <w:rPr>
          <w:rFonts w:ascii="Times New Roman" w:hAnsi="Times New Roman" w:cs="Times New Roman"/>
        </w:rPr>
      </w:pPr>
      <w:r w:rsidRPr="00A53EAC">
        <w:rPr>
          <w:rFonts w:ascii="Times New Roman" w:hAnsi="Times New Roman" w:cs="Times New Roman"/>
        </w:rPr>
        <w:t>Pod „</w:t>
      </w:r>
      <w:r w:rsidRPr="00A53EAC">
        <w:rPr>
          <w:rFonts w:ascii="Times New Roman" w:hAnsi="Times New Roman" w:cs="Times New Roman"/>
          <w:b/>
        </w:rPr>
        <w:t>ostatné zmeny</w:t>
      </w:r>
      <w:r w:rsidRPr="00A53EAC">
        <w:rPr>
          <w:rFonts w:ascii="Times New Roman" w:hAnsi="Times New Roman" w:cs="Times New Roman"/>
        </w:rPr>
        <w:t xml:space="preserve">“ zaraďujeme opravy </w:t>
      </w:r>
      <w:r w:rsidRPr="00A53EAC" w:rsidR="00513E60">
        <w:rPr>
          <w:rFonts w:ascii="Times New Roman" w:hAnsi="Times New Roman" w:cs="Times New Roman"/>
        </w:rPr>
        <w:t xml:space="preserve">významných </w:t>
      </w:r>
      <w:r w:rsidRPr="00A53EAC">
        <w:rPr>
          <w:rFonts w:ascii="Times New Roman" w:hAnsi="Times New Roman" w:cs="Times New Roman"/>
        </w:rPr>
        <w:t>chýb minulých účtovných období a rozdiely zo</w:t>
      </w:r>
      <w:r w:rsidRPr="00A53EAC" w:rsidR="008F4E75">
        <w:rPr>
          <w:rFonts w:ascii="Times New Roman" w:hAnsi="Times New Roman" w:cs="Times New Roman"/>
        </w:rPr>
        <w:t> </w:t>
      </w:r>
      <w:r w:rsidRPr="00A53EAC">
        <w:rPr>
          <w:rFonts w:ascii="Times New Roman" w:hAnsi="Times New Roman" w:cs="Times New Roman"/>
        </w:rPr>
        <w:t>zmien použitých účtovných metód a účtovných zásad, ktoré sa účtujú</w:t>
      </w:r>
      <w:r w:rsidRPr="00A53EAC" w:rsidR="002D6D0A">
        <w:rPr>
          <w:rFonts w:ascii="Times New Roman" w:hAnsi="Times New Roman" w:cs="Times New Roman"/>
        </w:rPr>
        <w:t xml:space="preserve"> priamo do vlastného imania (do </w:t>
      </w:r>
      <w:r w:rsidRPr="00A53EAC">
        <w:rPr>
          <w:rFonts w:ascii="Times New Roman" w:hAnsi="Times New Roman" w:cs="Times New Roman"/>
        </w:rPr>
        <w:t xml:space="preserve">výsledku hospodárenia minulých období), a ktoré môžu spôsobiť úbytok alebo prírastok vlastného imania podniku. Patria sem taktiež zmeny rezerv zo zabezpečovacích derivátov, prípadne zmeny iných rezerv, ktoré nesúvisia s preceňovaním. </w:t>
      </w:r>
    </w:p>
    <w:p w:rsidR="00CB7EBC" w:rsidP="008D394B">
      <w:pPr>
        <w:bidi w:val="0"/>
        <w:spacing w:after="120" w:line="336" w:lineRule="auto"/>
        <w:jc w:val="both"/>
        <w:rPr>
          <w:rFonts w:ascii="Times New Roman" w:hAnsi="Times New Roman" w:cs="Times New Roman"/>
          <w:szCs w:val="22"/>
        </w:rPr>
      </w:pPr>
      <w:r w:rsidRPr="00A53EAC" w:rsidR="00597603">
        <w:rPr>
          <w:rFonts w:ascii="Times New Roman" w:hAnsi="Times New Roman" w:cs="Times New Roman"/>
          <w:szCs w:val="22"/>
        </w:rPr>
        <w:t>Nasledujúca tabuľka predstavuje prehľad zmien vlastného imania vybraných štátnych podnikov</w:t>
      </w:r>
      <w:r w:rsidRPr="00A53EAC" w:rsidR="00F54790">
        <w:rPr>
          <w:rFonts w:ascii="Times New Roman" w:hAnsi="Times New Roman" w:cs="Times New Roman"/>
          <w:szCs w:val="22"/>
        </w:rPr>
        <w:t xml:space="preserve"> a NBS</w:t>
      </w:r>
      <w:r w:rsidRPr="00A53EAC" w:rsidR="00597603">
        <w:rPr>
          <w:rFonts w:ascii="Times New Roman" w:hAnsi="Times New Roman" w:cs="Times New Roman"/>
          <w:szCs w:val="22"/>
        </w:rPr>
        <w:t>.</w:t>
      </w:r>
      <w:r w:rsidRPr="00A53EAC" w:rsidR="00F54790">
        <w:rPr>
          <w:rFonts w:ascii="Times New Roman" w:hAnsi="Times New Roman" w:cs="Times New Roman"/>
          <w:szCs w:val="22"/>
        </w:rPr>
        <w:t xml:space="preserve"> Uvedené podniky sa podieľajú až 88,3 % na celkovom vlastnom imaní všetkých podnikov štátnej správy prepočítaným na vlastnícke podiely štátu.</w:t>
      </w:r>
    </w:p>
    <w:tbl>
      <w:tblPr>
        <w:tblStyle w:val="TableNormal"/>
        <w:tblW w:w="9332" w:type="dxa"/>
        <w:tblCellMar>
          <w:left w:w="70" w:type="dxa"/>
          <w:right w:w="70" w:type="dxa"/>
        </w:tblCellMar>
        <w:tblLook w:val="04A0"/>
      </w:tblPr>
      <w:tblGrid>
        <w:gridCol w:w="2436"/>
        <w:gridCol w:w="1250"/>
        <w:gridCol w:w="1366"/>
        <w:gridCol w:w="1019"/>
        <w:gridCol w:w="1073"/>
        <w:gridCol w:w="1152"/>
        <w:gridCol w:w="1036"/>
      </w:tblGrid>
      <w:tr>
        <w:tblPrEx>
          <w:tblW w:w="9332" w:type="dxa"/>
          <w:tblCellMar>
            <w:left w:w="70" w:type="dxa"/>
            <w:right w:w="70" w:type="dxa"/>
          </w:tblCellMar>
          <w:tblLook w:val="04A0"/>
        </w:tblPrEx>
        <w:trPr>
          <w:trHeight w:val="254"/>
        </w:trPr>
        <w:tc>
          <w:tcPr>
            <w:tcW w:w="9332" w:type="dxa"/>
            <w:gridSpan w:val="7"/>
            <w:tcBorders>
              <w:top w:val="nil"/>
              <w:left w:val="nil"/>
              <w:bottom w:val="nil"/>
              <w:right w:val="nil"/>
            </w:tcBorders>
            <w:shd w:val="clear" w:color="000000" w:fill="000000"/>
            <w:noWrap/>
            <w:textDirection w:val="lrTb"/>
            <w:vAlign w:val="bottom"/>
            <w:hideMark/>
          </w:tcPr>
          <w:p w:rsidR="00F96558" w:rsidRPr="00F96558" w:rsidP="00CE1C18">
            <w:pPr>
              <w:bidi w:val="0"/>
              <w:spacing w:after="0" w:line="240" w:lineRule="auto"/>
              <w:rPr>
                <w:rFonts w:ascii="Times New Roman" w:hAnsi="Times New Roman" w:cs="Times New Roman"/>
                <w:b/>
                <w:bCs/>
                <w:color w:val="FFFFFF"/>
                <w:sz w:val="20"/>
                <w:szCs w:val="20"/>
                <w:lang w:eastAsia="sk-SK"/>
              </w:rPr>
            </w:pPr>
            <w:bookmarkStart w:id="75" w:name="_Toc431985264"/>
            <w:bookmarkStart w:id="76" w:name="_Toc433099046"/>
            <w:bookmarkStart w:id="77" w:name="_Toc433099285"/>
            <w:bookmarkStart w:id="78" w:name="_Toc433099391"/>
            <w:bookmarkStart w:id="79" w:name="_Toc433099573"/>
            <w:r w:rsidRPr="00F96558">
              <w:rPr>
                <w:rStyle w:val="Heading1Char"/>
                <w:color w:val="FFFFFF" w:themeColor="bg1" w:themeShade="FF"/>
                <w:sz w:val="20"/>
                <w:szCs w:val="20"/>
              </w:rPr>
              <w:t xml:space="preserve">Zmena </w:t>
            </w:r>
            <w:r w:rsidRPr="00F96558">
              <w:rPr>
                <w:rStyle w:val="Heading1Char"/>
                <w:rFonts w:hint="default"/>
                <w:color w:val="FFFFFF" w:themeColor="bg1" w:themeShade="FF"/>
                <w:sz w:val="20"/>
                <w:szCs w:val="20"/>
              </w:rPr>
              <w:t>vlastné</w:t>
            </w:r>
            <w:r w:rsidRPr="00F96558">
              <w:rPr>
                <w:rStyle w:val="Heading1Char"/>
                <w:rFonts w:hint="default"/>
                <w:color w:val="FFFFFF" w:themeColor="bg1" w:themeShade="FF"/>
                <w:sz w:val="20"/>
                <w:szCs w:val="20"/>
              </w:rPr>
              <w:t>ho imania podnikov š</w:t>
            </w:r>
            <w:r w:rsidRPr="00F96558">
              <w:rPr>
                <w:rStyle w:val="Heading1Char"/>
                <w:rFonts w:hint="default"/>
                <w:color w:val="FFFFFF" w:themeColor="bg1" w:themeShade="FF"/>
                <w:sz w:val="20"/>
                <w:szCs w:val="20"/>
              </w:rPr>
              <w:t>tá</w:t>
            </w:r>
            <w:r w:rsidRPr="00F96558">
              <w:rPr>
                <w:rStyle w:val="Heading1Char"/>
                <w:rFonts w:hint="default"/>
                <w:color w:val="FFFFFF" w:themeColor="bg1" w:themeShade="FF"/>
                <w:sz w:val="20"/>
                <w:szCs w:val="20"/>
              </w:rPr>
              <w:t>tnej sprá</w:t>
            </w:r>
            <w:r w:rsidRPr="00F96558">
              <w:rPr>
                <w:rStyle w:val="Heading1Char"/>
                <w:rFonts w:hint="default"/>
                <w:color w:val="FFFFFF" w:themeColor="bg1" w:themeShade="FF"/>
                <w:sz w:val="20"/>
                <w:szCs w:val="20"/>
              </w:rPr>
              <w:t>vy a NBS 2014-2013</w:t>
            </w:r>
            <w:bookmarkEnd w:id="75"/>
            <w:bookmarkEnd w:id="76"/>
            <w:bookmarkEnd w:id="77"/>
            <w:bookmarkEnd w:id="78"/>
            <w:bookmarkEnd w:id="79"/>
            <w:r w:rsidRPr="00F96558">
              <w:rPr>
                <w:rFonts w:ascii="Times New Roman" w:hAnsi="Times New Roman" w:cs="Times New Roman"/>
                <w:b/>
                <w:bCs/>
                <w:color w:val="FFFFFF"/>
                <w:sz w:val="20"/>
                <w:szCs w:val="20"/>
                <w:lang w:eastAsia="sk-SK"/>
              </w:rPr>
              <w:t xml:space="preserve"> (v tis. eur)</w:t>
            </w:r>
          </w:p>
        </w:tc>
      </w:tr>
      <w:tr>
        <w:tblPrEx>
          <w:tblW w:w="9332" w:type="dxa"/>
          <w:tblCellMar>
            <w:left w:w="70" w:type="dxa"/>
            <w:right w:w="70" w:type="dxa"/>
          </w:tblCellMar>
          <w:tblLook w:val="04A0"/>
        </w:tblPrEx>
        <w:trPr>
          <w:trHeight w:val="509"/>
        </w:trPr>
        <w:tc>
          <w:tcPr>
            <w:tcW w:w="2436" w:type="dxa"/>
            <w:tcBorders>
              <w:top w:val="nil"/>
              <w:left w:val="nil"/>
              <w:bottom w:val="single" w:sz="4" w:space="0" w:color="auto"/>
              <w:right w:val="nil"/>
            </w:tcBorders>
            <w:shd w:val="clear" w:color="000000" w:fill="D9D9D9"/>
            <w:noWrap/>
            <w:textDirection w:val="lrTb"/>
            <w:vAlign w:val="center"/>
            <w:hideMark/>
          </w:tcPr>
          <w:p w:rsidR="00F96558" w:rsidRPr="00F96558" w:rsidP="00F96558">
            <w:pPr>
              <w:bidi w:val="0"/>
              <w:spacing w:after="0" w:line="240" w:lineRule="auto"/>
              <w:rPr>
                <w:rFonts w:ascii="Times New Roman" w:hAnsi="Times New Roman" w:cs="Times New Roman"/>
                <w:b/>
                <w:bCs/>
                <w:color w:val="000000"/>
                <w:sz w:val="20"/>
                <w:szCs w:val="20"/>
                <w:lang w:eastAsia="sk-SK"/>
              </w:rPr>
            </w:pPr>
            <w:r w:rsidRPr="00F96558">
              <w:rPr>
                <w:rFonts w:ascii="Times New Roman" w:hAnsi="Times New Roman" w:cs="Times New Roman"/>
                <w:b/>
                <w:bCs/>
                <w:color w:val="000000"/>
                <w:sz w:val="20"/>
                <w:szCs w:val="20"/>
                <w:lang w:eastAsia="sk-SK"/>
              </w:rPr>
              <w:t>Podnik</w:t>
            </w:r>
          </w:p>
        </w:tc>
        <w:tc>
          <w:tcPr>
            <w:tcW w:w="1250" w:type="dxa"/>
            <w:tcBorders>
              <w:top w:val="nil"/>
              <w:left w:val="nil"/>
              <w:bottom w:val="single" w:sz="4" w:space="0" w:color="auto"/>
              <w:right w:val="nil"/>
            </w:tcBorders>
            <w:shd w:val="clear" w:color="000000" w:fill="D9D9D9"/>
            <w:textDirection w:val="lrTb"/>
            <w:vAlign w:val="center"/>
            <w:hideMark/>
          </w:tcPr>
          <w:p w:rsidR="00F96558" w:rsidRPr="00F96558" w:rsidP="00F96558">
            <w:pPr>
              <w:bidi w:val="0"/>
              <w:spacing w:after="0" w:line="240" w:lineRule="auto"/>
              <w:jc w:val="center"/>
              <w:rPr>
                <w:rFonts w:ascii="Times New Roman" w:hAnsi="Times New Roman" w:cs="Times New Roman"/>
                <w:b/>
                <w:bCs/>
                <w:color w:val="000000"/>
                <w:sz w:val="20"/>
                <w:szCs w:val="20"/>
                <w:lang w:eastAsia="sk-SK"/>
              </w:rPr>
            </w:pPr>
            <w:r w:rsidRPr="00F96558">
              <w:rPr>
                <w:rFonts w:ascii="Times New Roman" w:hAnsi="Times New Roman" w:cs="Times New Roman"/>
                <w:b/>
                <w:bCs/>
                <w:color w:val="000000"/>
                <w:sz w:val="20"/>
                <w:szCs w:val="20"/>
                <w:lang w:eastAsia="sk-SK"/>
              </w:rPr>
              <w:t>VI</w:t>
              <w:br/>
              <w:t xml:space="preserve"> Δ2014-2013</w:t>
            </w:r>
          </w:p>
        </w:tc>
        <w:tc>
          <w:tcPr>
            <w:tcW w:w="1366" w:type="dxa"/>
            <w:tcBorders>
              <w:top w:val="nil"/>
              <w:left w:val="nil"/>
              <w:bottom w:val="single" w:sz="4" w:space="0" w:color="auto"/>
              <w:right w:val="nil"/>
            </w:tcBorders>
            <w:shd w:val="clear" w:color="000000" w:fill="D9D9D9"/>
            <w:textDirection w:val="lrTb"/>
            <w:vAlign w:val="center"/>
            <w:hideMark/>
          </w:tcPr>
          <w:p w:rsidR="00F96558" w:rsidRPr="00F96558" w:rsidP="00F96558">
            <w:pPr>
              <w:bidi w:val="0"/>
              <w:spacing w:after="0" w:line="240" w:lineRule="auto"/>
              <w:jc w:val="center"/>
              <w:rPr>
                <w:rFonts w:ascii="Times New Roman" w:hAnsi="Times New Roman" w:cs="Times New Roman"/>
                <w:b/>
                <w:bCs/>
                <w:color w:val="000000"/>
                <w:sz w:val="20"/>
                <w:szCs w:val="20"/>
                <w:lang w:eastAsia="sk-SK"/>
              </w:rPr>
            </w:pPr>
            <w:r w:rsidRPr="00F96558">
              <w:rPr>
                <w:rFonts w:ascii="Times New Roman" w:hAnsi="Times New Roman" w:cs="Times New Roman"/>
                <w:b/>
                <w:bCs/>
                <w:color w:val="000000"/>
                <w:sz w:val="20"/>
                <w:szCs w:val="20"/>
                <w:lang w:eastAsia="sk-SK"/>
              </w:rPr>
              <w:t>Výsledok hospodárenia</w:t>
            </w:r>
          </w:p>
        </w:tc>
        <w:tc>
          <w:tcPr>
            <w:tcW w:w="1019" w:type="dxa"/>
            <w:tcBorders>
              <w:top w:val="nil"/>
              <w:left w:val="nil"/>
              <w:bottom w:val="single" w:sz="4" w:space="0" w:color="auto"/>
              <w:right w:val="nil"/>
            </w:tcBorders>
            <w:shd w:val="clear" w:color="000000" w:fill="D9D9D9"/>
            <w:textDirection w:val="lrTb"/>
            <w:vAlign w:val="center"/>
            <w:hideMark/>
          </w:tcPr>
          <w:p w:rsidR="00F96558" w:rsidRPr="00F96558" w:rsidP="00F96558">
            <w:pPr>
              <w:bidi w:val="0"/>
              <w:spacing w:after="0" w:line="240" w:lineRule="auto"/>
              <w:jc w:val="center"/>
              <w:rPr>
                <w:rFonts w:ascii="Times New Roman" w:hAnsi="Times New Roman" w:cs="Times New Roman"/>
                <w:b/>
                <w:bCs/>
                <w:color w:val="000000"/>
                <w:sz w:val="20"/>
                <w:szCs w:val="20"/>
                <w:lang w:eastAsia="sk-SK"/>
              </w:rPr>
            </w:pPr>
            <w:r w:rsidRPr="00F96558">
              <w:rPr>
                <w:rFonts w:ascii="Times New Roman" w:hAnsi="Times New Roman" w:cs="Times New Roman"/>
                <w:b/>
                <w:bCs/>
                <w:color w:val="000000"/>
                <w:sz w:val="20"/>
                <w:szCs w:val="20"/>
                <w:lang w:eastAsia="sk-SK"/>
              </w:rPr>
              <w:t>Dividendy</w:t>
            </w:r>
          </w:p>
        </w:tc>
        <w:tc>
          <w:tcPr>
            <w:tcW w:w="1073" w:type="dxa"/>
            <w:tcBorders>
              <w:top w:val="nil"/>
              <w:left w:val="nil"/>
              <w:bottom w:val="single" w:sz="4" w:space="0" w:color="auto"/>
              <w:right w:val="nil"/>
            </w:tcBorders>
            <w:shd w:val="clear" w:color="000000" w:fill="D9D9D9"/>
            <w:textDirection w:val="lrTb"/>
            <w:vAlign w:val="center"/>
            <w:hideMark/>
          </w:tcPr>
          <w:p w:rsidR="00F96558" w:rsidRPr="00F96558" w:rsidP="00F96558">
            <w:pPr>
              <w:bidi w:val="0"/>
              <w:spacing w:after="0" w:line="240" w:lineRule="auto"/>
              <w:jc w:val="center"/>
              <w:rPr>
                <w:rFonts w:ascii="Times New Roman" w:hAnsi="Times New Roman" w:cs="Times New Roman"/>
                <w:b/>
                <w:bCs/>
                <w:color w:val="000000"/>
                <w:sz w:val="20"/>
                <w:szCs w:val="20"/>
                <w:lang w:eastAsia="sk-SK"/>
              </w:rPr>
            </w:pPr>
            <w:r w:rsidRPr="00F96558">
              <w:rPr>
                <w:rFonts w:ascii="Times New Roman" w:hAnsi="Times New Roman" w:cs="Times New Roman"/>
                <w:b/>
                <w:bCs/>
                <w:color w:val="000000"/>
                <w:sz w:val="20"/>
                <w:szCs w:val="20"/>
                <w:lang w:eastAsia="sk-SK"/>
              </w:rPr>
              <w:t>Precenenie</w:t>
            </w:r>
          </w:p>
        </w:tc>
        <w:tc>
          <w:tcPr>
            <w:tcW w:w="1152" w:type="dxa"/>
            <w:tcBorders>
              <w:top w:val="nil"/>
              <w:left w:val="nil"/>
              <w:bottom w:val="single" w:sz="4" w:space="0" w:color="auto"/>
              <w:right w:val="nil"/>
            </w:tcBorders>
            <w:shd w:val="clear" w:color="000000" w:fill="D9D9D9"/>
            <w:textDirection w:val="lrTb"/>
            <w:vAlign w:val="center"/>
            <w:hideMark/>
          </w:tcPr>
          <w:p w:rsidR="00F96558" w:rsidRPr="00F96558" w:rsidP="00F96558">
            <w:pPr>
              <w:bidi w:val="0"/>
              <w:spacing w:after="0" w:line="240" w:lineRule="auto"/>
              <w:jc w:val="center"/>
              <w:rPr>
                <w:rFonts w:ascii="Times New Roman" w:hAnsi="Times New Roman" w:cs="Times New Roman"/>
                <w:b/>
                <w:bCs/>
                <w:color w:val="000000"/>
                <w:sz w:val="20"/>
                <w:szCs w:val="20"/>
                <w:lang w:eastAsia="sk-SK"/>
              </w:rPr>
            </w:pPr>
            <w:r w:rsidRPr="00F96558">
              <w:rPr>
                <w:rFonts w:ascii="Times New Roman" w:hAnsi="Times New Roman" w:cs="Times New Roman"/>
                <w:b/>
                <w:bCs/>
                <w:color w:val="000000"/>
                <w:sz w:val="20"/>
                <w:szCs w:val="20"/>
                <w:lang w:eastAsia="sk-SK"/>
              </w:rPr>
              <w:t>Vklady spoločníkov</w:t>
            </w:r>
          </w:p>
        </w:tc>
        <w:tc>
          <w:tcPr>
            <w:tcW w:w="1036" w:type="dxa"/>
            <w:tcBorders>
              <w:top w:val="nil"/>
              <w:left w:val="nil"/>
              <w:bottom w:val="single" w:sz="4" w:space="0" w:color="auto"/>
              <w:right w:val="nil"/>
            </w:tcBorders>
            <w:shd w:val="clear" w:color="000000" w:fill="D9D9D9"/>
            <w:textDirection w:val="lrTb"/>
            <w:vAlign w:val="center"/>
            <w:hideMark/>
          </w:tcPr>
          <w:p w:rsidR="00F96558" w:rsidRPr="00F96558" w:rsidP="00F96558">
            <w:pPr>
              <w:bidi w:val="0"/>
              <w:spacing w:after="0" w:line="240" w:lineRule="auto"/>
              <w:jc w:val="center"/>
              <w:rPr>
                <w:rFonts w:ascii="Times New Roman" w:hAnsi="Times New Roman" w:cs="Times New Roman"/>
                <w:b/>
                <w:bCs/>
                <w:color w:val="000000"/>
                <w:sz w:val="20"/>
                <w:szCs w:val="20"/>
                <w:lang w:eastAsia="sk-SK"/>
              </w:rPr>
            </w:pPr>
            <w:r w:rsidRPr="00F96558">
              <w:rPr>
                <w:rFonts w:ascii="Times New Roman" w:hAnsi="Times New Roman" w:cs="Times New Roman"/>
                <w:b/>
                <w:bCs/>
                <w:color w:val="000000"/>
                <w:sz w:val="20"/>
                <w:szCs w:val="20"/>
                <w:lang w:eastAsia="sk-SK"/>
              </w:rPr>
              <w:t>Ostatné</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Slov.plynár.priem.,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-2 900 891</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288 547</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-267 585</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-2 921 853</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Železnice SR</w:t>
            </w:r>
            <w:r>
              <w:rPr>
                <w:rStyle w:val="FootnoteReference"/>
                <w:rFonts w:ascii="Times New Roman" w:hAnsi="Times New Roman"/>
                <w:color w:val="000000"/>
                <w:sz w:val="20"/>
                <w:szCs w:val="20"/>
                <w:rtl w:val="0"/>
                <w:lang w:eastAsia="sk-SK"/>
              </w:rPr>
              <w:footnoteReference w:id="4"/>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7 321</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4 832</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-1 832</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4 580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-259</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ŽS Cargo Slovakia,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-5 492</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-5 492</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ŽS Slovensko,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-6 450</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-6 379</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-768</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697</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Slov.elek. a pren.súst.,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-418</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67 464</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-67 913</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31</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Slov. elektrárne,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294 667</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169 756</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160 696</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-35 785</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Západosl. energetika,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9 273</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61 361</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-52 213</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123</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Stredosl. energetika,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-157</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51 791</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-52 000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52</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Východosl. energetika,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110 649</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157 158</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-46 553</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51</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-7</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Sl.vodoh.podnik, š.p.</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83 516</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-21 307</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104 823</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AE542B">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Národ.diaľ.spoloč., a.s.</w:t>
            </w:r>
            <w:r w:rsidRPr="00AE542B" w:rsidR="00AE542B">
              <w:rPr>
                <w:rFonts w:ascii="Times New Roman" w:hAnsi="Times New Roman" w:cs="Times New Roman"/>
                <w:color w:val="000000"/>
                <w:sz w:val="20"/>
                <w:szCs w:val="20"/>
                <w:vertAlign w:val="superscript"/>
                <w:lang w:eastAsia="sk-SK"/>
              </w:rPr>
              <w:t>3</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32 992</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32 992</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Lesy SR, š.p.</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3 443</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9 096</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-5 000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-653</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Tipos, nár.lot.spol.,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5 143</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9 494</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-3 078</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-1 273</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AE542B">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EXIMBANKA</w:t>
            </w:r>
            <w:r w:rsidR="00AE542B">
              <w:rPr>
                <w:rFonts w:ascii="Times New Roman" w:hAnsi="Times New Roman" w:cs="Times New Roman"/>
                <w:sz w:val="20"/>
                <w:szCs w:val="20"/>
                <w:vertAlign w:val="superscript"/>
                <w:lang w:eastAsia="sk-SK"/>
              </w:rPr>
              <w:t>3</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142</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342</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-200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Slov.záruč.a rozv.banka,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3 276</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1 893</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-500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1 883</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Let.M.R.Štefánika BA,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-7 078</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-6 724</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-354</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Bratisl. teplárenská,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175</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175</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AE542B">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Hydromeliorácie, š.p.</w:t>
            </w:r>
            <w:r w:rsidRPr="00AE542B" w:rsidR="00AE542B">
              <w:rPr>
                <w:rFonts w:ascii="Times New Roman" w:hAnsi="Times New Roman" w:cs="Times New Roman"/>
                <w:sz w:val="20"/>
                <w:szCs w:val="20"/>
                <w:vertAlign w:val="superscript"/>
                <w:lang w:eastAsia="sk-SK"/>
              </w:rPr>
              <w:t>3</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-6 242</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-6 242</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Let. opravov. Trenčín,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14 120</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-1 337</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6 218</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9 239</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Vodohosp. výstavba, š.p.</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5 452</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2 175</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-88</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3 365</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Slovak Telekom, a.s.</w:t>
            </w:r>
            <w:r>
              <w:rPr>
                <w:rStyle w:val="FootnoteReference"/>
                <w:rFonts w:ascii="Times New Roman" w:hAnsi="Times New Roman"/>
                <w:sz w:val="20"/>
                <w:szCs w:val="20"/>
                <w:rtl w:val="0"/>
                <w:lang w:eastAsia="sk-SK"/>
              </w:rPr>
              <w:footnoteReference w:id="5"/>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20 562</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40 682</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-16 400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-1 329</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-2 391</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Let. prevádz. služby SR, š.p.</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4 146</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5 112</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-16</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-950</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F96558">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Transpetrol, a.s.</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-876</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6 958</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-7 000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-622</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-212</w:t>
            </w:r>
          </w:p>
        </w:tc>
      </w:tr>
      <w:tr>
        <w:tblPrEx>
          <w:tblW w:w="9332" w:type="dxa"/>
          <w:tblCellMar>
            <w:left w:w="70" w:type="dxa"/>
            <w:right w:w="70" w:type="dxa"/>
          </w:tblCellMar>
          <w:tblLook w:val="04A0"/>
        </w:tblPrEx>
        <w:trPr>
          <w:trHeight w:val="254"/>
        </w:trPr>
        <w:tc>
          <w:tcPr>
            <w:tcW w:w="2436" w:type="dxa"/>
            <w:tcBorders>
              <w:top w:val="nil"/>
              <w:left w:val="nil"/>
              <w:bottom w:val="nil"/>
              <w:right w:val="nil"/>
            </w:tcBorders>
            <w:noWrap/>
            <w:textDirection w:val="lrTb"/>
            <w:vAlign w:val="bottom"/>
            <w:hideMark/>
          </w:tcPr>
          <w:p w:rsidR="00F96558" w:rsidRPr="00F96558" w:rsidP="008B2B1C">
            <w:pPr>
              <w:bidi w:val="0"/>
              <w:spacing w:after="0" w:line="240" w:lineRule="auto"/>
              <w:rPr>
                <w:rFonts w:ascii="Times New Roman" w:hAnsi="Times New Roman" w:cs="Times New Roman"/>
                <w:sz w:val="20"/>
                <w:szCs w:val="20"/>
                <w:lang w:eastAsia="sk-SK"/>
              </w:rPr>
            </w:pPr>
            <w:r w:rsidRPr="00F96558">
              <w:rPr>
                <w:rFonts w:ascii="Times New Roman" w:hAnsi="Times New Roman" w:cs="Times New Roman"/>
                <w:sz w:val="20"/>
                <w:szCs w:val="20"/>
                <w:lang w:eastAsia="sk-SK"/>
              </w:rPr>
              <w:t>Všeob.zdrav.poisť., a.s.</w:t>
            </w:r>
            <w:r w:rsidRPr="008B2B1C" w:rsidR="008B2B1C">
              <w:rPr>
                <w:rFonts w:ascii="Times New Roman" w:hAnsi="Times New Roman" w:cs="Times New Roman"/>
                <w:sz w:val="20"/>
                <w:szCs w:val="20"/>
                <w:vertAlign w:val="superscript"/>
                <w:lang w:eastAsia="sk-SK"/>
              </w:rPr>
              <w:t>3</w:t>
            </w:r>
          </w:p>
        </w:tc>
        <w:tc>
          <w:tcPr>
            <w:tcW w:w="1250"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40 078</w:t>
            </w:r>
          </w:p>
        </w:tc>
        <w:tc>
          <w:tcPr>
            <w:tcW w:w="136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12 084</w:t>
            </w:r>
          </w:p>
        </w:tc>
        <w:tc>
          <w:tcPr>
            <w:tcW w:w="1019"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4 601</w:t>
            </w:r>
          </w:p>
        </w:tc>
        <w:tc>
          <w:tcPr>
            <w:tcW w:w="1152"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nil"/>
              <w:right w:val="nil"/>
            </w:tcBorders>
            <w:noWrap/>
            <w:textDirection w:val="lrTb"/>
            <w:vAlign w:val="bottom"/>
            <w:hideMark/>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23 393</w:t>
            </w:r>
          </w:p>
        </w:tc>
      </w:tr>
      <w:tr>
        <w:tblPrEx>
          <w:tblW w:w="9332" w:type="dxa"/>
          <w:tblCellMar>
            <w:left w:w="70" w:type="dxa"/>
            <w:right w:w="70" w:type="dxa"/>
          </w:tblCellMar>
          <w:tblLook w:val="04A0"/>
        </w:tblPrEx>
        <w:trPr>
          <w:trHeight w:val="254"/>
        </w:trPr>
        <w:tc>
          <w:tcPr>
            <w:tcW w:w="2436" w:type="dxa"/>
            <w:tcBorders>
              <w:top w:val="nil"/>
              <w:left w:val="nil"/>
              <w:bottom w:val="single" w:sz="4" w:space="0" w:color="auto"/>
              <w:right w:val="nil"/>
            </w:tcBorders>
            <w:noWrap/>
            <w:textDirection w:val="lrTb"/>
            <w:vAlign w:val="bottom"/>
          </w:tcPr>
          <w:p w:rsidR="00F96558" w:rsidRPr="00F96558" w:rsidP="00F96558">
            <w:pPr>
              <w:bidi w:val="0"/>
              <w:spacing w:after="0" w:line="240" w:lineRule="auto"/>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Národná banka Slovenska</w:t>
            </w:r>
          </w:p>
        </w:tc>
        <w:tc>
          <w:tcPr>
            <w:tcW w:w="1250" w:type="dxa"/>
            <w:tcBorders>
              <w:top w:val="nil"/>
              <w:left w:val="nil"/>
              <w:bottom w:val="single" w:sz="4" w:space="0" w:color="auto"/>
              <w:right w:val="nil"/>
            </w:tcBorders>
            <w:noWrap/>
            <w:textDirection w:val="lrTb"/>
            <w:vAlign w:val="bottom"/>
          </w:tcPr>
          <w:p w:rsidR="00F96558" w:rsidRPr="00F96558" w:rsidP="00F96558">
            <w:pPr>
              <w:bidi w:val="0"/>
              <w:spacing w:after="0" w:line="240" w:lineRule="auto"/>
              <w:jc w:val="right"/>
              <w:rPr>
                <w:rFonts w:ascii="Times New Roman" w:hAnsi="Times New Roman" w:cs="Times New Roman"/>
                <w:color w:val="000000"/>
                <w:sz w:val="20"/>
                <w:szCs w:val="20"/>
                <w:lang w:eastAsia="sk-SK"/>
              </w:rPr>
            </w:pPr>
            <w:r w:rsidRPr="00F96558">
              <w:rPr>
                <w:rFonts w:ascii="Times New Roman" w:hAnsi="Times New Roman" w:cs="Times New Roman"/>
                <w:color w:val="000000"/>
                <w:sz w:val="20"/>
                <w:szCs w:val="20"/>
                <w:lang w:eastAsia="sk-SK"/>
              </w:rPr>
              <w:t>253 986</w:t>
            </w:r>
          </w:p>
        </w:tc>
        <w:tc>
          <w:tcPr>
            <w:tcW w:w="1366" w:type="dxa"/>
            <w:tcBorders>
              <w:top w:val="nil"/>
              <w:left w:val="nil"/>
              <w:bottom w:val="single" w:sz="4" w:space="0" w:color="auto"/>
              <w:right w:val="nil"/>
            </w:tcBorders>
            <w:noWrap/>
            <w:textDirection w:val="lrTb"/>
            <w:vAlign w:val="bottom"/>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102 193</w:t>
            </w:r>
          </w:p>
        </w:tc>
        <w:tc>
          <w:tcPr>
            <w:tcW w:w="1019" w:type="dxa"/>
            <w:tcBorders>
              <w:top w:val="nil"/>
              <w:left w:val="nil"/>
              <w:bottom w:val="single" w:sz="4" w:space="0" w:color="auto"/>
              <w:right w:val="nil"/>
            </w:tcBorders>
            <w:noWrap/>
            <w:textDirection w:val="lrTb"/>
            <w:vAlign w:val="bottom"/>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73" w:type="dxa"/>
            <w:tcBorders>
              <w:top w:val="nil"/>
              <w:left w:val="nil"/>
              <w:bottom w:val="single" w:sz="4" w:space="0" w:color="auto"/>
              <w:right w:val="nil"/>
            </w:tcBorders>
            <w:noWrap/>
            <w:textDirection w:val="lrTb"/>
            <w:vAlign w:val="bottom"/>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151 793</w:t>
            </w:r>
          </w:p>
        </w:tc>
        <w:tc>
          <w:tcPr>
            <w:tcW w:w="1152" w:type="dxa"/>
            <w:tcBorders>
              <w:top w:val="nil"/>
              <w:left w:val="nil"/>
              <w:bottom w:val="single" w:sz="4" w:space="0" w:color="auto"/>
              <w:right w:val="nil"/>
            </w:tcBorders>
            <w:noWrap/>
            <w:textDirection w:val="lrTb"/>
            <w:vAlign w:val="bottom"/>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c>
          <w:tcPr>
            <w:tcW w:w="1036" w:type="dxa"/>
            <w:tcBorders>
              <w:top w:val="nil"/>
              <w:left w:val="nil"/>
              <w:bottom w:val="single" w:sz="4" w:space="0" w:color="auto"/>
              <w:right w:val="nil"/>
            </w:tcBorders>
            <w:noWrap/>
            <w:textDirection w:val="lrTb"/>
            <w:vAlign w:val="bottom"/>
          </w:tcPr>
          <w:p w:rsidR="00F96558" w:rsidRPr="00F96558" w:rsidP="00F96558">
            <w:pPr>
              <w:bidi w:val="0"/>
              <w:spacing w:after="0" w:line="240" w:lineRule="auto"/>
              <w:jc w:val="right"/>
              <w:rPr>
                <w:rFonts w:ascii="Times New Roman" w:hAnsi="Times New Roman" w:cs="Times New Roman"/>
                <w:sz w:val="20"/>
                <w:szCs w:val="20"/>
                <w:lang w:eastAsia="sk-SK"/>
              </w:rPr>
            </w:pPr>
            <w:r w:rsidRPr="00F96558">
              <w:rPr>
                <w:rFonts w:ascii="Times New Roman" w:hAnsi="Times New Roman" w:cs="Times New Roman"/>
                <w:sz w:val="20"/>
                <w:szCs w:val="20"/>
                <w:lang w:eastAsia="sk-SK"/>
              </w:rPr>
              <w:t>0</w:t>
            </w:r>
          </w:p>
        </w:tc>
      </w:tr>
    </w:tbl>
    <w:p w:rsidR="00CE1C18" w:rsidRPr="00CE1C18" w:rsidP="008B2B1C">
      <w:pPr>
        <w:bidi w:val="0"/>
        <w:spacing w:before="240" w:after="120" w:line="336" w:lineRule="auto"/>
        <w:jc w:val="both"/>
        <w:rPr>
          <w:rFonts w:ascii="Times New Roman" w:hAnsi="Times New Roman" w:cs="Times New Roman"/>
        </w:rPr>
      </w:pPr>
      <w:r w:rsidRPr="00CE1C18">
        <w:rPr>
          <w:rFonts w:ascii="Times New Roman" w:hAnsi="Times New Roman" w:cs="Times New Roman"/>
          <w:b/>
          <w:szCs w:val="24"/>
        </w:rPr>
        <w:t>Slovenský plynárenský priemysel, a.s.</w:t>
      </w:r>
      <w:r w:rsidRPr="00CE1C18">
        <w:rPr>
          <w:rFonts w:ascii="Times New Roman" w:hAnsi="Times New Roman" w:cs="Times New Roman"/>
          <w:szCs w:val="24"/>
        </w:rPr>
        <w:t xml:space="preserve"> (ďalej „SPP“) so sídlom Mlynské nivy 44/a, Bratislava, bol pôvodne založený zakladateľskou listinou 21. decembra 1988 ako š.p. v SR, ktorý sa 1. júla 2001 transformoval na akciovú spoločnosť. S účinnosťou od 11. júla 2002 vstúpil do SPP strategický investor </w:t>
      </w:r>
      <w:r w:rsidRPr="00CE1C18">
        <w:rPr>
          <w:rFonts w:ascii="Times New Roman" w:hAnsi="Times New Roman" w:cs="Times New Roman"/>
        </w:rPr>
        <w:t xml:space="preserve">Slovak Gas Holding, B. V. (konzorcium spoločností GDF SUEZ SA a E.ON Ruhrgas, ďalej „SGH“), 49 % vlastník vrátane manažérskej kontroly. </w:t>
      </w:r>
      <w:r w:rsidRPr="00CE1C18">
        <w:rPr>
          <w:rFonts w:ascii="Times New Roman" w:hAnsi="Times New Roman" w:cs="Times New Roman"/>
          <w:szCs w:val="24"/>
        </w:rPr>
        <w:t>V SPP ako aj v skupine SPP, sa počas sledovaného obdobia (roky 2013 a 2014) zrealizovalo niekoľko významných zmien. V januári 2013 sa zmenil</w:t>
      </w:r>
      <w:r w:rsidRPr="00CE1C18">
        <w:rPr>
          <w:rFonts w:ascii="Times New Roman" w:hAnsi="Times New Roman" w:cs="Times New Roman"/>
        </w:rPr>
        <w:t xml:space="preserve"> minoritný akcionár SPP. Energetický a průmyslový holding, a.s. (ďalej „EPH“) získal 49 % podiel v SPP prostredníctvom kúpy SGH. Následne sa vo februári 2013 ukončil proces právneho oddelenia prepravnej a obchodnej činnosti v súlade s 3. energetickým balíčkom, ktorého výsledkom bol prevod majetku súvisiaceho s prepravou plynu do spoločnosti eustream, a.s., ktorá ako jediná na Slovensku má licenciu na prepravu zemného plynu. Súčasne prebehla aj zásadná reorganizácia skupiny SPP a vlastníckych podielov, ktorá začala v decembri 2013 podpisom rámcovej zmluvy medzi EPH, Fondom národného majetku SR a Ministerstvom hospodárstva SR o predaji a kúpe akcií,</w:t>
      </w:r>
      <w:r w:rsidRPr="00CE1C18">
        <w:rPr>
          <w:rFonts w:ascii="Times New Roman" w:hAnsi="Times New Roman" w:cs="Times New Roman"/>
          <w:szCs w:val="24"/>
        </w:rPr>
        <w:t xml:space="preserve"> ktorej súčasťou </w:t>
      </w:r>
      <w:r w:rsidRPr="00CE1C18">
        <w:rPr>
          <w:rFonts w:ascii="Times New Roman" w:hAnsi="Times New Roman" w:cs="Times New Roman"/>
        </w:rPr>
        <w:t>bol vklad vlastníckych podielov SPP vo vybraných dcérskych spoločnostiach do novozaloženej dcérskej spoločnosti SPP Infrastructure, a.s. Reorganizácia sa zavŕšila v júni 2014, kedy SPP predal 49 % vlastnícky podiel vrátane manažérskej kontroly v spoločnosti SPP Infrastructure, a.s. SGH a zároveň obstaral vlastné akcie od SGH. Výsledná zmena vlastníckych podielov skupiny zahŕňa SPP, kde je 100 % vlastníkom štát</w:t>
      </w:r>
      <w:r w:rsidRPr="00CE1C18">
        <w:rPr>
          <w:rFonts w:ascii="Times New Roman" w:hAnsi="Times New Roman" w:cs="Times New Roman"/>
          <w:szCs w:val="24"/>
        </w:rPr>
        <w:t>, pričom práva štátu ako akcionára vykonáva Ministerstvo hospodárstva SR</w:t>
      </w:r>
      <w:r w:rsidRPr="00CE1C18">
        <w:rPr>
          <w:rFonts w:ascii="Times New Roman" w:hAnsi="Times New Roman" w:cs="Times New Roman"/>
        </w:rPr>
        <w:t xml:space="preserve">. SPP Infrastructure, a.s. je vlastnená 51 % SPP a 49 % SGH.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Informácie prezentované nižšie sú čerpané z výročnej správy, individuálnej účtovnej závierky spoločnosti zostavenej za obdobie od 1. januára do 31. decembra 2014 vypracovanej v súlade s Medzinárodnými štandardmi finančného výkazníctva tak, ako boli schválené na použitie v EÚ a z verejne dostupných zdrojov. SPP je z dôvodu vlastníctva majetkových podielov v dcérskych spoločnostiach, v spoločných a pridružených podnikoch, povinný zostavovať konsolidovanú účtovnú závierku za skupinu SPP. SPP vlastní majetkové podiely v nasledujúcich dcérskych spoločnostiach, spoločných a pridružených podnikoch: SPP CZ, a.s. so sídlom v ČR zaoberajúca sa nákupom a predajom zemného plynu (100,00 % vlastník), SPP CNG, s.r.o. so sídlom na území SR zaoberajúca sa predajom stlačeného zemného plynu (100,00 % vlastník), SPP Infrastructure, a.s. so sídlom na území SR, majetkový holding (51,00 % vlastník), Nadácia SPP so sídlom na území SR (100,00 % vlastník) a EkoFond, n.f. so sídlom na území SR, neinvestičný fond (100,00 % vlastník).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Priemerný počet zamestnancov SPP za rok končiaci k 31. decembru 2014 bol 789.</w:t>
      </w:r>
    </w:p>
    <w:p w:rsidR="00CB210E">
      <w:pPr>
        <w:bidi w:val="0"/>
      </w:pPr>
      <w:bookmarkStart w:id="80" w:name="_Toc431985265"/>
      <w:bookmarkStart w:id="81" w:name="_Toc433099047"/>
      <w:bookmarkStart w:id="82" w:name="_Toc433099286"/>
      <w:bookmarkStart w:id="83" w:name="_Toc433099392"/>
      <w:bookmarkStart w:id="84" w:name="_Toc433099574"/>
      <w:r>
        <w:br w:type="page"/>
      </w:r>
    </w:p>
    <w:tbl>
      <w:tblPr>
        <w:tblStyle w:val="TableNormal"/>
        <w:tblW w:w="9060" w:type="dxa"/>
        <w:jc w:val="center"/>
        <w:tblCellMar>
          <w:left w:w="70" w:type="dxa"/>
          <w:right w:w="70" w:type="dxa"/>
        </w:tblCellMar>
        <w:tblLook w:val="04A0"/>
      </w:tblPr>
      <w:tblGrid>
        <w:gridCol w:w="3119"/>
        <w:gridCol w:w="1559"/>
        <w:gridCol w:w="992"/>
        <w:gridCol w:w="1134"/>
        <w:gridCol w:w="947"/>
        <w:gridCol w:w="1309"/>
      </w:tblGrid>
      <w:tr>
        <w:tblPrEx>
          <w:tblW w:w="9060" w:type="dxa"/>
          <w:jc w:val="center"/>
          <w:tblCellMar>
            <w:left w:w="70" w:type="dxa"/>
            <w:right w:w="70" w:type="dxa"/>
          </w:tblCellMar>
          <w:tblLook w:val="04A0"/>
        </w:tblPrEx>
        <w:trPr>
          <w:trHeight w:val="253"/>
          <w:jc w:val="center"/>
        </w:trPr>
        <w:tc>
          <w:tcPr>
            <w:tcW w:w="9060" w:type="dxa"/>
            <w:gridSpan w:val="6"/>
            <w:tcBorders>
              <w:top w:val="nil"/>
              <w:left w:val="nil"/>
              <w:bottom w:val="nil"/>
              <w:right w:val="nil"/>
            </w:tcBorders>
            <w:shd w:val="clear" w:color="000000" w:fill="000000"/>
            <w:noWrap/>
            <w:textDirection w:val="lrTb"/>
            <w:vAlign w:val="bottom"/>
            <w:hideMark/>
          </w:tcPr>
          <w:p w:rsidR="00CE1C18" w:rsidRPr="00CE1C18" w:rsidP="00CE1C18">
            <w:pPr>
              <w:bidi w:val="0"/>
              <w:spacing w:after="0" w:line="240" w:lineRule="auto"/>
              <w:rPr>
                <w:rFonts w:ascii="Times New Roman" w:hAnsi="Times New Roman" w:cs="Times New Roman"/>
                <w:b/>
                <w:bCs/>
                <w:color w:val="FFFFFF"/>
                <w:sz w:val="20"/>
                <w:szCs w:val="20"/>
                <w:lang w:eastAsia="sk-SK"/>
              </w:rPr>
            </w:pPr>
            <w:r w:rsidRPr="00CE1C18">
              <w:rPr>
                <w:rStyle w:val="Heading1Char"/>
                <w:rFonts w:hint="default"/>
                <w:b w:val="0"/>
                <w:color w:val="FFFFFF" w:themeColor="bg1" w:themeShade="FF"/>
                <w:sz w:val="20"/>
                <w:szCs w:val="20"/>
              </w:rPr>
              <w:t>Slovenský</w:t>
            </w:r>
            <w:r w:rsidRPr="00CE1C18">
              <w:rPr>
                <w:rStyle w:val="Heading1Char"/>
                <w:rFonts w:hint="default"/>
                <w:b w:val="0"/>
                <w:color w:val="FFFFFF" w:themeColor="bg1" w:themeShade="FF"/>
                <w:sz w:val="20"/>
                <w:szCs w:val="20"/>
              </w:rPr>
              <w:t xml:space="preserve"> plyná</w:t>
            </w:r>
            <w:r w:rsidRPr="00CE1C18">
              <w:rPr>
                <w:rStyle w:val="Heading1Char"/>
                <w:rFonts w:hint="default"/>
                <w:b w:val="0"/>
                <w:color w:val="FFFFFF" w:themeColor="bg1" w:themeShade="FF"/>
                <w:sz w:val="20"/>
                <w:szCs w:val="20"/>
              </w:rPr>
              <w:t>renský</w:t>
            </w:r>
            <w:r w:rsidRPr="00CE1C18">
              <w:rPr>
                <w:rStyle w:val="Heading1Char"/>
                <w:rFonts w:hint="default"/>
                <w:b w:val="0"/>
                <w:color w:val="FFFFFF" w:themeColor="bg1" w:themeShade="FF"/>
                <w:sz w:val="20"/>
                <w:szCs w:val="20"/>
              </w:rPr>
              <w:t xml:space="preserve"> priemysel, a.s.</w:t>
            </w:r>
            <w:bookmarkEnd w:id="80"/>
            <w:bookmarkEnd w:id="81"/>
            <w:bookmarkEnd w:id="82"/>
            <w:bookmarkEnd w:id="83"/>
            <w:bookmarkEnd w:id="84"/>
            <w:r w:rsidRPr="00CE1C18">
              <w:rPr>
                <w:rFonts w:ascii="Times New Roman" w:hAnsi="Times New Roman" w:cs="Times New Roman"/>
                <w:b/>
                <w:bCs/>
                <w:color w:val="FFFFFF" w:themeColor="bg1" w:themeShade="FF"/>
                <w:sz w:val="20"/>
                <w:szCs w:val="20"/>
                <w:lang w:eastAsia="sk-SK"/>
              </w:rPr>
              <w:t xml:space="preserve"> </w:t>
            </w:r>
            <w:r w:rsidRPr="00CE1C18">
              <w:rPr>
                <w:rFonts w:ascii="Times New Roman" w:hAnsi="Times New Roman" w:cs="Times New Roman"/>
                <w:b/>
                <w:bCs/>
                <w:color w:val="FFFFFF"/>
                <w:sz w:val="20"/>
                <w:szCs w:val="20"/>
                <w:lang w:eastAsia="sk-SK"/>
              </w:rPr>
              <w:t>- zmena VI 2013/2014 (v tis. eur)</w:t>
            </w:r>
          </w:p>
        </w:tc>
      </w:tr>
      <w:tr>
        <w:tblPrEx>
          <w:tblW w:w="9060" w:type="dxa"/>
          <w:jc w:val="center"/>
          <w:tblCellMar>
            <w:left w:w="70" w:type="dxa"/>
            <w:right w:w="70" w:type="dxa"/>
          </w:tblCellMar>
          <w:tblLook w:val="04A0"/>
        </w:tblPrEx>
        <w:trPr>
          <w:trHeight w:val="506"/>
          <w:jc w:val="center"/>
        </w:trPr>
        <w:tc>
          <w:tcPr>
            <w:tcW w:w="3119"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559"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1134"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947"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309"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060" w:type="dxa"/>
          <w:jc w:val="center"/>
          <w:tblCellMar>
            <w:left w:w="70" w:type="dxa"/>
            <w:right w:w="70" w:type="dxa"/>
          </w:tblCellMar>
          <w:tblLook w:val="04A0"/>
        </w:tblPrEx>
        <w:trPr>
          <w:trHeight w:val="253"/>
          <w:jc w:val="center"/>
        </w:trPr>
        <w:tc>
          <w:tcPr>
            <w:tcW w:w="3119"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5 345 703</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288 547</w:t>
            </w: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-3 189 438</w:t>
            </w:r>
          </w:p>
        </w:tc>
        <w:tc>
          <w:tcPr>
            <w:tcW w:w="94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30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2 444 812</w:t>
            </w:r>
          </w:p>
        </w:tc>
      </w:tr>
      <w:tr>
        <w:tblPrEx>
          <w:tblW w:w="9060" w:type="dxa"/>
          <w:jc w:val="center"/>
          <w:tblCellMar>
            <w:left w:w="70" w:type="dxa"/>
            <w:right w:w="70" w:type="dxa"/>
          </w:tblCellMar>
          <w:tblLook w:val="04A0"/>
        </w:tblPrEx>
        <w:trPr>
          <w:trHeight w:val="253"/>
          <w:jc w:val="center"/>
        </w:trPr>
        <w:tc>
          <w:tcPr>
            <w:tcW w:w="3119"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1 735 416</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94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-850 354</w:t>
            </w:r>
          </w:p>
        </w:tc>
        <w:tc>
          <w:tcPr>
            <w:tcW w:w="130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885 062</w:t>
            </w:r>
          </w:p>
        </w:tc>
      </w:tr>
      <w:tr>
        <w:tblPrEx>
          <w:tblW w:w="9060" w:type="dxa"/>
          <w:jc w:val="center"/>
          <w:tblCellMar>
            <w:left w:w="70" w:type="dxa"/>
            <w:right w:w="70" w:type="dxa"/>
          </w:tblCellMar>
          <w:tblLook w:val="04A0"/>
        </w:tblPrEx>
        <w:trPr>
          <w:trHeight w:val="253"/>
          <w:jc w:val="center"/>
        </w:trPr>
        <w:tc>
          <w:tcPr>
            <w:tcW w:w="3119"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Zákonný rezervný fond</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347 329</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94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850 354</w:t>
            </w:r>
          </w:p>
        </w:tc>
        <w:tc>
          <w:tcPr>
            <w:tcW w:w="130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1 197 683</w:t>
            </w:r>
          </w:p>
        </w:tc>
      </w:tr>
      <w:tr>
        <w:tblPrEx>
          <w:tblW w:w="9060" w:type="dxa"/>
          <w:jc w:val="center"/>
          <w:tblCellMar>
            <w:left w:w="70" w:type="dxa"/>
            <w:right w:w="70" w:type="dxa"/>
          </w:tblCellMar>
          <w:tblLook w:val="04A0"/>
        </w:tblPrEx>
        <w:trPr>
          <w:trHeight w:val="253"/>
          <w:jc w:val="center"/>
        </w:trPr>
        <w:tc>
          <w:tcPr>
            <w:tcW w:w="3119"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Rezervy</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-1 996</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-5 504</w:t>
            </w:r>
          </w:p>
        </w:tc>
        <w:tc>
          <w:tcPr>
            <w:tcW w:w="94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30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-7 500</w:t>
            </w:r>
          </w:p>
        </w:tc>
      </w:tr>
      <w:tr>
        <w:tblPrEx>
          <w:tblW w:w="9060" w:type="dxa"/>
          <w:jc w:val="center"/>
          <w:tblCellMar>
            <w:left w:w="70" w:type="dxa"/>
            <w:right w:w="70" w:type="dxa"/>
          </w:tblCellMar>
          <w:tblLook w:val="04A0"/>
        </w:tblPrEx>
        <w:trPr>
          <w:trHeight w:val="253"/>
          <w:jc w:val="center"/>
        </w:trPr>
        <w:tc>
          <w:tcPr>
            <w:tcW w:w="3119"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3 264 954</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-3 183 934</w:t>
            </w:r>
          </w:p>
        </w:tc>
        <w:tc>
          <w:tcPr>
            <w:tcW w:w="94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30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81 020</w:t>
            </w:r>
          </w:p>
        </w:tc>
      </w:tr>
      <w:tr>
        <w:tblPrEx>
          <w:tblW w:w="9060" w:type="dxa"/>
          <w:jc w:val="center"/>
          <w:tblCellMar>
            <w:left w:w="70" w:type="dxa"/>
            <w:right w:w="70" w:type="dxa"/>
          </w:tblCellMar>
          <w:tblLook w:val="04A0"/>
        </w:tblPrEx>
        <w:trPr>
          <w:trHeight w:val="253"/>
          <w:jc w:val="center"/>
        </w:trPr>
        <w:tc>
          <w:tcPr>
            <w:tcW w:w="3119"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559"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288 547</w:t>
            </w:r>
          </w:p>
        </w:tc>
        <w:tc>
          <w:tcPr>
            <w:tcW w:w="1134"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47"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309"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288 547</w:t>
            </w:r>
          </w:p>
        </w:tc>
      </w:tr>
    </w:tbl>
    <w:p w:rsidR="00CE1C18" w:rsidRPr="00CE1C18" w:rsidP="00CE1C18">
      <w:pPr>
        <w:bidi w:val="0"/>
        <w:jc w:val="right"/>
        <w:rPr>
          <w:rFonts w:ascii="Times New Roman" w:hAnsi="Times New Roman" w:cs="Times New Roman"/>
          <w:i/>
          <w:iCs/>
          <w:color w:val="FF0000"/>
          <w:sz w:val="16"/>
          <w:szCs w:val="16"/>
          <w:lang w:eastAsia="sk-SK"/>
        </w:rPr>
      </w:pPr>
      <w:r w:rsidRPr="00CE1C18">
        <w:rPr>
          <w:rFonts w:ascii="Times New Roman" w:hAnsi="Times New Roman" w:cs="Times New Roman"/>
          <w:i/>
          <w:color w:val="FF0000"/>
          <w:sz w:val="16"/>
          <w:szCs w:val="16"/>
        </w:rPr>
        <w:tab/>
        <w:tab/>
        <w:tab/>
      </w:r>
      <w:r w:rsidRPr="00CE1C18">
        <w:rPr>
          <w:rFonts w:ascii="Times New Roman" w:hAnsi="Times New Roman" w:cs="Times New Roman"/>
          <w:color w:val="FF0000"/>
          <w:sz w:val="16"/>
          <w:szCs w:val="16"/>
        </w:rPr>
        <w:tab/>
        <w:tab/>
        <w:tab/>
        <w:tab/>
        <w:tab/>
        <w:tab/>
        <w:tab/>
        <w:tab/>
      </w: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SPP</w:t>
      </w:r>
      <w:r w:rsidRPr="00CE1C18">
        <w:rPr>
          <w:rFonts w:ascii="Times New Roman" w:hAnsi="Times New Roman" w:cs="Times New Roman"/>
          <w:szCs w:val="24"/>
        </w:rPr>
        <w:t xml:space="preserve"> sa v roku 2014 znížilo o 2 900 891 tis. eur najmä vplyvom reorganizácie skupiny SPP, ktorej vplyv bol vo výške 2 916 349 tis. eur. Negatívny vplyv mala aj zmena stavu rezervy na zabezpečovacie deriváty vo výške 5 504 tis. eur a vyplatenie dividend vo výške 267 585 tis. eur, z nej superdividenda, vzťahujúca sa na vlastnícky podiel štátu, bola v roku 2014 zaznamenaná vo výške 141 729 tis. eur a ESA dividenda, vzťahujúca sa na vlastnícky podiel štátu, bola za rok 2014 vykázaná vo výške 125 856 tis. eur. Negatívne dopady čiastočne eliminoval dosiahnutý zisk za bežné obdobie vo výške 288 547 tis. eur.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Zisk bežného obdobia vzrástol o 7,8 % vplyvom zisku z predaja investícií k dispozícii na predaj (7,7 násobný medziročný rast) a vplyvom poklesu prevádzkových nákladov. Najväčší pokles bol vykázaný na položke nákladov na nákup zemného plynu, elektriny a spotrebe materiálu a energie</w:t>
      </w:r>
      <w:r>
        <w:rPr>
          <w:rFonts w:ascii="Times New Roman" w:hAnsi="Times New Roman" w:cs="Times New Roman"/>
          <w:szCs w:val="24"/>
        </w:rPr>
        <w:t xml:space="preserve"> (o 16,4</w:t>
      </w:r>
      <w:r w:rsidRPr="00CE1C18">
        <w:rPr>
          <w:rFonts w:ascii="Times New Roman" w:hAnsi="Times New Roman" w:cs="Times New Roman"/>
          <w:szCs w:val="24"/>
        </w:rPr>
        <w:t> %), ktorý mal protistranu v poklese výnosov z predaja zemného plynu a elektriny o 14,4 % (nižší objem predaja zemného plynu spôsobený nižšou spotrebou plynu na Slovensku o 14,0 % najmä vplyvom miernejšej zimy a pretrvávajúceho trendu úspor energií na strane spotrebiteľov). Pozitívny vplyv mali aj nižšie odpisy a amortizácia, ktoré boli výsledkom prevodu plynárenského majetku vloženého vo forme nepeňažného vkladu do spoločnosti eustream, a.s. zrealizovaného k 28. 2. 2013 (v roku 2013 SPP odpisovalo plynárenský majetok dva mesiace). Významná úspora bola zaznamenaná aj na osobných nákladoch o 13,1 % (medziročný pokles skutočného evidenčného počtu zamestnancov o 140 ľudí).</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Negatívny vývoj nebol zaznamenaný iba vo výnosoch z predaja zemného plynu a elektriny, ale aj v tržbách za prenájom plynárenského majetku a ostatných výnosov (pokles o 75,1 % vplyvom nižších výnosov z prenájmu plynárenského majetku vzhľadom na prevod majetku do spoločnosti eustream, a.s., v roku 2013 boli výnosy zúčtované za obdobie do prevodu). Negatívny vplyv na zisk bežného obdobia mali aj rezervy a straty zo znehodnotenia majetku z dôvodu absencie rozpustenia rezervy na nevýhodné zmluvy zúčtovaného v roku 2013. Negatívny dopad na zisk mal aj vyšší osobitný odvod regulovaných odvetví.</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Schválená dividenda za rok 2013 bola vo výš</w:t>
      </w:r>
      <w:r>
        <w:rPr>
          <w:rFonts w:ascii="Times New Roman" w:hAnsi="Times New Roman" w:cs="Times New Roman"/>
          <w:szCs w:val="24"/>
        </w:rPr>
        <w:t xml:space="preserve">ke </w:t>
      </w:r>
      <w:r w:rsidRPr="00CE1C18">
        <w:rPr>
          <w:rFonts w:ascii="Times New Roman" w:hAnsi="Times New Roman" w:cs="Times New Roman"/>
          <w:szCs w:val="24"/>
        </w:rPr>
        <w:t xml:space="preserve">267 585 tis. eur, no reálne sa počas roku 2014 vyplatili dividendy vo výške 632 910 tis. eur vzhľadom na skutočnosť, že v priebehu roka 2013 nebolo zrealizované vyplatenie dividend za rok 2012.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b/>
          <w:szCs w:val="24"/>
        </w:rPr>
        <w:t>Železnice Slovenskej republiky</w:t>
      </w:r>
      <w:r w:rsidRPr="00CE1C18">
        <w:rPr>
          <w:rFonts w:ascii="Times New Roman" w:hAnsi="Times New Roman" w:cs="Times New Roman"/>
          <w:szCs w:val="24"/>
        </w:rPr>
        <w:t xml:space="preserve"> (ďalej „ŽSR“) so sídlom Klemensova 8, Bratislava, vznikli 10.</w:t>
      </w:r>
      <w:r w:rsidR="005B0C7F">
        <w:rPr>
          <w:rFonts w:ascii="Times New Roman" w:hAnsi="Times New Roman" w:cs="Times New Roman"/>
          <w:szCs w:val="24"/>
        </w:rPr>
        <w:t> </w:t>
      </w:r>
      <w:r w:rsidRPr="00CE1C18">
        <w:rPr>
          <w:rFonts w:ascii="Times New Roman" w:hAnsi="Times New Roman" w:cs="Times New Roman"/>
          <w:szCs w:val="24"/>
        </w:rPr>
        <w:t>novembra 1993 na základe zákona NR SR č. 258/1993 Z. z. o ŽSR z 30. septembra 1993 (v znení zákona č. 152/1997 Z. z. zo 14. mája 1997 a zákona č. 259/2001 Z. z. zo 14. júna 2001). ŽSR je zákonným nástupcom Železníc Slovenskej republiky, š.p., ktoré boli zriadené 1. januára 1993, v čase rozdelenia bývalého Československa na Českú a Slovenskú republiku.</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Vlastnícku štruktúru ŽSR tvoril k 31. 12. 2014 jediný vlastník štát, pričom práva štátu ako akcionára vykonávalo Ministerstvo dopravy, výstavby a regionálneho rozvoja</w:t>
      </w:r>
      <w:r>
        <w:rPr>
          <w:rFonts w:ascii="Times New Roman" w:hAnsi="Times New Roman" w:cs="Times New Roman"/>
          <w:szCs w:val="24"/>
        </w:rPr>
        <w:t xml:space="preserve"> SR. </w:t>
      </w:r>
      <w:r w:rsidRPr="00CE1C18">
        <w:rPr>
          <w:rFonts w:ascii="Times New Roman" w:hAnsi="Times New Roman" w:cs="Times New Roman"/>
          <w:szCs w:val="24"/>
        </w:rPr>
        <w:t>Informácie prezentované nižšie sú čerpané z výročnej správy a z individuálnej účtovnej závierky spoločnosti zostavenej za obdobie od 1. januára do 31. decembra 2014 vypracovanej v súlade s Medzinárodnými štandardmi finančného výkazníctva tak, ako boli schválené na použitie v EÚ. ŽSR napriek vlastníctvu majetkových podielov v dcérskych spoločnostiach, v spoločných a pridružených podnikoch, nie sú povinné zostavovať konsolidovanú účtovnú závierku, a to z titulu splnenia podmienok v § 22 ods. 12 zákona č. 431/2002 Z. z. o účtovníctve v znení neskorších predpisov.</w:t>
      </w:r>
      <w:r w:rsidRPr="00CE1C18">
        <w:rPr>
          <w:rFonts w:ascii="Times New Roman" w:hAnsi="Times New Roman" w:cs="Times New Roman"/>
          <w:color w:val="FF0000"/>
          <w:szCs w:val="24"/>
        </w:rPr>
        <w:t xml:space="preserve"> </w:t>
      </w:r>
      <w:r w:rsidRPr="00CE1C18">
        <w:rPr>
          <w:rFonts w:ascii="Times New Roman" w:hAnsi="Times New Roman" w:cs="Times New Roman"/>
          <w:szCs w:val="24"/>
        </w:rPr>
        <w:t xml:space="preserve">ŽSR vlastní majetkové podiely v nasledujúcich dcérskych a pridružených spoločnostiach: Stabilita, d.d.s. so sídlom na územní SR, zaoberajúca sa správou doplnkových dôchodkových fondov (55,26 % vlastník), ŽPVS, a.s. so sídlom na územní SR, zaoberajúca sa výrobou betónových výrobkov, prefabrikátov a konštrukcií na stavebné účely (41,06 % vlastník), Breitspur Planungs GmbH, so sídlom v Rakúsku, zaoberajúca sa plánovaním a pokračovaním železničnej infraštruktúry rozchodom 1520 mm od hraníc s Ukrajinou cez územie SR do Rakúska a na jeho území (25,00 % vlastník), Betamat, a.s. so sídlom na území SR, zaoberajúca sa montážou, údržbou a opravou telekomunikačných zariadení (10,00 % vlastník) a HIT RAIL, b.v. so sídlom v Holandsku, zaoberajúca sa realizáciou prepojenia informačných systémov železníc v rámci UIC, vývojom aplikácií medzinárodného prenosu dát HERMES VPN.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Priemerný prepočítaný počet zamestnancov ŽSR za účtovné obdobie k 31. decembru 2014 bol 14 109.</w:t>
      </w:r>
    </w:p>
    <w:tbl>
      <w:tblPr>
        <w:tblStyle w:val="TableNormal"/>
        <w:tblW w:w="9077" w:type="dxa"/>
        <w:tblCellMar>
          <w:left w:w="70" w:type="dxa"/>
          <w:right w:w="70" w:type="dxa"/>
        </w:tblCellMar>
        <w:tblLook w:val="04A0"/>
      </w:tblPr>
      <w:tblGrid>
        <w:gridCol w:w="3402"/>
        <w:gridCol w:w="1560"/>
        <w:gridCol w:w="992"/>
        <w:gridCol w:w="850"/>
        <w:gridCol w:w="901"/>
        <w:gridCol w:w="1372"/>
      </w:tblGrid>
      <w:tr>
        <w:tblPrEx>
          <w:tblW w:w="9077" w:type="dxa"/>
          <w:tblCellMar>
            <w:left w:w="70" w:type="dxa"/>
            <w:right w:w="70" w:type="dxa"/>
          </w:tblCellMar>
          <w:tblLook w:val="04A0"/>
        </w:tblPrEx>
        <w:trPr>
          <w:trHeight w:val="250"/>
        </w:trPr>
        <w:tc>
          <w:tcPr>
            <w:tcW w:w="9077" w:type="dxa"/>
            <w:gridSpan w:val="6"/>
            <w:tcBorders>
              <w:top w:val="nil"/>
              <w:left w:val="nil"/>
              <w:bottom w:val="nil"/>
              <w:right w:val="nil"/>
            </w:tcBorders>
            <w:shd w:val="clear" w:color="000000" w:fill="000000"/>
            <w:noWrap/>
            <w:textDirection w:val="lrTb"/>
            <w:vAlign w:val="bottom"/>
            <w:hideMark/>
          </w:tcPr>
          <w:p w:rsidR="00CE1C18" w:rsidRPr="00CE1C18" w:rsidP="00CE1C18">
            <w:pPr>
              <w:bidi w:val="0"/>
              <w:spacing w:after="0" w:line="240" w:lineRule="auto"/>
              <w:rPr>
                <w:rFonts w:ascii="Times New Roman" w:hAnsi="Times New Roman" w:cs="Times New Roman"/>
                <w:b/>
                <w:bCs/>
                <w:color w:val="FFFFFF"/>
                <w:sz w:val="20"/>
                <w:szCs w:val="20"/>
                <w:lang w:eastAsia="sk-SK"/>
              </w:rPr>
            </w:pPr>
            <w:bookmarkStart w:id="85" w:name="_Toc431985266"/>
            <w:bookmarkStart w:id="86" w:name="_Toc433099048"/>
            <w:bookmarkStart w:id="87" w:name="_Toc433099287"/>
            <w:bookmarkStart w:id="88" w:name="_Toc433099393"/>
            <w:bookmarkStart w:id="89" w:name="_Toc433099575"/>
            <w:r w:rsidRPr="00CE1C18">
              <w:rPr>
                <w:rStyle w:val="Heading1Char"/>
                <w:rFonts w:hint="default"/>
                <w:b w:val="0"/>
                <w:color w:val="FFFFFF" w:themeColor="bg1" w:themeShade="FF"/>
                <w:sz w:val="20"/>
                <w:szCs w:val="20"/>
              </w:rPr>
              <w:t>Ž</w:t>
            </w:r>
            <w:r w:rsidRPr="00CE1C18">
              <w:rPr>
                <w:rStyle w:val="Heading1Char"/>
                <w:rFonts w:hint="default"/>
                <w:b w:val="0"/>
                <w:color w:val="FFFFFF" w:themeColor="bg1" w:themeShade="FF"/>
                <w:sz w:val="20"/>
                <w:szCs w:val="20"/>
              </w:rPr>
              <w:t xml:space="preserve">eleznice </w:t>
            </w:r>
            <w:r w:rsidRPr="00CE1C18">
              <w:rPr>
                <w:rStyle w:val="Heading1Char"/>
                <w:rFonts w:hint="default"/>
                <w:b w:val="0"/>
                <w:color w:val="FFFFFF" w:themeColor="bg1" w:themeShade="FF"/>
                <w:sz w:val="20"/>
                <w:szCs w:val="20"/>
              </w:rPr>
              <w:t>Slovenskej republiky</w:t>
            </w:r>
            <w:bookmarkEnd w:id="85"/>
            <w:bookmarkEnd w:id="86"/>
            <w:bookmarkEnd w:id="87"/>
            <w:bookmarkEnd w:id="88"/>
            <w:bookmarkEnd w:id="89"/>
            <w:r w:rsidRPr="00CE1C18">
              <w:rPr>
                <w:rFonts w:ascii="Times New Roman" w:hAnsi="Times New Roman" w:cs="Times New Roman"/>
                <w:b/>
                <w:bCs/>
                <w:color w:val="FFFFFF"/>
                <w:sz w:val="20"/>
                <w:szCs w:val="20"/>
                <w:lang w:eastAsia="sk-SK"/>
              </w:rPr>
              <w:t xml:space="preserve"> - zmena VI 2013/2014 (v tis. eur)</w:t>
            </w:r>
          </w:p>
        </w:tc>
      </w:tr>
      <w:tr>
        <w:tblPrEx>
          <w:tblW w:w="9077" w:type="dxa"/>
          <w:tblCellMar>
            <w:left w:w="70" w:type="dxa"/>
            <w:right w:w="70" w:type="dxa"/>
          </w:tblCellMar>
          <w:tblLook w:val="04A0"/>
        </w:tblPrEx>
        <w:trPr>
          <w:trHeight w:val="501"/>
        </w:trPr>
        <w:tc>
          <w:tcPr>
            <w:tcW w:w="3402"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56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901"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37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077" w:type="dxa"/>
          <w:tblCellMar>
            <w:left w:w="70" w:type="dxa"/>
            <w:right w:w="70" w:type="dxa"/>
          </w:tblCellMar>
          <w:tblLook w:val="04A0"/>
        </w:tblPrEx>
        <w:trPr>
          <w:trHeight w:val="250"/>
        </w:trPr>
        <w:tc>
          <w:tcPr>
            <w:tcW w:w="340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1 618 998</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9 412</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-2 091</w:t>
            </w:r>
          </w:p>
        </w:tc>
        <w:tc>
          <w:tcPr>
            <w:tcW w:w="9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37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1 626 319</w:t>
            </w:r>
          </w:p>
        </w:tc>
      </w:tr>
      <w:tr>
        <w:tblPrEx>
          <w:tblW w:w="9077" w:type="dxa"/>
          <w:tblCellMar>
            <w:left w:w="70" w:type="dxa"/>
            <w:right w:w="70" w:type="dxa"/>
          </w:tblCellMar>
          <w:tblLook w:val="04A0"/>
        </w:tblPrEx>
        <w:trPr>
          <w:trHeight w:val="250"/>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760 337</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-103</w:t>
            </w:r>
          </w:p>
        </w:tc>
        <w:tc>
          <w:tcPr>
            <w:tcW w:w="9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37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760 234</w:t>
            </w:r>
          </w:p>
        </w:tc>
      </w:tr>
      <w:tr>
        <w:tblPrEx>
          <w:tblW w:w="9077" w:type="dxa"/>
          <w:tblCellMar>
            <w:left w:w="70" w:type="dxa"/>
            <w:right w:w="70" w:type="dxa"/>
          </w:tblCellMar>
          <w:tblLook w:val="04A0"/>
        </w:tblPrEx>
        <w:trPr>
          <w:trHeight w:val="250"/>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Zákonný rezervný fond</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21 904</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9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37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21 904</w:t>
            </w:r>
          </w:p>
        </w:tc>
      </w:tr>
      <w:tr>
        <w:tblPrEx>
          <w:tblW w:w="9077" w:type="dxa"/>
          <w:tblCellMar>
            <w:left w:w="70" w:type="dxa"/>
            <w:right w:w="70" w:type="dxa"/>
          </w:tblCellMar>
          <w:tblLook w:val="04A0"/>
        </w:tblPrEx>
        <w:trPr>
          <w:trHeight w:val="250"/>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Kapitálové fondy</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484 814</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4 580</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-156</w:t>
            </w:r>
          </w:p>
        </w:tc>
        <w:tc>
          <w:tcPr>
            <w:tcW w:w="9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37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489 238</w:t>
            </w:r>
          </w:p>
        </w:tc>
      </w:tr>
      <w:tr>
        <w:tblPrEx>
          <w:tblW w:w="9077" w:type="dxa"/>
          <w:tblCellMar>
            <w:left w:w="70" w:type="dxa"/>
            <w:right w:w="70" w:type="dxa"/>
          </w:tblCellMar>
          <w:tblLook w:val="04A0"/>
        </w:tblPrEx>
        <w:trPr>
          <w:trHeight w:val="250"/>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351 943</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-1 832</w:t>
            </w:r>
          </w:p>
        </w:tc>
        <w:tc>
          <w:tcPr>
            <w:tcW w:w="9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37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350 111</w:t>
            </w:r>
          </w:p>
        </w:tc>
      </w:tr>
      <w:tr>
        <w:tblPrEx>
          <w:tblW w:w="9077" w:type="dxa"/>
          <w:tblCellMar>
            <w:left w:w="70" w:type="dxa"/>
            <w:right w:w="70" w:type="dxa"/>
          </w:tblCellMar>
          <w:tblLook w:val="04A0"/>
        </w:tblPrEx>
        <w:trPr>
          <w:trHeight w:val="250"/>
        </w:trPr>
        <w:tc>
          <w:tcPr>
            <w:tcW w:w="3402"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560"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xml:space="preserve">  </w:t>
            </w:r>
          </w:p>
        </w:tc>
        <w:tc>
          <w:tcPr>
            <w:tcW w:w="992"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4 832</w:t>
            </w:r>
          </w:p>
        </w:tc>
        <w:tc>
          <w:tcPr>
            <w:tcW w:w="850"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01"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372"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4 832</w:t>
            </w:r>
          </w:p>
        </w:tc>
      </w:tr>
    </w:tbl>
    <w:p w:rsidR="00CE1C18" w:rsidRPr="00CE1C18" w:rsidP="00CE1C18">
      <w:pPr>
        <w:bidi w:val="0"/>
        <w:ind w:firstLine="708"/>
        <w:jc w:val="right"/>
        <w:rPr>
          <w:rFonts w:ascii="Times New Roman" w:hAnsi="Times New Roman" w:cs="Times New Roman"/>
          <w:sz w:val="16"/>
          <w:szCs w:val="16"/>
        </w:rPr>
      </w:pP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 w:val="16"/>
          <w:szCs w:val="16"/>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ŽSR</w:t>
      </w:r>
      <w:r w:rsidRPr="00CE1C18">
        <w:rPr>
          <w:rFonts w:ascii="Times New Roman" w:hAnsi="Times New Roman" w:cs="Times New Roman"/>
          <w:szCs w:val="24"/>
        </w:rPr>
        <w:t xml:space="preserve"> sa v roku 2014 zvýšilo oproti predchádzajúcemu roku o 7 321 tis. eur najmä vplyvom čistého zisku vo výške 4 832 tis. eur a nepeňažného vkladu vo výške 4 580 tis. eur. </w:t>
      </w:r>
    </w:p>
    <w:p w:rsidR="00CE1C18" w:rsidRPr="00CE1C18" w:rsidP="00CE1C18">
      <w:pPr>
        <w:bidi w:val="0"/>
        <w:spacing w:after="120" w:line="336" w:lineRule="auto"/>
        <w:jc w:val="both"/>
        <w:rPr>
          <w:rFonts w:ascii="Times New Roman" w:hAnsi="Times New Roman" w:cs="Times New Roman"/>
        </w:rPr>
      </w:pPr>
      <w:r w:rsidRPr="00CE1C18">
        <w:rPr>
          <w:rFonts w:ascii="Times New Roman" w:hAnsi="Times New Roman" w:cs="Times New Roman"/>
          <w:szCs w:val="24"/>
        </w:rPr>
        <w:t xml:space="preserve">Čistý zisk medziročne výrazne klesol o 40 362 tis. eur (pokles o 89,3 %) z dôvodu rastu prevádzkových nákladov o 7,8 % a poklesu výnosov o 4,5 %. Hlavný vplyv na pokles prevádzkových výnosov malo nižšie zúčtovanie </w:t>
      </w:r>
      <w:r w:rsidRPr="00CE1C18">
        <w:rPr>
          <w:rFonts w:ascii="Times New Roman" w:hAnsi="Times New Roman" w:cs="Times New Roman"/>
        </w:rPr>
        <w:t>opravných položiek k pohľa</w:t>
      </w:r>
      <w:r w:rsidR="005B0C7F">
        <w:rPr>
          <w:rFonts w:ascii="Times New Roman" w:hAnsi="Times New Roman" w:cs="Times New Roman"/>
        </w:rPr>
        <w:t>dávkam v porovnaní s rokom 2013</w:t>
        <w:br/>
      </w:r>
      <w:r w:rsidRPr="00CE1C18">
        <w:rPr>
          <w:rFonts w:ascii="Times New Roman" w:hAnsi="Times New Roman" w:cs="Times New Roman"/>
        </w:rPr>
        <w:t>(v roku 2013 bola zúčtovaná časť opravných položiek k pohľadávkam voči spoločnosti Cargo Slovakia, a.s., ich zrušenie súviselo s prijatím opatrení na konsolidáciu a oddlženie železničnej nákladnej dopravy). Nárast bol zaznamenaný aj v nákladových položkách odpisov a amortizácie (obstarania dlhodobého hmotného majetku) a osobných nákladov (vplyvom novej Kolektívnej zmluvy pre rok 2014).</w:t>
      </w:r>
    </w:p>
    <w:p w:rsidR="00CE1C18" w:rsidRPr="00CE1C18" w:rsidP="00CE1C18">
      <w:pPr>
        <w:bidi w:val="0"/>
        <w:spacing w:after="120" w:line="336" w:lineRule="auto"/>
        <w:jc w:val="both"/>
        <w:rPr>
          <w:rFonts w:ascii="Times New Roman" w:hAnsi="Times New Roman" w:cs="Times New Roman"/>
        </w:rPr>
      </w:pPr>
      <w:r w:rsidRPr="00CE1C18">
        <w:rPr>
          <w:rFonts w:ascii="Times New Roman" w:hAnsi="Times New Roman" w:cs="Times New Roman"/>
          <w:szCs w:val="24"/>
        </w:rPr>
        <w:t>Napriek rastu poplatkov za prístup do železničnej infraštruktúry, ktoré predstavujú 20,9 % z celkových výnosov, celkové výnosy klesli o 4,5 %.</w:t>
      </w:r>
      <w:r w:rsidRPr="00CE1C18">
        <w:rPr>
          <w:rFonts w:ascii="Times New Roman" w:hAnsi="Times New Roman" w:cs="Times New Roman"/>
          <w:color w:val="FF0000"/>
          <w:szCs w:val="24"/>
        </w:rPr>
        <w:t xml:space="preserve"> </w:t>
      </w:r>
      <w:r w:rsidRPr="00CE1C18">
        <w:rPr>
          <w:rFonts w:ascii="Times New Roman" w:hAnsi="Times New Roman" w:cs="Times New Roman"/>
          <w:szCs w:val="24"/>
        </w:rPr>
        <w:t>Negatívny dopad mali hlavne nižšie dotácie zo strany štátu na prevádzkovanie železničnej infraštruktúry (pokles o 3,8 %, realizácia úsporných opatrení znížila fixné ekonomicky oprávnené náklady, na úhradu ktorých dotácie slúžia) a nižšie výnosy z predaja trakčnej energie (nižší dopyt po energii zo strany odberateľov, bol kompenzovaný nižšími nákladmi na nákup elektrickej energie).</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Na strane výnosov vzrástli tržby z poplatku za prístup do železničnej infraštruktúry vrátane kompenzácie za zníženie poplatku o 4,1 % vďaka miernemu rastu výkonov v oblasti nákladnej dopravy (väčší objem prepraveného tovaru). Mierny rast bol zaznamenaný aj v oblasti osobnej dopravy vplyvom vstupu dvoch nových prepravcov na trh (Leo Express a Regio Jet na trati Bratislava – Košice a Praha – Košice) a zvýšenej potrebe vlakov pre osobnú prepravu z dôvodu realizácie opatrenia v zmysle rozhodnutia vlády SR o bezplatnej preprave žiakov, študentov a dôchodcov vo vlakoch od 17. novembra 2014. Výšku tržieb za prístup do železničnej infraštruktúry ovplyvnila kompenzácia, ktorú štát poskytuje ŽSR za zníženie poplatkov za prístup do železničnej infraštruktúry nákladným prepravcom. Kompenzácie sa poskytujú na základe Uznesenia vlády SR č. 390/2013 prijatého 10. júla 2013 s účinnosťou do 31. 12. 2016.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Okrem zisku pozitívne ovplyvnil výšku vlastného imania aj nepeňažný vklad</w:t>
      </w:r>
      <w:r>
        <w:rPr>
          <w:rFonts w:ascii="Times New Roman" w:hAnsi="Times New Roman" w:cs="Times New Roman"/>
          <w:szCs w:val="24"/>
        </w:rPr>
        <w:t xml:space="preserve"> </w:t>
      </w:r>
      <w:r w:rsidRPr="00CE1C18">
        <w:rPr>
          <w:rFonts w:ascii="Times New Roman" w:hAnsi="Times New Roman" w:cs="Times New Roman"/>
          <w:szCs w:val="24"/>
        </w:rPr>
        <w:t>do kapitálových fondov vo výške 4 580 tis. eur (vplyv vysporiadania pozemkov). Negatívny dopad na konečný stav vlastného imania malo precenenie rezervy na zamestnanecké požitky vo výške 1 832 tis. 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b/>
          <w:szCs w:val="24"/>
        </w:rPr>
        <w:t>Železničná spoločnosť Cargo Slovakia, a.s.</w:t>
      </w:r>
      <w:r w:rsidRPr="00CE1C18">
        <w:rPr>
          <w:rFonts w:ascii="Times New Roman" w:hAnsi="Times New Roman" w:cs="Times New Roman"/>
          <w:szCs w:val="24"/>
        </w:rPr>
        <w:t xml:space="preserve"> (ďalej „ŽS Cargo“), so sídlom Drieňová 24, Bratislava, vznikla dňa 1. januára 2005 ako jedna z dvoch následníckych spoločností Železničnej spoločnosti, a.s. Železničná spoločnosť, a.s. ako predchodkyňa bola založená 1. januára 2002 vyňatím a vložením časti podniku Železníc Slovenskej republiky, ktorá prevzala zodpovednosť za poskytovanie osobnej a nákladnej železničnej prepravy a dopravné služby v rámci SR. Železničná spoločnosť, a.s. bola 31. decembra 2014 zrušená bez likvidácie a nahradili ju po rozdelení dve novozaložené následnícke spoločnosti: ŽS Cargo pre nákladnú prepravu a dopravné služby a Železničná spoločnosť Slovensko pre osobnú prepravu a dopravné služby.</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Vlastnícku štruktúru ŽS Cargo tvoril k 31. 12. 2014 jediný vlastník štát, pričom práva štátu ako akcionára vykonávalo Ministerstvo dopravy, výstavby a regionálneho rozvoja SR. Informácie prezentované nižšie sú čerpané z výročnej správy a z individuálnej účtovnej závierky spoločnosti zostavenej za obdobie od 1. januára do 31. decembra 2014 vypracovanej v súlade s Medzinárodnými štandardmi finančného výkazníctva tak, ako boli schválené na použitie v EÚ. ŽS Cargo vlastní majetkové podiely v nasledujúcich dcérskej spoločnosti a v spoločnom podniku: Cargo Wagon, a.s. so sídlom na území SR (100,00 % vlastník), ZSSK CARGO Intermodal, a.s</w:t>
      </w:r>
      <w:r>
        <w:rPr>
          <w:rFonts w:ascii="Times New Roman" w:hAnsi="Times New Roman" w:cs="Times New Roman"/>
          <w:szCs w:val="24"/>
        </w:rPr>
        <w:t>. so sídlom na území SR (100,00</w:t>
      </w:r>
      <w:r w:rsidRPr="00CE1C18">
        <w:rPr>
          <w:rFonts w:ascii="Times New Roman" w:hAnsi="Times New Roman" w:cs="Times New Roman"/>
          <w:szCs w:val="24"/>
        </w:rPr>
        <w:t xml:space="preserve"> % vlastník) a BULK TRANSSHIPMENT SLOVAKIA, a.s. so sídlom na území SR, zaoberajúca sa prekládkou železnej rudy v Čiernej nad Tisou (40,00 % vlastník).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Evidenčný počet zamestnancov ŽS Cargo k 31. decembru 2014 bol 6 103.</w:t>
      </w:r>
    </w:p>
    <w:tbl>
      <w:tblPr>
        <w:tblStyle w:val="TableNormal"/>
        <w:tblW w:w="9098" w:type="dxa"/>
        <w:jc w:val="center"/>
        <w:tblCellMar>
          <w:left w:w="70" w:type="dxa"/>
          <w:right w:w="70" w:type="dxa"/>
        </w:tblCellMar>
        <w:tblLook w:val="04A0"/>
      </w:tblPr>
      <w:tblGrid>
        <w:gridCol w:w="3544"/>
        <w:gridCol w:w="1559"/>
        <w:gridCol w:w="993"/>
        <w:gridCol w:w="850"/>
        <w:gridCol w:w="851"/>
        <w:gridCol w:w="1301"/>
      </w:tblGrid>
      <w:tr>
        <w:tblPrEx>
          <w:tblW w:w="9098" w:type="dxa"/>
          <w:jc w:val="center"/>
          <w:tblCellMar>
            <w:left w:w="70" w:type="dxa"/>
            <w:right w:w="70" w:type="dxa"/>
          </w:tblCellMar>
          <w:tblLook w:val="04A0"/>
        </w:tblPrEx>
        <w:trPr>
          <w:trHeight w:val="256"/>
          <w:jc w:val="center"/>
        </w:trPr>
        <w:tc>
          <w:tcPr>
            <w:tcW w:w="9098" w:type="dxa"/>
            <w:gridSpan w:val="6"/>
            <w:tcBorders>
              <w:top w:val="nil"/>
              <w:left w:val="nil"/>
              <w:bottom w:val="nil"/>
              <w:right w:val="nil"/>
            </w:tcBorders>
            <w:shd w:val="clear" w:color="000000" w:fill="000000"/>
            <w:noWrap/>
            <w:textDirection w:val="lrTb"/>
            <w:vAlign w:val="bottom"/>
            <w:hideMark/>
          </w:tcPr>
          <w:p w:rsidR="00CE1C18" w:rsidRPr="00CE1C18" w:rsidP="00CE1C18">
            <w:pPr>
              <w:bidi w:val="0"/>
              <w:spacing w:after="0" w:line="240" w:lineRule="auto"/>
              <w:rPr>
                <w:rFonts w:ascii="Times New Roman" w:hAnsi="Times New Roman" w:cs="Times New Roman"/>
                <w:b/>
                <w:bCs/>
                <w:color w:val="FFFFFF"/>
                <w:sz w:val="20"/>
                <w:szCs w:val="20"/>
                <w:lang w:eastAsia="sk-SK"/>
              </w:rPr>
            </w:pPr>
            <w:bookmarkStart w:id="90" w:name="_Toc431985267"/>
            <w:bookmarkStart w:id="91" w:name="_Toc433099049"/>
            <w:bookmarkStart w:id="92" w:name="_Toc433099288"/>
            <w:bookmarkStart w:id="93" w:name="_Toc433099394"/>
            <w:bookmarkStart w:id="94" w:name="_Toc433099576"/>
            <w:r w:rsidRPr="00CE1C18">
              <w:rPr>
                <w:rStyle w:val="Heading1Char"/>
                <w:rFonts w:hint="default"/>
                <w:b w:val="0"/>
                <w:color w:val="FFFFFF" w:themeColor="bg1" w:themeShade="FF"/>
                <w:sz w:val="20"/>
                <w:szCs w:val="20"/>
              </w:rPr>
              <w:t>Ž</w:t>
            </w:r>
            <w:r w:rsidRPr="00CE1C18">
              <w:rPr>
                <w:rStyle w:val="Heading1Char"/>
                <w:rFonts w:hint="default"/>
                <w:b w:val="0"/>
                <w:color w:val="FFFFFF" w:themeColor="bg1" w:themeShade="FF"/>
                <w:sz w:val="20"/>
                <w:szCs w:val="20"/>
              </w:rPr>
              <w:t>eleznič</w:t>
            </w:r>
            <w:r w:rsidRPr="00CE1C18">
              <w:rPr>
                <w:rStyle w:val="Heading1Char"/>
                <w:rFonts w:hint="default"/>
                <w:b w:val="0"/>
                <w:color w:val="FFFFFF" w:themeColor="bg1" w:themeShade="FF"/>
                <w:sz w:val="20"/>
                <w:szCs w:val="20"/>
              </w:rPr>
              <w:t>ná</w:t>
            </w:r>
            <w:r w:rsidRPr="00CE1C18">
              <w:rPr>
                <w:rStyle w:val="Heading1Char"/>
                <w:rFonts w:hint="default"/>
                <w:b w:val="0"/>
                <w:color w:val="FFFFFF" w:themeColor="bg1" w:themeShade="FF"/>
                <w:sz w:val="20"/>
                <w:szCs w:val="20"/>
              </w:rPr>
              <w:t xml:space="preserve"> spoloč</w:t>
            </w:r>
            <w:r w:rsidRPr="00CE1C18">
              <w:rPr>
                <w:rStyle w:val="Heading1Char"/>
                <w:rFonts w:hint="default"/>
                <w:b w:val="0"/>
                <w:color w:val="FFFFFF" w:themeColor="bg1" w:themeShade="FF"/>
                <w:sz w:val="20"/>
                <w:szCs w:val="20"/>
              </w:rPr>
              <w:t>nosť</w:t>
            </w:r>
            <w:r w:rsidRPr="00CE1C18">
              <w:rPr>
                <w:rStyle w:val="Heading1Char"/>
                <w:rFonts w:hint="default"/>
                <w:b w:val="0"/>
                <w:color w:val="FFFFFF" w:themeColor="bg1" w:themeShade="FF"/>
                <w:sz w:val="20"/>
                <w:szCs w:val="20"/>
              </w:rPr>
              <w:t xml:space="preserve"> Cargo Slovakia, a.s.</w:t>
            </w:r>
            <w:bookmarkEnd w:id="90"/>
            <w:bookmarkEnd w:id="91"/>
            <w:bookmarkEnd w:id="92"/>
            <w:bookmarkEnd w:id="93"/>
            <w:bookmarkEnd w:id="94"/>
            <w:r w:rsidRPr="00CE1C18">
              <w:rPr>
                <w:rFonts w:ascii="Times New Roman" w:hAnsi="Times New Roman" w:cs="Times New Roman"/>
                <w:b/>
                <w:bCs/>
                <w:color w:val="FFFFFF"/>
                <w:sz w:val="20"/>
                <w:szCs w:val="20"/>
                <w:lang w:eastAsia="sk-SK"/>
              </w:rPr>
              <w:t xml:space="preserve"> - zmena VI 2013/2014 (v tis. eur)</w:t>
            </w:r>
          </w:p>
        </w:tc>
      </w:tr>
      <w:tr>
        <w:tblPrEx>
          <w:tblW w:w="9098" w:type="dxa"/>
          <w:jc w:val="center"/>
          <w:tblCellMar>
            <w:left w:w="70" w:type="dxa"/>
            <w:right w:w="70" w:type="dxa"/>
          </w:tblCellMar>
          <w:tblLook w:val="04A0"/>
        </w:tblPrEx>
        <w:trPr>
          <w:trHeight w:val="512"/>
          <w:jc w:val="center"/>
        </w:trPr>
        <w:tc>
          <w:tcPr>
            <w:tcW w:w="3544"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559"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993"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851"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301"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098" w:type="dxa"/>
          <w:jc w:val="center"/>
          <w:tblCellMar>
            <w:left w:w="70" w:type="dxa"/>
            <w:right w:w="70" w:type="dxa"/>
          </w:tblCellMar>
          <w:tblLook w:val="04A0"/>
        </w:tblPrEx>
        <w:trPr>
          <w:trHeight w:val="256"/>
          <w:jc w:val="center"/>
        </w:trPr>
        <w:tc>
          <w:tcPr>
            <w:tcW w:w="3544"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119 630</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-5 492</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85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3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114 138</w:t>
            </w:r>
          </w:p>
        </w:tc>
      </w:tr>
      <w:tr>
        <w:tblPrEx>
          <w:tblW w:w="9098" w:type="dxa"/>
          <w:jc w:val="center"/>
          <w:tblCellMar>
            <w:left w:w="70" w:type="dxa"/>
            <w:right w:w="70" w:type="dxa"/>
          </w:tblCellMar>
          <w:tblLook w:val="04A0"/>
        </w:tblPrEx>
        <w:trPr>
          <w:trHeight w:val="256"/>
          <w:jc w:val="center"/>
        </w:trPr>
        <w:tc>
          <w:tcPr>
            <w:tcW w:w="3544"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401 646</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51"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3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401 646</w:t>
            </w:r>
          </w:p>
        </w:tc>
      </w:tr>
      <w:tr>
        <w:tblPrEx>
          <w:tblW w:w="9098" w:type="dxa"/>
          <w:jc w:val="center"/>
          <w:tblCellMar>
            <w:left w:w="70" w:type="dxa"/>
            <w:right w:w="70" w:type="dxa"/>
          </w:tblCellMar>
          <w:tblLook w:val="04A0"/>
        </w:tblPrEx>
        <w:trPr>
          <w:trHeight w:val="256"/>
          <w:jc w:val="center"/>
        </w:trPr>
        <w:tc>
          <w:tcPr>
            <w:tcW w:w="3544"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Zákonný rezervný fond</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0</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5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26</w:t>
            </w:r>
          </w:p>
        </w:tc>
        <w:tc>
          <w:tcPr>
            <w:tcW w:w="13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26</w:t>
            </w:r>
          </w:p>
        </w:tc>
      </w:tr>
      <w:tr>
        <w:tblPrEx>
          <w:tblW w:w="9098" w:type="dxa"/>
          <w:jc w:val="center"/>
          <w:tblCellMar>
            <w:left w:w="70" w:type="dxa"/>
            <w:right w:w="70" w:type="dxa"/>
          </w:tblCellMar>
          <w:tblLook w:val="04A0"/>
        </w:tblPrEx>
        <w:trPr>
          <w:trHeight w:val="256"/>
          <w:jc w:val="center"/>
        </w:trPr>
        <w:tc>
          <w:tcPr>
            <w:tcW w:w="3544"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xml:space="preserve">Ostatné fondy </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1 228</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51"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3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1 228</w:t>
            </w:r>
          </w:p>
        </w:tc>
      </w:tr>
      <w:tr>
        <w:tblPrEx>
          <w:tblW w:w="9098" w:type="dxa"/>
          <w:jc w:val="center"/>
          <w:tblCellMar>
            <w:left w:w="70" w:type="dxa"/>
            <w:right w:w="70" w:type="dxa"/>
          </w:tblCellMar>
          <w:tblLook w:val="04A0"/>
        </w:tblPrEx>
        <w:trPr>
          <w:trHeight w:val="256"/>
          <w:jc w:val="center"/>
        </w:trPr>
        <w:tc>
          <w:tcPr>
            <w:tcW w:w="3544"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-283 244</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5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-26</w:t>
            </w:r>
          </w:p>
        </w:tc>
        <w:tc>
          <w:tcPr>
            <w:tcW w:w="13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-283 270</w:t>
            </w:r>
          </w:p>
        </w:tc>
      </w:tr>
      <w:tr>
        <w:tblPrEx>
          <w:tblW w:w="9098" w:type="dxa"/>
          <w:jc w:val="center"/>
          <w:tblCellMar>
            <w:left w:w="70" w:type="dxa"/>
            <w:right w:w="70" w:type="dxa"/>
          </w:tblCellMar>
          <w:tblLook w:val="04A0"/>
        </w:tblPrEx>
        <w:trPr>
          <w:trHeight w:val="256"/>
          <w:jc w:val="center"/>
        </w:trPr>
        <w:tc>
          <w:tcPr>
            <w:tcW w:w="3544"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559"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-5 492</w:t>
            </w:r>
          </w:p>
        </w:tc>
        <w:tc>
          <w:tcPr>
            <w:tcW w:w="85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851"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301"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-5 492</w:t>
            </w:r>
          </w:p>
        </w:tc>
      </w:tr>
    </w:tbl>
    <w:p w:rsidR="00CE1C18" w:rsidRPr="00CE1C18" w:rsidP="00CE1C18">
      <w:pPr>
        <w:bidi w:val="0"/>
        <w:spacing w:after="120" w:line="336" w:lineRule="auto"/>
        <w:jc w:val="right"/>
        <w:rPr>
          <w:rFonts w:ascii="Times New Roman" w:hAnsi="Times New Roman" w:cs="Times New Roman"/>
          <w:color w:val="FF0000"/>
          <w:szCs w:val="24"/>
        </w:rPr>
      </w:pP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ŽS Cargo</w:t>
      </w:r>
      <w:r w:rsidRPr="00CE1C18">
        <w:rPr>
          <w:rFonts w:ascii="Times New Roman" w:hAnsi="Times New Roman" w:cs="Times New Roman"/>
          <w:szCs w:val="24"/>
        </w:rPr>
        <w:t xml:space="preserve"> sa v roku 2014 znížilo vplyvom</w:t>
      </w:r>
      <w:r w:rsidR="005B0C7F">
        <w:rPr>
          <w:rFonts w:ascii="Times New Roman" w:hAnsi="Times New Roman" w:cs="Times New Roman"/>
          <w:szCs w:val="24"/>
        </w:rPr>
        <w:t xml:space="preserve"> dosiahnutej straty za rok 2014</w:t>
        <w:br/>
      </w:r>
      <w:r w:rsidRPr="00CE1C18">
        <w:rPr>
          <w:rFonts w:ascii="Times New Roman" w:hAnsi="Times New Roman" w:cs="Times New Roman"/>
          <w:szCs w:val="24"/>
        </w:rPr>
        <w:t>o 5 492 tis.</w:t>
      </w:r>
      <w:r w:rsidR="005B0C7F">
        <w:rPr>
          <w:rFonts w:ascii="Times New Roman" w:hAnsi="Times New Roman" w:cs="Times New Roman"/>
          <w:szCs w:val="24"/>
        </w:rPr>
        <w:t xml:space="preserve"> </w:t>
      </w:r>
      <w:r w:rsidRPr="00CE1C18">
        <w:rPr>
          <w:rFonts w:ascii="Times New Roman" w:hAnsi="Times New Roman" w:cs="Times New Roman"/>
          <w:szCs w:val="24"/>
        </w:rPr>
        <w:t>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Generovanie straty zapríčinil pokles výnosov o 19,8 % vplyvom absencie kompenzácie nákladných prepravcov zo strany štátu zúčtovanej v roku 2013 a poklesu poskytovaných výkonov najmä v medzinárodnej preprave. Negatívny vplyv výnosov z časti eliminovali úspory nákladov v položkách odpisov a amortizácie (nižšia strata zo zníženia hod</w:t>
      </w:r>
      <w:r>
        <w:rPr>
          <w:rFonts w:ascii="Times New Roman" w:hAnsi="Times New Roman" w:cs="Times New Roman"/>
          <w:szCs w:val="24"/>
        </w:rPr>
        <w:t xml:space="preserve">noty majetku ako v roku 2013), </w:t>
      </w:r>
      <w:r w:rsidRPr="00CE1C18">
        <w:rPr>
          <w:rFonts w:ascii="Times New Roman" w:hAnsi="Times New Roman" w:cs="Times New Roman"/>
          <w:szCs w:val="24"/>
        </w:rPr>
        <w:t>spotreby a služieb (pokles poplatku za použitie železničnej dopravnej cesty, trakčnej elektriny a motorovej nafty).</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Stav finančnej výpomoci, poskytnutej Ministerstvom financií SR na podporu operatívneho fungovania spoločnosti, je k 31. decembru 2014 vo výške 97 720 tis. eur</w:t>
      </w:r>
      <w:r>
        <w:rPr>
          <w:rStyle w:val="FootnoteReference"/>
          <w:rFonts w:ascii="Times New Roman" w:hAnsi="Times New Roman"/>
          <w:szCs w:val="24"/>
          <w:rtl w:val="0"/>
        </w:rPr>
        <w:footnoteReference w:id="6"/>
      </w:r>
      <w:r w:rsidRPr="00CE1C18">
        <w:rPr>
          <w:rFonts w:ascii="Times New Roman" w:hAnsi="Times New Roman" w:cs="Times New Roman"/>
          <w:szCs w:val="24"/>
        </w:rPr>
        <w:t>. Stav sa počas sledovaného obdobia znížil vplyvom úhrady splátok vo výške 19 500 tis. eur (v roku 2013 aj 2014). Úrok z finančnej výpomoci sa z dôvodu poklesu záväzku znížil v roku 2014 o 745 tis. 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Dňa 5. marca 2015 ZS Cargo podpísalo s víťazom medzinárodného tendra, spoločnosťou AAE, Zmluvu o predaji a kúpe 66 % balíka akcií dcérskej spoločnosti Cargo Wagon, a.s.</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b/>
          <w:szCs w:val="24"/>
        </w:rPr>
        <w:t>Železničná spoločnosť Slovensko, a.s.</w:t>
      </w:r>
      <w:r w:rsidRPr="00CE1C18">
        <w:rPr>
          <w:rFonts w:ascii="Times New Roman" w:hAnsi="Times New Roman" w:cs="Times New Roman"/>
          <w:szCs w:val="24"/>
        </w:rPr>
        <w:t xml:space="preserve"> (ďalej „ŽS Slovensko“), so sídlom Rožňavská 1, Bratislava, vznikla dňa 1. januára 2005 ako jedna z dvoch nástupníckych spoločností Železničnej spoločnosti, a.s.</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Vlastnícku štruktúru ŽS Slovensko tvoril k 31. 12. 2014 jediný vlastník štát, pričom práva štátu ako akcionára vykonávalo Ministerstvo dopravy, výstavby a regionálneho rozvoja SR. Informácie prezentované nižšie sú čerpané z výročnej správy a z individuálnej účtovnej závierky spoločnosti zostavenej za obdobie od 1. januára do 31. decembra 2014 vypracovanej v súlade s Medzinárodnými štandardmi finančného výkazníctva tak, ako boli schválené na použitie v EÚ. ŽS Slovensko napriek vlastníctvu majetkových podielov nie je povinná zostavovať konsolidovanú účtovnú závierku, a to z titulu splnenia podmienok v § 22a zákona č. 431/2002 Z. z. o účtovníctve v znení neskorších predpisov. ŽS Slovensko vlastní majetkové podiely s nepodstatným vplyvom v spoločnostiach: EUROFIRMA 0,50 % vlastník a Bureau Central de Clearing, s. c.r.I. Brusel 0,68 % vlastník.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Počet zamestnancov ŽS Slovensko k 31. decembru 2014 bol 5 841.</w:t>
      </w:r>
    </w:p>
    <w:p w:rsidR="005B0C7F">
      <w:pPr>
        <w:bidi w:val="0"/>
      </w:pPr>
      <w:bookmarkStart w:id="95" w:name="_Toc431985268"/>
      <w:bookmarkStart w:id="96" w:name="_Toc433099050"/>
      <w:bookmarkStart w:id="97" w:name="_Toc433099289"/>
      <w:bookmarkStart w:id="98" w:name="_Toc433099395"/>
      <w:bookmarkStart w:id="99" w:name="_Toc433099577"/>
      <w:r>
        <w:br w:type="page"/>
      </w:r>
    </w:p>
    <w:tbl>
      <w:tblPr>
        <w:tblStyle w:val="TableNormal"/>
        <w:tblW w:w="9152" w:type="dxa"/>
        <w:tblCellMar>
          <w:left w:w="70" w:type="dxa"/>
          <w:right w:w="70" w:type="dxa"/>
        </w:tblCellMar>
        <w:tblLook w:val="04A0"/>
      </w:tblPr>
      <w:tblGrid>
        <w:gridCol w:w="3402"/>
        <w:gridCol w:w="1701"/>
        <w:gridCol w:w="993"/>
        <w:gridCol w:w="806"/>
        <w:gridCol w:w="840"/>
        <w:gridCol w:w="1410"/>
      </w:tblGrid>
      <w:tr>
        <w:tblPrEx>
          <w:tblW w:w="9152" w:type="dxa"/>
          <w:tblCellMar>
            <w:left w:w="70" w:type="dxa"/>
            <w:right w:w="70" w:type="dxa"/>
          </w:tblCellMar>
          <w:tblLook w:val="04A0"/>
        </w:tblPrEx>
        <w:trPr>
          <w:trHeight w:val="256"/>
        </w:trPr>
        <w:tc>
          <w:tcPr>
            <w:tcW w:w="9152" w:type="dxa"/>
            <w:gridSpan w:val="6"/>
            <w:tcBorders>
              <w:top w:val="nil"/>
              <w:left w:val="nil"/>
              <w:bottom w:val="nil"/>
              <w:right w:val="nil"/>
            </w:tcBorders>
            <w:shd w:val="clear" w:color="000000" w:fill="000000"/>
            <w:noWrap/>
            <w:textDirection w:val="lrTb"/>
            <w:vAlign w:val="bottom"/>
            <w:hideMark/>
          </w:tcPr>
          <w:p w:rsidR="00CE1C18" w:rsidRPr="00CE1C18" w:rsidP="00CE1C18">
            <w:pPr>
              <w:bidi w:val="0"/>
              <w:spacing w:after="0" w:line="240" w:lineRule="auto"/>
              <w:rPr>
                <w:rFonts w:ascii="Times New Roman" w:hAnsi="Times New Roman" w:cs="Times New Roman"/>
                <w:b/>
                <w:bCs/>
                <w:color w:val="FFFFFF"/>
                <w:sz w:val="20"/>
                <w:szCs w:val="20"/>
                <w:lang w:eastAsia="sk-SK"/>
              </w:rPr>
            </w:pPr>
            <w:r w:rsidRPr="00CE1C18">
              <w:rPr>
                <w:rStyle w:val="Heading1Char"/>
                <w:rFonts w:hint="default"/>
                <w:b w:val="0"/>
                <w:color w:val="FFFFFF" w:themeColor="bg1" w:themeShade="FF"/>
                <w:sz w:val="20"/>
                <w:szCs w:val="20"/>
              </w:rPr>
              <w:t>Ž</w:t>
            </w:r>
            <w:r w:rsidRPr="00CE1C18">
              <w:rPr>
                <w:rStyle w:val="Heading1Char"/>
                <w:rFonts w:hint="default"/>
                <w:b w:val="0"/>
                <w:color w:val="FFFFFF" w:themeColor="bg1" w:themeShade="FF"/>
                <w:sz w:val="20"/>
                <w:szCs w:val="20"/>
              </w:rPr>
              <w:t>eleznič</w:t>
            </w:r>
            <w:r w:rsidRPr="00CE1C18">
              <w:rPr>
                <w:rStyle w:val="Heading1Char"/>
                <w:rFonts w:hint="default"/>
                <w:b w:val="0"/>
                <w:color w:val="FFFFFF" w:themeColor="bg1" w:themeShade="FF"/>
                <w:sz w:val="20"/>
                <w:szCs w:val="20"/>
              </w:rPr>
              <w:t>ná</w:t>
            </w:r>
            <w:r w:rsidRPr="00CE1C18">
              <w:rPr>
                <w:rStyle w:val="Heading1Char"/>
                <w:rFonts w:hint="default"/>
                <w:b w:val="0"/>
                <w:color w:val="FFFFFF" w:themeColor="bg1" w:themeShade="FF"/>
                <w:sz w:val="20"/>
                <w:szCs w:val="20"/>
              </w:rPr>
              <w:t xml:space="preserve"> spoloč</w:t>
            </w:r>
            <w:r w:rsidRPr="00CE1C18">
              <w:rPr>
                <w:rStyle w:val="Heading1Char"/>
                <w:rFonts w:hint="default"/>
                <w:b w:val="0"/>
                <w:color w:val="FFFFFF" w:themeColor="bg1" w:themeShade="FF"/>
                <w:sz w:val="20"/>
                <w:szCs w:val="20"/>
              </w:rPr>
              <w:t>nosť</w:t>
            </w:r>
            <w:r w:rsidRPr="00CE1C18">
              <w:rPr>
                <w:rStyle w:val="Heading1Char"/>
                <w:rFonts w:hint="default"/>
                <w:b w:val="0"/>
                <w:color w:val="FFFFFF" w:themeColor="bg1" w:themeShade="FF"/>
                <w:sz w:val="20"/>
                <w:szCs w:val="20"/>
              </w:rPr>
              <w:t xml:space="preserve"> Slovensko, a.s.</w:t>
            </w:r>
            <w:bookmarkEnd w:id="95"/>
            <w:bookmarkEnd w:id="96"/>
            <w:bookmarkEnd w:id="97"/>
            <w:bookmarkEnd w:id="98"/>
            <w:bookmarkEnd w:id="99"/>
            <w:r w:rsidRPr="00CE1C18">
              <w:rPr>
                <w:rFonts w:ascii="Times New Roman" w:hAnsi="Times New Roman" w:cs="Times New Roman"/>
                <w:b/>
                <w:bCs/>
                <w:color w:val="FFFFFF"/>
                <w:sz w:val="20"/>
                <w:szCs w:val="20"/>
                <w:lang w:eastAsia="sk-SK"/>
              </w:rPr>
              <w:t xml:space="preserve"> - zmena VI 2013/2014 (v tis. eur)</w:t>
            </w:r>
          </w:p>
        </w:tc>
      </w:tr>
      <w:tr>
        <w:tblPrEx>
          <w:tblW w:w="9152" w:type="dxa"/>
          <w:tblCellMar>
            <w:left w:w="70" w:type="dxa"/>
            <w:right w:w="70" w:type="dxa"/>
          </w:tblCellMar>
          <w:tblLook w:val="04A0"/>
        </w:tblPrEx>
        <w:trPr>
          <w:trHeight w:val="512"/>
        </w:trPr>
        <w:tc>
          <w:tcPr>
            <w:tcW w:w="3402"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701"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993"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806"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84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41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152" w:type="dxa"/>
          <w:tblCellMar>
            <w:left w:w="70" w:type="dxa"/>
            <w:right w:w="70" w:type="dxa"/>
          </w:tblCellMar>
          <w:tblLook w:val="04A0"/>
        </w:tblPrEx>
        <w:trPr>
          <w:trHeight w:val="256"/>
        </w:trPr>
        <w:tc>
          <w:tcPr>
            <w:tcW w:w="340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7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160 854</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-5 682</w:t>
            </w:r>
          </w:p>
        </w:tc>
        <w:tc>
          <w:tcPr>
            <w:tcW w:w="806"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-768</w:t>
            </w: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41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154 404</w:t>
            </w:r>
          </w:p>
        </w:tc>
      </w:tr>
      <w:tr>
        <w:tblPrEx>
          <w:tblW w:w="9152" w:type="dxa"/>
          <w:tblCellMar>
            <w:left w:w="70" w:type="dxa"/>
            <w:right w:w="70" w:type="dxa"/>
          </w:tblCellMar>
          <w:tblLook w:val="04A0"/>
        </w:tblPrEx>
        <w:trPr>
          <w:trHeight w:val="256"/>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7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212 441</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06"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1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212 441</w:t>
            </w:r>
          </w:p>
        </w:tc>
      </w:tr>
      <w:tr>
        <w:tblPrEx>
          <w:tblW w:w="9152" w:type="dxa"/>
          <w:tblCellMar>
            <w:left w:w="70" w:type="dxa"/>
            <w:right w:w="70" w:type="dxa"/>
          </w:tblCellMar>
          <w:tblLook w:val="04A0"/>
        </w:tblPrEx>
        <w:trPr>
          <w:trHeight w:val="256"/>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Zákonný rezervný fond</w:t>
            </w:r>
          </w:p>
        </w:tc>
        <w:tc>
          <w:tcPr>
            <w:tcW w:w="17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24 118</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06"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1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24 118</w:t>
            </w:r>
          </w:p>
        </w:tc>
      </w:tr>
      <w:tr>
        <w:tblPrEx>
          <w:tblW w:w="9152" w:type="dxa"/>
          <w:tblCellMar>
            <w:left w:w="70" w:type="dxa"/>
            <w:right w:w="70" w:type="dxa"/>
          </w:tblCellMar>
          <w:tblLook w:val="04A0"/>
        </w:tblPrEx>
        <w:trPr>
          <w:trHeight w:val="256"/>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xml:space="preserve">Ostatné fondy </w:t>
            </w:r>
          </w:p>
        </w:tc>
        <w:tc>
          <w:tcPr>
            <w:tcW w:w="17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-33 777</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06"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-768</w:t>
            </w: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41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-34 545</w:t>
            </w:r>
          </w:p>
        </w:tc>
      </w:tr>
      <w:tr>
        <w:tblPrEx>
          <w:tblW w:w="9152" w:type="dxa"/>
          <w:tblCellMar>
            <w:left w:w="70" w:type="dxa"/>
            <w:right w:w="70" w:type="dxa"/>
          </w:tblCellMar>
          <w:tblLook w:val="04A0"/>
        </w:tblPrEx>
        <w:trPr>
          <w:trHeight w:val="256"/>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701"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-41 928</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697</w:t>
            </w:r>
          </w:p>
        </w:tc>
        <w:tc>
          <w:tcPr>
            <w:tcW w:w="806"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1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-41 231</w:t>
            </w:r>
          </w:p>
        </w:tc>
      </w:tr>
      <w:tr>
        <w:tblPrEx>
          <w:tblW w:w="9152" w:type="dxa"/>
          <w:tblCellMar>
            <w:left w:w="70" w:type="dxa"/>
            <w:right w:w="70" w:type="dxa"/>
          </w:tblCellMar>
          <w:tblLook w:val="04A0"/>
        </w:tblPrEx>
        <w:trPr>
          <w:trHeight w:val="256"/>
        </w:trPr>
        <w:tc>
          <w:tcPr>
            <w:tcW w:w="3402"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701"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-6 379</w:t>
            </w:r>
          </w:p>
        </w:tc>
        <w:tc>
          <w:tcPr>
            <w:tcW w:w="806"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84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41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-6 379</w:t>
            </w:r>
          </w:p>
        </w:tc>
      </w:tr>
    </w:tbl>
    <w:p w:rsidR="00CE1C18" w:rsidRPr="00CE1C18" w:rsidP="00CE1C18">
      <w:pPr>
        <w:bidi w:val="0"/>
        <w:jc w:val="right"/>
        <w:rPr>
          <w:rFonts w:ascii="Times New Roman" w:hAnsi="Times New Roman" w:cs="Times New Roman"/>
          <w:sz w:val="16"/>
          <w:szCs w:val="16"/>
        </w:rPr>
      </w:pPr>
      <w:r w:rsidRPr="00CE1C18">
        <w:rPr>
          <w:rFonts w:ascii="Times New Roman" w:hAnsi="Times New Roman" w:cs="Times New Roman"/>
          <w:color w:val="FF0000"/>
          <w:sz w:val="16"/>
          <w:szCs w:val="16"/>
        </w:rPr>
        <w:tab/>
        <w:tab/>
        <w:tab/>
        <w:tab/>
        <w:tab/>
        <w:tab/>
        <w:tab/>
        <w:tab/>
        <w:tab/>
        <w:tab/>
        <w:tab/>
      </w: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ŽS Slovensko</w:t>
      </w:r>
      <w:r w:rsidRPr="00CE1C18">
        <w:rPr>
          <w:rFonts w:ascii="Times New Roman" w:hAnsi="Times New Roman" w:cs="Times New Roman"/>
          <w:szCs w:val="24"/>
        </w:rPr>
        <w:t xml:space="preserve"> sa v roku 2014 znížilo o 6 450 tis. eur najmä vplyvom dosiahnutej straty vo výške 6 379 tis. 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Generovanie straty, ktorá sa medziročne zmiernila o 10,2 %, spôsobil hlavne pokles dotácií vyplývajúcich zo Zmluvy o dopravných službách vo verejnom záujme o 6,3 % a pokles výnosov z prepravy osôb o 2,2 %. Napriek vstupu konkurencie na trh spoločnosť zaznamenala celkový rast počtu cestujúcich o 6,8 % (vo vnútroštátnej aj medzinárodnej preprave), výpadok tržieb možno pripisovať od 17.11.2014 realizácii finančného, ekonomického a sociálneho balíčka vlády v železničnej osobnej doprave, na základe ktorého poskytuje spoločnosť bezplatné cestovné pre vybrané kategórie cestujúcich (deti, študenti a dôchodcovia). Negatívny vývoj výnosov čiastočne eliminovala úspora nákladov. Výrazné úspory boli hlavne na položkách ostatných nákladov a spotrebe elektrickej energie. Pozitívny vplyv mala aj položka dane z príjmov vďaka zúčtovaniu odloženej dane s pozitívnym dopadom.</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b/>
          <w:szCs w:val="24"/>
        </w:rPr>
        <w:t>Slovenská elektrizačná a prenosová sústava, a.s.</w:t>
      </w:r>
      <w:r w:rsidRPr="00CE1C18">
        <w:rPr>
          <w:rFonts w:ascii="Times New Roman" w:hAnsi="Times New Roman" w:cs="Times New Roman"/>
          <w:szCs w:val="24"/>
        </w:rPr>
        <w:t xml:space="preserve"> (ďalej „SEPS“), so sídlom Mlynské nivy 59/a, Bratislava, vznikla dňa 21. januára 2002 ako jedna z troch spoločností v rámci procesu rozdelenia predchodcu – spoločnosti Slovenské elektrárne, a.s. (ďalšími novovzniknutými spoločnosťami boli Slovenské elektrárne, a.s. a Tepláreň Košice).</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Vlastnícku štruktúru SEPS tvoril k 31. 12. 2014 jediný vlastník štát, pričom práva štátu ako akcionára vykonávalo Ministerstvo financií SR. Informácie prezentované nižšie sú čerpané z výročnej správy a z individuálnej účtovnej závierky spoločnosti zostavenej za obdobie od 1. januára do 31. decembra 2014 vypracovanej v súlade s Medzinárodnými štandardmi finančného výkazníctva tak, ako boli schválené na použitie v EÚ. SEPS z dôvodu vlastníctva majetkových podielov je povinná zostavovať konsolidovanú účtovnú závierku. SEPS vlastní majetkové podiely v dcérskej spoločnosti OKTE, a.s. so sídlom na území SR, zaoberajúcej sa organizáciou krátkodobého trhu s elektrinou (100 % vlastník). Zároveň vlastní SEPS 11,11 % podiel v Spoločnej aukčnej kancelárii so sídlom v Nemecku, zaberajúcej sa koordináciou riadenia preťaženia na regionálnej úrovni (kancelária má ďalších 8 spoluvlastníkov – prevádzkovateľov prenosových sústav okolitých štátov).</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Priemerný počet zamestnancov SEPS k 31. decembru 2014 bol 518.</w:t>
      </w:r>
    </w:p>
    <w:p w:rsidR="00CB210E">
      <w:pPr>
        <w:bidi w:val="0"/>
      </w:pPr>
      <w:bookmarkStart w:id="100" w:name="_Toc431985269"/>
      <w:bookmarkStart w:id="101" w:name="_Toc433099051"/>
      <w:bookmarkStart w:id="102" w:name="_Toc433099290"/>
      <w:bookmarkStart w:id="103" w:name="_Toc433099396"/>
      <w:bookmarkStart w:id="104" w:name="_Toc433099578"/>
      <w:r>
        <w:br w:type="page"/>
      </w:r>
    </w:p>
    <w:tbl>
      <w:tblPr>
        <w:tblStyle w:val="TableNormal"/>
        <w:tblW w:w="9062" w:type="dxa"/>
        <w:tblCellMar>
          <w:left w:w="70" w:type="dxa"/>
          <w:right w:w="70" w:type="dxa"/>
        </w:tblCellMar>
        <w:tblLook w:val="04A0"/>
      </w:tblPr>
      <w:tblGrid>
        <w:gridCol w:w="3402"/>
        <w:gridCol w:w="1560"/>
        <w:gridCol w:w="992"/>
        <w:gridCol w:w="844"/>
        <w:gridCol w:w="840"/>
        <w:gridCol w:w="1424"/>
      </w:tblGrid>
      <w:tr>
        <w:tblPrEx>
          <w:tblW w:w="9062" w:type="dxa"/>
          <w:tblCellMar>
            <w:left w:w="70" w:type="dxa"/>
            <w:right w:w="70" w:type="dxa"/>
          </w:tblCellMar>
          <w:tblLook w:val="04A0"/>
        </w:tblPrEx>
        <w:trPr>
          <w:trHeight w:val="263"/>
        </w:trPr>
        <w:tc>
          <w:tcPr>
            <w:tcW w:w="9062" w:type="dxa"/>
            <w:gridSpan w:val="6"/>
            <w:tcBorders>
              <w:top w:val="nil"/>
              <w:left w:val="nil"/>
              <w:bottom w:val="nil"/>
              <w:right w:val="nil"/>
            </w:tcBorders>
            <w:shd w:val="clear" w:color="000000" w:fill="000000"/>
            <w:noWrap/>
            <w:textDirection w:val="lrTb"/>
            <w:vAlign w:val="bottom"/>
            <w:hideMark/>
          </w:tcPr>
          <w:p w:rsidR="00CE1C18" w:rsidRPr="00CE1C18" w:rsidP="00CE1C18">
            <w:pPr>
              <w:bidi w:val="0"/>
              <w:spacing w:after="0" w:line="240" w:lineRule="auto"/>
              <w:rPr>
                <w:rFonts w:ascii="Times New Roman" w:hAnsi="Times New Roman" w:cs="Times New Roman"/>
                <w:b/>
                <w:bCs/>
                <w:color w:val="FFFFFF"/>
                <w:sz w:val="20"/>
                <w:szCs w:val="20"/>
                <w:lang w:eastAsia="sk-SK"/>
              </w:rPr>
            </w:pPr>
            <w:r w:rsidRPr="00CE1C18">
              <w:rPr>
                <w:rStyle w:val="Heading1Char"/>
                <w:rFonts w:hint="default"/>
                <w:b w:val="0"/>
                <w:color w:val="FFFFFF" w:themeColor="bg1" w:themeShade="FF"/>
                <w:sz w:val="20"/>
                <w:szCs w:val="20"/>
              </w:rPr>
              <w:t>Slovenská</w:t>
            </w:r>
            <w:r w:rsidRPr="00CE1C18">
              <w:rPr>
                <w:rStyle w:val="Heading1Char"/>
                <w:rFonts w:hint="default"/>
                <w:b w:val="0"/>
                <w:color w:val="FFFFFF" w:themeColor="bg1" w:themeShade="FF"/>
                <w:sz w:val="20"/>
                <w:szCs w:val="20"/>
              </w:rPr>
              <w:t xml:space="preserve"> elektrizač</w:t>
            </w:r>
            <w:r w:rsidRPr="00CE1C18">
              <w:rPr>
                <w:rStyle w:val="Heading1Char"/>
                <w:rFonts w:hint="default"/>
                <w:b w:val="0"/>
                <w:color w:val="FFFFFF" w:themeColor="bg1" w:themeShade="FF"/>
                <w:sz w:val="20"/>
                <w:szCs w:val="20"/>
              </w:rPr>
              <w:t>ná</w:t>
            </w:r>
            <w:r w:rsidRPr="00CE1C18">
              <w:rPr>
                <w:rStyle w:val="Heading1Char"/>
                <w:rFonts w:hint="default"/>
                <w:b w:val="0"/>
                <w:color w:val="FFFFFF" w:themeColor="bg1" w:themeShade="FF"/>
                <w:sz w:val="20"/>
                <w:szCs w:val="20"/>
              </w:rPr>
              <w:t xml:space="preserve"> a prenosová</w:t>
            </w:r>
            <w:r w:rsidRPr="00CE1C18">
              <w:rPr>
                <w:rStyle w:val="Heading1Char"/>
                <w:rFonts w:hint="default"/>
                <w:b w:val="0"/>
                <w:color w:val="FFFFFF" w:themeColor="bg1" w:themeShade="FF"/>
                <w:sz w:val="20"/>
                <w:szCs w:val="20"/>
              </w:rPr>
              <w:t xml:space="preserve"> sú</w:t>
            </w:r>
            <w:r w:rsidRPr="00CE1C18">
              <w:rPr>
                <w:rStyle w:val="Heading1Char"/>
                <w:rFonts w:hint="default"/>
                <w:b w:val="0"/>
                <w:color w:val="FFFFFF" w:themeColor="bg1" w:themeShade="FF"/>
                <w:sz w:val="20"/>
                <w:szCs w:val="20"/>
              </w:rPr>
              <w:t>stava, a.s.</w:t>
            </w:r>
            <w:bookmarkEnd w:id="100"/>
            <w:bookmarkEnd w:id="101"/>
            <w:bookmarkEnd w:id="102"/>
            <w:bookmarkEnd w:id="103"/>
            <w:bookmarkEnd w:id="104"/>
            <w:r w:rsidRPr="00CE1C18">
              <w:rPr>
                <w:rFonts w:ascii="Times New Roman" w:hAnsi="Times New Roman" w:cs="Times New Roman"/>
                <w:b/>
                <w:bCs/>
                <w:color w:val="FFFFFF"/>
                <w:sz w:val="20"/>
                <w:szCs w:val="20"/>
                <w:lang w:eastAsia="sk-SK"/>
              </w:rPr>
              <w:t xml:space="preserve"> - zmena VI 2013/2014 (v tis. eur)</w:t>
            </w:r>
          </w:p>
        </w:tc>
      </w:tr>
      <w:tr>
        <w:tblPrEx>
          <w:tblW w:w="9062" w:type="dxa"/>
          <w:tblCellMar>
            <w:left w:w="70" w:type="dxa"/>
            <w:right w:w="70" w:type="dxa"/>
          </w:tblCellMar>
          <w:tblLook w:val="04A0"/>
        </w:tblPrEx>
        <w:trPr>
          <w:trHeight w:val="526"/>
        </w:trPr>
        <w:tc>
          <w:tcPr>
            <w:tcW w:w="3402"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56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844"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84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424"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062" w:type="dxa"/>
          <w:tblCellMar>
            <w:left w:w="70" w:type="dxa"/>
            <w:right w:w="70" w:type="dxa"/>
          </w:tblCellMar>
          <w:tblLook w:val="04A0"/>
        </w:tblPrEx>
        <w:trPr>
          <w:trHeight w:val="263"/>
        </w:trPr>
        <w:tc>
          <w:tcPr>
            <w:tcW w:w="340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570 636</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92 825</w:t>
            </w:r>
          </w:p>
        </w:tc>
        <w:tc>
          <w:tcPr>
            <w:tcW w:w="84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-93 243</w:t>
            </w: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42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570 218</w:t>
            </w:r>
          </w:p>
        </w:tc>
      </w:tr>
      <w:tr>
        <w:tblPrEx>
          <w:tblW w:w="9062"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81 833</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44"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2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81 833</w:t>
            </w:r>
          </w:p>
        </w:tc>
      </w:tr>
      <w:tr>
        <w:tblPrEx>
          <w:tblW w:w="9062"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Zákonný rezervný fond</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16 366</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44"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2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16 366</w:t>
            </w:r>
          </w:p>
        </w:tc>
      </w:tr>
      <w:tr>
        <w:tblPrEx>
          <w:tblW w:w="9062"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Ostatné fondy</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145 151</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44"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2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145 151</w:t>
            </w:r>
          </w:p>
        </w:tc>
      </w:tr>
      <w:tr>
        <w:tblPrEx>
          <w:tblW w:w="9062"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Fond z precenenia</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174 222</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4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-25 330</w:t>
            </w: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42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148 892</w:t>
            </w:r>
          </w:p>
        </w:tc>
      </w:tr>
      <w:tr>
        <w:tblPrEx>
          <w:tblW w:w="9062"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153 064</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25 361</w:t>
            </w:r>
          </w:p>
        </w:tc>
        <w:tc>
          <w:tcPr>
            <w:tcW w:w="84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-67 913</w:t>
            </w:r>
          </w:p>
        </w:tc>
        <w:tc>
          <w:tcPr>
            <w:tcW w:w="84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42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110 512</w:t>
            </w:r>
          </w:p>
        </w:tc>
      </w:tr>
      <w:tr>
        <w:tblPrEx>
          <w:tblW w:w="9062" w:type="dxa"/>
          <w:tblCellMar>
            <w:left w:w="70" w:type="dxa"/>
            <w:right w:w="70" w:type="dxa"/>
          </w:tblCellMar>
          <w:tblLook w:val="04A0"/>
        </w:tblPrEx>
        <w:trPr>
          <w:trHeight w:val="263"/>
        </w:trPr>
        <w:tc>
          <w:tcPr>
            <w:tcW w:w="3402"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56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67 464</w:t>
            </w:r>
          </w:p>
        </w:tc>
        <w:tc>
          <w:tcPr>
            <w:tcW w:w="844"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84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424"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67 464</w:t>
            </w:r>
          </w:p>
        </w:tc>
      </w:tr>
    </w:tbl>
    <w:p w:rsidR="00CE1C18" w:rsidRPr="00CE1C18" w:rsidP="00CE1C18">
      <w:pPr>
        <w:bidi w:val="0"/>
        <w:spacing w:after="120" w:line="336" w:lineRule="auto"/>
        <w:jc w:val="right"/>
        <w:rPr>
          <w:rFonts w:ascii="Times New Roman" w:hAnsi="Times New Roman" w:cs="Times New Roman"/>
          <w:sz w:val="16"/>
          <w:szCs w:val="16"/>
        </w:rPr>
      </w:pPr>
      <w:r w:rsidRPr="00CE1C18">
        <w:rPr>
          <w:rFonts w:ascii="Times New Roman" w:hAnsi="Times New Roman" w:cs="Times New Roman"/>
          <w:i/>
          <w:sz w:val="16"/>
          <w:szCs w:val="16"/>
        </w:rPr>
        <w:tab/>
        <w:tab/>
      </w:r>
      <w:r w:rsidRPr="00CE1C18">
        <w:rPr>
          <w:rFonts w:ascii="Times New Roman" w:hAnsi="Times New Roman" w:cs="Times New Roman"/>
          <w:sz w:val="16"/>
          <w:szCs w:val="16"/>
        </w:rPr>
        <w:tab/>
        <w:tab/>
      </w: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SEPS</w:t>
      </w:r>
      <w:r w:rsidRPr="00CE1C18">
        <w:rPr>
          <w:rFonts w:ascii="Times New Roman" w:hAnsi="Times New Roman" w:cs="Times New Roman"/>
          <w:szCs w:val="24"/>
        </w:rPr>
        <w:t xml:space="preserve"> sa v roku 2014 znížilo oproti predchádzajúcemu roku o 418 tis. eur vplyvom schválenia výplaty dividend z nerozdeleného zisku predchádzajúceho roka vo výške 67 913 tis. eur (zodpovedá výške dividendy podľa ESA). Vplyv dividend na výšku vlastného imania čiastočne eliminoval čistý zisk dosiahnutý za bežné obdobie vo výške 67 464 tis. 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Čistý zisk klesol oproti predchádzajúcemu roku o 2,5 %. Medziročne znížený objem výroby elektrickej energie zo zdrojov SR spôsobený nižšou spotrebou elektriny na Slovensku, sa preniesol do poklesu výnosov o 14,0 % prostredníctvom nižších tržieb za prístup do prenosovej sústavy a nižších tržieb z prevádzkovania systému. Tento negatívny vplyv bol kompenzovaný nižšími nákladmi na prevádzkovanie sústavy. Zisk bol pozitívne ovplyvnený rastom tržieb zo zmluvných pokút, výnosov za pripojenie a vyšším rozpustením dotácií do výnosov. Na znížení zisku sa mierne spolupodieľal aj pokles výnosových úrokov spôsobený nižším stavom peňažných prostriedkov na bankových účtoch.</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Dôležitou nákladovou položkou boli odpisy majetku, ktoré vzrástli o 7,0 % vplyvom prírastku dlhodobého hmotné majetku. Spoločnosť v roku 2014 zrealizovala investície vo výške takmer </w:t>
      </w:r>
      <w:r>
        <w:rPr>
          <w:rFonts w:ascii="Times New Roman" w:hAnsi="Times New Roman" w:cs="Times New Roman"/>
          <w:szCs w:val="24"/>
        </w:rPr>
        <w:t>90 000 </w:t>
      </w:r>
      <w:r w:rsidRPr="00CE1C18">
        <w:rPr>
          <w:rFonts w:ascii="Times New Roman" w:hAnsi="Times New Roman" w:cs="Times New Roman"/>
          <w:szCs w:val="24"/>
        </w:rPr>
        <w:t xml:space="preserve">tis. eur – jednou z nosných investícií bola realizácia súboru stavieb Transformácia 400/110 kV Voľa, pričom investícia bola zameraná na rast spoľahlivosti zásobovania elektrinou, a to najmä oceliarne Strážske. Ďalšou významnou investíciou bola výstavba diaľkovodného riadenia a výmena transformátorov T401 a T403 v elektrickej stanici Levice. Obe investičné akcie boli ukončené v roku 2014.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 roku 2014 bola schválená výplata dividend za rok 2013 vo výške 67 913 tis. eur, no výška vyplatených dividend v roku 2014 bola 146 090 tis. eur vzhľadom na skutočnosť, že v roku 2013 sa nezrealizovala výplata schválených dividend za rok 2012 vo výške 78 177 tis. eur.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b/>
          <w:szCs w:val="24"/>
        </w:rPr>
        <w:t xml:space="preserve">Slovenské elektrárne, a.s. </w:t>
      </w:r>
      <w:r w:rsidRPr="00CE1C18">
        <w:rPr>
          <w:rFonts w:ascii="Times New Roman" w:hAnsi="Times New Roman" w:cs="Times New Roman"/>
          <w:szCs w:val="24"/>
        </w:rPr>
        <w:t xml:space="preserve">(ďalej „SE“), so sídlom Mlynské nivy </w:t>
      </w:r>
      <w:r w:rsidR="008F41B1">
        <w:rPr>
          <w:rFonts w:ascii="Times New Roman" w:hAnsi="Times New Roman" w:cs="Times New Roman"/>
          <w:szCs w:val="24"/>
        </w:rPr>
        <w:t>47, Bratislava, vznikli dňa 21. </w:t>
      </w:r>
      <w:r w:rsidRPr="00CE1C18">
        <w:rPr>
          <w:rFonts w:ascii="Times New Roman" w:hAnsi="Times New Roman" w:cs="Times New Roman"/>
          <w:szCs w:val="24"/>
        </w:rPr>
        <w:t xml:space="preserve">januára 2002 ako jedna z troch spoločností v rámci procesu rozdelenia predchodcu – spoločnosti Slovenské elektrárne, a.s. </w:t>
      </w:r>
    </w:p>
    <w:p w:rsidR="00CE1C18" w:rsidRPr="00CE1C18" w:rsidP="00CE1C18">
      <w:pPr>
        <w:bidi w:val="0"/>
        <w:spacing w:after="120" w:line="336" w:lineRule="auto"/>
        <w:jc w:val="both"/>
        <w:rPr>
          <w:rFonts w:ascii="Times New Roman" w:hAnsi="Times New Roman" w:cs="Times New Roman"/>
          <w:color w:val="FF0000"/>
          <w:szCs w:val="24"/>
        </w:rPr>
      </w:pPr>
      <w:r w:rsidRPr="00CE1C18">
        <w:rPr>
          <w:rFonts w:ascii="Times New Roman" w:hAnsi="Times New Roman" w:cs="Times New Roman"/>
          <w:szCs w:val="24"/>
        </w:rPr>
        <w:t xml:space="preserve">Vlastnícku štruktúru SE tvorili k 31. 12. 2014 dvaja vlastníci, </w:t>
      </w:r>
      <w:r w:rsidR="008F41B1">
        <w:rPr>
          <w:rFonts w:ascii="Times New Roman" w:hAnsi="Times New Roman" w:cs="Times New Roman"/>
          <w:szCs w:val="24"/>
        </w:rPr>
        <w:t>a to ENEL PRODUZIONE S.p.A., so </w:t>
      </w:r>
      <w:r w:rsidRPr="00CE1C18">
        <w:rPr>
          <w:rFonts w:ascii="Times New Roman" w:hAnsi="Times New Roman" w:cs="Times New Roman"/>
          <w:szCs w:val="24"/>
        </w:rPr>
        <w:t>sídlom v Taliansku, ktorý vlastní 66 % akcií, a štát, ktorý vlastní 34 %, pričom práva štátu ako akcionára vykonávalo Ministerstvo hospodárstva</w:t>
      </w:r>
      <w:r>
        <w:rPr>
          <w:rFonts w:ascii="Times New Roman" w:hAnsi="Times New Roman" w:cs="Times New Roman"/>
          <w:szCs w:val="24"/>
        </w:rPr>
        <w:t xml:space="preserve"> SR. </w:t>
      </w:r>
      <w:r w:rsidRPr="00CE1C18">
        <w:rPr>
          <w:rFonts w:ascii="Times New Roman" w:hAnsi="Times New Roman" w:cs="Times New Roman"/>
          <w:szCs w:val="24"/>
        </w:rPr>
        <w:t>Informácie prezentované nižšie sú čerpané z výročnej správy a z individuálnej účtovnej závierky spoločnosti zostavenej za obdobie od 1. januára do 31. decembra 2014 vypracovanej v súlade s Medzinárodnými štandardmi finančného výkazníctva tak, ako boli schválené na použitie v EÚ a verejne dostupných zdrojov. SE z dôvodu vlastníctva majetkových podielov je povinná zostavovať konsolidovanú účtovnú závierku. SE vlastnia majetkové podiely v nasledujúcich dcérskych spoločnostiach: Ochrana a bezpečnosť SE, a.s. so sídlom na území SR, zaoberajúca sa službami v oblastiach ochrany a bezpečnosti SE (100,00 % vlastník), SE Predaj, s. r. o. so sídlom na území SR, zaoberajúca sa dodávkou elektriny konečným spotrebiteľom (100,00 % vlastník) a Centrum pre vedu a výskum, s. r. o. so sídlom na území SR zaoberajúca sa výskumom a vývojom v oblasti prírodných a technických vied (100,00 % vlastník).</w:t>
      </w:r>
      <w:r w:rsidRPr="00CE1C18">
        <w:rPr>
          <w:rFonts w:ascii="Times New Roman" w:hAnsi="Times New Roman" w:cs="Times New Roman"/>
          <w:color w:val="FF0000"/>
          <w:szCs w:val="24"/>
        </w:rPr>
        <w:t xml:space="preserve"> </w:t>
      </w:r>
      <w:r w:rsidRPr="00CE1C18">
        <w:rPr>
          <w:rFonts w:ascii="Times New Roman" w:hAnsi="Times New Roman" w:cs="Times New Roman"/>
          <w:szCs w:val="24"/>
        </w:rPr>
        <w:t xml:space="preserve">Zároveň vlastnia SE podiely v týchto pridružených spoločnostiach: REAKTORTEST, s.r.o., so sídlom na území SR (49,00 % vlastník), Chladiace veže Bohunice, s.r.o. so sídlom na území SR (35,00 % vlastník), Ústav jaderného výzkumu Řež, a.s. so sídlom na území ČR (27,77 % vlastník) a Energotel, a.s. so sídlom na území SR (20,00 % vlastník). </w:t>
      </w:r>
    </w:p>
    <w:p w:rsidR="00CE1C18" w:rsidRPr="00CE1C18" w:rsidP="00CE1C18">
      <w:pPr>
        <w:bidi w:val="0"/>
        <w:spacing w:after="120" w:line="336" w:lineRule="auto"/>
        <w:jc w:val="both"/>
        <w:rPr>
          <w:rFonts w:ascii="Times New Roman" w:hAnsi="Times New Roman" w:cs="Times New Roman"/>
          <w:color w:val="FF0000"/>
          <w:szCs w:val="24"/>
        </w:rPr>
      </w:pPr>
      <w:r w:rsidRPr="00CE1C18">
        <w:rPr>
          <w:rFonts w:ascii="Times New Roman" w:hAnsi="Times New Roman" w:cs="Times New Roman"/>
          <w:szCs w:val="24"/>
        </w:rPr>
        <w:t>Priemerný prepočítaný počet zamestnancov SE k 31. decembru 2014 bol 4 256.</w:t>
      </w:r>
    </w:p>
    <w:tbl>
      <w:tblPr>
        <w:tblStyle w:val="TableNormal"/>
        <w:tblW w:w="9086" w:type="dxa"/>
        <w:jc w:val="center"/>
        <w:tblCellMar>
          <w:left w:w="70" w:type="dxa"/>
          <w:right w:w="70" w:type="dxa"/>
        </w:tblCellMar>
        <w:tblLook w:val="04A0"/>
      </w:tblPr>
      <w:tblGrid>
        <w:gridCol w:w="3402"/>
        <w:gridCol w:w="1560"/>
        <w:gridCol w:w="992"/>
        <w:gridCol w:w="850"/>
        <w:gridCol w:w="857"/>
        <w:gridCol w:w="1425"/>
      </w:tblGrid>
      <w:tr>
        <w:tblPrEx>
          <w:tblW w:w="9086" w:type="dxa"/>
          <w:jc w:val="center"/>
          <w:tblCellMar>
            <w:left w:w="70" w:type="dxa"/>
            <w:right w:w="70" w:type="dxa"/>
          </w:tblCellMar>
          <w:tblLook w:val="04A0"/>
        </w:tblPrEx>
        <w:trPr>
          <w:trHeight w:val="281"/>
          <w:jc w:val="center"/>
        </w:trPr>
        <w:tc>
          <w:tcPr>
            <w:tcW w:w="9086" w:type="dxa"/>
            <w:gridSpan w:val="6"/>
            <w:tcBorders>
              <w:top w:val="nil"/>
              <w:left w:val="nil"/>
              <w:bottom w:val="nil"/>
              <w:right w:val="nil"/>
            </w:tcBorders>
            <w:shd w:val="clear" w:color="000000" w:fill="000000"/>
            <w:noWrap/>
            <w:textDirection w:val="lrTb"/>
            <w:vAlign w:val="bottom"/>
            <w:hideMark/>
          </w:tcPr>
          <w:p w:rsidR="00CE1C18" w:rsidRPr="00CE1C18" w:rsidP="00CE1C18">
            <w:pPr>
              <w:bidi w:val="0"/>
              <w:spacing w:after="0" w:line="240" w:lineRule="auto"/>
              <w:rPr>
                <w:rFonts w:ascii="Times New Roman" w:hAnsi="Times New Roman" w:cs="Times New Roman"/>
                <w:b/>
                <w:bCs/>
                <w:color w:val="FFFFFF"/>
                <w:sz w:val="20"/>
                <w:szCs w:val="20"/>
                <w:lang w:eastAsia="sk-SK"/>
              </w:rPr>
            </w:pPr>
            <w:bookmarkStart w:id="105" w:name="_Toc431985270"/>
            <w:bookmarkStart w:id="106" w:name="_Toc433099052"/>
            <w:bookmarkStart w:id="107" w:name="_Toc433099291"/>
            <w:bookmarkStart w:id="108" w:name="_Toc433099397"/>
            <w:bookmarkStart w:id="109" w:name="_Toc433099579"/>
            <w:r w:rsidRPr="00CE1C18">
              <w:rPr>
                <w:rStyle w:val="Heading1Char"/>
                <w:rFonts w:hint="default"/>
                <w:b w:val="0"/>
                <w:color w:val="FFFFFF" w:themeColor="bg1" w:themeShade="FF"/>
                <w:sz w:val="20"/>
                <w:szCs w:val="20"/>
              </w:rPr>
              <w:t>Slovenské</w:t>
            </w:r>
            <w:r w:rsidRPr="00CE1C18">
              <w:rPr>
                <w:rStyle w:val="Heading1Char"/>
                <w:rFonts w:hint="default"/>
                <w:b w:val="0"/>
                <w:color w:val="FFFFFF" w:themeColor="bg1" w:themeShade="FF"/>
                <w:sz w:val="20"/>
                <w:szCs w:val="20"/>
              </w:rPr>
              <w:t xml:space="preserve"> elektrá</w:t>
            </w:r>
            <w:r w:rsidRPr="00CE1C18">
              <w:rPr>
                <w:rStyle w:val="Heading1Char"/>
                <w:rFonts w:hint="default"/>
                <w:b w:val="0"/>
                <w:color w:val="FFFFFF" w:themeColor="bg1" w:themeShade="FF"/>
                <w:sz w:val="20"/>
                <w:szCs w:val="20"/>
              </w:rPr>
              <w:t>rne, a.s.</w:t>
            </w:r>
            <w:bookmarkEnd w:id="105"/>
            <w:bookmarkEnd w:id="106"/>
            <w:bookmarkEnd w:id="107"/>
            <w:bookmarkEnd w:id="108"/>
            <w:bookmarkEnd w:id="109"/>
            <w:r w:rsidRPr="00CE1C18">
              <w:rPr>
                <w:rFonts w:ascii="Times New Roman" w:hAnsi="Times New Roman" w:cs="Times New Roman"/>
                <w:b/>
                <w:bCs/>
                <w:color w:val="FFFFFF"/>
                <w:sz w:val="20"/>
                <w:szCs w:val="20"/>
                <w:lang w:eastAsia="sk-SK"/>
              </w:rPr>
              <w:t xml:space="preserve"> - zmena VI 2013/2014 (v tis. eur)</w:t>
            </w:r>
          </w:p>
        </w:tc>
      </w:tr>
      <w:tr>
        <w:tblPrEx>
          <w:tblW w:w="9086" w:type="dxa"/>
          <w:jc w:val="center"/>
          <w:tblCellMar>
            <w:left w:w="70" w:type="dxa"/>
            <w:right w:w="70" w:type="dxa"/>
          </w:tblCellMar>
          <w:tblLook w:val="04A0"/>
        </w:tblPrEx>
        <w:trPr>
          <w:trHeight w:val="563"/>
          <w:jc w:val="center"/>
        </w:trPr>
        <w:tc>
          <w:tcPr>
            <w:tcW w:w="3402"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56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857"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425"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086" w:type="dxa"/>
          <w:jc w:val="center"/>
          <w:tblCellMar>
            <w:left w:w="70" w:type="dxa"/>
            <w:right w:w="70" w:type="dxa"/>
          </w:tblCellMar>
          <w:tblLook w:val="04A0"/>
        </w:tblPrEx>
        <w:trPr>
          <w:trHeight w:val="281"/>
          <w:jc w:val="center"/>
        </w:trPr>
        <w:tc>
          <w:tcPr>
            <w:tcW w:w="340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3 768 341</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384 422</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-89 755</w:t>
            </w:r>
          </w:p>
        </w:tc>
        <w:tc>
          <w:tcPr>
            <w:tcW w:w="85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425"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4 063 008</w:t>
            </w:r>
          </w:p>
        </w:tc>
      </w:tr>
      <w:tr>
        <w:tblPrEx>
          <w:tblW w:w="9086" w:type="dxa"/>
          <w:jc w:val="center"/>
          <w:tblCellMar>
            <w:left w:w="70" w:type="dxa"/>
            <w:right w:w="70" w:type="dxa"/>
          </w:tblCellMar>
          <w:tblLook w:val="04A0"/>
        </w:tblPrEx>
        <w:trPr>
          <w:trHeight w:val="281"/>
          <w:jc w:val="center"/>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1 269 296</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57"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25"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1 269 296</w:t>
            </w:r>
          </w:p>
        </w:tc>
      </w:tr>
      <w:tr>
        <w:tblPrEx>
          <w:tblW w:w="9086" w:type="dxa"/>
          <w:jc w:val="center"/>
          <w:tblCellMar>
            <w:left w:w="70" w:type="dxa"/>
            <w:right w:w="70" w:type="dxa"/>
          </w:tblCellMar>
          <w:tblLook w:val="04A0"/>
        </w:tblPrEx>
        <w:trPr>
          <w:trHeight w:val="281"/>
          <w:jc w:val="center"/>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Rezervy</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3 251 220</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214 666</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-89 755</w:t>
            </w:r>
          </w:p>
        </w:tc>
        <w:tc>
          <w:tcPr>
            <w:tcW w:w="85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425"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3 376 131</w:t>
            </w:r>
          </w:p>
        </w:tc>
      </w:tr>
      <w:tr>
        <w:tblPrEx>
          <w:tblW w:w="9086" w:type="dxa"/>
          <w:jc w:val="center"/>
          <w:tblCellMar>
            <w:left w:w="70" w:type="dxa"/>
            <w:right w:w="70" w:type="dxa"/>
          </w:tblCellMar>
          <w:tblLook w:val="04A0"/>
        </w:tblPrEx>
        <w:trPr>
          <w:trHeight w:val="281"/>
          <w:jc w:val="center"/>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-752 175</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857"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25"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-752 175</w:t>
            </w:r>
          </w:p>
        </w:tc>
      </w:tr>
      <w:tr>
        <w:tblPrEx>
          <w:tblW w:w="9086" w:type="dxa"/>
          <w:jc w:val="center"/>
          <w:tblCellMar>
            <w:left w:w="70" w:type="dxa"/>
            <w:right w:w="70" w:type="dxa"/>
          </w:tblCellMar>
          <w:tblLook w:val="04A0"/>
        </w:tblPrEx>
        <w:trPr>
          <w:trHeight w:val="281"/>
          <w:jc w:val="center"/>
        </w:trPr>
        <w:tc>
          <w:tcPr>
            <w:tcW w:w="3402"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560"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169 756</w:t>
            </w:r>
          </w:p>
        </w:tc>
        <w:tc>
          <w:tcPr>
            <w:tcW w:w="850"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857" w:type="dxa"/>
            <w:tcBorders>
              <w:top w:val="nil"/>
              <w:left w:val="nil"/>
              <w:bottom w:val="single" w:sz="4" w:space="0" w:color="auto"/>
              <w:right w:val="nil"/>
            </w:tcBorders>
            <w:noWrap/>
            <w:textDirection w:val="lrTb"/>
            <w:vAlign w:val="center"/>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425"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169 756</w:t>
            </w:r>
          </w:p>
        </w:tc>
      </w:tr>
    </w:tbl>
    <w:p w:rsidR="00CE1C18" w:rsidRPr="00CE1C18" w:rsidP="00CE1C18">
      <w:pPr>
        <w:bidi w:val="0"/>
        <w:spacing w:after="120" w:line="336" w:lineRule="auto"/>
        <w:jc w:val="right"/>
        <w:rPr>
          <w:rFonts w:ascii="Times New Roman" w:hAnsi="Times New Roman" w:cs="Times New Roman"/>
          <w:sz w:val="16"/>
          <w:szCs w:val="16"/>
        </w:rPr>
      </w:pP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SE</w:t>
      </w:r>
      <w:r w:rsidRPr="00CE1C18">
        <w:rPr>
          <w:rFonts w:ascii="Times New Roman" w:hAnsi="Times New Roman" w:cs="Times New Roman"/>
          <w:szCs w:val="24"/>
        </w:rPr>
        <w:t xml:space="preserve"> sa v roku 2014 zvýšilo oproti predchádzajúcemu roku o 294 667 tis. eur vplyvom čistého zisku vo výške 169 756 tis. eur a zmenou v precenení majetku a záväzkov vo výške 160 696 tis. 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Na medziročný pokles zisku o 52,1 % vo všeobecnosti vplývalo zníženie výnosov z predaja elektrickej a tepelnej energie vplyvom poklesu výroby energie o 10 % a trhových cien elektriny o 20 %. Výnosy z ostatných prevádzkových aktivít vzrástli (predaj emisných práv, zisk z predaja dlhodobého hmotného majetku), celkovo však výnosy klesli o 15,7 %. Celkové náklady klesli o 12,5 % prostredníctvom nižších nákladov na elektrickú energiu kúpenú za účelom ďalšieho predaja, nákladov na opravy a údržbu, na fosílne a iné palivo a nižších osobných nákladov vplyvom optimalizácie organizačnej štruktúry. Na druhej strane vzrástli náklady na jadrové palivo, klesli výnosy z jadrových rezerv, vytvorila sa rezerva na emisné kvóty. Negatívny vplyv v ostatných položkách čistého zisku zmiernil výsledný výnos z predčasného ukončenia Zmluvy o prevádzke vodnej elektrárne Gabčíkovo vo výške 51 414 tis. eur (výsledok viacerých transakcií, a to zníženia zostatkovej hodnoty majetku, vplyvu prehodnotenia záväzku z finančného lízingu a odloženého výnosu z transakcie spätného prenájmu - časovo rozlišovaná položka od roku 2006, kedy sa zrealizoval predaj a spätný prenájom vodnej elektrárne Gabčíkovo). Zmluva bola predčasne ukončená doručením oznámenia spoločnosti Slovenské elektrárne, a.s. dňa 4. decembra 2014 zo strany Vodohospodárskej výstavby, š. p. ako vlastníka vodnej elektrárne. Dňa 9. marca 2015 doručil podnik Vodohospodárska výstavba spoločnosti Slovenské elektrárne, a. s. Odstúpenie od Zmluvy o prevádzke vodnej elektrárne Gabčíkovo, na základe ktorého malo prísť k okamžitému zániku Zmluvy.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Najväčší pozitívny vplyv zmeny precenenia malo precenenie dlhodobého hmotného majetku a zmena výšky rezervy na vyraďovanie a likvidáciu tepelných elektrární. Negatívny dopad malo precenenie hodnoty majetku z dôvodu predčasného ukončenia Zmluvy o prevádzke vodnej elektrárne Gabčíkovo, precenenie zamestnaneckých požitkov a čistá zmena zabezpečenia peňažných tokov proti vplyvom zmien výmenných kurzov a úrokových sadzieb.</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Kľúčový projekt spoločnosti, dostavba tretieho a štvrtého bloku Jadrových elektrární Mochovce, zaznamenal počas roku 2014 posun pri treťom bloku, kde bolo dosiahnuté 80 % dokončenie a definitívne ukončenie sa očakáva v novembri 2016. Dokončenie štvrtého bloku sa následne očakáva v roku 2017. Zároveň obaja akcionári potvrdili záväzok na dokončenie projektu a schválili revidovaný rozpočet na 4 630 tis. eur, pričom k 31. decembru bola vyčerpaná suma 2 911 tis. eur a zostávajúca suma je vo výške 1 719 tis. 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Počas roka 2015 bol avizovaný predaj 66 % balíka akcií spoločnosťou Enel.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b/>
          <w:szCs w:val="24"/>
        </w:rPr>
        <w:t xml:space="preserve">Západoslovenská energetika, a.s. </w:t>
      </w:r>
      <w:r w:rsidRPr="00CE1C18">
        <w:rPr>
          <w:rFonts w:ascii="Times New Roman" w:hAnsi="Times New Roman" w:cs="Times New Roman"/>
          <w:szCs w:val="24"/>
        </w:rPr>
        <w:t>(ďalej „ZSE“), so sídlom Čul</w:t>
      </w:r>
      <w:r w:rsidR="008F41B1">
        <w:rPr>
          <w:rFonts w:ascii="Times New Roman" w:hAnsi="Times New Roman" w:cs="Times New Roman"/>
          <w:szCs w:val="24"/>
        </w:rPr>
        <w:t>enova 6, Bratislava, vznikla 1. </w:t>
      </w:r>
      <w:r w:rsidRPr="00CE1C18">
        <w:rPr>
          <w:rFonts w:ascii="Times New Roman" w:hAnsi="Times New Roman" w:cs="Times New Roman"/>
          <w:szCs w:val="24"/>
        </w:rPr>
        <w:t>novembra 2001 ako jedna z troch právnych nástupcov Západoslovenských energetických závodov, štátny podnik. K 31. októbru 2001 bol tento štátny podnik zrušený bez likvidácie. Aktíva a pasíva štátneho podniku boli od 1. novembra 2001 rozdelené medzi Západoslovenskú energetiku, a.s., Bratislavskú teplárenskú, a.s. a Trnavskú teplárenskú a.s. 5. septembra 2002 predal Fond národného majetku SR 49 % balík akcií ZSE spoločnosti E.ON Energie, AG, so sídlom v Nemecku. Počas roku 2008 previedla spoločnosť E.ON Energie, AG časť svojho podielu v ZSE na svoju dcérsku spoločnosť E.ON Slovensko, a.s.</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Vlastnícku štruktúru ZSE tvorili k 31. 12. 2014 nasledovní vlastníci: štát, ktorý vlastní 51 %, pričom práva štátu ako akcionára vykonávalo Ministerstvo hospodárstva SR, E.ON Slovensko, a.s., ktorý vlastní 39 % a E.ON Energie, AG, ktorý vlastní 10 %. Informácie prezentované nižšie sú čerpané z výročnej správy a z individuálnej účtovnej závierky spoločnosti zostavenej za obdobie od 1. januára do 31. decembra 2014 vypracovanej v súlade s Medzinárodnými štandardmi finančného výkazníctva tak, ako boli schválené na použitie v EÚ. ZSE je z dôvodu vlastníctva majetkových podielov povinná zostavovať konsolidovanú účtovnú závierku. ZSE vlastní majetkové podiely v</w:t>
      </w:r>
      <w:r w:rsidR="005B0C7F">
        <w:rPr>
          <w:rFonts w:ascii="Times New Roman" w:hAnsi="Times New Roman" w:cs="Times New Roman"/>
          <w:szCs w:val="24"/>
        </w:rPr>
        <w:t> </w:t>
      </w:r>
      <w:r w:rsidRPr="00CE1C18">
        <w:rPr>
          <w:rFonts w:ascii="Times New Roman" w:hAnsi="Times New Roman" w:cs="Times New Roman"/>
          <w:szCs w:val="24"/>
        </w:rPr>
        <w:t xml:space="preserve">nasledujúcich dcérskych spoločnostiach: ZSE Energy Solutions, s.r.o. so sídlom na území SR, zaoberajúca sa inžinierskou činnosťou (100,00 % vlastník), ZSE Development, s.r.o. so sídlom na území SR, zaoberajúca sa obchodnou činnosťou (100,00 % vlastník), ZSE MVE, s.r.o. so sídlom na území SR, zaoberajúca sa výrobou elektrickej energie (11,30 % vlastník), ZSE Energia, a.s. so sídlom na území SR, zaoberajúca sa nákupom a predajom elektrickej energie a plynu (100,00 % vlastník), Západoslovenská distribučná, a.s. so sídlom na území SR, zaoberajúca sa distribúciou elektrickej energie (100,00 % vlastník) a E.ON Business Services Slovakia, s.r.o. so sídlom na území SR poskytujúca IT služby (49,00 % vlastník). Spoločným podnikom je Energotel, a.s. so sídlom na území SR, zaoberajúci sa dátovými a telekomunikačnými činnosťami (20,00 % vlastník).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Priemerný počet zamestnancov ZSE k 31. decembru 2014 bol 367.</w:t>
      </w:r>
    </w:p>
    <w:tbl>
      <w:tblPr>
        <w:tblStyle w:val="TableNormal"/>
        <w:tblW w:w="9086" w:type="dxa"/>
        <w:tblCellMar>
          <w:left w:w="70" w:type="dxa"/>
          <w:right w:w="70" w:type="dxa"/>
        </w:tblCellMar>
        <w:tblLook w:val="04A0"/>
      </w:tblPr>
      <w:tblGrid>
        <w:gridCol w:w="3402"/>
        <w:gridCol w:w="1560"/>
        <w:gridCol w:w="992"/>
        <w:gridCol w:w="850"/>
        <w:gridCol w:w="954"/>
        <w:gridCol w:w="1328"/>
      </w:tblGrid>
      <w:tr>
        <w:tblPrEx>
          <w:tblW w:w="9086" w:type="dxa"/>
          <w:tblCellMar>
            <w:left w:w="70" w:type="dxa"/>
            <w:right w:w="70" w:type="dxa"/>
          </w:tblCellMar>
          <w:tblLook w:val="04A0"/>
        </w:tblPrEx>
        <w:trPr>
          <w:trHeight w:val="262"/>
        </w:trPr>
        <w:tc>
          <w:tcPr>
            <w:tcW w:w="9086" w:type="dxa"/>
            <w:gridSpan w:val="6"/>
            <w:tcBorders>
              <w:top w:val="nil"/>
              <w:left w:val="nil"/>
              <w:bottom w:val="nil"/>
              <w:right w:val="nil"/>
            </w:tcBorders>
            <w:shd w:val="clear" w:color="000000" w:fill="000000"/>
            <w:noWrap/>
            <w:textDirection w:val="lrTb"/>
            <w:vAlign w:val="bottom"/>
            <w:hideMark/>
          </w:tcPr>
          <w:p w:rsidR="00CE1C18" w:rsidRPr="00CE1C18" w:rsidP="00CE1C18">
            <w:pPr>
              <w:bidi w:val="0"/>
              <w:spacing w:after="0" w:line="240" w:lineRule="auto"/>
              <w:rPr>
                <w:rFonts w:ascii="Times New Roman" w:hAnsi="Times New Roman" w:cs="Times New Roman"/>
                <w:b/>
                <w:bCs/>
                <w:color w:val="FFFFFF"/>
                <w:sz w:val="20"/>
                <w:szCs w:val="20"/>
                <w:lang w:eastAsia="sk-SK"/>
              </w:rPr>
            </w:pPr>
            <w:bookmarkStart w:id="110" w:name="_Toc431985271"/>
            <w:bookmarkStart w:id="111" w:name="_Toc433099053"/>
            <w:bookmarkStart w:id="112" w:name="_Toc433099292"/>
            <w:bookmarkStart w:id="113" w:name="_Toc433099398"/>
            <w:bookmarkStart w:id="114" w:name="_Toc433099580"/>
            <w:r w:rsidRPr="00CE1C18">
              <w:rPr>
                <w:rStyle w:val="Heading1Char"/>
                <w:rFonts w:hint="default"/>
                <w:b w:val="0"/>
                <w:color w:val="FFFFFF" w:themeColor="bg1" w:themeShade="FF"/>
                <w:sz w:val="20"/>
                <w:szCs w:val="20"/>
              </w:rPr>
              <w:t>Zá</w:t>
            </w:r>
            <w:r w:rsidRPr="00CE1C18">
              <w:rPr>
                <w:rStyle w:val="Heading1Char"/>
                <w:rFonts w:hint="default"/>
                <w:b w:val="0"/>
                <w:color w:val="FFFFFF" w:themeColor="bg1" w:themeShade="FF"/>
                <w:sz w:val="20"/>
                <w:szCs w:val="20"/>
              </w:rPr>
              <w:t>padoslovenská</w:t>
            </w:r>
            <w:r w:rsidRPr="00CE1C18">
              <w:rPr>
                <w:rStyle w:val="Heading1Char"/>
                <w:rFonts w:hint="default"/>
                <w:b w:val="0"/>
                <w:color w:val="FFFFFF" w:themeColor="bg1" w:themeShade="FF"/>
                <w:sz w:val="20"/>
                <w:szCs w:val="20"/>
              </w:rPr>
              <w:t xml:space="preserve"> energetika, a.s.</w:t>
            </w:r>
            <w:bookmarkEnd w:id="110"/>
            <w:bookmarkEnd w:id="111"/>
            <w:bookmarkEnd w:id="112"/>
            <w:bookmarkEnd w:id="113"/>
            <w:bookmarkEnd w:id="114"/>
            <w:r w:rsidRPr="00CE1C18">
              <w:rPr>
                <w:rFonts w:ascii="Times New Roman" w:hAnsi="Times New Roman" w:cs="Times New Roman"/>
                <w:b/>
                <w:bCs/>
                <w:color w:val="FFFFFF"/>
                <w:sz w:val="20"/>
                <w:szCs w:val="20"/>
                <w:lang w:eastAsia="sk-SK"/>
              </w:rPr>
              <w:t xml:space="preserve"> - zmena VI 2013/2014 (v tis. eur)</w:t>
            </w:r>
          </w:p>
        </w:tc>
      </w:tr>
      <w:tr>
        <w:tblPrEx>
          <w:tblW w:w="9086" w:type="dxa"/>
          <w:tblCellMar>
            <w:left w:w="70" w:type="dxa"/>
            <w:right w:w="70" w:type="dxa"/>
          </w:tblCellMar>
          <w:tblLook w:val="04A0"/>
        </w:tblPrEx>
        <w:trPr>
          <w:trHeight w:val="525"/>
        </w:trPr>
        <w:tc>
          <w:tcPr>
            <w:tcW w:w="3402"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56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954"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328"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086" w:type="dxa"/>
          <w:tblCellMar>
            <w:left w:w="70" w:type="dxa"/>
            <w:right w:w="70" w:type="dxa"/>
          </w:tblCellMar>
          <w:tblLook w:val="04A0"/>
        </w:tblPrEx>
        <w:trPr>
          <w:trHeight w:val="262"/>
        </w:trPr>
        <w:tc>
          <w:tcPr>
            <w:tcW w:w="340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334 839</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61 486</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-52 213</w:t>
            </w:r>
          </w:p>
        </w:tc>
        <w:tc>
          <w:tcPr>
            <w:tcW w:w="95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328"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344 112</w:t>
            </w:r>
          </w:p>
        </w:tc>
      </w:tr>
      <w:tr>
        <w:tblPrEx>
          <w:tblW w:w="9086" w:type="dxa"/>
          <w:tblCellMar>
            <w:left w:w="70" w:type="dxa"/>
            <w:right w:w="70" w:type="dxa"/>
          </w:tblCellMar>
          <w:tblLook w:val="04A0"/>
        </w:tblPrEx>
        <w:trPr>
          <w:trHeight w:val="262"/>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196 969</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954"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328"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196 969</w:t>
            </w:r>
          </w:p>
        </w:tc>
      </w:tr>
      <w:tr>
        <w:tblPrEx>
          <w:tblW w:w="9086" w:type="dxa"/>
          <w:tblCellMar>
            <w:left w:w="70" w:type="dxa"/>
            <w:right w:w="70" w:type="dxa"/>
          </w:tblCellMar>
          <w:tblLook w:val="04A0"/>
        </w:tblPrEx>
        <w:trPr>
          <w:trHeight w:val="262"/>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Zákonný rezervný fond</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39 421</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954"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328"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39 421</w:t>
            </w:r>
          </w:p>
        </w:tc>
      </w:tr>
      <w:tr>
        <w:tblPrEx>
          <w:tblW w:w="9086" w:type="dxa"/>
          <w:tblCellMar>
            <w:left w:w="70" w:type="dxa"/>
            <w:right w:w="70" w:type="dxa"/>
          </w:tblCellMar>
          <w:tblLook w:val="04A0"/>
        </w:tblPrEx>
        <w:trPr>
          <w:trHeight w:val="262"/>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Ostatné fondy</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779</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123</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954"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328"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902</w:t>
            </w:r>
          </w:p>
        </w:tc>
      </w:tr>
      <w:tr>
        <w:tblPrEx>
          <w:tblW w:w="9086" w:type="dxa"/>
          <w:tblCellMar>
            <w:left w:w="70" w:type="dxa"/>
            <w:right w:w="70" w:type="dxa"/>
          </w:tblCellMar>
          <w:tblLook w:val="04A0"/>
        </w:tblPrEx>
        <w:trPr>
          <w:trHeight w:val="262"/>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97 670</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-52 213</w:t>
            </w:r>
          </w:p>
        </w:tc>
        <w:tc>
          <w:tcPr>
            <w:tcW w:w="95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328"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45 459</w:t>
            </w:r>
          </w:p>
        </w:tc>
      </w:tr>
      <w:tr>
        <w:tblPrEx>
          <w:tblW w:w="9086" w:type="dxa"/>
          <w:tblCellMar>
            <w:left w:w="70" w:type="dxa"/>
            <w:right w:w="70" w:type="dxa"/>
          </w:tblCellMar>
          <w:tblLook w:val="04A0"/>
        </w:tblPrEx>
        <w:trPr>
          <w:trHeight w:val="262"/>
        </w:trPr>
        <w:tc>
          <w:tcPr>
            <w:tcW w:w="3402"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56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61 361</w:t>
            </w:r>
          </w:p>
        </w:tc>
        <w:tc>
          <w:tcPr>
            <w:tcW w:w="85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54"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328"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61 361</w:t>
            </w:r>
          </w:p>
        </w:tc>
      </w:tr>
    </w:tbl>
    <w:p w:rsidR="00CE1C18" w:rsidRPr="00CE1C18" w:rsidP="00CE1C18">
      <w:pPr>
        <w:bidi w:val="0"/>
        <w:spacing w:after="120" w:line="336" w:lineRule="auto"/>
        <w:jc w:val="right"/>
        <w:rPr>
          <w:rFonts w:ascii="Times New Roman" w:hAnsi="Times New Roman" w:cs="Times New Roman"/>
          <w:color w:val="FF0000"/>
          <w:sz w:val="16"/>
          <w:szCs w:val="16"/>
        </w:rPr>
      </w:pPr>
      <w:r w:rsidRPr="00CE1C18">
        <w:rPr>
          <w:rFonts w:ascii="Times New Roman" w:hAnsi="Times New Roman" w:cs="Times New Roman"/>
          <w:i/>
          <w:color w:val="FF0000"/>
          <w:sz w:val="16"/>
          <w:szCs w:val="16"/>
        </w:rPr>
        <w:tab/>
        <w:tab/>
        <w:tab/>
      </w:r>
      <w:r w:rsidRPr="00CE1C18">
        <w:rPr>
          <w:rFonts w:ascii="Times New Roman" w:hAnsi="Times New Roman" w:cs="Times New Roman"/>
          <w:color w:val="FF0000"/>
          <w:sz w:val="16"/>
          <w:szCs w:val="16"/>
        </w:rPr>
        <w:tab/>
        <w:tab/>
      </w: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 xml:space="preserve">ZSE </w:t>
      </w:r>
      <w:r w:rsidRPr="00CE1C18">
        <w:rPr>
          <w:rFonts w:ascii="Times New Roman" w:hAnsi="Times New Roman" w:cs="Times New Roman"/>
          <w:szCs w:val="24"/>
        </w:rPr>
        <w:t>sa v roku 2014 zvýšilo oproti predchádzajúcemu roku o 9 273 tis. eur predovšetkým vplyvom čistého zisku bežného obdobia. Negatívne ovplyvnila výšku vlastného imania výplata dividend vo výške 52 213 tis. eur, z nej ESA dividenda, vzťahujúca sa na podiel štátu, bola za rok 2014 vykázaná vo výške 26 629 tis. 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Čistý zisk prispel v roku 2014 k zvýšeniu vlastného imania sumou 61 361 tis. eur (pokles oproti predchádzajúcemu roku o 37,2 %). Vývoj zisku ovplyvnilo zrealizovanie organizačnej zmeny, ktorá vyplynula z transpozície 3. liberalizačného balíčka do slovenskej legislatívy. V dôsledku organizačnej zmeny bola prevedená „Divízia služieb pre distribúciu elektrickej energie“ do spoločnosti Západoslovenská distribučná, a. s., čím sa centralizovali činnosti súvisiace s prevádzkou distribučnej siete. Pod spoločnosť Západoslovenská distribučná, a. s. prešiel majetok, záväzky a zamest</w:t>
      </w:r>
      <w:r>
        <w:rPr>
          <w:rFonts w:ascii="Times New Roman" w:hAnsi="Times New Roman" w:cs="Times New Roman"/>
          <w:szCs w:val="24"/>
        </w:rPr>
        <w:t xml:space="preserve">nanci divízie. Na pokles zisku </w:t>
      </w:r>
      <w:r w:rsidRPr="00CE1C18">
        <w:rPr>
          <w:rFonts w:ascii="Times New Roman" w:hAnsi="Times New Roman" w:cs="Times New Roman"/>
          <w:szCs w:val="24"/>
        </w:rPr>
        <w:t>vplývala neprítomnosť zisku z ukončovaných činností</w:t>
      </w:r>
      <w:r>
        <w:rPr>
          <w:rStyle w:val="FootnoteReference"/>
          <w:rFonts w:ascii="Times New Roman" w:hAnsi="Times New Roman"/>
          <w:szCs w:val="24"/>
          <w:rtl w:val="0"/>
        </w:rPr>
        <w:footnoteReference w:id="7"/>
      </w:r>
      <w:r w:rsidRPr="00CE1C18">
        <w:rPr>
          <w:rFonts w:ascii="Times New Roman" w:hAnsi="Times New Roman" w:cs="Times New Roman"/>
          <w:szCs w:val="24"/>
        </w:rPr>
        <w:t>, okrem toho celkové výnosy klesli o 5,7 % (nižšie tržby z predaja elektromerov a ostatného materiálu</w:t>
      </w:r>
      <w:r>
        <w:rPr>
          <w:rFonts w:ascii="Times New Roman" w:hAnsi="Times New Roman" w:cs="Times New Roman"/>
          <w:szCs w:val="24"/>
        </w:rPr>
        <w:t xml:space="preserve"> voči dcérskym spoločnostiam). </w:t>
      </w:r>
      <w:r w:rsidRPr="00CE1C18">
        <w:rPr>
          <w:rFonts w:ascii="Times New Roman" w:hAnsi="Times New Roman" w:cs="Times New Roman"/>
          <w:szCs w:val="24"/>
        </w:rPr>
        <w:t>Oproti tomu náklady na prevádzkové činnosti zaznamenali úsporu 12,7 % (pokles osobných nákladov, amortizácie, nájomného a ostatných nakupovaných služieb). Pozitívny vplyv zisku z prevádzkovej činnosti umocnil v rámci ostatných prevádzkových výnosov výnos z predaja časti podniku vo výške 6 tis. eur (predaj časti podielu v spoločnosti ZSE MVE, s.r.o. dcérskej spoločnosti ZSE Energy Solutions, s.r.o.). Vplyv organizačnej zmeny sa prejavil aj prostredníctvom výnosových úrokov z poskytnutých pôžičiek spoločnosti Západoslovenská distribučná, a. s. V rámci optimalizácie vnútornej kapitálovej štruktúry spoločnosti Západoslovenská distribučná, a.s. sa rozhodla spoločnosť Západoslovenská energetika, a. s., ako jediný akcionár, znížiť základné imanie. Časť odplaty za stiahnuté akcie je vykázaná ako poskytnutá pôžička. Významne negatívny vplyv na čistý zisk mali nižšie prijaté dividendy od dcérskych spoločností (významný pokles bol zaznamenaný pri podieloch od spoločnosti ZSE Energy Solutions, s.r.o. z dôvodu výplaty mimoriadnej dividendy v roku 2013) a vyššie úroky z emitovaných dlhopisov</w:t>
      </w:r>
      <w:r>
        <w:rPr>
          <w:rStyle w:val="FootnoteReference"/>
          <w:rFonts w:ascii="Times New Roman" w:hAnsi="Times New Roman"/>
          <w:szCs w:val="24"/>
          <w:rtl w:val="0"/>
        </w:rPr>
        <w:footnoteReference w:id="8"/>
      </w:r>
      <w:r w:rsidRPr="00CE1C18">
        <w:rPr>
          <w:rFonts w:ascii="Times New Roman" w:hAnsi="Times New Roman" w:cs="Times New Roman"/>
          <w:szCs w:val="24"/>
        </w:rPr>
        <w:t>.</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V priebehu roka 2015 sa očakáva realizácia ďalších organizačných zmien, a to predaj organizačnej zložky podniku vykonávajúcej najmä koordináciu, kontrolu a zabezpečenie komunikácie so zákazníkmi využívajúcimi distribučné služby a riešenie zákazníckych podaní do spoločnosti Západoslovenská distribučná, a. s. a organizačnej zložky pre zabezpečenie starostlivosti a obsluhy pre niektoré segmenty zákazníkov do spoločnosti ZSE Energia, a. s. Súčasťou transakcií bude aj presun zamestnancov týchto činností.</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b/>
          <w:szCs w:val="24"/>
        </w:rPr>
        <w:t xml:space="preserve">Stredoslovenská energetika, a.s. </w:t>
      </w:r>
      <w:r w:rsidRPr="00CE1C18">
        <w:rPr>
          <w:rFonts w:ascii="Times New Roman" w:hAnsi="Times New Roman" w:cs="Times New Roman"/>
          <w:szCs w:val="24"/>
        </w:rPr>
        <w:t>(ďalej „SSE“), so sídlom Pri Rajčia</w:t>
      </w:r>
      <w:r w:rsidR="008F41B1">
        <w:rPr>
          <w:rFonts w:ascii="Times New Roman" w:hAnsi="Times New Roman" w:cs="Times New Roman"/>
          <w:szCs w:val="24"/>
        </w:rPr>
        <w:t>nke 8591/4b, Žilina, vznikla 1. </w:t>
      </w:r>
      <w:r w:rsidRPr="00CE1C18">
        <w:rPr>
          <w:rFonts w:ascii="Times New Roman" w:hAnsi="Times New Roman" w:cs="Times New Roman"/>
          <w:szCs w:val="24"/>
        </w:rPr>
        <w:t>januára 2002. Na základe Uznesenia vlády SR č. 538 zo dňa 22. mája</w:t>
      </w:r>
      <w:r w:rsidR="00CC7802">
        <w:rPr>
          <w:rFonts w:ascii="Times New Roman" w:hAnsi="Times New Roman" w:cs="Times New Roman"/>
          <w:szCs w:val="24"/>
        </w:rPr>
        <w:t xml:space="preserve"> 2002 získala spoločnosť Électri</w:t>
      </w:r>
      <w:r w:rsidRPr="00CE1C18">
        <w:rPr>
          <w:rFonts w:ascii="Times New Roman" w:hAnsi="Times New Roman" w:cs="Times New Roman"/>
          <w:szCs w:val="24"/>
        </w:rPr>
        <w:t>cité de France International (ďalej „EDFI“) 49 % balík akcií spoločnosti SS</w:t>
      </w:r>
      <w:r w:rsidR="008F41B1">
        <w:rPr>
          <w:rFonts w:ascii="Times New Roman" w:hAnsi="Times New Roman" w:cs="Times New Roman"/>
          <w:szCs w:val="24"/>
        </w:rPr>
        <w:t>E. Dňa 27. </w:t>
      </w:r>
      <w:r w:rsidRPr="00CE1C18">
        <w:rPr>
          <w:rFonts w:ascii="Times New Roman" w:hAnsi="Times New Roman" w:cs="Times New Roman"/>
          <w:szCs w:val="24"/>
        </w:rPr>
        <w:t xml:space="preserve">novembra 2013 EDFI úspešne ukončilo prevod 49 % podielu a manažérskej kontroly v SSE na EPH. V dôsledku fúzie spoločnosti EPH Financing II, a.s. a EP Energy, a.s. sa v auguste 2014 stalo EP Energy, a.s. minoritným akcionárom SSE. </w:t>
      </w:r>
    </w:p>
    <w:p w:rsidR="00CE1C18" w:rsidRPr="00CE1C18" w:rsidP="00CE1C18">
      <w:pPr>
        <w:bidi w:val="0"/>
        <w:spacing w:after="120" w:line="336" w:lineRule="auto"/>
        <w:jc w:val="both"/>
        <w:rPr>
          <w:rFonts w:ascii="Times New Roman" w:hAnsi="Times New Roman" w:cs="Times New Roman"/>
          <w:color w:val="FF0000"/>
          <w:szCs w:val="24"/>
        </w:rPr>
      </w:pPr>
      <w:r w:rsidRPr="00CE1C18">
        <w:rPr>
          <w:rFonts w:ascii="Times New Roman" w:hAnsi="Times New Roman" w:cs="Times New Roman"/>
          <w:szCs w:val="24"/>
        </w:rPr>
        <w:t>Vlastnícku štruktúru SSE tvorili k 31. 12. 2014 nasledovní vlastníci: štát, ktorý vlastní 51 %, pričom práva štátu ako akcionára vykonávalo Ministerstvo hospodárstva SR a EP Energy, a.s. so sídlom na území ČR, ktorý vlastní 49 %. Informácie prezentované nižšie sú čerpané z výročnej správy a z individuálnej účtovnej závierky spoločnosti zostavenej za obdobie od 1. januára do 31. decembra 2014 vypracovanej v súlade s Medzinárodnými štandardmi finančného výkazníctva tak, ako boli schválené na použitie v EÚ. SSE je z dôvodu vlastníctva majetkových podielov povinná zostavovať konsolidovanú účtovnú závierku. SSE vlastní majetkové podiely v nasledujúcich dcérskych spoločnostiach: Elektroenergetické montáže, a.s. so sídlom na území SR, zaoberajúca sa stavebnou činnosťou (100,00 % vlastník), SSE – Metrológia, s.r.o. so sídlom na území SR, zaoberajúca sa kalibráciou meradiel (100,00 % vlastník), SSE CZ, s.r.o. so sídlom na území ČR, zaoberajúca sa obchodom s elektrickou energiou (100,00 % vlastník), Stredoslovenská energetika - Distribúcia, a.s. so sídlom na území SR, zaoberajúca sa distribúciou elektrickej energie (100,00</w:t>
      </w:r>
      <w:r>
        <w:rPr>
          <w:rFonts w:ascii="Times New Roman" w:hAnsi="Times New Roman" w:cs="Times New Roman"/>
          <w:szCs w:val="24"/>
        </w:rPr>
        <w:t xml:space="preserve"> % vlastník), </w:t>
      </w:r>
      <w:r w:rsidRPr="00CE1C18">
        <w:rPr>
          <w:rFonts w:ascii="Times New Roman" w:hAnsi="Times New Roman" w:cs="Times New Roman"/>
          <w:szCs w:val="24"/>
        </w:rPr>
        <w:t>Stredoslovenská energetika – Project Development, s.r.o. so sídlom na území SR, zaoberajúca sa výstavbou a prevádzkou elektrárne (100,00 % vlastník) a SSE – Solar, s.r.o. so sídlom na území SR, zaoberajúca sa prevádzkou elektrárne (100,00 % vlastník).</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Priemerný počet zamestnancov SSE k 31. decembru 2014 bol 373.</w:t>
      </w:r>
    </w:p>
    <w:tbl>
      <w:tblPr>
        <w:tblStyle w:val="TableNormal"/>
        <w:tblW w:w="9062" w:type="dxa"/>
        <w:tblCellMar>
          <w:left w:w="70" w:type="dxa"/>
          <w:right w:w="70" w:type="dxa"/>
        </w:tblCellMar>
        <w:tblLook w:val="04A0"/>
      </w:tblPr>
      <w:tblGrid>
        <w:gridCol w:w="3402"/>
        <w:gridCol w:w="1560"/>
        <w:gridCol w:w="992"/>
        <w:gridCol w:w="850"/>
        <w:gridCol w:w="912"/>
        <w:gridCol w:w="1346"/>
      </w:tblGrid>
      <w:tr>
        <w:tblPrEx>
          <w:tblW w:w="9062" w:type="dxa"/>
          <w:tblCellMar>
            <w:left w:w="70" w:type="dxa"/>
            <w:right w:w="70" w:type="dxa"/>
          </w:tblCellMar>
          <w:tblLook w:val="04A0"/>
        </w:tblPrEx>
        <w:trPr>
          <w:trHeight w:val="266"/>
        </w:trPr>
        <w:tc>
          <w:tcPr>
            <w:tcW w:w="9062" w:type="dxa"/>
            <w:gridSpan w:val="6"/>
            <w:tcBorders>
              <w:top w:val="nil"/>
              <w:left w:val="nil"/>
              <w:bottom w:val="nil"/>
              <w:right w:val="nil"/>
            </w:tcBorders>
            <w:shd w:val="clear" w:color="000000" w:fill="000000"/>
            <w:noWrap/>
            <w:textDirection w:val="lrTb"/>
            <w:vAlign w:val="bottom"/>
            <w:hideMark/>
          </w:tcPr>
          <w:p w:rsidR="00CE1C18" w:rsidRPr="00CE1C18" w:rsidP="00473A17">
            <w:pPr>
              <w:bidi w:val="0"/>
              <w:spacing w:after="0" w:line="240" w:lineRule="auto"/>
              <w:rPr>
                <w:rFonts w:ascii="Times New Roman" w:hAnsi="Times New Roman" w:cs="Times New Roman"/>
                <w:b/>
                <w:bCs/>
                <w:color w:val="FFFFFF"/>
                <w:sz w:val="20"/>
                <w:szCs w:val="20"/>
                <w:lang w:eastAsia="sk-SK"/>
              </w:rPr>
            </w:pPr>
            <w:bookmarkStart w:id="115" w:name="_Toc431985272"/>
            <w:bookmarkStart w:id="116" w:name="_Toc433099054"/>
            <w:bookmarkStart w:id="117" w:name="_Toc433099293"/>
            <w:bookmarkStart w:id="118" w:name="_Toc433099399"/>
            <w:bookmarkStart w:id="119" w:name="_Toc433099581"/>
            <w:r w:rsidRPr="00CE1C18">
              <w:rPr>
                <w:rStyle w:val="Heading1Char"/>
                <w:rFonts w:hint="default"/>
                <w:b w:val="0"/>
                <w:color w:val="FFFFFF" w:themeColor="bg1" w:themeShade="FF"/>
                <w:sz w:val="20"/>
                <w:szCs w:val="20"/>
              </w:rPr>
              <w:t>Stredoslovenská</w:t>
            </w:r>
            <w:r w:rsidRPr="00CE1C18">
              <w:rPr>
                <w:rStyle w:val="Heading1Char"/>
                <w:rFonts w:hint="default"/>
                <w:b w:val="0"/>
                <w:color w:val="FFFFFF" w:themeColor="bg1" w:themeShade="FF"/>
                <w:sz w:val="20"/>
                <w:szCs w:val="20"/>
              </w:rPr>
              <w:t xml:space="preserve"> energetika, </w:t>
            </w:r>
            <w:r w:rsidRPr="00CE1C18">
              <w:rPr>
                <w:rStyle w:val="Heading1Char"/>
                <w:rFonts w:hint="default"/>
                <w:b w:val="0"/>
                <w:color w:val="FFFFFF" w:themeColor="bg1" w:themeShade="FF"/>
                <w:sz w:val="20"/>
                <w:szCs w:val="20"/>
              </w:rPr>
              <w:t>a.s.</w:t>
            </w:r>
            <w:bookmarkEnd w:id="115"/>
            <w:bookmarkEnd w:id="116"/>
            <w:bookmarkEnd w:id="117"/>
            <w:bookmarkEnd w:id="118"/>
            <w:bookmarkEnd w:id="119"/>
            <w:r w:rsidRPr="00CE1C18">
              <w:rPr>
                <w:rFonts w:ascii="Times New Roman" w:hAnsi="Times New Roman" w:cs="Times New Roman"/>
                <w:b/>
                <w:bCs/>
                <w:color w:val="FFFFFF"/>
                <w:sz w:val="20"/>
                <w:szCs w:val="20"/>
                <w:lang w:eastAsia="sk-SK"/>
              </w:rPr>
              <w:t xml:space="preserve"> - zmena VI 2013/2014 (v tis. eur)</w:t>
            </w:r>
          </w:p>
        </w:tc>
      </w:tr>
      <w:tr>
        <w:tblPrEx>
          <w:tblW w:w="9062" w:type="dxa"/>
          <w:tblCellMar>
            <w:left w:w="70" w:type="dxa"/>
            <w:right w:w="70" w:type="dxa"/>
          </w:tblCellMar>
          <w:tblLook w:val="04A0"/>
        </w:tblPrEx>
        <w:trPr>
          <w:trHeight w:val="532"/>
        </w:trPr>
        <w:tc>
          <w:tcPr>
            <w:tcW w:w="3402"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56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91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346"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062" w:type="dxa"/>
          <w:tblCellMar>
            <w:left w:w="70" w:type="dxa"/>
            <w:right w:w="70" w:type="dxa"/>
          </w:tblCellMar>
          <w:tblLook w:val="04A0"/>
        </w:tblPrEx>
        <w:trPr>
          <w:trHeight w:val="266"/>
        </w:trPr>
        <w:tc>
          <w:tcPr>
            <w:tcW w:w="340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828 759</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51 843</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-52 000</w:t>
            </w:r>
          </w:p>
        </w:tc>
        <w:tc>
          <w:tcPr>
            <w:tcW w:w="91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346"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828 602</w:t>
            </w:r>
          </w:p>
        </w:tc>
      </w:tr>
      <w:tr>
        <w:tblPrEx>
          <w:tblW w:w="9062" w:type="dxa"/>
          <w:tblCellMar>
            <w:left w:w="70" w:type="dxa"/>
            <w:right w:w="70" w:type="dxa"/>
          </w:tblCellMar>
          <w:tblLook w:val="04A0"/>
        </w:tblPrEx>
        <w:trPr>
          <w:trHeight w:val="266"/>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116 754</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91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346"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116 754</w:t>
            </w:r>
          </w:p>
        </w:tc>
      </w:tr>
      <w:tr>
        <w:tblPrEx>
          <w:tblW w:w="9062" w:type="dxa"/>
          <w:tblCellMar>
            <w:left w:w="70" w:type="dxa"/>
            <w:right w:w="70" w:type="dxa"/>
          </w:tblCellMar>
          <w:tblLook w:val="04A0"/>
        </w:tblPrEx>
        <w:trPr>
          <w:trHeight w:val="266"/>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Zákonný rezervný fond</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23 351</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91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346"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23 351</w:t>
            </w:r>
          </w:p>
        </w:tc>
      </w:tr>
      <w:tr>
        <w:tblPrEx>
          <w:tblW w:w="9062" w:type="dxa"/>
          <w:tblCellMar>
            <w:left w:w="70" w:type="dxa"/>
            <w:right w:w="70" w:type="dxa"/>
          </w:tblCellMar>
          <w:tblLook w:val="04A0"/>
        </w:tblPrEx>
        <w:trPr>
          <w:trHeight w:val="266"/>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xml:space="preserve">Ostatné fondy </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3 359</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52</w:t>
            </w: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91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346"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3 411</w:t>
            </w:r>
          </w:p>
        </w:tc>
      </w:tr>
      <w:tr>
        <w:tblPrEx>
          <w:tblW w:w="9062" w:type="dxa"/>
          <w:tblCellMar>
            <w:left w:w="70" w:type="dxa"/>
            <w:right w:w="70" w:type="dxa"/>
          </w:tblCellMar>
          <w:tblLook w:val="04A0"/>
        </w:tblPrEx>
        <w:trPr>
          <w:trHeight w:val="266"/>
        </w:trPr>
        <w:tc>
          <w:tcPr>
            <w:tcW w:w="3402"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56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685 295</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-52 000</w:t>
            </w:r>
          </w:p>
        </w:tc>
        <w:tc>
          <w:tcPr>
            <w:tcW w:w="91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346"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633 295</w:t>
            </w:r>
          </w:p>
        </w:tc>
      </w:tr>
      <w:tr>
        <w:tblPrEx>
          <w:tblW w:w="9062" w:type="dxa"/>
          <w:tblCellMar>
            <w:left w:w="70" w:type="dxa"/>
            <w:right w:w="70" w:type="dxa"/>
          </w:tblCellMar>
          <w:tblLook w:val="04A0"/>
        </w:tblPrEx>
        <w:trPr>
          <w:trHeight w:val="266"/>
        </w:trPr>
        <w:tc>
          <w:tcPr>
            <w:tcW w:w="3402"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56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51 791</w:t>
            </w:r>
          </w:p>
        </w:tc>
        <w:tc>
          <w:tcPr>
            <w:tcW w:w="85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12"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346"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51 791</w:t>
            </w:r>
          </w:p>
        </w:tc>
      </w:tr>
    </w:tbl>
    <w:p w:rsidR="00CE1C18" w:rsidRPr="00CE1C18" w:rsidP="00CE1C18">
      <w:pPr>
        <w:bidi w:val="0"/>
        <w:spacing w:after="120" w:line="336" w:lineRule="auto"/>
        <w:jc w:val="right"/>
        <w:rPr>
          <w:rFonts w:ascii="Times New Roman" w:hAnsi="Times New Roman" w:cs="Times New Roman"/>
          <w:sz w:val="16"/>
          <w:szCs w:val="16"/>
        </w:rPr>
      </w:pPr>
      <w:r w:rsidRPr="00CE1C18">
        <w:rPr>
          <w:rFonts w:ascii="Times New Roman" w:hAnsi="Times New Roman" w:cs="Times New Roman"/>
          <w:i/>
          <w:sz w:val="16"/>
          <w:szCs w:val="16"/>
        </w:rPr>
        <w:tab/>
        <w:tab/>
        <w:tab/>
      </w:r>
      <w:r w:rsidRPr="00CE1C18">
        <w:rPr>
          <w:rFonts w:ascii="Times New Roman" w:hAnsi="Times New Roman" w:cs="Times New Roman"/>
          <w:sz w:val="16"/>
          <w:szCs w:val="16"/>
        </w:rPr>
        <w:tab/>
        <w:tab/>
      </w: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SSE</w:t>
      </w:r>
      <w:r w:rsidRPr="00CE1C18">
        <w:rPr>
          <w:rFonts w:ascii="Times New Roman" w:hAnsi="Times New Roman" w:cs="Times New Roman"/>
          <w:szCs w:val="24"/>
        </w:rPr>
        <w:t xml:space="preserve"> sa v roku 2014 znížilo o 157 tis. eur najmä vplyvom vyplatenia dividend vo výške 52 000 tis. eur, z nej superdividenda, vzťahujúca sa na vlastnícky podiel štátu, bola v roku 2014 zaznamenaná vo výške 15 610 tis. eur a ESA dividenda, vzťahujúca sa na vlastnícky podiel štátu, bola za rok 2014 vykázaná vo výške 10 910 tis. eur. Negatívny vplyv dividend na výšku vlastného imania zmiernil dosiahnutých zisk bežného obdobia vo výške 51 791 tis. eur.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Čistý zisk zaznamenal v roku 2014 približne 2,2 násobné medziročné zvýšenie. Nárast bol spôsobený predovšetkým vyššími výnosmi z dividend od dcérskych spoločností. Najvyšší rast prijatých dividend bol od spoločnosti Stredoslovenská energetika – Distribúcia, a.s., ktorá v roku 2013 dosiahla vyšší zisk z dôvodu rastu tržieb za distribúciu a zároveň z dôvodu absencie negatívneho vplyvu prepočtu odloženej dane zúčtovaného v roku 2012.</w:t>
      </w:r>
      <w:r w:rsidRPr="00CE1C18">
        <w:rPr>
          <w:rFonts w:ascii="Times New Roman" w:hAnsi="Times New Roman" w:cs="Times New Roman"/>
          <w:color w:val="FF0000"/>
          <w:szCs w:val="24"/>
        </w:rPr>
        <w:t xml:space="preserve"> </w:t>
      </w:r>
      <w:r w:rsidRPr="00CE1C18">
        <w:rPr>
          <w:rFonts w:ascii="Times New Roman" w:hAnsi="Times New Roman" w:cs="Times New Roman"/>
          <w:szCs w:val="24"/>
        </w:rPr>
        <w:t>Vplyv výnosov z dividend sa prejavil aj v poklese dane z</w:t>
      </w:r>
      <w:r w:rsidR="005B0C7F">
        <w:rPr>
          <w:rFonts w:ascii="Times New Roman" w:hAnsi="Times New Roman" w:cs="Times New Roman"/>
          <w:szCs w:val="24"/>
        </w:rPr>
        <w:t> </w:t>
      </w:r>
      <w:r w:rsidRPr="00CE1C18">
        <w:rPr>
          <w:rFonts w:ascii="Times New Roman" w:hAnsi="Times New Roman" w:cs="Times New Roman"/>
          <w:szCs w:val="24"/>
        </w:rPr>
        <w:t>príjmov, cez vplyv dividendy ako odpočítateľnej položky základu dane.</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Zisk z prevádzkovej činnosti klesol o 28,9 %. Dôvodom bol pokles hrubej marže z predaja elektrickej energie a najmä reorganizácia skupiny SSE, ktorá prebehla s platnosťou od 1. januára 2014 a priniesla so sebou prevod všetkých činností a zamestnancov distribučných služieb do dcérskej spoločnosti </w:t>
      </w:r>
      <w:r w:rsidR="00546D72">
        <w:rPr>
          <w:rFonts w:ascii="Times New Roman" w:hAnsi="Times New Roman" w:cs="Times New Roman"/>
          <w:szCs w:val="24"/>
        </w:rPr>
        <w:br/>
      </w:r>
      <w:r w:rsidRPr="00CE1C18">
        <w:rPr>
          <w:rFonts w:ascii="Times New Roman" w:hAnsi="Times New Roman" w:cs="Times New Roman"/>
          <w:szCs w:val="24"/>
        </w:rPr>
        <w:t>SSE-D. Vplyv reorganizácie sa prejavil, obdobne ako v prípade ZSE, a.s., na strane výnosov (prostredníctvom poklesu tržieb z SLA</w:t>
      </w:r>
      <w:r>
        <w:rPr>
          <w:rStyle w:val="FootnoteReference"/>
          <w:rFonts w:ascii="Times New Roman" w:hAnsi="Times New Roman"/>
          <w:szCs w:val="24"/>
          <w:rtl w:val="0"/>
        </w:rPr>
        <w:footnoteReference w:id="9"/>
      </w:r>
      <w:r w:rsidRPr="00CE1C18">
        <w:rPr>
          <w:rFonts w:ascii="Times New Roman" w:hAnsi="Times New Roman" w:cs="Times New Roman"/>
          <w:szCs w:val="24"/>
        </w:rPr>
        <w:t xml:space="preserve"> služieb poskytovaných SSE</w:t>
      </w:r>
      <w:r w:rsidRPr="00CE1C18">
        <w:rPr>
          <w:rFonts w:ascii="Times New Roman" w:hAnsi="Times New Roman" w:cs="Times New Roman"/>
          <w:szCs w:val="24"/>
        </w:rPr>
        <w:noBreakHyphen/>
        <w:t xml:space="preserve">D), aj na strane nákladov (úspora prevádzkových nákladov, osobných náklad a všetkých ostatných nákladov súvisiacich s prevodom majetku, záväzkov a zamestnancov do spoločnosti SSE-D).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Ďalšia fáza reorganizácie skupiny SSE prebehla k 1. januáru 2015 na základe rozhodnutia Valného zhromaždenia zo dňa 8. decembra 2014. V rámci transakcie sa predala časť SSE zahŕňajúca vybrané činnosti a zamestnancov odboru Dopravy a mechanizácie.</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b/>
          <w:szCs w:val="24"/>
        </w:rPr>
        <w:t xml:space="preserve">Východoslovenská energetika Holding, a.s. </w:t>
      </w:r>
      <w:r w:rsidRPr="00CE1C18">
        <w:rPr>
          <w:rFonts w:ascii="Times New Roman" w:hAnsi="Times New Roman" w:cs="Times New Roman"/>
          <w:szCs w:val="24"/>
        </w:rPr>
        <w:t xml:space="preserve">(ďalej „VSE“), so sídlom Mlynská 31, Košice, bola založená 1. septembra 1990 ako štátny podnik. V rámci príprav na privatizáciu bola k 1. januára 2002 zmenená právna forma na akciovú spoločnosť. Dňa 23. januára 2003 podpísala vláda SR zastúpená Ministerstvom hospodárstva SR a Fondom národného majetku SR (vlastník spoločnosti) so spoločnosťou RWE Plus AG dohodu o prevode 49,00 % akcií VSE na RWE Plus AG. </w:t>
      </w:r>
    </w:p>
    <w:p w:rsidR="00CE1C18" w:rsidRPr="00CE1C18" w:rsidP="00CE1C18">
      <w:pPr>
        <w:bidi w:val="0"/>
        <w:spacing w:after="120" w:line="336" w:lineRule="auto"/>
        <w:jc w:val="both"/>
        <w:rPr>
          <w:rFonts w:ascii="Times New Roman" w:hAnsi="Times New Roman" w:cs="Times New Roman"/>
          <w:color w:val="FF0000"/>
          <w:szCs w:val="24"/>
        </w:rPr>
      </w:pPr>
      <w:r w:rsidRPr="00CE1C18">
        <w:rPr>
          <w:rFonts w:ascii="Times New Roman" w:hAnsi="Times New Roman" w:cs="Times New Roman"/>
          <w:szCs w:val="24"/>
        </w:rPr>
        <w:t>Vlastnícku štruktúru VSE tvorili k 31. 12. 2014 nasledovní vlastníci: štát, ktorý vlastní 51,00 %, pričom práva štátu ako akcionára vykonávalo Ministerstvo hospodárstva SR a spoločnosť RWE Beteiligungsverwaltung Ausland GmbH (100,00 % dcérska spoločnosť RWE AG), so sídlom na území Nemecka, ktorá vlastní 49,00 %. Informácie prezentované nižšie sú čerpané z výročnej správy a z individuálnej účtovnej závierky spoločnosti zostavenej za obdobie od 1. januára do 31. decembra 2014 vypracovanej v súlade s Medzinárodnými štandardmi finančného výkazníctva tak, ako boli schválené na použitie v EÚ. VSE je z dôvodu vlastníctva majetkových podielov povinná zostavovať konsolidovanú účtovnú závierku. VSE vlastní majetkové podiely v nasledujúcich dcérskych spoločnostiach: VSE Ekoenergia, s.r.o. so sídlom na území SR, zaoberajúca sa outsourcingom prevádzky a údržby elektrických sietí (100,00 % vlastník), Východoslovenská distribučná, a.s. so sídlom na území SR, zaoberajúca sa distribúciou elektriny (100,00 % vlastník), Východoslovenská energetika, a.s. zaoberajúca sa dodávkou elektriny (100,00 % vlastník), VSE Call centrum, s.r.o. so sídlom na území SR, zaoberajúca sa službami súvisiacimi s počítačovým spracovaním údajov (100 % vlastník) a Bioplyn Rozhanovce, s.r.o. so sídlom na území SR, zaoberajúca sa výrobou a spracovaním prírodných hnojív (51,00 % vlastník). Pre VSE je pridruženým podnikom Transelektro, s.r.o. (25,50 % vlastník) a spoločnými podnikmi Energotel, s.r.o. (20,00 % vlastník) a SPX, s.r.o. (33,33 % vlastník).</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Priemerný počet zamestnancov VSE k 31. decembru 2014 bol 475.</w:t>
      </w:r>
    </w:p>
    <w:tbl>
      <w:tblPr>
        <w:tblStyle w:val="TableNormal"/>
        <w:tblW w:w="9107" w:type="dxa"/>
        <w:tblCellMar>
          <w:left w:w="70" w:type="dxa"/>
          <w:right w:w="70" w:type="dxa"/>
        </w:tblCellMar>
        <w:tblLook w:val="04A0"/>
      </w:tblPr>
      <w:tblGrid>
        <w:gridCol w:w="2998"/>
        <w:gridCol w:w="1680"/>
        <w:gridCol w:w="997"/>
        <w:gridCol w:w="1008"/>
        <w:gridCol w:w="1012"/>
        <w:gridCol w:w="1412"/>
      </w:tblGrid>
      <w:tr>
        <w:tblPrEx>
          <w:tblW w:w="9107" w:type="dxa"/>
          <w:tblCellMar>
            <w:left w:w="70" w:type="dxa"/>
            <w:right w:w="70" w:type="dxa"/>
          </w:tblCellMar>
          <w:tblLook w:val="04A0"/>
        </w:tblPrEx>
        <w:trPr>
          <w:trHeight w:val="259"/>
        </w:trPr>
        <w:tc>
          <w:tcPr>
            <w:tcW w:w="9107" w:type="dxa"/>
            <w:gridSpan w:val="6"/>
            <w:tcBorders>
              <w:top w:val="nil"/>
              <w:left w:val="nil"/>
              <w:bottom w:val="nil"/>
              <w:right w:val="nil"/>
            </w:tcBorders>
            <w:shd w:val="clear" w:color="000000" w:fill="000000"/>
            <w:noWrap/>
            <w:textDirection w:val="lrTb"/>
            <w:vAlign w:val="bottom"/>
            <w:hideMark/>
          </w:tcPr>
          <w:p w:rsidR="00CE1C18" w:rsidRPr="00CE1C18" w:rsidP="007324B7">
            <w:pPr>
              <w:bidi w:val="0"/>
              <w:spacing w:after="0" w:line="240" w:lineRule="auto"/>
              <w:rPr>
                <w:rFonts w:ascii="Times New Roman" w:hAnsi="Times New Roman" w:cs="Times New Roman"/>
                <w:b/>
                <w:bCs/>
                <w:color w:val="FFFFFF"/>
                <w:sz w:val="20"/>
                <w:szCs w:val="20"/>
                <w:lang w:eastAsia="sk-SK"/>
              </w:rPr>
            </w:pPr>
            <w:bookmarkStart w:id="120" w:name="_Toc431985273"/>
            <w:bookmarkStart w:id="121" w:name="_Toc433099055"/>
            <w:bookmarkStart w:id="122" w:name="_Toc433099294"/>
            <w:bookmarkStart w:id="123" w:name="_Toc433099400"/>
            <w:bookmarkStart w:id="124" w:name="_Toc433099582"/>
            <w:r w:rsidRPr="00CE1C18">
              <w:rPr>
                <w:rStyle w:val="Heading1Char"/>
                <w:rFonts w:hint="default"/>
                <w:b w:val="0"/>
                <w:color w:val="FFFFFF" w:themeColor="bg1" w:themeShade="FF"/>
                <w:sz w:val="20"/>
                <w:szCs w:val="20"/>
              </w:rPr>
              <w:t>Vý</w:t>
            </w:r>
            <w:r w:rsidRPr="00CE1C18">
              <w:rPr>
                <w:rStyle w:val="Heading1Char"/>
                <w:rFonts w:hint="default"/>
                <w:b w:val="0"/>
                <w:color w:val="FFFFFF" w:themeColor="bg1" w:themeShade="FF"/>
                <w:sz w:val="20"/>
                <w:szCs w:val="20"/>
              </w:rPr>
              <w:t>chodoslovenská</w:t>
            </w:r>
            <w:r w:rsidRPr="00CE1C18">
              <w:rPr>
                <w:rStyle w:val="Heading1Char"/>
                <w:rFonts w:hint="default"/>
                <w:b w:val="0"/>
                <w:color w:val="FFFFFF" w:themeColor="bg1" w:themeShade="FF"/>
                <w:sz w:val="20"/>
                <w:szCs w:val="20"/>
              </w:rPr>
              <w:t xml:space="preserve"> energetika Holding, a.s.</w:t>
            </w:r>
            <w:bookmarkEnd w:id="120"/>
            <w:bookmarkEnd w:id="121"/>
            <w:bookmarkEnd w:id="122"/>
            <w:bookmarkEnd w:id="123"/>
            <w:bookmarkEnd w:id="124"/>
            <w:r w:rsidR="00473A17">
              <w:rPr>
                <w:rFonts w:ascii="Times New Roman" w:hAnsi="Times New Roman" w:cs="Times New Roman"/>
                <w:b/>
                <w:bCs/>
                <w:color w:val="FFFFFF"/>
                <w:sz w:val="20"/>
                <w:szCs w:val="20"/>
                <w:lang w:eastAsia="sk-SK"/>
              </w:rPr>
              <w:t xml:space="preserve"> </w:t>
            </w:r>
            <w:r w:rsidRPr="00CE1C18">
              <w:rPr>
                <w:rFonts w:ascii="Times New Roman" w:hAnsi="Times New Roman" w:cs="Times New Roman"/>
                <w:b/>
                <w:bCs/>
                <w:color w:val="FFFFFF"/>
                <w:sz w:val="20"/>
                <w:szCs w:val="20"/>
                <w:lang w:eastAsia="sk-SK"/>
              </w:rPr>
              <w:t>- zmena VI 2013/2014 (v tis. eur)</w:t>
            </w:r>
          </w:p>
        </w:tc>
      </w:tr>
      <w:tr>
        <w:tblPrEx>
          <w:tblW w:w="9107" w:type="dxa"/>
          <w:tblCellMar>
            <w:left w:w="70" w:type="dxa"/>
            <w:right w:w="70" w:type="dxa"/>
          </w:tblCellMar>
          <w:tblLook w:val="04A0"/>
        </w:tblPrEx>
        <w:trPr>
          <w:trHeight w:val="519"/>
        </w:trPr>
        <w:tc>
          <w:tcPr>
            <w:tcW w:w="2998"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680"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997"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1008"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101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41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107" w:type="dxa"/>
          <w:tblCellMar>
            <w:left w:w="70" w:type="dxa"/>
            <w:right w:w="70" w:type="dxa"/>
          </w:tblCellMar>
          <w:tblLook w:val="04A0"/>
        </w:tblPrEx>
        <w:trPr>
          <w:trHeight w:val="259"/>
        </w:trPr>
        <w:tc>
          <w:tcPr>
            <w:tcW w:w="2998"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68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571 217</w:t>
            </w:r>
          </w:p>
        </w:tc>
        <w:tc>
          <w:tcPr>
            <w:tcW w:w="99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157 209</w:t>
            </w:r>
          </w:p>
        </w:tc>
        <w:tc>
          <w:tcPr>
            <w:tcW w:w="1008"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-46 560</w:t>
            </w:r>
          </w:p>
        </w:tc>
        <w:tc>
          <w:tcPr>
            <w:tcW w:w="101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41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681 866</w:t>
            </w:r>
          </w:p>
        </w:tc>
      </w:tr>
      <w:tr>
        <w:tblPrEx>
          <w:tblW w:w="9107" w:type="dxa"/>
          <w:tblCellMar>
            <w:left w:w="70" w:type="dxa"/>
            <w:right w:w="70" w:type="dxa"/>
          </w:tblCellMar>
          <w:tblLook w:val="04A0"/>
        </w:tblPrEx>
        <w:trPr>
          <w:trHeight w:val="259"/>
        </w:trPr>
        <w:tc>
          <w:tcPr>
            <w:tcW w:w="2998"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68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111 618</w:t>
            </w:r>
          </w:p>
        </w:tc>
        <w:tc>
          <w:tcPr>
            <w:tcW w:w="99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008"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01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1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111 618</w:t>
            </w:r>
          </w:p>
        </w:tc>
      </w:tr>
      <w:tr>
        <w:tblPrEx>
          <w:tblW w:w="9107" w:type="dxa"/>
          <w:tblCellMar>
            <w:left w:w="70" w:type="dxa"/>
            <w:right w:w="70" w:type="dxa"/>
          </w:tblCellMar>
          <w:tblLook w:val="04A0"/>
        </w:tblPrEx>
        <w:trPr>
          <w:trHeight w:val="259"/>
        </w:trPr>
        <w:tc>
          <w:tcPr>
            <w:tcW w:w="2998"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Zákonný rezervný fond</w:t>
            </w:r>
          </w:p>
        </w:tc>
        <w:tc>
          <w:tcPr>
            <w:tcW w:w="168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22 339</w:t>
            </w:r>
          </w:p>
        </w:tc>
        <w:tc>
          <w:tcPr>
            <w:tcW w:w="99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008"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01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1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22 339</w:t>
            </w:r>
          </w:p>
        </w:tc>
      </w:tr>
      <w:tr>
        <w:tblPrEx>
          <w:tblW w:w="9107" w:type="dxa"/>
          <w:tblCellMar>
            <w:left w:w="70" w:type="dxa"/>
            <w:right w:w="70" w:type="dxa"/>
          </w:tblCellMar>
          <w:tblLook w:val="04A0"/>
        </w:tblPrEx>
        <w:trPr>
          <w:trHeight w:val="259"/>
        </w:trPr>
        <w:tc>
          <w:tcPr>
            <w:tcW w:w="2998"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xml:space="preserve">Ostatné fondy </w:t>
            </w:r>
          </w:p>
        </w:tc>
        <w:tc>
          <w:tcPr>
            <w:tcW w:w="168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12 946</w:t>
            </w:r>
          </w:p>
        </w:tc>
        <w:tc>
          <w:tcPr>
            <w:tcW w:w="99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008"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01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41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12 946</w:t>
            </w:r>
          </w:p>
        </w:tc>
      </w:tr>
      <w:tr>
        <w:tblPrEx>
          <w:tblW w:w="9107" w:type="dxa"/>
          <w:tblCellMar>
            <w:left w:w="70" w:type="dxa"/>
            <w:right w:w="70" w:type="dxa"/>
          </w:tblCellMar>
          <w:tblLook w:val="04A0"/>
        </w:tblPrEx>
        <w:trPr>
          <w:trHeight w:val="259"/>
        </w:trPr>
        <w:tc>
          <w:tcPr>
            <w:tcW w:w="2998"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680"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424 314</w:t>
            </w:r>
          </w:p>
        </w:tc>
        <w:tc>
          <w:tcPr>
            <w:tcW w:w="997"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51</w:t>
            </w:r>
          </w:p>
        </w:tc>
        <w:tc>
          <w:tcPr>
            <w:tcW w:w="1008"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-46 560</w:t>
            </w:r>
          </w:p>
        </w:tc>
        <w:tc>
          <w:tcPr>
            <w:tcW w:w="101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41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377 805</w:t>
            </w:r>
          </w:p>
        </w:tc>
      </w:tr>
      <w:tr>
        <w:tblPrEx>
          <w:tblW w:w="9107" w:type="dxa"/>
          <w:tblCellMar>
            <w:left w:w="70" w:type="dxa"/>
            <w:right w:w="70" w:type="dxa"/>
          </w:tblCellMar>
          <w:tblLook w:val="04A0"/>
        </w:tblPrEx>
        <w:trPr>
          <w:trHeight w:val="259"/>
        </w:trPr>
        <w:tc>
          <w:tcPr>
            <w:tcW w:w="2998"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680"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97"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157 158</w:t>
            </w:r>
          </w:p>
        </w:tc>
        <w:tc>
          <w:tcPr>
            <w:tcW w:w="1008"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012"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412"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157 158</w:t>
            </w:r>
          </w:p>
        </w:tc>
      </w:tr>
    </w:tbl>
    <w:p w:rsidR="00CE1C18" w:rsidRPr="00CE1C18" w:rsidP="00CE1C18">
      <w:pPr>
        <w:bidi w:val="0"/>
        <w:spacing w:after="120" w:line="336" w:lineRule="auto"/>
        <w:jc w:val="right"/>
        <w:rPr>
          <w:rFonts w:ascii="Times New Roman" w:hAnsi="Times New Roman" w:cs="Times New Roman"/>
          <w:sz w:val="16"/>
          <w:szCs w:val="16"/>
        </w:rPr>
      </w:pPr>
      <w:r w:rsidRPr="00CE1C18">
        <w:rPr>
          <w:rFonts w:ascii="Times New Roman" w:hAnsi="Times New Roman" w:cs="Times New Roman"/>
          <w:i/>
          <w:color w:val="FF0000"/>
          <w:sz w:val="16"/>
          <w:szCs w:val="16"/>
        </w:rPr>
        <w:tab/>
        <w:tab/>
        <w:tab/>
      </w:r>
      <w:r w:rsidRPr="00CE1C18">
        <w:rPr>
          <w:rFonts w:ascii="Times New Roman" w:hAnsi="Times New Roman" w:cs="Times New Roman"/>
          <w:color w:val="FF0000"/>
          <w:sz w:val="16"/>
          <w:szCs w:val="16"/>
        </w:rPr>
        <w:tab/>
        <w:tab/>
      </w: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VSE</w:t>
      </w:r>
      <w:r w:rsidRPr="00CE1C18">
        <w:rPr>
          <w:rFonts w:ascii="Times New Roman" w:hAnsi="Times New Roman" w:cs="Times New Roman"/>
          <w:szCs w:val="24"/>
        </w:rPr>
        <w:t xml:space="preserve"> sa v roku 2014 zvýšilo o 110 649 tis. eur najmä vplyvom výsledku hospodárenia vo výške 157 158 tis. eur. Pozitívny vplyv zisku zmiernilo o 46 553 tis. eur vyplatenie dividend, z nej superdividenda, vzťahujúca sa na vlastnícky podiel štátu, bola v roku 2014 zaznamenaná vo výške 391 tis. eur a ESA dividenda, vzťahujúca sa na vlastnícky podiel štátu, bola za roku 2014 vykázaná vo výške 23 351 tis. 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Na zvýšenie čistého zisku (5,7 násobný medziročný rast) prispeli svojím výsledkom najmä ukončované činnosti, ktorých zisk medziročne vzrástol viac ako 7,9 násobne vplyvom výnosov z precenenia majetku a záväzkov (tvoria 93,8 % zo zisku z ukončovaných činností pred zdanením).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Počas sledovaného obdobia boli v rámci ukončovaných činností vykázané Sieťové služby a Obchodné činnosti. Sieťové služby boli zahrnuté za obdobie 1 - 12/2013, od 1. januára 2014 prešli pod spoločnosť Východoslovenská distribučná, a.s. Obchodné činnosti sa vykazujú v položke ukončovaných činností za obdobie 1 – 12/2013 a 1 – 6/2014, vzhľadom na skutočnosť, že k prevodu do spoločnosti VSE Development, a.s. prišlo s účinnosťou od 1. júla 2014. S prevodom hlavného predmetu podnikania sa previedlo aj obchodného meno z pôvodnej spoločnosti VSE, a.s. na spoločnosť VSE Development, a.s. (VSE Development, a.s. sa zmenila od 1. júla 2014 na VSE, a.s.). Pôvodná spoločnosť VSE, a.s., od 1. júla 2014 Východoslovenská energetika Holding, a.s., sa zameriava na koordináciu a manažérsku kontrolu dcérskych a pridružených spoločností a poskytovanie zdieľaných služieb. V súvislosti s prevodom činností prešiel na spoločnosti aj majetok, záväzky a zamestnanci. Reorganizáciou skupiny VSE sa naplnili regulačné požiadavky na odčlenenie obchodných a distribučných činností.</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Zisk z pokračujúcich činností vzrástol o 0,1 % najmä vplyvom vyšších tržieb z SLA a ostatných služieb poskytovaných dcérskym spoločnostiam a tretím stranám.</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Dňa 16. decembra 2014 schválilo Valné zhromaždenie spoločnosti Východoslovenská energetika Holding, a.s. prevod časti činností na spoločnosti Východoslovenská distribučná, a.s. a Východoslovenská energetika, a.s. Išlo o časť činností zamestnávateľa a prevod práv a povinností z pracovnoprávnych vzťahov, konkrétne činnosti zastrešené odbormi Back Office, Manažment zásobovania a biznis podpora zákazníckych systémov a IT služby.</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b/>
          <w:szCs w:val="24"/>
        </w:rPr>
        <w:t xml:space="preserve">Slovenský vodohospodársky podnik, š.p. </w:t>
      </w:r>
      <w:r w:rsidRPr="00CE1C18">
        <w:rPr>
          <w:rFonts w:ascii="Times New Roman" w:hAnsi="Times New Roman" w:cs="Times New Roman"/>
          <w:szCs w:val="24"/>
        </w:rPr>
        <w:t xml:space="preserve">(ďalej „SVP“), so sídlom Radničné námestie 9, Banská Štiavnica, bol založený 19. decembra 1996 vo forme štátneho podniku splynutím štátnych podnikov: Povodie Dunaja, š.p. Bratislava, Povodie Váhu, š.p. Piešťany, Povodie Hrona, š.p. Banská Bystrica, Povodie Bodrogu a Hornádu, š.p. Košice.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Jediným vlastníkom SVP bol k 31. 12. 2014 štát, pričom práva štátu ako akcionára vykonávalo Ministerstvo životného prostredia SR. Informácie prezentované nižšie sú čerpané z výročnej správy a z individuálnej účtovnej závierky spoločnosti zostavenej za obdobie od 1. januára do 31. decembra 2014 vypracovanej podľa § 17 ods. 6 zákona č. 431/2002 Z. z. o účtovníctve, v znení neskorších predpisov. SVP nie je vlastníkom majetkových podielov v iných spoločnostiach, preto mu nevzniká povinnosť zostavovať konsolidovanú účtovnú závierku.</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Priemerný prepočítaný počet zamestnancov SVP k 31. decembru 2014 bol 3 446.</w:t>
      </w:r>
    </w:p>
    <w:tbl>
      <w:tblPr>
        <w:tblStyle w:val="TableNormal"/>
        <w:tblW w:w="9166" w:type="dxa"/>
        <w:tblCellMar>
          <w:left w:w="70" w:type="dxa"/>
          <w:right w:w="70" w:type="dxa"/>
        </w:tblCellMar>
        <w:tblLook w:val="04A0"/>
      </w:tblPr>
      <w:tblGrid>
        <w:gridCol w:w="3119"/>
        <w:gridCol w:w="1559"/>
        <w:gridCol w:w="1134"/>
        <w:gridCol w:w="992"/>
        <w:gridCol w:w="993"/>
        <w:gridCol w:w="1369"/>
      </w:tblGrid>
      <w:tr>
        <w:tblPrEx>
          <w:tblW w:w="9166" w:type="dxa"/>
          <w:tblCellMar>
            <w:left w:w="70" w:type="dxa"/>
            <w:right w:w="70" w:type="dxa"/>
          </w:tblCellMar>
          <w:tblLook w:val="04A0"/>
        </w:tblPrEx>
        <w:trPr>
          <w:trHeight w:val="264"/>
        </w:trPr>
        <w:tc>
          <w:tcPr>
            <w:tcW w:w="9166" w:type="dxa"/>
            <w:gridSpan w:val="6"/>
            <w:tcBorders>
              <w:top w:val="nil"/>
              <w:left w:val="nil"/>
              <w:bottom w:val="nil"/>
              <w:right w:val="nil"/>
            </w:tcBorders>
            <w:shd w:val="clear" w:color="000000" w:fill="000000"/>
            <w:noWrap/>
            <w:textDirection w:val="lrTb"/>
            <w:vAlign w:val="bottom"/>
            <w:hideMark/>
          </w:tcPr>
          <w:p w:rsidR="00CE1C18" w:rsidRPr="00CE1C18" w:rsidP="00473A17">
            <w:pPr>
              <w:bidi w:val="0"/>
              <w:spacing w:after="0" w:line="240" w:lineRule="auto"/>
              <w:rPr>
                <w:rFonts w:ascii="Times New Roman" w:hAnsi="Times New Roman" w:cs="Times New Roman"/>
                <w:b/>
                <w:bCs/>
                <w:color w:val="FFFFFF"/>
                <w:sz w:val="20"/>
                <w:szCs w:val="20"/>
                <w:lang w:eastAsia="sk-SK"/>
              </w:rPr>
            </w:pPr>
            <w:bookmarkStart w:id="125" w:name="_Toc431985274"/>
            <w:bookmarkStart w:id="126" w:name="_Toc433099056"/>
            <w:bookmarkStart w:id="127" w:name="_Toc433099295"/>
            <w:bookmarkStart w:id="128" w:name="_Toc433099401"/>
            <w:bookmarkStart w:id="129" w:name="_Toc433099583"/>
            <w:r w:rsidRPr="00CE1C18">
              <w:rPr>
                <w:rStyle w:val="Heading1Char"/>
                <w:rFonts w:hint="default"/>
                <w:b w:val="0"/>
                <w:color w:val="FFFFFF" w:themeColor="bg1" w:themeShade="FF"/>
                <w:sz w:val="20"/>
                <w:szCs w:val="20"/>
              </w:rPr>
              <w:t>Slovenský</w:t>
            </w:r>
            <w:r w:rsidRPr="00CE1C18">
              <w:rPr>
                <w:rStyle w:val="Heading1Char"/>
                <w:rFonts w:hint="default"/>
                <w:b w:val="0"/>
                <w:color w:val="FFFFFF" w:themeColor="bg1" w:themeShade="FF"/>
                <w:sz w:val="20"/>
                <w:szCs w:val="20"/>
              </w:rPr>
              <w:t xml:space="preserve"> vodohospodá</w:t>
            </w:r>
            <w:r w:rsidRPr="00CE1C18">
              <w:rPr>
                <w:rStyle w:val="Heading1Char"/>
                <w:rFonts w:hint="default"/>
                <w:b w:val="0"/>
                <w:color w:val="FFFFFF" w:themeColor="bg1" w:themeShade="FF"/>
                <w:sz w:val="20"/>
                <w:szCs w:val="20"/>
              </w:rPr>
              <w:t>rsky podnik, š</w:t>
            </w:r>
            <w:r w:rsidRPr="00CE1C18">
              <w:rPr>
                <w:rStyle w:val="Heading1Char"/>
                <w:rFonts w:hint="default"/>
                <w:b w:val="0"/>
                <w:color w:val="FFFFFF" w:themeColor="bg1" w:themeShade="FF"/>
                <w:sz w:val="20"/>
                <w:szCs w:val="20"/>
              </w:rPr>
              <w:t>.p.</w:t>
            </w:r>
            <w:bookmarkEnd w:id="125"/>
            <w:bookmarkEnd w:id="126"/>
            <w:bookmarkEnd w:id="127"/>
            <w:bookmarkEnd w:id="128"/>
            <w:bookmarkEnd w:id="129"/>
            <w:r w:rsidRPr="00CE1C18">
              <w:rPr>
                <w:rFonts w:ascii="Times New Roman" w:hAnsi="Times New Roman" w:cs="Times New Roman"/>
                <w:b/>
                <w:bCs/>
                <w:color w:val="FFFFFF"/>
                <w:sz w:val="20"/>
                <w:szCs w:val="20"/>
                <w:lang w:eastAsia="sk-SK"/>
              </w:rPr>
              <w:t xml:space="preserve"> - zmena VI 2013/2014 (v tis. eur)</w:t>
            </w:r>
          </w:p>
        </w:tc>
      </w:tr>
      <w:tr>
        <w:tblPrEx>
          <w:tblW w:w="9166" w:type="dxa"/>
          <w:tblCellMar>
            <w:left w:w="70" w:type="dxa"/>
            <w:right w:w="70" w:type="dxa"/>
          </w:tblCellMar>
          <w:tblLook w:val="04A0"/>
        </w:tblPrEx>
        <w:trPr>
          <w:trHeight w:val="528"/>
        </w:trPr>
        <w:tc>
          <w:tcPr>
            <w:tcW w:w="3119" w:type="dxa"/>
            <w:tcBorders>
              <w:top w:val="nil"/>
              <w:left w:val="nil"/>
              <w:bottom w:val="single" w:sz="4" w:space="0" w:color="auto"/>
              <w:right w:val="nil"/>
            </w:tcBorders>
            <w:shd w:val="clear" w:color="000000" w:fill="D9D9D9"/>
            <w:noWrap/>
            <w:textDirection w:val="lrTb"/>
            <w:vAlign w:val="center"/>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 </w:t>
            </w:r>
          </w:p>
        </w:tc>
        <w:tc>
          <w:tcPr>
            <w:tcW w:w="1559"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začiatku obdobia</w:t>
            </w:r>
          </w:p>
        </w:tc>
        <w:tc>
          <w:tcPr>
            <w:tcW w:w="1134"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Prírastky</w:t>
            </w:r>
          </w:p>
        </w:tc>
        <w:tc>
          <w:tcPr>
            <w:tcW w:w="992"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Úbytky</w:t>
            </w:r>
          </w:p>
        </w:tc>
        <w:tc>
          <w:tcPr>
            <w:tcW w:w="993"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Presuny</w:t>
            </w:r>
          </w:p>
        </w:tc>
        <w:tc>
          <w:tcPr>
            <w:tcW w:w="1369" w:type="dxa"/>
            <w:tcBorders>
              <w:top w:val="nil"/>
              <w:left w:val="nil"/>
              <w:bottom w:val="single" w:sz="4" w:space="0" w:color="auto"/>
              <w:right w:val="nil"/>
            </w:tcBorders>
            <w:shd w:val="clear" w:color="000000" w:fill="D9D9D9"/>
            <w:textDirection w:val="lrTb"/>
            <w:vAlign w:val="center"/>
            <w:hideMark/>
          </w:tcPr>
          <w:p w:rsidR="00CE1C18" w:rsidRPr="00CE1C18" w:rsidP="007324B7">
            <w:pPr>
              <w:bidi w:val="0"/>
              <w:spacing w:after="0" w:line="240" w:lineRule="auto"/>
              <w:jc w:val="center"/>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Stav na konci obdobia</w:t>
            </w:r>
          </w:p>
        </w:tc>
      </w:tr>
      <w:tr>
        <w:tblPrEx>
          <w:tblW w:w="9166" w:type="dxa"/>
          <w:tblCellMar>
            <w:left w:w="70" w:type="dxa"/>
            <w:right w:w="70" w:type="dxa"/>
          </w:tblCellMar>
          <w:tblLook w:val="04A0"/>
        </w:tblPrEx>
        <w:trPr>
          <w:trHeight w:val="264"/>
        </w:trPr>
        <w:tc>
          <w:tcPr>
            <w:tcW w:w="3119"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Vlastné imanie</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838 821</w:t>
            </w: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190 141</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-106 625</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0</w:t>
            </w:r>
          </w:p>
        </w:tc>
        <w:tc>
          <w:tcPr>
            <w:tcW w:w="136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b/>
                <w:bCs/>
                <w:color w:val="000000"/>
                <w:sz w:val="20"/>
                <w:szCs w:val="20"/>
                <w:lang w:eastAsia="sk-SK"/>
              </w:rPr>
            </w:pPr>
            <w:r w:rsidRPr="00CE1C18">
              <w:rPr>
                <w:rFonts w:ascii="Times New Roman" w:hAnsi="Times New Roman" w:cs="Times New Roman"/>
                <w:b/>
                <w:bCs/>
                <w:color w:val="000000"/>
                <w:sz w:val="20"/>
                <w:szCs w:val="20"/>
                <w:lang w:eastAsia="sk-SK"/>
              </w:rPr>
              <w:t>922 337</w:t>
            </w:r>
          </w:p>
        </w:tc>
      </w:tr>
      <w:tr>
        <w:tblPrEx>
          <w:tblW w:w="9166" w:type="dxa"/>
          <w:tblCellMar>
            <w:left w:w="70" w:type="dxa"/>
            <w:right w:w="70" w:type="dxa"/>
          </w:tblCellMar>
          <w:tblLook w:val="04A0"/>
        </w:tblPrEx>
        <w:trPr>
          <w:trHeight w:val="264"/>
        </w:trPr>
        <w:tc>
          <w:tcPr>
            <w:tcW w:w="3119"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Základné imanie</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907 366</w:t>
            </w: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211 211</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-106 625</w:t>
            </w: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136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1 011 952</w:t>
            </w:r>
          </w:p>
        </w:tc>
      </w:tr>
      <w:tr>
        <w:tblPrEx>
          <w:tblW w:w="9166" w:type="dxa"/>
          <w:tblCellMar>
            <w:left w:w="70" w:type="dxa"/>
            <w:right w:w="70" w:type="dxa"/>
          </w:tblCellMar>
          <w:tblLook w:val="04A0"/>
        </w:tblPrEx>
        <w:trPr>
          <w:trHeight w:val="264"/>
        </w:trPr>
        <w:tc>
          <w:tcPr>
            <w:tcW w:w="3119"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Nedeliteľný fond</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0</w:t>
            </w: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136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0</w:t>
            </w:r>
          </w:p>
        </w:tc>
      </w:tr>
      <w:tr>
        <w:tblPrEx>
          <w:tblW w:w="9166" w:type="dxa"/>
          <w:tblCellMar>
            <w:left w:w="70" w:type="dxa"/>
            <w:right w:w="70" w:type="dxa"/>
          </w:tblCellMar>
          <w:tblLook w:val="04A0"/>
        </w:tblPrEx>
        <w:trPr>
          <w:trHeight w:val="264"/>
        </w:trPr>
        <w:tc>
          <w:tcPr>
            <w:tcW w:w="3119"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Zákonný rezervný fond</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0</w:t>
            </w: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rPr>
                <w:rFonts w:ascii="Times New Roman" w:hAnsi="Times New Roman" w:cs="Times New Roman"/>
                <w:sz w:val="20"/>
                <w:szCs w:val="20"/>
                <w:lang w:eastAsia="sk-SK"/>
              </w:rPr>
            </w:pP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2 157</w:t>
            </w:r>
          </w:p>
        </w:tc>
        <w:tc>
          <w:tcPr>
            <w:tcW w:w="136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2 157</w:t>
            </w:r>
          </w:p>
        </w:tc>
      </w:tr>
      <w:tr>
        <w:tblPrEx>
          <w:tblW w:w="9166" w:type="dxa"/>
          <w:tblCellMar>
            <w:left w:w="70" w:type="dxa"/>
            <w:right w:w="70" w:type="dxa"/>
          </w:tblCellMar>
          <w:tblLook w:val="04A0"/>
        </w:tblPrEx>
        <w:trPr>
          <w:trHeight w:val="264"/>
        </w:trPr>
        <w:tc>
          <w:tcPr>
            <w:tcW w:w="3119" w:type="dxa"/>
            <w:tcBorders>
              <w:top w:val="nil"/>
              <w:left w:val="nil"/>
              <w:bottom w:val="nil"/>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Nerozdelený zisk/neuhradená strata</w:t>
            </w:r>
          </w:p>
        </w:tc>
        <w:tc>
          <w:tcPr>
            <w:tcW w:w="155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-68 545</w:t>
            </w:r>
          </w:p>
        </w:tc>
        <w:tc>
          <w:tcPr>
            <w:tcW w:w="1134"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237</w:t>
            </w:r>
          </w:p>
        </w:tc>
        <w:tc>
          <w:tcPr>
            <w:tcW w:w="992"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p>
        </w:tc>
        <w:tc>
          <w:tcPr>
            <w:tcW w:w="993"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-2 157</w:t>
            </w:r>
          </w:p>
        </w:tc>
        <w:tc>
          <w:tcPr>
            <w:tcW w:w="1369" w:type="dxa"/>
            <w:tcBorders>
              <w:top w:val="nil"/>
              <w:left w:val="nil"/>
              <w:bottom w:val="nil"/>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-70 465</w:t>
            </w:r>
          </w:p>
        </w:tc>
      </w:tr>
      <w:tr>
        <w:tblPrEx>
          <w:tblW w:w="9166" w:type="dxa"/>
          <w:tblCellMar>
            <w:left w:w="70" w:type="dxa"/>
            <w:right w:w="70" w:type="dxa"/>
          </w:tblCellMar>
          <w:tblLook w:val="04A0"/>
        </w:tblPrEx>
        <w:trPr>
          <w:trHeight w:val="264"/>
        </w:trPr>
        <w:tc>
          <w:tcPr>
            <w:tcW w:w="3119" w:type="dxa"/>
            <w:tcBorders>
              <w:top w:val="nil"/>
              <w:left w:val="nil"/>
              <w:bottom w:val="single" w:sz="4" w:space="0" w:color="auto"/>
              <w:right w:val="nil"/>
            </w:tcBorders>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Výsledok bežného obdobia</w:t>
            </w:r>
          </w:p>
        </w:tc>
        <w:tc>
          <w:tcPr>
            <w:tcW w:w="1559"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134"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-21 307</w:t>
            </w:r>
          </w:p>
        </w:tc>
        <w:tc>
          <w:tcPr>
            <w:tcW w:w="992"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 </w:t>
            </w:r>
          </w:p>
        </w:tc>
        <w:tc>
          <w:tcPr>
            <w:tcW w:w="1369" w:type="dxa"/>
            <w:tcBorders>
              <w:top w:val="nil"/>
              <w:left w:val="nil"/>
              <w:bottom w:val="single" w:sz="4" w:space="0" w:color="auto"/>
              <w:right w:val="nil"/>
            </w:tcBorders>
            <w:noWrap/>
            <w:textDirection w:val="lrTb"/>
            <w:vAlign w:val="bottom"/>
            <w:hideMark/>
          </w:tcPr>
          <w:p w:rsidR="00CE1C18" w:rsidRPr="00CE1C18" w:rsidP="007324B7">
            <w:pPr>
              <w:bidi w:val="0"/>
              <w:spacing w:after="0" w:line="240" w:lineRule="auto"/>
              <w:jc w:val="right"/>
              <w:rPr>
                <w:rFonts w:ascii="Times New Roman" w:hAnsi="Times New Roman" w:cs="Times New Roman"/>
                <w:color w:val="000000"/>
                <w:sz w:val="20"/>
                <w:szCs w:val="20"/>
                <w:lang w:eastAsia="sk-SK"/>
              </w:rPr>
            </w:pPr>
            <w:r w:rsidRPr="00CE1C18">
              <w:rPr>
                <w:rFonts w:ascii="Times New Roman" w:hAnsi="Times New Roman" w:cs="Times New Roman"/>
                <w:color w:val="000000"/>
                <w:sz w:val="20"/>
                <w:szCs w:val="20"/>
                <w:lang w:eastAsia="sk-SK"/>
              </w:rPr>
              <w:t>-21 307</w:t>
            </w:r>
          </w:p>
        </w:tc>
      </w:tr>
    </w:tbl>
    <w:p w:rsidR="00CE1C18" w:rsidRPr="00CE1C18" w:rsidP="00CE1C18">
      <w:pPr>
        <w:bidi w:val="0"/>
        <w:spacing w:after="120" w:line="336" w:lineRule="auto"/>
        <w:jc w:val="right"/>
        <w:rPr>
          <w:rFonts w:ascii="Times New Roman" w:hAnsi="Times New Roman" w:cs="Times New Roman"/>
          <w:sz w:val="16"/>
          <w:szCs w:val="16"/>
        </w:rPr>
      </w:pPr>
      <w:r w:rsidRPr="00CE1C18">
        <w:rPr>
          <w:rFonts w:ascii="Times New Roman" w:hAnsi="Times New Roman" w:cs="Times New Roman"/>
          <w:i/>
          <w:color w:val="FF0000"/>
          <w:sz w:val="16"/>
          <w:szCs w:val="16"/>
        </w:rPr>
        <w:tab/>
        <w:tab/>
        <w:tab/>
        <w:tab/>
        <w:tab/>
        <w:tab/>
        <w:tab/>
        <w:tab/>
        <w:tab/>
      </w:r>
      <w:r w:rsidRPr="00CE1C18">
        <w:rPr>
          <w:rFonts w:ascii="Times New Roman" w:hAnsi="Times New Roman" w:cs="Times New Roman"/>
          <w:color w:val="FF0000"/>
          <w:sz w:val="16"/>
          <w:szCs w:val="16"/>
        </w:rPr>
        <w:tab/>
        <w:tab/>
      </w:r>
      <w:r w:rsidRPr="00CE1C18">
        <w:rPr>
          <w:rFonts w:ascii="Times New Roman" w:hAnsi="Times New Roman" w:cs="Times New Roman"/>
          <w:i/>
          <w:iCs/>
          <w:sz w:val="16"/>
          <w:szCs w:val="16"/>
          <w:lang w:eastAsia="sk-SK"/>
        </w:rPr>
        <w:t>Zdroj: IÚZ</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 xml:space="preserve">Vlastné imanie </w:t>
      </w:r>
      <w:r w:rsidRPr="00CE1C18">
        <w:rPr>
          <w:rFonts w:ascii="Times New Roman" w:hAnsi="Times New Roman" w:cs="Times New Roman"/>
          <w:b/>
          <w:szCs w:val="24"/>
        </w:rPr>
        <w:t>SVP</w:t>
      </w:r>
      <w:r w:rsidRPr="00CE1C18">
        <w:rPr>
          <w:rFonts w:ascii="Times New Roman" w:hAnsi="Times New Roman" w:cs="Times New Roman"/>
          <w:szCs w:val="24"/>
        </w:rPr>
        <w:t xml:space="preserve"> sa v roku 2014 zvýšilo o 83 516 tis. eur vplyvom preúčtovania pozemkov z podsúvahového účtu do majetku na účet pozemkov so súvzťažným zápisom do zmien vlastného imania v hodnote 100 692 tis. eur. Presun pozemkov z podsúvahovej evidencie bolo zrealizované za účelom zreálnenia stavu evidovaného majetku. Dôvodom vedenia majetku v podsúvahovej evidencii bol charakter pozemkov, ktorý bol katastrálne zaradený pod typ parcely „E“ (pozemky, ktorých hranice nie sú v teréne viditeľné). </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Za rok 2014 bola vygenerovaná strata vo výške 21 307 tis. eur. Hlavnou príčinou jej vzniku bolo nepoukázanie dotácie zo štátneho rozpočtu na zákonné, tzv. neregulované platby, najmä na preventívne protipovodňové opatrenia a udržiavanie splavnosti vodných ciest, pričom práce boli zrealizované v objeme viac ako 26 000 tis. eur a museli byť kryté z vlastných zdrojov. Požiadavka na dotáciu bola stanovená na 32 400 tis. eur.</w:t>
      </w:r>
    </w:p>
    <w:p w:rsidR="00CE1C18" w:rsidRPr="00CE1C18" w:rsidP="00CE1C18">
      <w:pPr>
        <w:bidi w:val="0"/>
        <w:spacing w:after="120" w:line="336" w:lineRule="auto"/>
        <w:jc w:val="both"/>
        <w:rPr>
          <w:rFonts w:ascii="Times New Roman" w:hAnsi="Times New Roman" w:cs="Times New Roman"/>
          <w:szCs w:val="24"/>
        </w:rPr>
      </w:pPr>
      <w:r w:rsidRPr="00CE1C18">
        <w:rPr>
          <w:rFonts w:ascii="Times New Roman" w:hAnsi="Times New Roman" w:cs="Times New Roman"/>
          <w:szCs w:val="24"/>
        </w:rPr>
        <w:t>Tržby z bežnej prevádzkovej činnosti zaznamenali rast najmä v položke tržieb z predaja služieb, ktoré v sebe zahŕňajú tržby z prenájmu a prevádzky vodného diela Gabčíkovo a Čunovo od Vodohospodárskej výstavby, š.p. Zvýšili sa aj tržby z predaja majetku a tržby za hydroenergetický potenciál. Významnou nákladovou položkou boli služby, ktoré zaznamenali rast o 19,2 %.</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b/>
          <w:szCs w:val="24"/>
        </w:rPr>
        <w:t xml:space="preserve">Národná diaľničná spoločnosť, a.s. </w:t>
      </w:r>
      <w:r w:rsidRPr="00473A17">
        <w:rPr>
          <w:rFonts w:ascii="Times New Roman" w:hAnsi="Times New Roman" w:cs="Times New Roman"/>
          <w:szCs w:val="24"/>
        </w:rPr>
        <w:t>(ďalej „NDS“), so sídlom Mlynské nivy 45, Bratislava, bola založená 25. januára 2005 ako pokračovateľ investorskej a správcovskej činnosti v oblasti diaľničného programu SR. NDS spoločnosť vznikla na základe rozhodnutia vlády SR, v rámci ktorého Slovenská správa ciest (ako nástupca Ústavného cestného hospodárstva a dopravy, Cestných investorských útvarov a Okresných správ ciest s rozšírením činnosti aj na cesty pre motorové vozidlá a cesty I., II. a III. triedy) od 1. januára 2004 delimitovala cesty II. a III. triedy na Vyššie územné celky a zároveň odčlenila celý diaľničný program. Výsledkom bol vznik štátnej rozpočtovej organizácie Slovenská správa ciest pre cesty I. triedy a vznik NDS, ktorá ako jediná zastrešovala diaľničný program. Realizovaním projektu PRIBINA (verejno-súkromné partnerstvo) vstúpila na trh ďalšia spoločnosť, ktorá vybudovala, sprejazdnila a 30 rokov bude prevádzkovať približne 50 km úseku rýchlostnej cesty R1. Po uplynutí tohto obdobia sa prevedie do vlastníctva SR.</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Jediným vlastníkom NDS bol k 31. 12. 2014 štát, pričom práva štátu ako akcionára vykonávalo Ministerstvo dopravy, výstavby a regionálneho rozvoja SR. Informácie prezentované nižšie sú čerpané z výročnej správy, z individuálnej účtovnej závierky spoločnosti zostavenej za obdobie od 1. januára do 31. decembra 2014 vypracovanej v súlade s Medzinárodnými štandardmi finančného výkazníctva tak, ako boli schválené na použitie v EÚ a z verejne dostupných zdrojov. NDS nevlastní majetkové podiely v iných spoločnostiach, preto jej nevzniká povinnosť zostavovať konsolidovanú účtovnú závierku.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Priemerný prepočítaný počet zamestnancov NDS k 31. decembru 2014 bol 1 341.</w:t>
      </w:r>
    </w:p>
    <w:tbl>
      <w:tblPr>
        <w:tblStyle w:val="TableNormal"/>
        <w:tblW w:w="9032" w:type="dxa"/>
        <w:tblCellMar>
          <w:left w:w="70" w:type="dxa"/>
          <w:right w:w="70" w:type="dxa"/>
        </w:tblCellMar>
        <w:tblLook w:val="04A0"/>
      </w:tblPr>
      <w:tblGrid>
        <w:gridCol w:w="3119"/>
        <w:gridCol w:w="1843"/>
        <w:gridCol w:w="992"/>
        <w:gridCol w:w="850"/>
        <w:gridCol w:w="913"/>
        <w:gridCol w:w="1315"/>
      </w:tblGrid>
      <w:tr>
        <w:tblPrEx>
          <w:tblW w:w="9032" w:type="dxa"/>
          <w:tblCellMar>
            <w:left w:w="70" w:type="dxa"/>
            <w:right w:w="70" w:type="dxa"/>
          </w:tblCellMar>
          <w:tblLook w:val="04A0"/>
        </w:tblPrEx>
        <w:trPr>
          <w:trHeight w:val="257"/>
        </w:trPr>
        <w:tc>
          <w:tcPr>
            <w:tcW w:w="9032" w:type="dxa"/>
            <w:gridSpan w:val="6"/>
            <w:tcBorders>
              <w:top w:val="nil"/>
              <w:left w:val="nil"/>
              <w:bottom w:val="nil"/>
              <w:right w:val="nil"/>
            </w:tcBorders>
            <w:shd w:val="clear" w:color="000000" w:fill="000000"/>
            <w:noWrap/>
            <w:textDirection w:val="lrTb"/>
            <w:vAlign w:val="bottom"/>
            <w:hideMark/>
          </w:tcPr>
          <w:p w:rsidR="00CE1C18" w:rsidRPr="00473A17" w:rsidP="00956D9E">
            <w:pPr>
              <w:bidi w:val="0"/>
              <w:spacing w:after="0" w:line="240" w:lineRule="auto"/>
              <w:rPr>
                <w:rFonts w:ascii="Times New Roman" w:hAnsi="Times New Roman" w:cs="Times New Roman"/>
                <w:b/>
                <w:bCs/>
                <w:color w:val="FFFFFF"/>
                <w:sz w:val="20"/>
                <w:szCs w:val="20"/>
                <w:lang w:eastAsia="sk-SK"/>
              </w:rPr>
            </w:pPr>
            <w:bookmarkStart w:id="130" w:name="_Toc431985275"/>
            <w:bookmarkStart w:id="131" w:name="_Toc433099057"/>
            <w:bookmarkStart w:id="132" w:name="_Toc433099296"/>
            <w:bookmarkStart w:id="133" w:name="_Toc433099402"/>
            <w:bookmarkStart w:id="134" w:name="_Toc433099584"/>
            <w:r w:rsidRPr="00473A17">
              <w:rPr>
                <w:rStyle w:val="Heading1Char"/>
                <w:rFonts w:hint="default"/>
                <w:b w:val="0"/>
                <w:color w:val="FFFFFF" w:themeColor="bg1" w:themeShade="FF"/>
                <w:sz w:val="20"/>
                <w:szCs w:val="20"/>
              </w:rPr>
              <w:t>Ná</w:t>
            </w:r>
            <w:r w:rsidRPr="00473A17">
              <w:rPr>
                <w:rStyle w:val="Heading1Char"/>
                <w:rFonts w:hint="default"/>
                <w:b w:val="0"/>
                <w:color w:val="FFFFFF" w:themeColor="bg1" w:themeShade="FF"/>
                <w:sz w:val="20"/>
                <w:szCs w:val="20"/>
              </w:rPr>
              <w:t>rodná</w:t>
            </w:r>
            <w:r w:rsidRPr="00473A17">
              <w:rPr>
                <w:rStyle w:val="Heading1Char"/>
                <w:rFonts w:hint="default"/>
                <w:b w:val="0"/>
                <w:color w:val="FFFFFF" w:themeColor="bg1" w:themeShade="FF"/>
                <w:sz w:val="20"/>
                <w:szCs w:val="20"/>
              </w:rPr>
              <w:t xml:space="preserve"> diaľ</w:t>
            </w:r>
            <w:r w:rsidRPr="00473A17">
              <w:rPr>
                <w:rStyle w:val="Heading1Char"/>
                <w:rFonts w:hint="default"/>
                <w:b w:val="0"/>
                <w:color w:val="FFFFFF" w:themeColor="bg1" w:themeShade="FF"/>
                <w:sz w:val="20"/>
                <w:szCs w:val="20"/>
              </w:rPr>
              <w:t>nič</w:t>
            </w:r>
            <w:r w:rsidRPr="00473A17">
              <w:rPr>
                <w:rStyle w:val="Heading1Char"/>
                <w:rFonts w:hint="default"/>
                <w:b w:val="0"/>
                <w:color w:val="FFFFFF" w:themeColor="bg1" w:themeShade="FF"/>
                <w:sz w:val="20"/>
                <w:szCs w:val="20"/>
              </w:rPr>
              <w:t>ná</w:t>
            </w:r>
            <w:r w:rsidRPr="00473A17">
              <w:rPr>
                <w:rStyle w:val="Heading1Char"/>
                <w:rFonts w:hint="default"/>
                <w:b w:val="0"/>
                <w:color w:val="FFFFFF" w:themeColor="bg1" w:themeShade="FF"/>
                <w:sz w:val="20"/>
                <w:szCs w:val="20"/>
              </w:rPr>
              <w:t xml:space="preserve"> spoloč</w:t>
            </w:r>
            <w:r w:rsidRPr="00473A17">
              <w:rPr>
                <w:rStyle w:val="Heading1Char"/>
                <w:rFonts w:hint="default"/>
                <w:b w:val="0"/>
                <w:color w:val="FFFFFF" w:themeColor="bg1" w:themeShade="FF"/>
                <w:sz w:val="20"/>
                <w:szCs w:val="20"/>
              </w:rPr>
              <w:t>nosť</w:t>
            </w:r>
            <w:r w:rsidRPr="00473A17">
              <w:rPr>
                <w:rStyle w:val="Heading1Char"/>
                <w:rFonts w:hint="default"/>
                <w:b w:val="0"/>
                <w:color w:val="FFFFFF" w:themeColor="bg1" w:themeShade="FF"/>
                <w:sz w:val="20"/>
                <w:szCs w:val="20"/>
              </w:rPr>
              <w:t>, a.s.</w:t>
            </w:r>
            <w:bookmarkEnd w:id="130"/>
            <w:bookmarkEnd w:id="131"/>
            <w:bookmarkEnd w:id="132"/>
            <w:bookmarkEnd w:id="133"/>
            <w:bookmarkEnd w:id="134"/>
            <w:r w:rsidRPr="00473A17">
              <w:rPr>
                <w:rFonts w:ascii="Times New Roman" w:hAnsi="Times New Roman" w:cs="Times New Roman"/>
                <w:b/>
                <w:bCs/>
                <w:color w:val="FFFFFF"/>
                <w:sz w:val="20"/>
                <w:szCs w:val="20"/>
                <w:lang w:eastAsia="sk-SK"/>
              </w:rPr>
              <w:t xml:space="preserve"> - zmena VI 2013/2014 (v tis. eur)</w:t>
            </w:r>
          </w:p>
        </w:tc>
      </w:tr>
      <w:tr>
        <w:tblPrEx>
          <w:tblW w:w="9032" w:type="dxa"/>
          <w:tblCellMar>
            <w:left w:w="70" w:type="dxa"/>
            <w:right w:w="70" w:type="dxa"/>
          </w:tblCellMar>
          <w:tblLook w:val="04A0"/>
        </w:tblPrEx>
        <w:trPr>
          <w:trHeight w:val="515"/>
        </w:trPr>
        <w:tc>
          <w:tcPr>
            <w:tcW w:w="3119" w:type="dxa"/>
            <w:tcBorders>
              <w:top w:val="nil"/>
              <w:left w:val="nil"/>
              <w:bottom w:val="single" w:sz="4" w:space="0" w:color="auto"/>
              <w:right w:val="nil"/>
            </w:tcBorders>
            <w:shd w:val="clear" w:color="000000" w:fill="D9D9D9"/>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843" w:type="dxa"/>
            <w:tcBorders>
              <w:top w:val="nil"/>
              <w:left w:val="nil"/>
              <w:bottom w:val="single" w:sz="4" w:space="0" w:color="auto"/>
              <w:right w:val="nil"/>
            </w:tcBorders>
            <w:shd w:val="clear" w:color="000000" w:fill="D9D9D9"/>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shd w:val="clear" w:color="000000" w:fill="D9D9D9"/>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shd w:val="clear" w:color="000000" w:fill="D9D9D9"/>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913" w:type="dxa"/>
            <w:tcBorders>
              <w:top w:val="nil"/>
              <w:left w:val="nil"/>
              <w:bottom w:val="single" w:sz="4" w:space="0" w:color="auto"/>
              <w:right w:val="nil"/>
            </w:tcBorders>
            <w:shd w:val="clear" w:color="000000" w:fill="D9D9D9"/>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15" w:type="dxa"/>
            <w:tcBorders>
              <w:top w:val="nil"/>
              <w:left w:val="nil"/>
              <w:bottom w:val="single" w:sz="4" w:space="0" w:color="auto"/>
              <w:right w:val="nil"/>
            </w:tcBorders>
            <w:shd w:val="clear" w:color="000000" w:fill="D9D9D9"/>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032" w:type="dxa"/>
          <w:tblCellMar>
            <w:left w:w="70" w:type="dxa"/>
            <w:right w:w="70" w:type="dxa"/>
          </w:tblCellMar>
          <w:tblLook w:val="04A0"/>
        </w:tblPrEx>
        <w:trPr>
          <w:trHeight w:val="257"/>
        </w:trPr>
        <w:tc>
          <w:tcPr>
            <w:tcW w:w="3119"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84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3 441 683</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32 992</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1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3 474 675</w:t>
            </w:r>
          </w:p>
        </w:tc>
      </w:tr>
      <w:tr>
        <w:tblPrEx>
          <w:tblW w:w="9032" w:type="dxa"/>
          <w:tblCellMar>
            <w:left w:w="70" w:type="dxa"/>
            <w:right w:w="70" w:type="dxa"/>
          </w:tblCellMar>
          <w:tblLook w:val="04A0"/>
        </w:tblPrEx>
        <w:trPr>
          <w:trHeight w:val="257"/>
        </w:trPr>
        <w:tc>
          <w:tcPr>
            <w:tcW w:w="3119"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84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3 135 587</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31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3 135 587</w:t>
            </w:r>
          </w:p>
        </w:tc>
      </w:tr>
      <w:tr>
        <w:tblPrEx>
          <w:tblW w:w="9032" w:type="dxa"/>
          <w:tblCellMar>
            <w:left w:w="70" w:type="dxa"/>
            <w:right w:w="70" w:type="dxa"/>
          </w:tblCellMar>
          <w:tblLook w:val="04A0"/>
        </w:tblPrEx>
        <w:trPr>
          <w:trHeight w:val="257"/>
        </w:trPr>
        <w:tc>
          <w:tcPr>
            <w:tcW w:w="3119"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84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339 194</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3 523</w:t>
            </w:r>
          </w:p>
        </w:tc>
        <w:tc>
          <w:tcPr>
            <w:tcW w:w="131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342 717</w:t>
            </w:r>
          </w:p>
        </w:tc>
      </w:tr>
      <w:tr>
        <w:tblPrEx>
          <w:tblW w:w="9032" w:type="dxa"/>
          <w:tblCellMar>
            <w:left w:w="70" w:type="dxa"/>
            <w:right w:w="70" w:type="dxa"/>
          </w:tblCellMar>
          <w:tblLook w:val="04A0"/>
        </w:tblPrEx>
        <w:trPr>
          <w:trHeight w:val="257"/>
        </w:trPr>
        <w:tc>
          <w:tcPr>
            <w:tcW w:w="3119"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Ostatné fondy</w:t>
            </w:r>
          </w:p>
        </w:tc>
        <w:tc>
          <w:tcPr>
            <w:tcW w:w="184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1 998</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1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1 998</w:t>
            </w:r>
          </w:p>
        </w:tc>
      </w:tr>
      <w:tr>
        <w:tblPrEx>
          <w:tblW w:w="9032" w:type="dxa"/>
          <w:tblCellMar>
            <w:left w:w="70" w:type="dxa"/>
            <w:right w:w="70" w:type="dxa"/>
          </w:tblCellMar>
          <w:tblLook w:val="04A0"/>
        </w:tblPrEx>
        <w:trPr>
          <w:trHeight w:val="257"/>
        </w:trPr>
        <w:tc>
          <w:tcPr>
            <w:tcW w:w="3119"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84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-35 096</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-3 523</w:t>
            </w:r>
          </w:p>
        </w:tc>
        <w:tc>
          <w:tcPr>
            <w:tcW w:w="131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-38 619</w:t>
            </w:r>
          </w:p>
        </w:tc>
      </w:tr>
      <w:tr>
        <w:tblPrEx>
          <w:tblW w:w="9032" w:type="dxa"/>
          <w:tblCellMar>
            <w:left w:w="70" w:type="dxa"/>
            <w:right w:w="70" w:type="dxa"/>
          </w:tblCellMar>
          <w:tblLook w:val="04A0"/>
        </w:tblPrEx>
        <w:trPr>
          <w:trHeight w:val="257"/>
        </w:trPr>
        <w:tc>
          <w:tcPr>
            <w:tcW w:w="3119"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843"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32 992</w:t>
            </w:r>
          </w:p>
        </w:tc>
        <w:tc>
          <w:tcPr>
            <w:tcW w:w="850"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13"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15"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32 992</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i/>
          <w:iCs/>
          <w:sz w:val="16"/>
          <w:szCs w:val="16"/>
          <w:lang w:eastAsia="sk-SK"/>
        </w:rPr>
        <w:t xml:space="preserve"> Zdroj: IÚZ</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NDS</w:t>
      </w:r>
      <w:r w:rsidRPr="00473A17">
        <w:rPr>
          <w:rFonts w:ascii="Times New Roman" w:hAnsi="Times New Roman" w:cs="Times New Roman"/>
          <w:szCs w:val="24"/>
        </w:rPr>
        <w:t xml:space="preserve"> sa v roku 2014 zvýšilo oproti predchádzajúcemu roku len vplyvom čistého zisku o 32 992 tis. eur.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Medziročný pokles čistého zisku o 6,4 % bol spôsobený negatívnym vplyvom prevažne odloženej dane, ktorý sa zvýšil viac ako 2,4 násobne (zvýšenie odloženej dane z titulu rozdielu hodnoty dlhodobého majetku, dotácií a nižší pozitívny vplyv dane - vyšší pozitívny vplyv zmeny daňovej sadzby z 23 % na 22 % bol zúčtovaný v roku 2013). Po elimin</w:t>
      </w:r>
      <w:r w:rsidR="005B0C7F">
        <w:rPr>
          <w:rFonts w:ascii="Times New Roman" w:hAnsi="Times New Roman" w:cs="Times New Roman"/>
          <w:szCs w:val="24"/>
        </w:rPr>
        <w:t>ovaní vplyvu daní zisk vzrástol</w:t>
        <w:br/>
      </w:r>
      <w:r w:rsidRPr="00473A17">
        <w:rPr>
          <w:rFonts w:ascii="Times New Roman" w:hAnsi="Times New Roman" w:cs="Times New Roman"/>
          <w:szCs w:val="24"/>
        </w:rPr>
        <w:t>o 13,9 %.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Výnosy sa zvýšili o 11,7 % vďaka zvýšeniu výnosov z elektronického mýta a predaja diaľničných nálepiek. Príčinou rastu nákladov o 11,2 % bol najmä pokles výnosov z dotácií zo štátneho rozpočtu o 15,1 %. Prevádzkové dotácie na úhradu nákladov spojených s opravou, údržbou a výstavbou diaľnic a rýchlostných ciest sa znížili o 28,3 %. Dopad bol čiastočne kompenzovaný miernym rastom investičných dotácií zo štátneho rozpočtu a fondov EÚ na krytie investičných výdavkov spojených s výstavbou ciest a diaľnic, ktoré sa zvýšili o 4,3 %.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Celkové investičné výdavky na zabezpečenie prípravy a výstavby diaľnic (ďalej „D“) a rýchlostných ciest (ďalej „R“) a ostatných investícií v roku 2014 boli vo výške 515 878 tis. eur, pričom boli vynaložené v členení: stavebné práce 75,2 %, projektová príprava 21,6 % a ostatné výdavky 3,2 %.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Príprava na stavebné práce bola počas roku 2014 vykonaná na 11 úsekoch diaľnice D1, na Zelenom moste na diaľnici D2 – Moravský Svätý Ján, na diaľnici D3 Čadca, Bukov – Svrčinovec a na diaľnici D4 Bratislava Jarovce – Ivanka Sever – Rača. Výstavba sa zrealizovala na úsekoch diaľnice D1 (Hričovské Podhradie – Lietavská Lúčka, Lietavská Lúčka – Višňové – Dubná Skala, Dubná Skala – Turany, Hubová – Ivachnová, Jánovce – Jablonov, Fričovce – Svinia) a na úsekoch diaľnice D3 (Žilina, Strážov – Žilina, Brodno, Svrčinovec – Skalité).</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Príprava rýchlostných ciest sa v priebehu roku 2014 zrealizovala na 2 úsekoch R1, na 3 úsekoch R2, 2</w:t>
      </w:r>
      <w:r w:rsidR="00BF0DE9">
        <w:rPr>
          <w:rFonts w:ascii="Times New Roman" w:hAnsi="Times New Roman" w:cs="Times New Roman"/>
          <w:szCs w:val="24"/>
        </w:rPr>
        <w:t> </w:t>
      </w:r>
      <w:r w:rsidRPr="00473A17">
        <w:rPr>
          <w:rFonts w:ascii="Times New Roman" w:hAnsi="Times New Roman" w:cs="Times New Roman"/>
          <w:szCs w:val="24"/>
        </w:rPr>
        <w:t xml:space="preserve">úsekoch R4 a 3 úsekoch R7. Výstavba pritom prebehla na R1 (stredisko správy a údržby rýchlostnej cesty Nová Baňa) a R2 (Ruskovce – Pravotice, Zvolen východ – Pstruša, Pstruša – Kriváň, Žiar nad Hronom – obchvat).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V roku 2015 sa predpokladá začiatok výstavby na D1 (Bratislava, Viedenská – Prístavný most, napojenie s </w:t>
      </w:r>
      <w:r w:rsidRPr="00473A17" w:rsidR="00936341">
        <w:rPr>
          <w:rFonts w:ascii="Times New Roman" w:hAnsi="Times New Roman" w:cs="Times New Roman"/>
          <w:szCs w:val="24"/>
        </w:rPr>
        <w:t>Einsteinovou</w:t>
      </w:r>
      <w:r w:rsidRPr="00473A17">
        <w:rPr>
          <w:rFonts w:ascii="Times New Roman" w:hAnsi="Times New Roman" w:cs="Times New Roman"/>
          <w:szCs w:val="24"/>
        </w:rPr>
        <w:t>; Bratislava – Trnava, križovatka Triblavina; Bratislava – Senec, križovatka Senec, 0. etapa; Senec – Blatné, križovatka Blatné; Dubná Skala – Turany, vysunuté SSÚD Žilina; Prešov západ – Prešov juh; diaľničný privádzač Nová Polhora; Budimír – Bidovce), D2 (Zelený most, Moravský sv. Ján), D3 (Čadca Bukov – Svrčinovec), R1 (protihluková stena Vlčkovce – Križovany nad Dudváhom; Sielnica – úprava križovatky) a R4 (privádzač Košice VSS – Červený Rak – protihluková stena). Zároveň bude v roku 2015 vo výstavbe najväčší počet tunelov v pôsobnosti NDS v histórii.</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b/>
          <w:szCs w:val="24"/>
        </w:rPr>
        <w:t xml:space="preserve">LESY Slovenskej republiky, š.p. </w:t>
      </w:r>
      <w:r w:rsidRPr="00473A17">
        <w:rPr>
          <w:rFonts w:ascii="Times New Roman" w:hAnsi="Times New Roman" w:cs="Times New Roman"/>
          <w:szCs w:val="24"/>
        </w:rPr>
        <w:t>(ďalej „LESY“), so sídlom Námestie SNP č. 8, Banská Bystrica, boli založené 1. júla 1999 na základe rozhodnutia Ministerstva pôdohospodárstva SR o splynutí štátnych lesných podnikov na Slovensku (Lesov Bratislava, š.p.; Lesov Trenčín, š.p.; Severoslovenských lesov, š.p., Žilina; Stredoslovenských lesov, š.p., Banská Bystrica; Lesov Košice, š.p.; Lesov Prešov, š.p. a </w:t>
      </w:r>
      <w:r w:rsidRPr="00473A17">
        <w:rPr>
          <w:rFonts w:ascii="Times New Roman" w:hAnsi="Times New Roman" w:cs="Times New Roman"/>
        </w:rPr>
        <w:t xml:space="preserve">Semenolesu </w:t>
      </w:r>
      <w:r w:rsidRPr="00473A17">
        <w:rPr>
          <w:rFonts w:ascii="Times New Roman" w:hAnsi="Times New Roman" w:cs="Times New Roman"/>
          <w:szCs w:val="24"/>
        </w:rPr>
        <w:t xml:space="preserve">Liptovský Hrádok). </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szCs w:val="24"/>
        </w:rPr>
        <w:t>Jediným vlastníkom LESOV bol k 31. 12. 2014 štát, pričom práva štátu ako akcionára vykonávalo Ministerstvo pôdohospodárstva a rozvoja vidieka SR. Informácie prezentované nižšie sú čerpané z výročnej správy a z individuálnej účtovnej závierky spoločnosti zostavenej za obdobie od 1. januára do 31. decembra 2014 vypracovanej podľa § 17 ods. 6 zákona č. 431/2002 Z. z. o účtovníctve, v znení neskorších predpisov. LESY nie sú vlastníkom majetkových podielov v iných spoločnostiach, preto im nevzniká povinnosť zostavovať konsolidovanú účtovnú závierku.</w:t>
      </w:r>
    </w:p>
    <w:p w:rsidR="00CE1C18"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Priemerný evidenčný prepočítaný počet zamestnancov LESOV k 31. decembru 2014 bol 3</w:t>
      </w:r>
      <w:r w:rsidR="00A924C8">
        <w:rPr>
          <w:rFonts w:ascii="Times New Roman" w:hAnsi="Times New Roman" w:cs="Times New Roman"/>
          <w:szCs w:val="24"/>
        </w:rPr>
        <w:t> </w:t>
      </w:r>
      <w:r w:rsidRPr="00473A17">
        <w:rPr>
          <w:rFonts w:ascii="Times New Roman" w:hAnsi="Times New Roman" w:cs="Times New Roman"/>
          <w:szCs w:val="24"/>
        </w:rPr>
        <w:t>469.</w:t>
      </w:r>
    </w:p>
    <w:p w:rsidR="00A924C8" w:rsidRPr="00473A17" w:rsidP="00546D72">
      <w:pPr>
        <w:bidi w:val="0"/>
        <w:spacing w:after="120" w:line="336" w:lineRule="auto"/>
        <w:jc w:val="both"/>
        <w:rPr>
          <w:rFonts w:ascii="Times New Roman" w:hAnsi="Times New Roman" w:cs="Times New Roman"/>
          <w:szCs w:val="24"/>
        </w:rPr>
      </w:pPr>
    </w:p>
    <w:tbl>
      <w:tblPr>
        <w:tblStyle w:val="TableNormal"/>
        <w:tblW w:w="9121" w:type="dxa"/>
        <w:tblCellMar>
          <w:left w:w="70" w:type="dxa"/>
          <w:right w:w="70" w:type="dxa"/>
        </w:tblCellMar>
        <w:tblLook w:val="04A0"/>
      </w:tblPr>
      <w:tblGrid>
        <w:gridCol w:w="3261"/>
        <w:gridCol w:w="1842"/>
        <w:gridCol w:w="993"/>
        <w:gridCol w:w="850"/>
        <w:gridCol w:w="851"/>
        <w:gridCol w:w="1324"/>
      </w:tblGrid>
      <w:tr>
        <w:tblPrEx>
          <w:tblW w:w="9121" w:type="dxa"/>
          <w:tblCellMar>
            <w:left w:w="70" w:type="dxa"/>
            <w:right w:w="70" w:type="dxa"/>
          </w:tblCellMar>
          <w:tblLook w:val="04A0"/>
        </w:tblPrEx>
        <w:trPr>
          <w:trHeight w:val="259"/>
        </w:trPr>
        <w:tc>
          <w:tcPr>
            <w:tcW w:w="9121" w:type="dxa"/>
            <w:gridSpan w:val="6"/>
            <w:tcBorders>
              <w:top w:val="nil"/>
              <w:left w:val="nil"/>
              <w:bottom w:val="nil"/>
              <w:right w:val="nil"/>
            </w:tcBorders>
            <w:noWrap/>
            <w:textDirection w:val="lrTb"/>
            <w:vAlign w:val="bottom"/>
            <w:hideMark/>
          </w:tcPr>
          <w:p w:rsidR="00CE1C18" w:rsidRPr="00473A17" w:rsidP="00956D9E">
            <w:pPr>
              <w:bidi w:val="0"/>
              <w:spacing w:after="0" w:line="240" w:lineRule="auto"/>
              <w:rPr>
                <w:rFonts w:ascii="Times New Roman" w:hAnsi="Times New Roman" w:cs="Times New Roman"/>
                <w:b/>
                <w:bCs/>
                <w:color w:val="FFFFFF"/>
                <w:sz w:val="20"/>
                <w:szCs w:val="20"/>
                <w:lang w:eastAsia="sk-SK"/>
              </w:rPr>
            </w:pPr>
            <w:bookmarkStart w:id="135" w:name="_Toc431985276"/>
            <w:bookmarkStart w:id="136" w:name="_Toc433099058"/>
            <w:bookmarkStart w:id="137" w:name="_Toc433099297"/>
            <w:bookmarkStart w:id="138" w:name="_Toc433099403"/>
            <w:bookmarkStart w:id="139" w:name="_Toc433099585"/>
            <w:r w:rsidRPr="00473A17">
              <w:rPr>
                <w:rStyle w:val="Heading1Char"/>
                <w:rFonts w:hint="default"/>
                <w:b w:val="0"/>
                <w:color w:val="FFFFFF" w:themeColor="bg1" w:themeShade="FF"/>
                <w:sz w:val="20"/>
                <w:szCs w:val="20"/>
              </w:rPr>
              <w:t>LESY Slovenskej republiky, š</w:t>
            </w:r>
            <w:r w:rsidRPr="00473A17">
              <w:rPr>
                <w:rStyle w:val="Heading1Char"/>
                <w:rFonts w:hint="default"/>
                <w:b w:val="0"/>
                <w:color w:val="FFFFFF" w:themeColor="bg1" w:themeShade="FF"/>
                <w:sz w:val="20"/>
                <w:szCs w:val="20"/>
              </w:rPr>
              <w:t>.p.</w:t>
            </w:r>
            <w:bookmarkEnd w:id="135"/>
            <w:bookmarkEnd w:id="136"/>
            <w:bookmarkEnd w:id="137"/>
            <w:bookmarkEnd w:id="138"/>
            <w:bookmarkEnd w:id="139"/>
            <w:r w:rsidRPr="00473A17">
              <w:rPr>
                <w:rFonts w:ascii="Times New Roman" w:hAnsi="Times New Roman" w:cs="Times New Roman"/>
                <w:b/>
                <w:bCs/>
                <w:color w:val="FFFFFF"/>
                <w:sz w:val="20"/>
                <w:szCs w:val="20"/>
                <w:lang w:eastAsia="sk-SK"/>
              </w:rPr>
              <w:t xml:space="preserve"> - zmena VI 2013/2014 (v tis. eur)</w:t>
            </w:r>
          </w:p>
        </w:tc>
      </w:tr>
      <w:tr>
        <w:tblPrEx>
          <w:tblW w:w="9121" w:type="dxa"/>
          <w:tblCellMar>
            <w:left w:w="70" w:type="dxa"/>
            <w:right w:w="70" w:type="dxa"/>
          </w:tblCellMar>
          <w:tblLook w:val="04A0"/>
        </w:tblPrEx>
        <w:trPr>
          <w:trHeight w:val="519"/>
        </w:trPr>
        <w:tc>
          <w:tcPr>
            <w:tcW w:w="3261"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842"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851"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24"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121" w:type="dxa"/>
          <w:tblCellMar>
            <w:left w:w="70" w:type="dxa"/>
            <w:right w:w="70" w:type="dxa"/>
          </w:tblCellMar>
          <w:tblLook w:val="04A0"/>
        </w:tblPrEx>
        <w:trPr>
          <w:trHeight w:val="259"/>
        </w:trPr>
        <w:tc>
          <w:tcPr>
            <w:tcW w:w="3261"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84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753 443</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10 412</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-6 869</w:t>
            </w:r>
          </w:p>
        </w:tc>
        <w:tc>
          <w:tcPr>
            <w:tcW w:w="8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-100</w:t>
            </w:r>
          </w:p>
        </w:tc>
        <w:tc>
          <w:tcPr>
            <w:tcW w:w="132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756 886</w:t>
            </w:r>
          </w:p>
        </w:tc>
      </w:tr>
      <w:tr>
        <w:tblPrEx>
          <w:tblW w:w="9121" w:type="dxa"/>
          <w:tblCellMar>
            <w:left w:w="70" w:type="dxa"/>
            <w:right w:w="70" w:type="dxa"/>
          </w:tblCellMar>
          <w:tblLook w:val="04A0"/>
        </w:tblPrEx>
        <w:trPr>
          <w:trHeight w:val="259"/>
        </w:trPr>
        <w:tc>
          <w:tcPr>
            <w:tcW w:w="3261"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84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741 502</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1 312</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-1 215</w:t>
            </w:r>
          </w:p>
        </w:tc>
        <w:tc>
          <w:tcPr>
            <w:tcW w:w="8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32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741 599</w:t>
            </w:r>
          </w:p>
        </w:tc>
      </w:tr>
      <w:tr>
        <w:tblPrEx>
          <w:tblW w:w="9121" w:type="dxa"/>
          <w:tblCellMar>
            <w:left w:w="70" w:type="dxa"/>
            <w:right w:w="70" w:type="dxa"/>
          </w:tblCellMar>
          <w:tblLook w:val="04A0"/>
        </w:tblPrEx>
        <w:trPr>
          <w:trHeight w:val="259"/>
        </w:trPr>
        <w:tc>
          <w:tcPr>
            <w:tcW w:w="3261"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Kapitálové fondy</w:t>
            </w:r>
          </w:p>
        </w:tc>
        <w:tc>
          <w:tcPr>
            <w:tcW w:w="184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353</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51"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2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353</w:t>
            </w:r>
          </w:p>
        </w:tc>
      </w:tr>
      <w:tr>
        <w:tblPrEx>
          <w:tblW w:w="9121" w:type="dxa"/>
          <w:tblCellMar>
            <w:left w:w="70" w:type="dxa"/>
            <w:right w:w="70" w:type="dxa"/>
          </w:tblCellMar>
          <w:tblLook w:val="04A0"/>
        </w:tblPrEx>
        <w:trPr>
          <w:trHeight w:val="259"/>
        </w:trPr>
        <w:tc>
          <w:tcPr>
            <w:tcW w:w="3261"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Fondy zo zisku</w:t>
            </w:r>
          </w:p>
        </w:tc>
        <w:tc>
          <w:tcPr>
            <w:tcW w:w="184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3 196</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-654</w:t>
            </w:r>
          </w:p>
        </w:tc>
        <w:tc>
          <w:tcPr>
            <w:tcW w:w="8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2 100</w:t>
            </w:r>
          </w:p>
        </w:tc>
        <w:tc>
          <w:tcPr>
            <w:tcW w:w="132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4 646</w:t>
            </w:r>
          </w:p>
        </w:tc>
      </w:tr>
      <w:tr>
        <w:tblPrEx>
          <w:tblW w:w="9121" w:type="dxa"/>
          <w:tblCellMar>
            <w:left w:w="70" w:type="dxa"/>
            <w:right w:w="70" w:type="dxa"/>
          </w:tblCellMar>
          <w:tblLook w:val="04A0"/>
        </w:tblPrEx>
        <w:trPr>
          <w:trHeight w:val="259"/>
        </w:trPr>
        <w:tc>
          <w:tcPr>
            <w:tcW w:w="3261"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84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8 392</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-5 000</w:t>
            </w:r>
          </w:p>
        </w:tc>
        <w:tc>
          <w:tcPr>
            <w:tcW w:w="8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-2 200</w:t>
            </w:r>
          </w:p>
        </w:tc>
        <w:tc>
          <w:tcPr>
            <w:tcW w:w="132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1 192</w:t>
            </w:r>
          </w:p>
        </w:tc>
      </w:tr>
      <w:tr>
        <w:tblPrEx>
          <w:tblW w:w="9121" w:type="dxa"/>
          <w:tblCellMar>
            <w:left w:w="70" w:type="dxa"/>
            <w:right w:w="70" w:type="dxa"/>
          </w:tblCellMar>
          <w:tblLook w:val="04A0"/>
        </w:tblPrEx>
        <w:trPr>
          <w:trHeight w:val="259"/>
        </w:trPr>
        <w:tc>
          <w:tcPr>
            <w:tcW w:w="3261"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842"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9 096</w:t>
            </w:r>
          </w:p>
        </w:tc>
        <w:tc>
          <w:tcPr>
            <w:tcW w:w="85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851"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24"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9 096</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i/>
          <w:color w:val="FF0000"/>
          <w:sz w:val="16"/>
          <w:szCs w:val="16"/>
        </w:rPr>
        <w:tab/>
        <w:tab/>
        <w:tab/>
      </w:r>
      <w:r w:rsidRPr="00473A17">
        <w:rPr>
          <w:rFonts w:ascii="Times New Roman" w:hAnsi="Times New Roman" w:cs="Times New Roman"/>
          <w:color w:val="FF0000"/>
          <w:sz w:val="16"/>
          <w:szCs w:val="16"/>
        </w:rPr>
        <w:tab/>
        <w:tab/>
      </w:r>
      <w:r w:rsidRPr="00473A17">
        <w:rPr>
          <w:rFonts w:ascii="Times New Roman" w:hAnsi="Times New Roman" w:cs="Times New Roman"/>
          <w:sz w:val="16"/>
          <w:szCs w:val="16"/>
        </w:rPr>
        <w:t xml:space="preserve"> </w:t>
      </w: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LESOV</w:t>
      </w:r>
      <w:r w:rsidRPr="00473A17">
        <w:rPr>
          <w:rFonts w:ascii="Times New Roman" w:hAnsi="Times New Roman" w:cs="Times New Roman"/>
          <w:szCs w:val="24"/>
        </w:rPr>
        <w:t xml:space="preserve"> sa v roku 2014 zvýšilo o 3 443 tis. eur. Táto zmena bola spôsobená najmä vyprodukovaným ziskom za bežné obdobie vo výške 9 096 tis. eur (rast o 8,4 %). Pozitívny vplyv zisku čiastočne eliminovala výplata dividend vo výške 5 000 tis. eur, ktorá bola uhradená v dvoch splátkach vo výške 2 500 tis. eur. Mierne pozitívny vplyv na vlastné imanie mal výsledný vplyv pohybov na základnom imaní vo výške 97 tis. eur (najmä výsledný vplyv inventarizácie a delimitácie pozemkov).</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Vplyv na tvorbu zisku bežného obdobia mali hlavne výnosy </w:t>
      </w:r>
      <w:r w:rsidR="00956D9E">
        <w:rPr>
          <w:rFonts w:ascii="Times New Roman" w:hAnsi="Times New Roman" w:cs="Times New Roman"/>
          <w:szCs w:val="24"/>
        </w:rPr>
        <w:t xml:space="preserve">z hospodárskej činnosti, ktoré </w:t>
      </w:r>
      <w:r w:rsidRPr="00473A17">
        <w:rPr>
          <w:rFonts w:ascii="Times New Roman" w:hAnsi="Times New Roman" w:cs="Times New Roman"/>
          <w:szCs w:val="24"/>
        </w:rPr>
        <w:t>vzrástli o 0,7 %. Tržby z predaja vlastných výrobkov klesli vplyvom poklesu tržieb z predaja a ťažby dreva (dopad veternej smršte Žofia, ktorá sa veľkosťou mohla prirovnať k tatranskej víchrici z roku 2004, nevyhnutná potreba spracovania kalamitného dreva presýtila ponuku na trhu, čo odberatelia využili na zníženie ceny). Tento negatívny dopad vo výnosoch eliminoval vplyv vyšších tržieb z predaja služieb a zvýšenie stavu zásob výrobkov. Celkové náklady mierne klesli o 0,1%. Negatívny vplyv na výsledok hospodárenia mala aj daň z príjmu (vplyvom zúčtovania negatívnej odloženej dane).</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b/>
          <w:szCs w:val="24"/>
        </w:rPr>
        <w:t xml:space="preserve">Tipos, národná lotériová spoločnosť, a.s. </w:t>
      </w:r>
      <w:r w:rsidRPr="00473A17">
        <w:rPr>
          <w:rFonts w:ascii="Times New Roman" w:hAnsi="Times New Roman" w:cs="Times New Roman"/>
          <w:szCs w:val="24"/>
        </w:rPr>
        <w:t>(ďalej „Tipos“), so sídlom Brečtanová ul. č. 1, Bratislava, vznikla 28. januára 1993 zápisom do Obchodného registra.</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szCs w:val="24"/>
        </w:rPr>
        <w:t>Jediným vlastníkom Tiposu bol k 31. 12. 2014 štát, pričom práva štátu ako akcionára vykonávalo Ministerstvo financií SR. Informácie prezentované nižšie sú čerpané z výročnej správy a z individuálnej účtovnej závierky spoločnosti zostavenej za obdobie od 1. januára do 31. decembra 2014 vypracovanej podľa § 17 ods. 6 zákona č. 431/2002 Z. z. o účtovníctve, v znení neskorších predpisov. Tipos nie je vlastníkom majetkových podielov v iných spoločnostiach, preto mu nevzniká povinnosť zostavovať konsolidovanú účtovnú závierku.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Priemerný prepočítaný počet zamestnancov Tiposu k 31. decembru 2014 bol 123.</w:t>
      </w:r>
    </w:p>
    <w:tbl>
      <w:tblPr>
        <w:tblStyle w:val="TableNormal"/>
        <w:tblW w:w="9145" w:type="dxa"/>
        <w:tblCellMar>
          <w:left w:w="70" w:type="dxa"/>
          <w:right w:w="70" w:type="dxa"/>
        </w:tblCellMar>
        <w:tblLook w:val="04A0"/>
      </w:tblPr>
      <w:tblGrid>
        <w:gridCol w:w="3544"/>
        <w:gridCol w:w="1559"/>
        <w:gridCol w:w="993"/>
        <w:gridCol w:w="850"/>
        <w:gridCol w:w="849"/>
        <w:gridCol w:w="1350"/>
      </w:tblGrid>
      <w:tr>
        <w:tblPrEx>
          <w:tblW w:w="9145" w:type="dxa"/>
          <w:tblCellMar>
            <w:left w:w="70" w:type="dxa"/>
            <w:right w:w="70" w:type="dxa"/>
          </w:tblCellMar>
          <w:tblLook w:val="04A0"/>
        </w:tblPrEx>
        <w:trPr>
          <w:trHeight w:val="257"/>
        </w:trPr>
        <w:tc>
          <w:tcPr>
            <w:tcW w:w="9145"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bookmarkStart w:id="140" w:name="_Toc431985277"/>
            <w:bookmarkStart w:id="141" w:name="_Toc433099059"/>
            <w:bookmarkStart w:id="142" w:name="_Toc433099298"/>
            <w:bookmarkStart w:id="143" w:name="_Toc433099404"/>
            <w:bookmarkStart w:id="144" w:name="_Toc433099586"/>
            <w:r w:rsidRPr="00473A17">
              <w:rPr>
                <w:rStyle w:val="Heading1Char"/>
                <w:rFonts w:hint="default"/>
                <w:b w:val="0"/>
                <w:color w:val="FFFFFF" w:themeColor="bg1" w:themeShade="FF"/>
                <w:sz w:val="20"/>
                <w:szCs w:val="20"/>
              </w:rPr>
              <w:t>Tipos, ná</w:t>
            </w:r>
            <w:r w:rsidRPr="00473A17">
              <w:rPr>
                <w:rStyle w:val="Heading1Char"/>
                <w:rFonts w:hint="default"/>
                <w:b w:val="0"/>
                <w:color w:val="FFFFFF" w:themeColor="bg1" w:themeShade="FF"/>
                <w:sz w:val="20"/>
                <w:szCs w:val="20"/>
              </w:rPr>
              <w:t>rodná</w:t>
            </w:r>
            <w:r w:rsidRPr="00473A17">
              <w:rPr>
                <w:rStyle w:val="Heading1Char"/>
                <w:rFonts w:hint="default"/>
                <w:b w:val="0"/>
                <w:color w:val="FFFFFF" w:themeColor="bg1" w:themeShade="FF"/>
                <w:sz w:val="20"/>
                <w:szCs w:val="20"/>
              </w:rPr>
              <w:t xml:space="preserve"> loté</w:t>
            </w:r>
            <w:r w:rsidRPr="00473A17">
              <w:rPr>
                <w:rStyle w:val="Heading1Char"/>
                <w:rFonts w:hint="default"/>
                <w:b w:val="0"/>
                <w:color w:val="FFFFFF" w:themeColor="bg1" w:themeShade="FF"/>
                <w:sz w:val="20"/>
                <w:szCs w:val="20"/>
              </w:rPr>
              <w:t>riová</w:t>
            </w:r>
            <w:r w:rsidRPr="00473A17">
              <w:rPr>
                <w:rStyle w:val="Heading1Char"/>
                <w:rFonts w:hint="default"/>
                <w:b w:val="0"/>
                <w:color w:val="FFFFFF" w:themeColor="bg1" w:themeShade="FF"/>
                <w:sz w:val="20"/>
                <w:szCs w:val="20"/>
              </w:rPr>
              <w:t xml:space="preserve"> spoloč</w:t>
            </w:r>
            <w:r w:rsidRPr="00473A17">
              <w:rPr>
                <w:rStyle w:val="Heading1Char"/>
                <w:rFonts w:hint="default"/>
                <w:b w:val="0"/>
                <w:color w:val="FFFFFF" w:themeColor="bg1" w:themeShade="FF"/>
                <w:sz w:val="20"/>
                <w:szCs w:val="20"/>
              </w:rPr>
              <w:t>nosť</w:t>
            </w:r>
            <w:r w:rsidRPr="00473A17">
              <w:rPr>
                <w:rStyle w:val="Heading1Char"/>
                <w:rFonts w:hint="default"/>
                <w:b w:val="0"/>
                <w:color w:val="FFFFFF" w:themeColor="bg1" w:themeShade="FF"/>
                <w:sz w:val="20"/>
                <w:szCs w:val="20"/>
              </w:rPr>
              <w:t>, a.s.</w:t>
            </w:r>
            <w:bookmarkEnd w:id="140"/>
            <w:bookmarkEnd w:id="141"/>
            <w:bookmarkEnd w:id="142"/>
            <w:bookmarkEnd w:id="143"/>
            <w:bookmarkEnd w:id="144"/>
            <w:r w:rsidRPr="00473A17">
              <w:rPr>
                <w:rFonts w:ascii="Times New Roman" w:hAnsi="Times New Roman" w:cs="Times New Roman"/>
                <w:b/>
                <w:bCs/>
                <w:color w:val="FFFFFF"/>
                <w:sz w:val="20"/>
                <w:szCs w:val="20"/>
                <w:lang w:eastAsia="sk-SK"/>
              </w:rPr>
              <w:t xml:space="preserve"> - zmena VI 2013/2014 (v tis. eur)</w:t>
            </w:r>
          </w:p>
        </w:tc>
      </w:tr>
      <w:tr>
        <w:tblPrEx>
          <w:tblW w:w="9145" w:type="dxa"/>
          <w:tblCellMar>
            <w:left w:w="70" w:type="dxa"/>
            <w:right w:w="70" w:type="dxa"/>
          </w:tblCellMar>
          <w:tblLook w:val="04A0"/>
        </w:tblPrEx>
        <w:trPr>
          <w:trHeight w:val="515"/>
        </w:trPr>
        <w:tc>
          <w:tcPr>
            <w:tcW w:w="3544"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55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84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5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145" w:type="dxa"/>
          <w:tblCellMar>
            <w:left w:w="70" w:type="dxa"/>
            <w:right w:w="70" w:type="dxa"/>
          </w:tblCellMar>
          <w:tblLook w:val="04A0"/>
        </w:tblPrEx>
        <w:trPr>
          <w:trHeight w:val="257"/>
        </w:trPr>
        <w:tc>
          <w:tcPr>
            <w:tcW w:w="3544"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13 712</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9 494</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-4 351</w:t>
            </w:r>
          </w:p>
        </w:tc>
        <w:tc>
          <w:tcPr>
            <w:tcW w:w="84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18 855</w:t>
            </w:r>
          </w:p>
        </w:tc>
      </w:tr>
      <w:tr>
        <w:tblPrEx>
          <w:tblW w:w="9145" w:type="dxa"/>
          <w:tblCellMar>
            <w:left w:w="70" w:type="dxa"/>
            <w:right w:w="70" w:type="dxa"/>
          </w:tblCellMar>
          <w:tblLook w:val="04A0"/>
        </w:tblPrEx>
        <w:trPr>
          <w:trHeight w:val="257"/>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365</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9"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365</w:t>
            </w:r>
          </w:p>
        </w:tc>
      </w:tr>
      <w:tr>
        <w:tblPrEx>
          <w:tblW w:w="9145" w:type="dxa"/>
          <w:tblCellMar>
            <w:left w:w="70" w:type="dxa"/>
            <w:right w:w="70" w:type="dxa"/>
          </w:tblCellMar>
          <w:tblLook w:val="04A0"/>
        </w:tblPrEx>
        <w:trPr>
          <w:trHeight w:val="257"/>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1 420</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9"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1 420</w:t>
            </w:r>
          </w:p>
        </w:tc>
      </w:tr>
      <w:tr>
        <w:tblPrEx>
          <w:tblW w:w="9145" w:type="dxa"/>
          <w:tblCellMar>
            <w:left w:w="70" w:type="dxa"/>
            <w:right w:w="70" w:type="dxa"/>
          </w:tblCellMar>
          <w:tblLook w:val="04A0"/>
        </w:tblPrEx>
        <w:trPr>
          <w:trHeight w:val="257"/>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Fondy zo zisku</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8 702</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-1 060</w:t>
            </w:r>
          </w:p>
        </w:tc>
        <w:tc>
          <w:tcPr>
            <w:tcW w:w="84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1 134</w:t>
            </w:r>
          </w:p>
        </w:tc>
        <w:tc>
          <w:tcPr>
            <w:tcW w:w="13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8 776</w:t>
            </w:r>
          </w:p>
        </w:tc>
      </w:tr>
      <w:tr>
        <w:tblPrEx>
          <w:tblW w:w="9145" w:type="dxa"/>
          <w:tblCellMar>
            <w:left w:w="70" w:type="dxa"/>
            <w:right w:w="70" w:type="dxa"/>
          </w:tblCellMar>
          <w:tblLook w:val="04A0"/>
        </w:tblPrEx>
        <w:trPr>
          <w:trHeight w:val="257"/>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3 225</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-3 291</w:t>
            </w:r>
          </w:p>
        </w:tc>
        <w:tc>
          <w:tcPr>
            <w:tcW w:w="84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-1 134</w:t>
            </w:r>
          </w:p>
        </w:tc>
        <w:tc>
          <w:tcPr>
            <w:tcW w:w="13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-1 200</w:t>
            </w:r>
          </w:p>
        </w:tc>
      </w:tr>
      <w:tr>
        <w:tblPrEx>
          <w:tblW w:w="9145" w:type="dxa"/>
          <w:tblCellMar>
            <w:left w:w="70" w:type="dxa"/>
            <w:right w:w="70" w:type="dxa"/>
          </w:tblCellMar>
          <w:tblLook w:val="04A0"/>
        </w:tblPrEx>
        <w:trPr>
          <w:trHeight w:val="257"/>
        </w:trPr>
        <w:tc>
          <w:tcPr>
            <w:tcW w:w="3544"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55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9 494</w:t>
            </w:r>
          </w:p>
        </w:tc>
        <w:tc>
          <w:tcPr>
            <w:tcW w:w="85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84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5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9 494</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i/>
          <w:color w:val="FF0000"/>
          <w:sz w:val="16"/>
          <w:szCs w:val="16"/>
        </w:rPr>
        <w:tab/>
      </w:r>
      <w:r w:rsidRPr="00473A17">
        <w:rPr>
          <w:rFonts w:ascii="Times New Roman" w:hAnsi="Times New Roman" w:cs="Times New Roman"/>
          <w:color w:val="FF0000"/>
          <w:sz w:val="16"/>
          <w:szCs w:val="16"/>
        </w:rPr>
        <w:tab/>
        <w:tab/>
        <w:tab/>
        <w:tab/>
        <w:tab/>
        <w:tab/>
        <w:tab/>
        <w:tab/>
        <w:tab/>
        <w:tab/>
      </w: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Tiposu</w:t>
      </w:r>
      <w:r w:rsidRPr="00473A17">
        <w:rPr>
          <w:rFonts w:ascii="Times New Roman" w:hAnsi="Times New Roman" w:cs="Times New Roman"/>
          <w:szCs w:val="24"/>
        </w:rPr>
        <w:t xml:space="preserve"> sa v roku 2014 zvýšilo o 5 143 tis. eur najmä vplyvom zisku za bežné obdobie vo výške 9 494 tis. eur. Pozitívny vplyv zisku čiastočne eliminovalo vyplatenie výhier z Fondu na podporu a zabezpečenie hazardných hier vo výške 1 060 tis. eur, prídel do sociálneho fondu a vyplatenie dividend vo výške 3 078 tis. eur, z nej ESA dividenda bola za rok 2014 vo výške 3 000 tis. eur.</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Do štátneho rozpočtu odviedla spoločnosť formou zákonných odvodov z prevádzkovania hazardných hier 35 566 tis. eur (rast o 3,0 %) a ďalších 2 004 tis. eur formou mimoriadneho protipovodňového odvodu.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Čistý zisk vzrástol o 20,7 % vplyvom vyššieho rastu výnosov z hazardných hier ako rastu nákladov na hry. Najvyšší rast výnosov bol zaznamenaný v segmente hazardných hier prevádzkovaných prostredníctvom internetu (rozšírenie portfólia produktov poskytovaných elektronickou formou). Nákladovou položkou s najvyšším medziročným zvýšením boli náklady na výhry, odvody z hazardných hier, odmeny zberniam, náklady na spracovanie ON LINE a náklady na inzerciu a reklamu.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V roku 2014 sa posilnila pozícia Národnej bločkovej lotérie, spoločnosť rozšírila portfólio obchodných partnerov, ktorí umožňujú registráciu pokladničných dokladov priamo pri jeho vyhotovení elektronickou registračnou pokladnicou. V roku 2014 už prekročila Národná bločková lotéria hranicu 100 miliónov zaregistrovaných bločkov.</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Tipos vykazuje nesplatenú časť mimoriadneho odvodu pre Ministerstvo financií SR vo výške 11 984 tis. eur, ktorú má povolené splatiť do 31. decembra 2020, v roku 2015 by mala byť uhradená splátka vo výške 2 004 tis. eur.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Tipos z dôvodu neistoty eviduje k 31. decembru 2014 v rámci podmienených aktív pohľadávku voči spoločnosti LEMIKON LIMITED na základe uzavretej Dohody o urovnaní a prevode know-how. Platnosť zmluvy je však spochybňovaná a v súčasnosti prebieha v tejto veci súdne konanie, ktoré ku dňu zostavenia účtovnej závierky nebolo ukončené, preto Tipos považuje pohľadávku za neistú a neúčtoval o nej.</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szCs w:val="24"/>
        </w:rPr>
        <w:t>V rámci podmienených pasív Tipos k 31. decembru 2014 eviduje prebiehajúci súdny spor so spoločnosťou FIVE X, a. s. v prvom rade a LEMIKON LIMITED v druhom rade. Súdny spor je vedený vo veci neoprávneného používania ochrannej známky ŠPORTKA, ŠANCA a MATES zo strany Tiposu za obdobie od 1. januára 1996 – 30. septembra 2002. Keďže súdny spor ku dňu zostavenia účtovnej závierky nebol ukončený a Tipos je presvedčený, že sa nedopustil neoprávneného používania know-how, záväzok považuje za podmienený a nezaúčtovala sa k nemu žiadna rezerva.</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b/>
          <w:szCs w:val="24"/>
        </w:rPr>
        <w:t>Exportno-importná banka Slovenskej republiky</w:t>
      </w:r>
      <w:r w:rsidRPr="00473A17">
        <w:rPr>
          <w:rFonts w:ascii="Times New Roman" w:hAnsi="Times New Roman" w:cs="Times New Roman"/>
          <w:szCs w:val="24"/>
        </w:rPr>
        <w:t xml:space="preserve"> (ďalej „EXIMBANKA“) so sídlom Grösslingová 1, Bratislava, bola zriadená zákonom č. 80/1997 Z. z. o Exportno-importnej banke Slovenskej republiky v znení neskorších predpisov ako jediný priamy nástroj štátu na podporu exportu. Ako špecializovaná inštitúcia spája v sebe bankové a poisťovacie činnosti.</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Zriaďovateľom spoločnosti je štát, ktorý vykonáva svoje vlastnícke právo prostredníctvom Rady banky a Dozornej rady. Informácie prezentované nižšie sú čerpané z výročnej správy, z individuálnej účtovnej závierky spoločnosti zostavenej za obdobie od 1. januára do 31. decembra 2014 vypracovanej v súlade s Medzinárodnými štandardmi finančného výkazníctva tak, ako boli schválené na použitie v EÚ. EXIMBANKA nevlastní majetkové podiely v iných spoločnostiach, preto jej nevzniká povinnosť zostavovať konsolidovanú účtovnú závierku. EXIMBANKA nie je bankou podľa zákon č. 483/2001 Z. z. o bankách a o zmene a doplnení niektorých zákonov v znení neskorších predpisov ani poisťovňou alebo zaisťovňou podľa zákona č. 8/2008 Z. z. o poisťovníctve a o zmene a doplnení niektorých zákonov v znení neskorších predpisov a nepodlieha dohľadu NBS. Štát ručí za záväzky EXIMBANKY vzniknuté podľa zákona bezpodmienečne a neodvolateľne.</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Priemerný počet zamestnancov EXIMBANKY za rok 2014 bol 90.</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Činnosť EXIMBANKY v roku 2014 ovplyvnila novelizácia zákona o EXIMBANKE SR, ktorá rozšírila možnosti podpory slovenských exportérov. Zároveň spoločnosť pristúpila k podpore podnikov pre zlepšenie ich exportnej konkurencieschopnosti umožnením nákupu tuzemských komponentov a technológií pre exportnú výrobu. Za účelom zvýšenia flexibility poskytovaných služieb hlavne v segmente malých a stredných podnikov bol produkt eMSP v roku 2014 zavedený do prevádzky. Produkt umožňuje predkladať žiadosti o poistnú zmluvu 24 hodín denne. V roku 2014 bolo prostredníctvom eMSP uzavretých 56,0 % poistných zmlúv.</w:t>
      </w:r>
    </w:p>
    <w:tbl>
      <w:tblPr>
        <w:tblStyle w:val="TableNormal"/>
        <w:tblW w:w="9099" w:type="dxa"/>
        <w:tblCellMar>
          <w:left w:w="70" w:type="dxa"/>
          <w:right w:w="70" w:type="dxa"/>
        </w:tblCellMar>
        <w:tblLook w:val="04A0"/>
      </w:tblPr>
      <w:tblGrid>
        <w:gridCol w:w="3544"/>
        <w:gridCol w:w="1559"/>
        <w:gridCol w:w="993"/>
        <w:gridCol w:w="850"/>
        <w:gridCol w:w="851"/>
        <w:gridCol w:w="1302"/>
      </w:tblGrid>
      <w:tr>
        <w:tblPrEx>
          <w:tblW w:w="9099" w:type="dxa"/>
          <w:tblCellMar>
            <w:left w:w="70" w:type="dxa"/>
            <w:right w:w="70" w:type="dxa"/>
          </w:tblCellMar>
          <w:tblLook w:val="04A0"/>
        </w:tblPrEx>
        <w:trPr>
          <w:trHeight w:val="261"/>
        </w:trPr>
        <w:tc>
          <w:tcPr>
            <w:tcW w:w="9099"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bookmarkStart w:id="145" w:name="_Toc431985278"/>
            <w:bookmarkStart w:id="146" w:name="_Toc433099060"/>
            <w:bookmarkStart w:id="147" w:name="_Toc433099299"/>
            <w:bookmarkStart w:id="148" w:name="_Toc433099405"/>
            <w:bookmarkStart w:id="149" w:name="_Toc433099587"/>
            <w:r w:rsidRPr="00473A17">
              <w:rPr>
                <w:rStyle w:val="Heading1Char"/>
                <w:b w:val="0"/>
                <w:color w:val="FFFFFF" w:themeColor="bg1" w:themeShade="FF"/>
                <w:sz w:val="20"/>
                <w:szCs w:val="20"/>
              </w:rPr>
              <w:t>EXIMBANKA</w:t>
            </w:r>
            <w:bookmarkEnd w:id="145"/>
            <w:bookmarkEnd w:id="146"/>
            <w:bookmarkEnd w:id="147"/>
            <w:bookmarkEnd w:id="148"/>
            <w:bookmarkEnd w:id="149"/>
            <w:r w:rsidRPr="00473A17">
              <w:rPr>
                <w:rFonts w:ascii="Times New Roman" w:hAnsi="Times New Roman" w:cs="Times New Roman"/>
                <w:b/>
                <w:bCs/>
                <w:color w:val="FFFFFF"/>
                <w:sz w:val="20"/>
                <w:szCs w:val="20"/>
                <w:lang w:eastAsia="sk-SK"/>
              </w:rPr>
              <w:t xml:space="preserve">  - zmena VI 2013/2014 (v tis. eur)</w:t>
            </w:r>
          </w:p>
        </w:tc>
      </w:tr>
      <w:tr>
        <w:tblPrEx>
          <w:tblW w:w="9099" w:type="dxa"/>
          <w:tblCellMar>
            <w:left w:w="70" w:type="dxa"/>
            <w:right w:w="70" w:type="dxa"/>
          </w:tblCellMar>
          <w:tblLook w:val="04A0"/>
        </w:tblPrEx>
        <w:trPr>
          <w:trHeight w:val="522"/>
        </w:trPr>
        <w:tc>
          <w:tcPr>
            <w:tcW w:w="3544"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55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851"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02"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099" w:type="dxa"/>
          <w:tblCellMar>
            <w:left w:w="70" w:type="dxa"/>
            <w:right w:w="70" w:type="dxa"/>
          </w:tblCellMar>
          <w:tblLook w:val="04A0"/>
        </w:tblPrEx>
        <w:trPr>
          <w:trHeight w:val="261"/>
        </w:trPr>
        <w:tc>
          <w:tcPr>
            <w:tcW w:w="3544"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291 950</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342</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-200</w:t>
            </w:r>
          </w:p>
        </w:tc>
        <w:tc>
          <w:tcPr>
            <w:tcW w:w="8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0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292 092</w:t>
            </w:r>
          </w:p>
        </w:tc>
      </w:tr>
      <w:tr>
        <w:tblPrEx>
          <w:tblW w:w="9099" w:type="dxa"/>
          <w:tblCellMar>
            <w:left w:w="70" w:type="dxa"/>
            <w:right w:w="70" w:type="dxa"/>
          </w:tblCellMar>
          <w:tblLook w:val="04A0"/>
        </w:tblPrEx>
        <w:trPr>
          <w:trHeight w:val="261"/>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100 000</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51"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0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100 000</w:t>
            </w:r>
          </w:p>
        </w:tc>
      </w:tr>
      <w:tr>
        <w:tblPrEx>
          <w:tblW w:w="9099" w:type="dxa"/>
          <w:tblCellMar>
            <w:left w:w="70" w:type="dxa"/>
            <w:right w:w="70" w:type="dxa"/>
          </w:tblCellMar>
          <w:tblLook w:val="04A0"/>
        </w:tblPrEx>
        <w:trPr>
          <w:trHeight w:val="261"/>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Kapitálové fondy</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191 634</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116</w:t>
            </w:r>
          </w:p>
        </w:tc>
        <w:tc>
          <w:tcPr>
            <w:tcW w:w="130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191 750</w:t>
            </w:r>
          </w:p>
        </w:tc>
      </w:tr>
      <w:tr>
        <w:tblPrEx>
          <w:tblW w:w="9099" w:type="dxa"/>
          <w:tblCellMar>
            <w:left w:w="70" w:type="dxa"/>
            <w:right w:w="70" w:type="dxa"/>
          </w:tblCellMar>
          <w:tblLook w:val="04A0"/>
        </w:tblPrEx>
        <w:trPr>
          <w:trHeight w:val="261"/>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316</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-200</w:t>
            </w:r>
          </w:p>
        </w:tc>
        <w:tc>
          <w:tcPr>
            <w:tcW w:w="8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-116</w:t>
            </w:r>
          </w:p>
        </w:tc>
        <w:tc>
          <w:tcPr>
            <w:tcW w:w="130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0</w:t>
            </w:r>
          </w:p>
        </w:tc>
      </w:tr>
      <w:tr>
        <w:tblPrEx>
          <w:tblW w:w="9099" w:type="dxa"/>
          <w:tblCellMar>
            <w:left w:w="70" w:type="dxa"/>
            <w:right w:w="70" w:type="dxa"/>
          </w:tblCellMar>
          <w:tblLook w:val="04A0"/>
        </w:tblPrEx>
        <w:trPr>
          <w:trHeight w:val="261"/>
        </w:trPr>
        <w:tc>
          <w:tcPr>
            <w:tcW w:w="3544"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55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342</w:t>
            </w:r>
          </w:p>
        </w:tc>
        <w:tc>
          <w:tcPr>
            <w:tcW w:w="85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851"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02"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342</w:t>
            </w:r>
          </w:p>
        </w:tc>
      </w:tr>
    </w:tbl>
    <w:p w:rsidR="00CE1C18" w:rsidRPr="00473A17" w:rsidP="00CE1C18">
      <w:pPr>
        <w:bidi w:val="0"/>
        <w:jc w:val="right"/>
        <w:rPr>
          <w:rFonts w:ascii="Times New Roman" w:hAnsi="Times New Roman" w:cs="Times New Roman"/>
          <w:i/>
          <w:iCs/>
          <w:sz w:val="16"/>
          <w:szCs w:val="16"/>
          <w:lang w:eastAsia="sk-SK"/>
        </w:rPr>
      </w:pP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 xml:space="preserve">EXIMBANKY </w:t>
      </w:r>
      <w:r w:rsidRPr="00473A17">
        <w:rPr>
          <w:rFonts w:ascii="Times New Roman" w:hAnsi="Times New Roman" w:cs="Times New Roman"/>
          <w:szCs w:val="24"/>
        </w:rPr>
        <w:t>sa v roku 2014 zvýšilo o 142 tis. eur vplyvom zisku bežného obdobia vo výške 342 tis. eur. Pozitívny vplyv zisku čiastočne eliminovalo vyplatenie odvodu do štátneho rozpočtu vo výške 200 tis. eur.</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Zisk vzrástol o 8,2 % vplyvom poklesu vyplateného poistného plnenia a nižšej tvorby rezervy na poistné plnenie. Pozitívny vplyv poklesu poistných plnení čiastočne zmiernil pokles výnosov z podielu zaisťovateľov na poistných plneniach a na rezerve na poistné plnenie. Tento vývoj možno pripísať poklesu poistnej angažovanosti o 12,3 % vplyvom objektívnych príčin, napr. uvalenými sankciami na medzinárodný obchod s Ruskom. Rozpustenie rezervy na bankové záruky tiež prispelo k tvorbe zisku. Angažovanosť v oblasti bankových záruk stúpla o 8,0</w:t>
      </w:r>
      <w:r w:rsidRPr="00473A17">
        <w:rPr>
          <w:rFonts w:ascii="Times New Roman" w:hAnsi="Times New Roman" w:cs="Times New Roman"/>
        </w:rPr>
        <w:t xml:space="preserve"> </w:t>
      </w:r>
      <w:r w:rsidRPr="00473A17">
        <w:rPr>
          <w:rFonts w:ascii="Times New Roman" w:hAnsi="Times New Roman" w:cs="Times New Roman"/>
          <w:szCs w:val="24"/>
        </w:rPr>
        <w:t>%. Rozhodnutím vlády SR sa navýšila záručná kapacita, čo umožnilo uspokojiť rastúci dopyt po bankových zárukách najmä v segmente veľkých klientov (99,4 % objemu vystavených záruk). Pozitívny vplyv na zisk mali aj vyššie úrokové výnosy, ktoré vzrástli najmä v segmente pohľadávok voči klientom o 35,1 % a v segmente pohľadávok voči bankám bol zaznamenaný pokles o 15,1 %. Výsledok bol dosiahnutý vďaka rastu angažovanosti v oblasti bankových úverov o 2,5 %, pričom v súlade so stratégiou spoločnosti sa znížil objem refinančných úverov pre banky a zvýšil sa objem poskytovaných priamych úverov exportérom (najväčšie zastúpenie pritom mali investičné úvery určené na nákup a modernizáciu technológie a súvisiacej infraštruktúry).</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Negatívny dopad na zisk mala tvorba opravných položiek najmä k pohľadávkam voči klientom a pokles položky ostatných výnosov vplyvom nižších výnosov z vymáhania pohľadávok z poistenia o 69,3 %.</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b/>
          <w:szCs w:val="24"/>
        </w:rPr>
        <w:t>Slovenská záručná a rozvojová banka</w:t>
      </w:r>
      <w:r w:rsidRPr="00473A17">
        <w:rPr>
          <w:rFonts w:ascii="Times New Roman" w:hAnsi="Times New Roman" w:cs="Times New Roman"/>
          <w:szCs w:val="24"/>
        </w:rPr>
        <w:t xml:space="preserve"> (ďalej „SZRB“) so sídlom Štefánikova 27, Bratislava, začala svoju činnosť 1. septembra 1991 a vychádzala pritom z osvedčených mechanizmov a pozitívnych skúseností obdobných inštitúcií v Európe.</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Jediným vlastníkom SZRB bol k 31. 12. 2014 štát, pričom práva štátu ako akcionára vykonávalo Ministerstvo financií SR. Informácie prezentované nižšie sú čerpané z výročnej správy, z individuálnej účtovnej závierky zostavenej za obdobie od 1. januára do 31. decembra 2014 vypracovanej v súlade s Medzinárodnými štandardmi finančného výkazníctva tak, ako boli schválené na použitie v EÚ a z verejne dostupných zdrojov. SZRB vlastní majetkové podiely v iných spoločnostiach, preto jej vzniká povinnosť zostavovať konsolidovanú účtovnú závierku. SZRB vlastní majetkové podiely nasledujúcich spoločnostiach: Slovak Investment Holding, a.s. so sídlom na území SR, zaoberajúci sa implementáciou finančných nástrojov (100,00 % vlastník), Slovenská záručná a rozvojová banka, Asset Management, a.s. so sídlom na územní SR, zaoberajúci sa implementáciou finančných nástrojov (100,00 % vlastník), Národný centrálny depozitár cenných papierov, a.s. so sídlom na území SR, zaoberajúci sa podporou kapitálového trhu na Slovensku (100,00 % vlastník), Slovenská záručný a rozvojový fond, s.r.o. so sídlom na území SR, zaoberajúci sa implementáciou spoločnej iniciatívy Európskej komisie a Európskeho investičného fondu – JEREMIE s cieľom zlepšiť prístup malých a stredných podnikov k financovaniu v rámci štrukturálnych fondov (SZRB vlastní 0,01 % základného imania Fondu, ale na základe zmlúv disponuje 99 % hlasovacích práv).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Priemerný počet zamestnancov SZRB za rok 2014 bol 160.</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SZRB sa aj v roku 2014 orientovala prioritne na podporu malého a stredného podnikania, pričom financovanie výrazne zamerala na odvetvia vo všeobecnosti považované za rizikové pre účel získania úveru. Z tohto dôvodu podiel stavebníctva na celkovom objeme obchodných prípadov dosiahol 27,5 % a podiel poľnohospodárstva 25,6 %. Produkty pritom orientovala najmä na financovanie inovatívnych firiem a riešenie problému nezamestnanosti, ktorý sa má čiastočne zmierniť prostredníctvom programu „odvodový úver“</w:t>
      </w:r>
      <w:r>
        <w:rPr>
          <w:rStyle w:val="FootnoteReference"/>
          <w:rFonts w:ascii="Times New Roman" w:hAnsi="Times New Roman"/>
          <w:szCs w:val="24"/>
          <w:rtl w:val="0"/>
        </w:rPr>
        <w:footnoteReference w:id="10"/>
      </w:r>
      <w:r w:rsidRPr="00473A17">
        <w:rPr>
          <w:rFonts w:ascii="Times New Roman" w:hAnsi="Times New Roman" w:cs="Times New Roman"/>
          <w:szCs w:val="24"/>
        </w:rPr>
        <w:t xml:space="preserve"> prebiehajúcemu už viac ako rok pod záštitou Ministerstva financií SR.</w:t>
      </w:r>
    </w:p>
    <w:p w:rsidR="00DE2961">
      <w:pPr>
        <w:bidi w:val="0"/>
      </w:pPr>
      <w:bookmarkStart w:id="150" w:name="_Toc431985279"/>
      <w:bookmarkStart w:id="151" w:name="_Toc433099061"/>
      <w:bookmarkStart w:id="152" w:name="_Toc433099300"/>
      <w:bookmarkStart w:id="153" w:name="_Toc433099406"/>
      <w:bookmarkStart w:id="154" w:name="_Toc433099588"/>
      <w:r>
        <w:br w:type="page"/>
      </w:r>
    </w:p>
    <w:tbl>
      <w:tblPr>
        <w:tblStyle w:val="TableNormal"/>
        <w:tblW w:w="9018" w:type="dxa"/>
        <w:tblCellMar>
          <w:left w:w="70" w:type="dxa"/>
          <w:right w:w="70" w:type="dxa"/>
        </w:tblCellMar>
        <w:tblLook w:val="04A0"/>
      </w:tblPr>
      <w:tblGrid>
        <w:gridCol w:w="3402"/>
        <w:gridCol w:w="1560"/>
        <w:gridCol w:w="984"/>
        <w:gridCol w:w="774"/>
        <w:gridCol w:w="935"/>
        <w:gridCol w:w="1363"/>
      </w:tblGrid>
      <w:tr>
        <w:tblPrEx>
          <w:tblW w:w="9018" w:type="dxa"/>
          <w:tblCellMar>
            <w:left w:w="70" w:type="dxa"/>
            <w:right w:w="70" w:type="dxa"/>
          </w:tblCellMar>
          <w:tblLook w:val="04A0"/>
        </w:tblPrEx>
        <w:trPr>
          <w:trHeight w:val="260"/>
        </w:trPr>
        <w:tc>
          <w:tcPr>
            <w:tcW w:w="9018"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r w:rsidRPr="00473A17">
              <w:rPr>
                <w:rStyle w:val="Heading1Char"/>
                <w:rFonts w:hint="default"/>
                <w:b w:val="0"/>
                <w:color w:val="FFFFFF" w:themeColor="bg1" w:themeShade="FF"/>
                <w:sz w:val="20"/>
                <w:szCs w:val="20"/>
              </w:rPr>
              <w:t>Slovenská</w:t>
            </w:r>
            <w:r w:rsidRPr="00473A17">
              <w:rPr>
                <w:rStyle w:val="Heading1Char"/>
                <w:rFonts w:hint="default"/>
                <w:b w:val="0"/>
                <w:color w:val="FFFFFF" w:themeColor="bg1" w:themeShade="FF"/>
                <w:sz w:val="20"/>
                <w:szCs w:val="20"/>
              </w:rPr>
              <w:t xml:space="preserve"> zá</w:t>
            </w:r>
            <w:r w:rsidRPr="00473A17">
              <w:rPr>
                <w:rStyle w:val="Heading1Char"/>
                <w:rFonts w:hint="default"/>
                <w:b w:val="0"/>
                <w:color w:val="FFFFFF" w:themeColor="bg1" w:themeShade="FF"/>
                <w:sz w:val="20"/>
                <w:szCs w:val="20"/>
              </w:rPr>
              <w:t>ruč</w:t>
            </w:r>
            <w:r w:rsidRPr="00473A17">
              <w:rPr>
                <w:rStyle w:val="Heading1Char"/>
                <w:rFonts w:hint="default"/>
                <w:b w:val="0"/>
                <w:color w:val="FFFFFF" w:themeColor="bg1" w:themeShade="FF"/>
                <w:sz w:val="20"/>
                <w:szCs w:val="20"/>
              </w:rPr>
              <w:t>ná</w:t>
            </w:r>
            <w:r w:rsidRPr="00473A17">
              <w:rPr>
                <w:rStyle w:val="Heading1Char"/>
                <w:rFonts w:hint="default"/>
                <w:b w:val="0"/>
                <w:color w:val="FFFFFF" w:themeColor="bg1" w:themeShade="FF"/>
                <w:sz w:val="20"/>
                <w:szCs w:val="20"/>
              </w:rPr>
              <w:t xml:space="preserve"> a rozvojová</w:t>
            </w:r>
            <w:r w:rsidRPr="00473A17">
              <w:rPr>
                <w:rStyle w:val="Heading1Char"/>
                <w:rFonts w:hint="default"/>
                <w:b w:val="0"/>
                <w:color w:val="FFFFFF" w:themeColor="bg1" w:themeShade="FF"/>
                <w:sz w:val="20"/>
                <w:szCs w:val="20"/>
              </w:rPr>
              <w:t xml:space="preserve"> banka</w:t>
            </w:r>
            <w:bookmarkEnd w:id="150"/>
            <w:bookmarkEnd w:id="151"/>
            <w:bookmarkEnd w:id="152"/>
            <w:bookmarkEnd w:id="153"/>
            <w:bookmarkEnd w:id="154"/>
            <w:r w:rsidR="00956D9E">
              <w:rPr>
                <w:rFonts w:ascii="Times New Roman" w:hAnsi="Times New Roman" w:cs="Times New Roman"/>
                <w:b/>
                <w:bCs/>
                <w:color w:val="FFFFFF"/>
                <w:sz w:val="20"/>
                <w:szCs w:val="20"/>
                <w:lang w:eastAsia="sk-SK"/>
              </w:rPr>
              <w:t xml:space="preserve"> </w:t>
            </w:r>
            <w:r w:rsidRPr="00473A17">
              <w:rPr>
                <w:rFonts w:ascii="Times New Roman" w:hAnsi="Times New Roman" w:cs="Times New Roman"/>
                <w:b/>
                <w:bCs/>
                <w:color w:val="FFFFFF"/>
                <w:sz w:val="20"/>
                <w:szCs w:val="20"/>
                <w:lang w:eastAsia="sk-SK"/>
              </w:rPr>
              <w:t>- zmena VI 2013/2014 (v tis. eur)</w:t>
            </w:r>
          </w:p>
        </w:tc>
      </w:tr>
      <w:tr>
        <w:tblPrEx>
          <w:tblW w:w="9018" w:type="dxa"/>
          <w:tblCellMar>
            <w:left w:w="70" w:type="dxa"/>
            <w:right w:w="70" w:type="dxa"/>
          </w:tblCellMar>
          <w:tblLook w:val="04A0"/>
        </w:tblPrEx>
        <w:trPr>
          <w:trHeight w:val="520"/>
        </w:trPr>
        <w:tc>
          <w:tcPr>
            <w:tcW w:w="3402"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56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84"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774"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935"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6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018" w:type="dxa"/>
          <w:tblCellMar>
            <w:left w:w="70" w:type="dxa"/>
            <w:right w:w="70" w:type="dxa"/>
          </w:tblCellMar>
          <w:tblLook w:val="04A0"/>
        </w:tblPrEx>
        <w:trPr>
          <w:trHeight w:val="260"/>
        </w:trPr>
        <w:tc>
          <w:tcPr>
            <w:tcW w:w="3402"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289 837</w:t>
            </w:r>
          </w:p>
        </w:tc>
        <w:tc>
          <w:tcPr>
            <w:tcW w:w="98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3 776</w:t>
            </w: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-500</w:t>
            </w:r>
          </w:p>
        </w:tc>
        <w:tc>
          <w:tcPr>
            <w:tcW w:w="93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6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293 113</w:t>
            </w:r>
          </w:p>
        </w:tc>
      </w:tr>
      <w:tr>
        <w:tblPrEx>
          <w:tblW w:w="9018" w:type="dxa"/>
          <w:tblCellMar>
            <w:left w:w="70" w:type="dxa"/>
            <w:right w:w="70" w:type="dxa"/>
          </w:tblCellMar>
          <w:tblLook w:val="04A0"/>
        </w:tblPrEx>
        <w:trPr>
          <w:trHeight w:val="260"/>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130 000</w:t>
            </w:r>
          </w:p>
        </w:tc>
        <w:tc>
          <w:tcPr>
            <w:tcW w:w="98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35"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6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130 000</w:t>
            </w:r>
          </w:p>
        </w:tc>
      </w:tr>
      <w:tr>
        <w:tblPrEx>
          <w:tblW w:w="9018" w:type="dxa"/>
          <w:tblCellMar>
            <w:left w:w="70" w:type="dxa"/>
            <w:right w:w="70" w:type="dxa"/>
          </w:tblCellMar>
          <w:tblLook w:val="04A0"/>
        </w:tblPrEx>
        <w:trPr>
          <w:trHeight w:val="260"/>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6 609</w:t>
            </w:r>
          </w:p>
        </w:tc>
        <w:tc>
          <w:tcPr>
            <w:tcW w:w="98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3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76</w:t>
            </w:r>
          </w:p>
        </w:tc>
        <w:tc>
          <w:tcPr>
            <w:tcW w:w="136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6 685</w:t>
            </w:r>
          </w:p>
        </w:tc>
      </w:tr>
      <w:tr>
        <w:tblPrEx>
          <w:tblW w:w="9018" w:type="dxa"/>
          <w:tblCellMar>
            <w:left w:w="70" w:type="dxa"/>
            <w:right w:w="70" w:type="dxa"/>
          </w:tblCellMar>
          <w:tblLook w:val="04A0"/>
        </w:tblPrEx>
        <w:trPr>
          <w:trHeight w:val="260"/>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Kapitálové fondy a fondy zo zisku</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147 951</w:t>
            </w:r>
          </w:p>
        </w:tc>
        <w:tc>
          <w:tcPr>
            <w:tcW w:w="98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35"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6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147 951</w:t>
            </w:r>
          </w:p>
        </w:tc>
      </w:tr>
      <w:tr>
        <w:tblPrEx>
          <w:tblW w:w="9018" w:type="dxa"/>
          <w:tblCellMar>
            <w:left w:w="70" w:type="dxa"/>
            <w:right w:w="70" w:type="dxa"/>
          </w:tblCellMar>
          <w:tblLook w:val="04A0"/>
        </w:tblPrEx>
        <w:trPr>
          <w:trHeight w:val="260"/>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Oceň. rozdiely z prec. cen.papierov</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2 515</w:t>
            </w:r>
          </w:p>
        </w:tc>
        <w:tc>
          <w:tcPr>
            <w:tcW w:w="98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1 883</w:t>
            </w: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935"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6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4 398</w:t>
            </w:r>
          </w:p>
        </w:tc>
      </w:tr>
      <w:tr>
        <w:tblPrEx>
          <w:tblW w:w="9018" w:type="dxa"/>
          <w:tblCellMar>
            <w:left w:w="70" w:type="dxa"/>
            <w:right w:w="70" w:type="dxa"/>
          </w:tblCellMar>
          <w:tblLook w:val="04A0"/>
        </w:tblPrEx>
        <w:trPr>
          <w:trHeight w:val="260"/>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2 762</w:t>
            </w:r>
          </w:p>
        </w:tc>
        <w:tc>
          <w:tcPr>
            <w:tcW w:w="98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-500</w:t>
            </w:r>
          </w:p>
        </w:tc>
        <w:tc>
          <w:tcPr>
            <w:tcW w:w="93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-76</w:t>
            </w:r>
          </w:p>
        </w:tc>
        <w:tc>
          <w:tcPr>
            <w:tcW w:w="136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2 186</w:t>
            </w:r>
          </w:p>
        </w:tc>
      </w:tr>
      <w:tr>
        <w:tblPrEx>
          <w:tblW w:w="9018" w:type="dxa"/>
          <w:tblCellMar>
            <w:left w:w="70" w:type="dxa"/>
            <w:right w:w="70" w:type="dxa"/>
          </w:tblCellMar>
          <w:tblLook w:val="04A0"/>
        </w:tblPrEx>
        <w:trPr>
          <w:trHeight w:val="260"/>
        </w:trPr>
        <w:tc>
          <w:tcPr>
            <w:tcW w:w="3402"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56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84"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1 893</w:t>
            </w:r>
          </w:p>
        </w:tc>
        <w:tc>
          <w:tcPr>
            <w:tcW w:w="774"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35"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6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1 893</w:t>
            </w:r>
          </w:p>
        </w:tc>
      </w:tr>
    </w:tbl>
    <w:p w:rsidR="00CE1C18" w:rsidRPr="00473A17" w:rsidP="00CE1C18">
      <w:pPr>
        <w:bidi w:val="0"/>
        <w:jc w:val="right"/>
        <w:rPr>
          <w:rFonts w:ascii="Times New Roman" w:hAnsi="Times New Roman" w:cs="Times New Roman"/>
          <w:szCs w:val="24"/>
        </w:rPr>
      </w:pP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SZRB</w:t>
      </w:r>
      <w:r w:rsidRPr="00473A17">
        <w:rPr>
          <w:rFonts w:ascii="Times New Roman" w:hAnsi="Times New Roman" w:cs="Times New Roman"/>
          <w:szCs w:val="24"/>
        </w:rPr>
        <w:t xml:space="preserve"> sa v roku 2014 zvýšilo o 3 276 tis. eur vplyvom zisku bežného obdobia vo výške 1 893 tis. eur a rozdielu z precenenia cenných papierov vo výške 1 883 tis. eur. Pozitívny vplyv čiastočne eliminovalo vyplatenie dividend vo výške 500 tis. eur.</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Zisk za rok 2014 je 2,5 násobne vyšší ako zisk za predchádzajúce obdobie. Zdrojom rastu zisku boli hlavne vyššie výnosové úroky o 7,0 % (rast najmä v kategórii výnosových úrokov z úverov poskytnutých klientom o 11,4 %, pričom počet poskytnutých priamych úverov sa zvýšil o 32,3</w:t>
      </w:r>
      <w:r w:rsidRPr="00473A17">
        <w:rPr>
          <w:rFonts w:ascii="Times New Roman" w:hAnsi="Times New Roman" w:cs="Times New Roman"/>
        </w:rPr>
        <w:t> </w:t>
      </w:r>
      <w:r w:rsidRPr="00473A17">
        <w:rPr>
          <w:rFonts w:ascii="Times New Roman" w:hAnsi="Times New Roman" w:cs="Times New Roman"/>
          <w:szCs w:val="24"/>
        </w:rPr>
        <w:t>%). Významný rast bol zaznamenaný aj v položke prijatých poplatkov a provízií, ktorý spôsobilo prevzatie vedenia účtov Štátneho fondu rozvoja bývania z komerčných bánk. Pozitívny vplyv na tvorbu zisku malo aj rozpustenie rezervy na bankové záruky a nižšia daň z príjmov (vplyv nižšieho objemu daňovo neuznateľných nákladov v roku 2014 v porovnaní s rokom 2013). Vplyv vyšších výnosových položiek čiastočne zmiernila tvorba opravných položiek k úverom poskytnutých klientom.</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Pozitívny vplyv rozdielu z precenenia cenných papierov sa vzťahuje na cenné papiere k dispozícií na predaj, ktorých zmenu hodnoty spôsobili pohyby cien na trhu. Najväčší rozdiel z precenenia bol zaznamenaný na štátnych dlhopisoch SR.</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Implementácia finančných nástrojov (návratné zdroje financovania z Európskych štrukturálnych a investičných fondov) sa v podmienkach SR realizuje prostredníctvom Slovak Investment Holding, a.s. ako fondu fondov a Slovenskej záručnej a rozvojovej banky Asset Management, a.s. ako správcu fondu fondov. Dôležitou úlohou SZRB Asset Managementu je napomôcť efektívne umiestniť v slovenskej ekonomike návratné zdroje z Európskych štrukturálnych a investičných fondov a zároveň pôsobiť ako katalyzátor pre prílev prostriedkov od ďalších investorov.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SZRB Asset Management sa zúčastnil zo strany SR na prípravných prácach novej oblasti pre podporu investícií v rámci celej Európskej únie, ktorou je zriadenie Európskeho fondu pre strategické investície (ďalej „EFSI“). Nariadenie o EFSI bolo prijaté Európskou radou 25. júna 2015 s cieľom stimulovať hospodárstvo a povzbudiť účasť súkromných investorov na investičných projektoch zo širokej škály oblastí vrátane dopravy, energetiky a širokopásmovej infraštruktúry, vzdelávania, zdravia, výskumu a rizikového financovania pre malé a stredné podniky.</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b/>
          <w:szCs w:val="24"/>
        </w:rPr>
        <w:t>Letisko M. R. Štefánika – Airport Bratislava, a.s.</w:t>
      </w:r>
      <w:r w:rsidRPr="00473A17">
        <w:rPr>
          <w:rFonts w:ascii="Times New Roman" w:hAnsi="Times New Roman" w:cs="Times New Roman"/>
          <w:szCs w:val="24"/>
        </w:rPr>
        <w:t xml:space="preserve"> (ďalej „Letisko“) so sídlom v Bratislave sa začalo budovať v dôsledku nedostatočnej kapacity Letiska Vajnory v roku 1946. Pravidelná prevádzka Letiska začala v roku 1951. S rastúcimi požiadavkami na prepravu cestujúcich, tovaru a potreby Letky ministerstva vnútra sa letisko rozrastalo nielen v podobe predlžovania dráh, ale aj budovania terminálov pre vybavovanie príletov a odletov cestujúcich. V roku 1995 bolo letisko preradené do kategórie umožňujúcej pristávanie veľkokapacitných lietadiel vďaka vybudovaniu požiarnej zbrojnice. Rok 2004 sa stal významným v histórii letiska z dôvodu transformácie príspevkovej organizácie Slovenskej správy letísk na Letisko M.R. Štefánika – Airport Bratislava (BTS), a.s. Po vstupe SR do  Európskej únie letisko v súlade s kritériami začlenenia do vzdušného schengenského priestoru vytvorilo podmienky pre cestovanie v rámci Schengenu bez potreby pasovej kontroly a pre cestovanie do tretích krajín. V roku 2006 ohlásila slovenská vláda odstúpenie od privatizačnej zmluvy s konzorciom TwoOne z dôvodu nesplnenia podmienok privatizácie. </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szCs w:val="24"/>
        </w:rPr>
        <w:t>Jediným vlastníkom Letiska bol k 31. 12. 2014 štát, pričom práva štátu ako akcionára vykonávalo Ministerstvo dopravy, výstavby a regionálneho rozvoja SR. Informácie prezentované nižšie sú čerpané z výročnej správy, z individuálnej účtovnej závierky spoločnosti zostavenej za obdobie od 1. januára do 31. decembra 2014 vypracovanej podľa § 17 ods. 6 zákona č. 431/2002 Z. z. o účtovníctve, v znení neskorších predpisov</w:t>
      </w:r>
      <w:r w:rsidRPr="00473A17">
        <w:rPr>
          <w:rFonts w:ascii="Times New Roman" w:hAnsi="Times New Roman" w:cs="Times New Roman"/>
          <w:color w:val="FF0000"/>
          <w:szCs w:val="24"/>
        </w:rPr>
        <w:t xml:space="preserve"> </w:t>
      </w:r>
      <w:r w:rsidRPr="00473A17">
        <w:rPr>
          <w:rFonts w:ascii="Times New Roman" w:hAnsi="Times New Roman" w:cs="Times New Roman"/>
          <w:szCs w:val="24"/>
        </w:rPr>
        <w:t>a z verejne dostupných zdrojov. Letisko</w:t>
      </w:r>
      <w:r w:rsidRPr="00473A17">
        <w:rPr>
          <w:rFonts w:ascii="Times New Roman" w:hAnsi="Times New Roman" w:cs="Times New Roman"/>
          <w:color w:val="FF0000"/>
          <w:szCs w:val="24"/>
        </w:rPr>
        <w:t xml:space="preserve"> </w:t>
      </w:r>
      <w:r w:rsidRPr="00473A17">
        <w:rPr>
          <w:rFonts w:ascii="Times New Roman" w:hAnsi="Times New Roman" w:cs="Times New Roman"/>
          <w:szCs w:val="24"/>
        </w:rPr>
        <w:t>nevlastní majetkové podiely v iných spoločnostiach, preto mu nevzniká povinnosť zostavovať konsolidovanú účtovnú závierku.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Priemerný prepočítaný počet zamestnancov Letiska za rok 2014 bol 543.</w:t>
      </w:r>
    </w:p>
    <w:tbl>
      <w:tblPr>
        <w:tblStyle w:val="TableNormal"/>
        <w:tblW w:w="9156" w:type="dxa"/>
        <w:tblCellMar>
          <w:left w:w="70" w:type="dxa"/>
          <w:right w:w="70" w:type="dxa"/>
        </w:tblCellMar>
        <w:tblLook w:val="04A0"/>
      </w:tblPr>
      <w:tblGrid>
        <w:gridCol w:w="3544"/>
        <w:gridCol w:w="1559"/>
        <w:gridCol w:w="993"/>
        <w:gridCol w:w="823"/>
        <w:gridCol w:w="840"/>
        <w:gridCol w:w="1397"/>
      </w:tblGrid>
      <w:tr>
        <w:tblPrEx>
          <w:tblW w:w="9156" w:type="dxa"/>
          <w:tblCellMar>
            <w:left w:w="70" w:type="dxa"/>
            <w:right w:w="70" w:type="dxa"/>
          </w:tblCellMar>
          <w:tblLook w:val="04A0"/>
        </w:tblPrEx>
        <w:trPr>
          <w:trHeight w:val="258"/>
        </w:trPr>
        <w:tc>
          <w:tcPr>
            <w:tcW w:w="9156" w:type="dxa"/>
            <w:gridSpan w:val="6"/>
            <w:tcBorders>
              <w:top w:val="nil"/>
              <w:left w:val="nil"/>
              <w:bottom w:val="nil"/>
              <w:right w:val="nil"/>
            </w:tcBorders>
            <w:noWrap/>
            <w:textDirection w:val="lrTb"/>
            <w:vAlign w:val="bottom"/>
            <w:hideMark/>
          </w:tcPr>
          <w:p w:rsidR="00CE1C18" w:rsidRPr="00473A17" w:rsidP="00956D9E">
            <w:pPr>
              <w:bidi w:val="0"/>
              <w:spacing w:after="0" w:line="240" w:lineRule="auto"/>
              <w:rPr>
                <w:rFonts w:ascii="Times New Roman" w:hAnsi="Times New Roman" w:cs="Times New Roman"/>
                <w:b/>
                <w:bCs/>
                <w:color w:val="FFFFFF"/>
                <w:sz w:val="20"/>
                <w:szCs w:val="20"/>
                <w:lang w:eastAsia="sk-SK"/>
              </w:rPr>
            </w:pPr>
            <w:bookmarkStart w:id="155" w:name="_Toc431985280"/>
            <w:bookmarkStart w:id="156" w:name="_Toc433099062"/>
            <w:bookmarkStart w:id="157" w:name="_Toc433099301"/>
            <w:bookmarkStart w:id="158" w:name="_Toc433099407"/>
            <w:bookmarkStart w:id="159" w:name="_Toc433099589"/>
            <w:r w:rsidRPr="00473A17">
              <w:rPr>
                <w:rStyle w:val="Heading1Char"/>
                <w:rFonts w:hint="default"/>
                <w:b w:val="0"/>
                <w:color w:val="FFFFFF" w:themeColor="bg1" w:themeShade="FF"/>
                <w:sz w:val="20"/>
                <w:szCs w:val="20"/>
              </w:rPr>
              <w:t>Letisko M. R. Š</w:t>
            </w:r>
            <w:r w:rsidRPr="00473A17">
              <w:rPr>
                <w:rStyle w:val="Heading1Char"/>
                <w:rFonts w:hint="default"/>
                <w:b w:val="0"/>
                <w:color w:val="FFFFFF" w:themeColor="bg1" w:themeShade="FF"/>
                <w:sz w:val="20"/>
                <w:szCs w:val="20"/>
              </w:rPr>
              <w:t>tefá</w:t>
            </w:r>
            <w:r w:rsidRPr="00473A17">
              <w:rPr>
                <w:rStyle w:val="Heading1Char"/>
                <w:rFonts w:hint="default"/>
                <w:b w:val="0"/>
                <w:color w:val="FFFFFF" w:themeColor="bg1" w:themeShade="FF"/>
                <w:sz w:val="20"/>
                <w:szCs w:val="20"/>
              </w:rPr>
              <w:t>nika - Airport Bratislava, a.s.</w:t>
            </w:r>
            <w:bookmarkEnd w:id="155"/>
            <w:bookmarkEnd w:id="156"/>
            <w:bookmarkEnd w:id="157"/>
            <w:bookmarkEnd w:id="158"/>
            <w:bookmarkEnd w:id="159"/>
            <w:r w:rsidRPr="00473A17">
              <w:rPr>
                <w:rFonts w:ascii="Times New Roman" w:hAnsi="Times New Roman" w:cs="Times New Roman"/>
                <w:b/>
                <w:bCs/>
                <w:color w:val="FFFFFF"/>
                <w:sz w:val="20"/>
                <w:szCs w:val="20"/>
                <w:lang w:eastAsia="sk-SK"/>
              </w:rPr>
              <w:t xml:space="preserve"> - zmena VI 2013/2014 (v tis. eur)</w:t>
            </w:r>
          </w:p>
        </w:tc>
      </w:tr>
      <w:tr>
        <w:tblPrEx>
          <w:tblW w:w="9156" w:type="dxa"/>
          <w:tblCellMar>
            <w:left w:w="70" w:type="dxa"/>
            <w:right w:w="70" w:type="dxa"/>
          </w:tblCellMar>
          <w:tblLook w:val="04A0"/>
        </w:tblPrEx>
        <w:trPr>
          <w:trHeight w:val="517"/>
        </w:trPr>
        <w:tc>
          <w:tcPr>
            <w:tcW w:w="3544"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55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2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84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97"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156" w:type="dxa"/>
          <w:tblCellMar>
            <w:left w:w="70" w:type="dxa"/>
            <w:right w:w="70" w:type="dxa"/>
          </w:tblCellMar>
          <w:tblLook w:val="04A0"/>
        </w:tblPrEx>
        <w:trPr>
          <w:trHeight w:val="258"/>
        </w:trPr>
        <w:tc>
          <w:tcPr>
            <w:tcW w:w="3544"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255 749</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-7 291</w:t>
            </w:r>
          </w:p>
        </w:tc>
        <w:tc>
          <w:tcPr>
            <w:tcW w:w="82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213</w:t>
            </w: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97"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248 671</w:t>
            </w:r>
          </w:p>
        </w:tc>
      </w:tr>
      <w:tr>
        <w:tblPrEx>
          <w:tblW w:w="9156" w:type="dxa"/>
          <w:tblCellMar>
            <w:left w:w="70" w:type="dxa"/>
            <w:right w:w="70" w:type="dxa"/>
          </w:tblCellMar>
          <w:tblLook w:val="04A0"/>
        </w:tblPrEx>
        <w:trPr>
          <w:trHeight w:val="258"/>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292 428</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2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97"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292 428</w:t>
            </w:r>
          </w:p>
        </w:tc>
      </w:tr>
      <w:tr>
        <w:tblPrEx>
          <w:tblW w:w="9156" w:type="dxa"/>
          <w:tblCellMar>
            <w:left w:w="70" w:type="dxa"/>
            <w:right w:w="70" w:type="dxa"/>
          </w:tblCellMar>
          <w:tblLook w:val="04A0"/>
        </w:tblPrEx>
        <w:trPr>
          <w:trHeight w:val="258"/>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355</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2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97"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355</w:t>
            </w:r>
          </w:p>
        </w:tc>
      </w:tr>
      <w:tr>
        <w:tblPrEx>
          <w:tblW w:w="9156" w:type="dxa"/>
          <w:tblCellMar>
            <w:left w:w="70" w:type="dxa"/>
            <w:right w:w="70" w:type="dxa"/>
          </w:tblCellMar>
          <w:tblLook w:val="04A0"/>
        </w:tblPrEx>
        <w:trPr>
          <w:trHeight w:val="258"/>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Štatutárne a ostatné fondy</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332</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2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97"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332</w:t>
            </w:r>
          </w:p>
        </w:tc>
      </w:tr>
      <w:tr>
        <w:tblPrEx>
          <w:tblW w:w="9156" w:type="dxa"/>
          <w:tblCellMar>
            <w:left w:w="70" w:type="dxa"/>
            <w:right w:w="70" w:type="dxa"/>
          </w:tblCellMar>
          <w:tblLook w:val="04A0"/>
        </w:tblPrEx>
        <w:trPr>
          <w:trHeight w:val="258"/>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Oceňovacie rozdiely</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-213</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-567</w:t>
            </w:r>
          </w:p>
        </w:tc>
        <w:tc>
          <w:tcPr>
            <w:tcW w:w="82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213</w:t>
            </w: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397"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-567</w:t>
            </w:r>
          </w:p>
        </w:tc>
      </w:tr>
      <w:tr>
        <w:tblPrEx>
          <w:tblW w:w="9156" w:type="dxa"/>
          <w:tblCellMar>
            <w:left w:w="70" w:type="dxa"/>
            <w:right w:w="70" w:type="dxa"/>
          </w:tblCellMar>
          <w:tblLook w:val="04A0"/>
        </w:tblPrEx>
        <w:trPr>
          <w:trHeight w:val="258"/>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-37 153</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2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97"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-37 153</w:t>
            </w:r>
          </w:p>
        </w:tc>
      </w:tr>
      <w:tr>
        <w:tblPrEx>
          <w:tblW w:w="9156" w:type="dxa"/>
          <w:tblCellMar>
            <w:left w:w="70" w:type="dxa"/>
            <w:right w:w="70" w:type="dxa"/>
          </w:tblCellMar>
          <w:tblLook w:val="04A0"/>
        </w:tblPrEx>
        <w:trPr>
          <w:trHeight w:val="258"/>
        </w:trPr>
        <w:tc>
          <w:tcPr>
            <w:tcW w:w="3544"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55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-6 724</w:t>
            </w:r>
          </w:p>
        </w:tc>
        <w:tc>
          <w:tcPr>
            <w:tcW w:w="82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84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97"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-6 724</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i/>
          <w:color w:val="FF0000"/>
          <w:sz w:val="16"/>
          <w:szCs w:val="16"/>
        </w:rPr>
        <w:tab/>
      </w:r>
      <w:r w:rsidRPr="00473A17">
        <w:rPr>
          <w:rFonts w:ascii="Times New Roman" w:hAnsi="Times New Roman" w:cs="Times New Roman"/>
          <w:color w:val="FF0000"/>
          <w:sz w:val="16"/>
          <w:szCs w:val="16"/>
        </w:rPr>
        <w:tab/>
        <w:tab/>
      </w:r>
      <w:r w:rsidRPr="00473A17">
        <w:rPr>
          <w:rFonts w:ascii="Times New Roman" w:hAnsi="Times New Roman" w:cs="Times New Roman"/>
          <w:sz w:val="16"/>
          <w:szCs w:val="16"/>
        </w:rPr>
        <w:tab/>
        <w:tab/>
        <w:tab/>
        <w:tab/>
        <w:tab/>
        <w:tab/>
      </w: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 xml:space="preserve">Letiska </w:t>
      </w:r>
      <w:r w:rsidRPr="00473A17">
        <w:rPr>
          <w:rFonts w:ascii="Times New Roman" w:hAnsi="Times New Roman" w:cs="Times New Roman"/>
          <w:szCs w:val="24"/>
        </w:rPr>
        <w:t xml:space="preserve">sa v roku 2014 znížilo o 7 078 tis. eur najmä vplyvom dosiahnutej straty vo výške 6 724 tis. eur a negatívnym výsledným vplyvom oceňovacích rozdielov vo výške 354 tis. eur.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Dosiahnutá strata sa medziročne zmiernila o 6,7 %, najmä vplyvom rastu výnosov o 8,1 % a úsporou nákladov o 5,9 %. Výnosy z hospodárskej činnosti sa zvýšili hlavne vplyvom vyšších výnosov s prijatých dotácií na zabezpečenie bezpečnostnej ochrany letísk o 81,3 % čerpaných v súlade s reguláciou letiskového sektora zo strany Európskej komisie, ktorá obmedzuje investičnú a prevádzkovú podporu letísk v štátnom vlastníctve iba na oblasti bezpečnostnej ochrany letiska a hasičskej záchrannej služby. Úspora nákladov bola najvyššia v p</w:t>
      </w:r>
      <w:r w:rsidR="00546D72">
        <w:rPr>
          <w:rFonts w:ascii="Times New Roman" w:hAnsi="Times New Roman" w:cs="Times New Roman"/>
          <w:szCs w:val="24"/>
        </w:rPr>
        <w:t>oložke osobných nákladov (o 11,3 </w:t>
      </w:r>
      <w:r w:rsidRPr="00473A17">
        <w:rPr>
          <w:rFonts w:ascii="Times New Roman" w:hAnsi="Times New Roman" w:cs="Times New Roman"/>
          <w:szCs w:val="24"/>
        </w:rPr>
        <w:t>%</w:t>
      </w:r>
      <w:r w:rsidR="00546D72">
        <w:rPr>
          <w:rFonts w:ascii="Times New Roman" w:hAnsi="Times New Roman" w:cs="Times New Roman"/>
          <w:szCs w:val="24"/>
        </w:rPr>
        <w:t>)</w:t>
      </w:r>
      <w:r w:rsidRPr="00473A17">
        <w:rPr>
          <w:rFonts w:ascii="Times New Roman" w:hAnsi="Times New Roman" w:cs="Times New Roman"/>
          <w:szCs w:val="24"/>
        </w:rPr>
        <w:t>, je výsledkom optimalizácie procesov, zníženia počtu zamestnancov a uzavretia novej kolektívnej zmluvy, ktorá odzrkadľuje pretrvávajúcu nepriaznivú finančnú situáciu. Pozitívny vplyv výsledku z hospodárskej činnosti bol eliminovaný negatívnym vplyvom dane z príjmov (absencia pozitívneho vplyvu odloženej dane zúčtovaného v roku 2013).</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Negatívny vplyv oceňovacích rozdielov vo vlastnom imaní zahŕňa precenenie zabezpečovacích derivátov na reálnu hodnotu.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b/>
          <w:szCs w:val="24"/>
        </w:rPr>
        <w:t>Bratislavská teplárenská, a.s.</w:t>
      </w:r>
      <w:r w:rsidRPr="00473A17">
        <w:rPr>
          <w:rFonts w:ascii="Times New Roman" w:hAnsi="Times New Roman" w:cs="Times New Roman"/>
          <w:szCs w:val="24"/>
        </w:rPr>
        <w:t xml:space="preserve"> (ďalej „BaT“) so sídlom Bajkalská 21/a, Bratislava, vznikla 1. novembra 2001 ako jedna z troch nástupníckych spoločností, ktoré vznikli rozčlenením štátneho podniku Západoslovenské energetické závody Bratislava.</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Jediným vlastníkom BaT bol k 31. 12. 2014 štát, pričom práva štátu ako akcionára vy</w:t>
      </w:r>
      <w:r w:rsidR="00956D9E">
        <w:rPr>
          <w:rFonts w:ascii="Times New Roman" w:hAnsi="Times New Roman" w:cs="Times New Roman"/>
          <w:szCs w:val="24"/>
        </w:rPr>
        <w:t xml:space="preserve">konával Fond národného majetku </w:t>
      </w:r>
      <w:r w:rsidRPr="00473A17">
        <w:rPr>
          <w:rFonts w:ascii="Times New Roman" w:hAnsi="Times New Roman" w:cs="Times New Roman"/>
          <w:szCs w:val="24"/>
        </w:rPr>
        <w:t>SR. Informácie prezentované nižšie sú čerpané z výročnej správy, z individuálnej účtovnej závierky spoločnosti zostavenej za obdobie od 1. januára do 31. decembra 2014 vypracovanej podľa § 17 ods. 6 zákona č. 431/2002 Z. z. o účtovníctve, v znení neskorších predpisov. BaT</w:t>
      </w:r>
      <w:r w:rsidRPr="00473A17">
        <w:rPr>
          <w:rFonts w:ascii="Times New Roman" w:hAnsi="Times New Roman" w:cs="Times New Roman"/>
          <w:color w:val="FF0000"/>
          <w:szCs w:val="24"/>
        </w:rPr>
        <w:t xml:space="preserve"> </w:t>
      </w:r>
      <w:r w:rsidRPr="00473A17">
        <w:rPr>
          <w:rFonts w:ascii="Times New Roman" w:hAnsi="Times New Roman" w:cs="Times New Roman"/>
          <w:szCs w:val="24"/>
        </w:rPr>
        <w:t>nevlastní majetkové podiely v iných spoločnostiach, preto jej nevzniká povinnosť zostavovať konsolidovanú účtovnú závierku.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Stav zamestnancov BaT k 31. decembru 2014 bol 341.</w:t>
      </w:r>
    </w:p>
    <w:tbl>
      <w:tblPr>
        <w:tblStyle w:val="TableNormal"/>
        <w:tblW w:w="9020" w:type="dxa"/>
        <w:tblCellMar>
          <w:left w:w="70" w:type="dxa"/>
          <w:right w:w="70" w:type="dxa"/>
        </w:tblCellMar>
        <w:tblLook w:val="04A0"/>
      </w:tblPr>
      <w:tblGrid>
        <w:gridCol w:w="3402"/>
        <w:gridCol w:w="1560"/>
        <w:gridCol w:w="992"/>
        <w:gridCol w:w="850"/>
        <w:gridCol w:w="841"/>
        <w:gridCol w:w="1375"/>
      </w:tblGrid>
      <w:tr>
        <w:tblPrEx>
          <w:tblW w:w="9020" w:type="dxa"/>
          <w:tblCellMar>
            <w:left w:w="70" w:type="dxa"/>
            <w:right w:w="70" w:type="dxa"/>
          </w:tblCellMar>
          <w:tblLook w:val="04A0"/>
        </w:tblPrEx>
        <w:trPr>
          <w:trHeight w:val="267"/>
        </w:trPr>
        <w:tc>
          <w:tcPr>
            <w:tcW w:w="9020"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bookmarkStart w:id="160" w:name="_Toc431985281"/>
            <w:bookmarkStart w:id="161" w:name="_Toc433099063"/>
            <w:bookmarkStart w:id="162" w:name="_Toc433099302"/>
            <w:bookmarkStart w:id="163" w:name="_Toc433099408"/>
            <w:bookmarkStart w:id="164" w:name="_Toc433099590"/>
            <w:r w:rsidRPr="00473A17">
              <w:rPr>
                <w:rStyle w:val="Heading1Char"/>
                <w:rFonts w:hint="default"/>
                <w:b w:val="0"/>
                <w:color w:val="FFFFFF" w:themeColor="bg1" w:themeShade="FF"/>
                <w:sz w:val="20"/>
                <w:szCs w:val="20"/>
              </w:rPr>
              <w:t>Bratislavská</w:t>
            </w:r>
            <w:r w:rsidRPr="00473A17">
              <w:rPr>
                <w:rStyle w:val="Heading1Char"/>
                <w:rFonts w:hint="default"/>
                <w:b w:val="0"/>
                <w:color w:val="FFFFFF" w:themeColor="bg1" w:themeShade="FF"/>
                <w:sz w:val="20"/>
                <w:szCs w:val="20"/>
              </w:rPr>
              <w:t xml:space="preserve"> teplá</w:t>
            </w:r>
            <w:r w:rsidRPr="00473A17">
              <w:rPr>
                <w:rStyle w:val="Heading1Char"/>
                <w:rFonts w:hint="default"/>
                <w:b w:val="0"/>
                <w:color w:val="FFFFFF" w:themeColor="bg1" w:themeShade="FF"/>
                <w:sz w:val="20"/>
                <w:szCs w:val="20"/>
              </w:rPr>
              <w:t>renská</w:t>
            </w:r>
            <w:r w:rsidRPr="00473A17">
              <w:rPr>
                <w:rStyle w:val="Heading1Char"/>
                <w:rFonts w:hint="default"/>
                <w:b w:val="0"/>
                <w:color w:val="FFFFFF" w:themeColor="bg1" w:themeShade="FF"/>
                <w:sz w:val="20"/>
                <w:szCs w:val="20"/>
              </w:rPr>
              <w:t>, a.s</w:t>
            </w:r>
            <w:bookmarkEnd w:id="160"/>
            <w:bookmarkEnd w:id="161"/>
            <w:bookmarkEnd w:id="162"/>
            <w:bookmarkEnd w:id="163"/>
            <w:bookmarkEnd w:id="164"/>
            <w:r w:rsidRPr="00473A17">
              <w:rPr>
                <w:rFonts w:ascii="Times New Roman" w:hAnsi="Times New Roman" w:cs="Times New Roman"/>
                <w:b/>
                <w:bCs/>
                <w:color w:val="FFFFFF"/>
                <w:sz w:val="20"/>
                <w:szCs w:val="20"/>
                <w:lang w:eastAsia="sk-SK"/>
              </w:rPr>
              <w:t>. - zmena VI 2013/2014 (v tis. eur)</w:t>
            </w:r>
          </w:p>
        </w:tc>
      </w:tr>
      <w:tr>
        <w:tblPrEx>
          <w:tblW w:w="9020" w:type="dxa"/>
          <w:tblCellMar>
            <w:left w:w="70" w:type="dxa"/>
            <w:right w:w="70" w:type="dxa"/>
          </w:tblCellMar>
          <w:tblLook w:val="04A0"/>
        </w:tblPrEx>
        <w:trPr>
          <w:trHeight w:val="534"/>
        </w:trPr>
        <w:tc>
          <w:tcPr>
            <w:tcW w:w="3402"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56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841"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75"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020" w:type="dxa"/>
          <w:tblCellMar>
            <w:left w:w="70" w:type="dxa"/>
            <w:right w:w="70" w:type="dxa"/>
          </w:tblCellMar>
          <w:tblLook w:val="04A0"/>
        </w:tblPrEx>
        <w:trPr>
          <w:trHeight w:val="267"/>
        </w:trPr>
        <w:tc>
          <w:tcPr>
            <w:tcW w:w="3402"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23 153</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175</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84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7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23 328</w:t>
            </w:r>
          </w:p>
        </w:tc>
      </w:tr>
      <w:tr>
        <w:tblPrEx>
          <w:tblW w:w="9020" w:type="dxa"/>
          <w:tblCellMar>
            <w:left w:w="70" w:type="dxa"/>
            <w:right w:w="70" w:type="dxa"/>
          </w:tblCellMar>
          <w:tblLook w:val="04A0"/>
        </w:tblPrEx>
        <w:trPr>
          <w:trHeight w:val="26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34 471</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1"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7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34 471</w:t>
            </w:r>
          </w:p>
        </w:tc>
      </w:tr>
      <w:tr>
        <w:tblPrEx>
          <w:tblW w:w="9020" w:type="dxa"/>
          <w:tblCellMar>
            <w:left w:w="70" w:type="dxa"/>
            <w:right w:w="70" w:type="dxa"/>
          </w:tblCellMar>
          <w:tblLook w:val="04A0"/>
        </w:tblPrEx>
        <w:trPr>
          <w:trHeight w:val="26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7 679</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1"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7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7 679</w:t>
            </w:r>
          </w:p>
        </w:tc>
      </w:tr>
      <w:tr>
        <w:tblPrEx>
          <w:tblW w:w="9020" w:type="dxa"/>
          <w:tblCellMar>
            <w:left w:w="70" w:type="dxa"/>
            <w:right w:w="70" w:type="dxa"/>
          </w:tblCellMar>
          <w:tblLook w:val="04A0"/>
        </w:tblPrEx>
        <w:trPr>
          <w:trHeight w:val="26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Kapitálové fondy</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2 827</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1"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7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2 827</w:t>
            </w:r>
          </w:p>
        </w:tc>
      </w:tr>
      <w:tr>
        <w:tblPrEx>
          <w:tblW w:w="9020" w:type="dxa"/>
          <w:tblCellMar>
            <w:left w:w="70" w:type="dxa"/>
            <w:right w:w="70" w:type="dxa"/>
          </w:tblCellMar>
          <w:tblLook w:val="04A0"/>
        </w:tblPrEx>
        <w:trPr>
          <w:trHeight w:val="26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Fondy zo zisku</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1 138</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1"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7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1 138</w:t>
            </w:r>
          </w:p>
        </w:tc>
      </w:tr>
      <w:tr>
        <w:tblPrEx>
          <w:tblW w:w="9020" w:type="dxa"/>
          <w:tblCellMar>
            <w:left w:w="70" w:type="dxa"/>
            <w:right w:w="70" w:type="dxa"/>
          </w:tblCellMar>
          <w:tblLook w:val="04A0"/>
        </w:tblPrEx>
        <w:trPr>
          <w:trHeight w:val="26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-22 962</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1"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7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-22 962</w:t>
            </w:r>
          </w:p>
        </w:tc>
      </w:tr>
      <w:tr>
        <w:tblPrEx>
          <w:tblW w:w="9020" w:type="dxa"/>
          <w:tblCellMar>
            <w:left w:w="70" w:type="dxa"/>
            <w:right w:w="70" w:type="dxa"/>
          </w:tblCellMar>
          <w:tblLook w:val="04A0"/>
        </w:tblPrEx>
        <w:trPr>
          <w:trHeight w:val="267"/>
        </w:trPr>
        <w:tc>
          <w:tcPr>
            <w:tcW w:w="3402"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56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175</w:t>
            </w:r>
          </w:p>
        </w:tc>
        <w:tc>
          <w:tcPr>
            <w:tcW w:w="85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841"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75"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175</w:t>
            </w:r>
          </w:p>
        </w:tc>
      </w:tr>
    </w:tbl>
    <w:p w:rsidR="00CE1C18" w:rsidRPr="00473A17" w:rsidP="00CE1C18">
      <w:pPr>
        <w:bidi w:val="0"/>
        <w:jc w:val="right"/>
        <w:rPr>
          <w:rFonts w:ascii="Times New Roman" w:hAnsi="Times New Roman" w:cs="Times New Roman"/>
          <w:szCs w:val="24"/>
        </w:rPr>
      </w:pP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 xml:space="preserve">BaT </w:t>
      </w:r>
      <w:r w:rsidRPr="00473A17">
        <w:rPr>
          <w:rFonts w:ascii="Times New Roman" w:hAnsi="Times New Roman" w:cs="Times New Roman"/>
          <w:szCs w:val="24"/>
        </w:rPr>
        <w:t xml:space="preserve">sa v roku 2014 zvýšilo o 175 tis. eur vplyvom dosiahnutého zisku bežného obdobia. </w:t>
      </w:r>
    </w:p>
    <w:p w:rsidR="00CE1C18"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Zisk bežného obdobia sa medziročne zvýšil o 23 735 tis. eur (v roku 2013 strata vo výške 23 560 tis. eur) najmä vplyvom poklesu ostatných nákladov na hospodársku činnosť. Úspora nákladov bola spôsobená absenciou vysokej tvorby rezerv na súdne spory, ktorá bola zúčtovaná v roku 2013 vzhľadom na súdne spory s PAROPLYN HOLDINGS LIMITED (v roku 2014 sa rezerva navýšila iba o alikvotnú časť príslušenstva). </w:t>
      </w:r>
      <w:r w:rsidRPr="00473A17" w:rsidR="00A924C8">
        <w:rPr>
          <w:rFonts w:ascii="Times New Roman" w:hAnsi="Times New Roman" w:cs="Times New Roman"/>
          <w:szCs w:val="24"/>
        </w:rPr>
        <w:t>V súvislosti s týmito súdnymi spormi funguje spoločnosť v krízovom režime a napriek pozastaveniu exekučných konaní, má spoločnosť obmedzené dispozičné práva k peňažnými prostriedkom, čo prispelo k predĺženiu doby úhrady záväzkov.</w:t>
      </w:r>
    </w:p>
    <w:p w:rsidR="00A924C8" w:rsidRPr="00A924C8" w:rsidP="00546D72">
      <w:pPr>
        <w:bidi w:val="0"/>
        <w:spacing w:after="120" w:line="336" w:lineRule="auto"/>
        <w:jc w:val="both"/>
        <w:rPr>
          <w:rFonts w:ascii="Times New Roman" w:hAnsi="Times New Roman" w:cs="Times New Roman"/>
          <w:szCs w:val="24"/>
        </w:rPr>
      </w:pPr>
      <w:r w:rsidRPr="00A924C8">
        <w:rPr>
          <w:rFonts w:ascii="Times New Roman" w:hAnsi="Times New Roman" w:cs="Times New Roman"/>
        </w:rPr>
        <w:t>Dňa 23. októbra 2015 BaT zverejnila v súvislosti so súdnymi spormi s PAROPLYN HOLDINGS LIMITED informáciu o zamietnutí mimoriadneho dovolania Najvyšším súdom SR, čím vzniká BaT povinnosť uhradiť približne 28 700 tis. eur. Na základe týchto udalostí sa predpokladá čerpanie rezervy vytvorenej pre tento účel v minulých účtovných obdobiach.</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Pozitívny vplyv bol zaznamenaný aj v úspore nákladov na materiál a energiu, ktorý bol čiastočne eliminovaný poklesom tržieb za dodávku tepla spôsobený okrem racionalizačných opatrení, najmä klimatickými podmienkami počas vykurovacieho obdobia (rok 2014 patril podľa meraní k rokom s najvyššou priemernou ročnou teplotou vzduchu).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Negatívny vplyv na zisk mala aj daň z príjmov z dôvodu absencie pozitívneho dopadu odloženej dane zúčtovanej v roku 2013.</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b/>
          <w:szCs w:val="24"/>
        </w:rPr>
        <w:t>Hydromeliorácie, š.p.</w:t>
      </w:r>
      <w:r w:rsidRPr="00473A17">
        <w:rPr>
          <w:rFonts w:ascii="Times New Roman" w:hAnsi="Times New Roman" w:cs="Times New Roman"/>
          <w:szCs w:val="24"/>
        </w:rPr>
        <w:t xml:space="preserve"> (ďalej „HM“) so sídlom Vrakunská 29, Bratislava boli založené Ministerstvom pôdohospodárstva a rozvoja vidieka SR v roku 2003 za účelom zaistenia verejnoprospešných záujmov a činností v oblasti správy a prevádzky hydromelioračných zariadení. HM vzniklo 1. júla 2003 vyčlenením zo Slovenského vodohospodárskeho podniku, š.p., Banská Štiavnica.</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Jediným vlastníkom HM bol k 31. 12. 2014 štát, pričom práva štátu ako akcionára vykonávalo Ministerstvo pôdohospodárstva a rozvoja vidieka SR. Informácie prezentované nižšie sú čerpané z výročnej správy, z individuálnej účtovnej závierky spoločnosti zostavenej za obdobie od 1. januára do 31. decembra 2014 vypracovanej podľa § 17 ods. 6 zákona č. 431/2002 Z. z. o účtovníctve, v znení neskorších predpisov. HM nevlastnia majetkové podiely v iných spoločnostiach, preto im nevzniká povinnosť zostavovať konsolidovanú účtovnú závierku.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Priemerný prepočítaný počet zamestnancov HM k 31. decembru 2014 bol 54.</w:t>
      </w:r>
    </w:p>
    <w:tbl>
      <w:tblPr>
        <w:tblStyle w:val="TableNormal"/>
        <w:tblW w:w="9156" w:type="dxa"/>
        <w:tblCellMar>
          <w:left w:w="70" w:type="dxa"/>
          <w:right w:w="70" w:type="dxa"/>
        </w:tblCellMar>
        <w:tblLook w:val="04A0"/>
      </w:tblPr>
      <w:tblGrid>
        <w:gridCol w:w="3544"/>
        <w:gridCol w:w="1559"/>
        <w:gridCol w:w="993"/>
        <w:gridCol w:w="823"/>
        <w:gridCol w:w="840"/>
        <w:gridCol w:w="1397"/>
      </w:tblGrid>
      <w:tr>
        <w:tblPrEx>
          <w:tblW w:w="9156" w:type="dxa"/>
          <w:tblCellMar>
            <w:left w:w="70" w:type="dxa"/>
            <w:right w:w="70" w:type="dxa"/>
          </w:tblCellMar>
          <w:tblLook w:val="04A0"/>
        </w:tblPrEx>
        <w:trPr>
          <w:trHeight w:val="260"/>
        </w:trPr>
        <w:tc>
          <w:tcPr>
            <w:tcW w:w="9156"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bookmarkStart w:id="165" w:name="_Toc431985282"/>
            <w:bookmarkStart w:id="166" w:name="_Toc433099064"/>
            <w:bookmarkStart w:id="167" w:name="_Toc433099303"/>
            <w:bookmarkStart w:id="168" w:name="_Toc433099409"/>
            <w:bookmarkStart w:id="169" w:name="_Toc433099591"/>
            <w:r w:rsidRPr="00473A17">
              <w:rPr>
                <w:rStyle w:val="Heading1Char"/>
                <w:rFonts w:hint="default"/>
                <w:b w:val="0"/>
                <w:color w:val="FFFFFF" w:themeColor="bg1" w:themeShade="FF"/>
                <w:sz w:val="20"/>
                <w:szCs w:val="20"/>
              </w:rPr>
              <w:t>Hydromeliorá</w:t>
            </w:r>
            <w:r w:rsidRPr="00473A17">
              <w:rPr>
                <w:rStyle w:val="Heading1Char"/>
                <w:rFonts w:hint="default"/>
                <w:b w:val="0"/>
                <w:color w:val="FFFFFF" w:themeColor="bg1" w:themeShade="FF"/>
                <w:sz w:val="20"/>
                <w:szCs w:val="20"/>
              </w:rPr>
              <w:t>cie, š</w:t>
            </w:r>
            <w:r w:rsidRPr="00473A17">
              <w:rPr>
                <w:rStyle w:val="Heading1Char"/>
                <w:rFonts w:hint="default"/>
                <w:b w:val="0"/>
                <w:color w:val="FFFFFF" w:themeColor="bg1" w:themeShade="FF"/>
                <w:sz w:val="20"/>
                <w:szCs w:val="20"/>
              </w:rPr>
              <w:t>.p.</w:t>
            </w:r>
            <w:bookmarkEnd w:id="165"/>
            <w:bookmarkEnd w:id="166"/>
            <w:bookmarkEnd w:id="167"/>
            <w:bookmarkEnd w:id="168"/>
            <w:bookmarkEnd w:id="169"/>
            <w:r w:rsidRPr="00473A17">
              <w:rPr>
                <w:rFonts w:ascii="Times New Roman" w:hAnsi="Times New Roman" w:cs="Times New Roman"/>
                <w:b/>
                <w:bCs/>
                <w:color w:val="FFFFFF"/>
                <w:sz w:val="20"/>
                <w:szCs w:val="20"/>
                <w:lang w:eastAsia="sk-SK"/>
              </w:rPr>
              <w:t xml:space="preserve"> - zmena VI 2013/2014 (v tis. eur)</w:t>
            </w:r>
          </w:p>
        </w:tc>
      </w:tr>
      <w:tr>
        <w:tblPrEx>
          <w:tblW w:w="9156" w:type="dxa"/>
          <w:tblCellMar>
            <w:left w:w="70" w:type="dxa"/>
            <w:right w:w="70" w:type="dxa"/>
          </w:tblCellMar>
          <w:tblLook w:val="04A0"/>
        </w:tblPrEx>
        <w:trPr>
          <w:trHeight w:val="521"/>
        </w:trPr>
        <w:tc>
          <w:tcPr>
            <w:tcW w:w="3544"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55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2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84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97"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156" w:type="dxa"/>
          <w:tblCellMar>
            <w:left w:w="70" w:type="dxa"/>
            <w:right w:w="70" w:type="dxa"/>
          </w:tblCellMar>
          <w:tblLook w:val="04A0"/>
        </w:tblPrEx>
        <w:trPr>
          <w:trHeight w:val="260"/>
        </w:trPr>
        <w:tc>
          <w:tcPr>
            <w:tcW w:w="3544"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62 354</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-6 242</w:t>
            </w:r>
          </w:p>
        </w:tc>
        <w:tc>
          <w:tcPr>
            <w:tcW w:w="82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97"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56 112</w:t>
            </w:r>
          </w:p>
        </w:tc>
      </w:tr>
      <w:tr>
        <w:tblPrEx>
          <w:tblW w:w="9156" w:type="dxa"/>
          <w:tblCellMar>
            <w:left w:w="70" w:type="dxa"/>
            <w:right w:w="70" w:type="dxa"/>
          </w:tblCellMar>
          <w:tblLook w:val="04A0"/>
        </w:tblPrEx>
        <w:trPr>
          <w:trHeight w:val="260"/>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69 384</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2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-7 026</w:t>
            </w:r>
          </w:p>
        </w:tc>
        <w:tc>
          <w:tcPr>
            <w:tcW w:w="1397"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62 358</w:t>
            </w:r>
          </w:p>
        </w:tc>
      </w:tr>
      <w:tr>
        <w:tblPrEx>
          <w:tblW w:w="9156" w:type="dxa"/>
          <w:tblCellMar>
            <w:left w:w="70" w:type="dxa"/>
            <w:right w:w="70" w:type="dxa"/>
          </w:tblCellMar>
          <w:tblLook w:val="04A0"/>
        </w:tblPrEx>
        <w:trPr>
          <w:trHeight w:val="260"/>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-7 030</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2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7 026</w:t>
            </w:r>
          </w:p>
        </w:tc>
        <w:tc>
          <w:tcPr>
            <w:tcW w:w="1397"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w:t>
            </w:r>
          </w:p>
        </w:tc>
      </w:tr>
      <w:tr>
        <w:tblPrEx>
          <w:tblW w:w="9156" w:type="dxa"/>
          <w:tblCellMar>
            <w:left w:w="70" w:type="dxa"/>
            <w:right w:w="70" w:type="dxa"/>
          </w:tblCellMar>
          <w:tblLook w:val="04A0"/>
        </w:tblPrEx>
        <w:trPr>
          <w:trHeight w:val="260"/>
        </w:trPr>
        <w:tc>
          <w:tcPr>
            <w:tcW w:w="3544"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55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-6 242</w:t>
            </w:r>
          </w:p>
        </w:tc>
        <w:tc>
          <w:tcPr>
            <w:tcW w:w="82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84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97"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-6 242</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color w:val="FF0000"/>
          <w:sz w:val="16"/>
          <w:szCs w:val="16"/>
        </w:rPr>
        <w:t xml:space="preserve"> </w:t>
      </w: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b/>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 xml:space="preserve">HM </w:t>
      </w:r>
      <w:r w:rsidRPr="00473A17">
        <w:rPr>
          <w:rFonts w:ascii="Times New Roman" w:hAnsi="Times New Roman" w:cs="Times New Roman"/>
          <w:szCs w:val="24"/>
        </w:rPr>
        <w:t xml:space="preserve">sa v roku 2014 znížilo o 6 242 tis. eur vplyvom dosiahnutej straty za bežné obdobie.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Dosiahnutá strata sa medziročne zmiernila o 11,2 % najmä vplyvom vyšších výnosov z hospodárskej činnosti o 36,4 % a úsporou nákladov o 1,4 %. Rast výnosov bol dosiahnutý hlavne vplyvom vyšších tržieb z predaja nadbytočného a nepotrebného majetku. Ďalšou významnou výnosovou položkou s vykázaným rastom boli prijaté dotácie na správu hydromelioračného majetku a zachovanie prevádzkyschopného stavu.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Úspora nákladov bolo najvyššia na odpisoch (vplyvom predaja nepotrebného a nadbytočného majetku) a na osobných nákladoch (vplyv pohybu zamestnancov).</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b/>
          <w:szCs w:val="24"/>
        </w:rPr>
        <w:t>Letecké opravovne Trenčín, a.s.</w:t>
      </w:r>
      <w:r w:rsidRPr="00473A17">
        <w:rPr>
          <w:rFonts w:ascii="Times New Roman" w:hAnsi="Times New Roman" w:cs="Times New Roman"/>
          <w:szCs w:val="24"/>
        </w:rPr>
        <w:t xml:space="preserve"> (ďalej „LOT“) so sídlom Legionárska 160, Trenčín, boli z</w:t>
      </w:r>
      <w:r w:rsidR="00546D72">
        <w:rPr>
          <w:rFonts w:ascii="Times New Roman" w:hAnsi="Times New Roman" w:cs="Times New Roman"/>
          <w:szCs w:val="24"/>
        </w:rPr>
        <w:t>aložené 1. </w:t>
      </w:r>
      <w:r w:rsidRPr="00473A17">
        <w:rPr>
          <w:rFonts w:ascii="Times New Roman" w:hAnsi="Times New Roman" w:cs="Times New Roman"/>
          <w:szCs w:val="24"/>
        </w:rPr>
        <w:t>januára 1954 ako letecký opravárenský podnik Opravny Trenčín. V</w:t>
      </w:r>
      <w:r w:rsidR="00956D9E">
        <w:rPr>
          <w:rFonts w:ascii="Times New Roman" w:hAnsi="Times New Roman" w:cs="Times New Roman"/>
          <w:szCs w:val="24"/>
        </w:rPr>
        <w:t> </w:t>
      </w:r>
      <w:r w:rsidRPr="00473A17">
        <w:rPr>
          <w:rFonts w:ascii="Times New Roman" w:hAnsi="Times New Roman" w:cs="Times New Roman"/>
          <w:szCs w:val="24"/>
        </w:rPr>
        <w:t>rokoch</w:t>
      </w:r>
      <w:r w:rsidR="00956D9E">
        <w:rPr>
          <w:rFonts w:ascii="Times New Roman" w:hAnsi="Times New Roman" w:cs="Times New Roman"/>
          <w:szCs w:val="24"/>
        </w:rPr>
        <w:t xml:space="preserve"> </w:t>
      </w:r>
      <w:r w:rsidRPr="00473A17">
        <w:rPr>
          <w:rFonts w:ascii="Times New Roman" w:hAnsi="Times New Roman" w:cs="Times New Roman"/>
          <w:szCs w:val="24"/>
        </w:rPr>
        <w:t>1954-1989 sa podnik rozrastal a rozširoval sortiment svojich služieb, pričom sa postupne transformoval z rozpočtovej organizácie, cez systém podnikového hospodárenia a chozrasčotnú organizáciu až po štátny podnik, ktorý sa 1. februára 2006 transformoval na štátnu akciovú spoločnosť. V júli 2009 sa LOT zlúčili so Slovenským leteckým inštitútom, a.s., Košice.</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szCs w:val="24"/>
        </w:rPr>
        <w:t>Jediným vlastníkom LOT bol k 31. 12. 2014 štát, pričom práva štátu ako akcionára vykonávalo Ministerstvo obrany SR. Informácie prezentované nižšie sú čerpané z výročnej správy, z individuálnej účtovnej závierky spoločnosti zostavenej za obdobie od 1. januára do 31. decembra 2014 vypracovanej podľa § 17 ods. 6 zákona č. 431/2002 Z. z. o účtovníctve, v znení neskorších predpisov a verejne dostupných zdrojov.</w:t>
      </w:r>
      <w:r w:rsidRPr="00473A17">
        <w:rPr>
          <w:rFonts w:ascii="Times New Roman" w:hAnsi="Times New Roman" w:cs="Times New Roman"/>
          <w:color w:val="FF0000"/>
          <w:szCs w:val="24"/>
        </w:rPr>
        <w:t xml:space="preserve"> </w:t>
      </w:r>
      <w:r w:rsidRPr="00473A17">
        <w:rPr>
          <w:rFonts w:ascii="Times New Roman" w:hAnsi="Times New Roman" w:cs="Times New Roman"/>
          <w:szCs w:val="24"/>
        </w:rPr>
        <w:t xml:space="preserve">LOT nevlastnia majetkové podiely v iných spoločnostiach, preto im nevzniká povinnosť zostavovať konsolidovanú účtovnú závierku.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Stav zamestnancov LOT k 31. decembru 2014 bol 337.</w:t>
      </w:r>
    </w:p>
    <w:tbl>
      <w:tblPr>
        <w:tblStyle w:val="TableNormal"/>
        <w:tblW w:w="9088" w:type="dxa"/>
        <w:tblCellMar>
          <w:left w:w="70" w:type="dxa"/>
          <w:right w:w="70" w:type="dxa"/>
        </w:tblCellMar>
        <w:tblLook w:val="04A0"/>
      </w:tblPr>
      <w:tblGrid>
        <w:gridCol w:w="3261"/>
        <w:gridCol w:w="1686"/>
        <w:gridCol w:w="951"/>
        <w:gridCol w:w="774"/>
        <w:gridCol w:w="1030"/>
        <w:gridCol w:w="1386"/>
      </w:tblGrid>
      <w:tr>
        <w:tblPrEx>
          <w:tblW w:w="9088" w:type="dxa"/>
          <w:tblCellMar>
            <w:left w:w="70" w:type="dxa"/>
            <w:right w:w="70" w:type="dxa"/>
          </w:tblCellMar>
          <w:tblLook w:val="04A0"/>
        </w:tblPrEx>
        <w:trPr>
          <w:trHeight w:val="265"/>
        </w:trPr>
        <w:tc>
          <w:tcPr>
            <w:tcW w:w="9088"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bookmarkStart w:id="170" w:name="_Toc431985283"/>
            <w:bookmarkStart w:id="171" w:name="_Toc433099065"/>
            <w:bookmarkStart w:id="172" w:name="_Toc433099304"/>
            <w:bookmarkStart w:id="173" w:name="_Toc433099410"/>
            <w:bookmarkStart w:id="174" w:name="_Toc433099592"/>
            <w:r w:rsidRPr="00473A17">
              <w:rPr>
                <w:rStyle w:val="Heading1Char"/>
                <w:rFonts w:hint="default"/>
                <w:b w:val="0"/>
                <w:color w:val="FFFFFF" w:themeColor="bg1" w:themeShade="FF"/>
                <w:sz w:val="20"/>
                <w:szCs w:val="20"/>
              </w:rPr>
              <w:t>Letecké</w:t>
            </w:r>
            <w:r w:rsidRPr="00473A17">
              <w:rPr>
                <w:rStyle w:val="Heading1Char"/>
                <w:rFonts w:hint="default"/>
                <w:b w:val="0"/>
                <w:color w:val="FFFFFF" w:themeColor="bg1" w:themeShade="FF"/>
                <w:sz w:val="20"/>
                <w:szCs w:val="20"/>
              </w:rPr>
              <w:t xml:space="preserve"> opravovne Trenčí</w:t>
            </w:r>
            <w:r w:rsidRPr="00473A17">
              <w:rPr>
                <w:rStyle w:val="Heading1Char"/>
                <w:rFonts w:hint="default"/>
                <w:b w:val="0"/>
                <w:color w:val="FFFFFF" w:themeColor="bg1" w:themeShade="FF"/>
                <w:sz w:val="20"/>
                <w:szCs w:val="20"/>
              </w:rPr>
              <w:t>n, a.s.</w:t>
            </w:r>
            <w:bookmarkEnd w:id="170"/>
            <w:bookmarkEnd w:id="171"/>
            <w:bookmarkEnd w:id="172"/>
            <w:bookmarkEnd w:id="173"/>
            <w:bookmarkEnd w:id="174"/>
            <w:r w:rsidRPr="00473A17">
              <w:rPr>
                <w:rFonts w:ascii="Times New Roman" w:hAnsi="Times New Roman" w:cs="Times New Roman"/>
                <w:b/>
                <w:bCs/>
                <w:color w:val="FFFFFF"/>
                <w:sz w:val="20"/>
                <w:szCs w:val="20"/>
                <w:lang w:eastAsia="sk-SK"/>
              </w:rPr>
              <w:t xml:space="preserve"> - zmena VI 2013/2014 (v tis. eur)</w:t>
            </w:r>
          </w:p>
        </w:tc>
      </w:tr>
      <w:tr>
        <w:tblPrEx>
          <w:tblW w:w="9088" w:type="dxa"/>
          <w:tblCellMar>
            <w:left w:w="70" w:type="dxa"/>
            <w:right w:w="70" w:type="dxa"/>
          </w:tblCellMar>
          <w:tblLook w:val="04A0"/>
        </w:tblPrEx>
        <w:trPr>
          <w:trHeight w:val="531"/>
        </w:trPr>
        <w:tc>
          <w:tcPr>
            <w:tcW w:w="3261"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686"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51"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774"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103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86"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088" w:type="dxa"/>
          <w:tblCellMar>
            <w:left w:w="70" w:type="dxa"/>
            <w:right w:w="70" w:type="dxa"/>
          </w:tblCellMar>
          <w:tblLook w:val="04A0"/>
        </w:tblPrEx>
        <w:trPr>
          <w:trHeight w:val="265"/>
        </w:trPr>
        <w:tc>
          <w:tcPr>
            <w:tcW w:w="3261"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6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17 831</w:t>
            </w:r>
          </w:p>
        </w:tc>
        <w:tc>
          <w:tcPr>
            <w:tcW w:w="9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14 120</w:t>
            </w: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03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31 951</w:t>
            </w:r>
          </w:p>
        </w:tc>
      </w:tr>
      <w:tr>
        <w:tblPrEx>
          <w:tblW w:w="9088" w:type="dxa"/>
          <w:tblCellMar>
            <w:left w:w="70" w:type="dxa"/>
            <w:right w:w="70" w:type="dxa"/>
          </w:tblCellMar>
          <w:tblLook w:val="04A0"/>
        </w:tblPrEx>
        <w:trPr>
          <w:trHeight w:val="265"/>
        </w:trPr>
        <w:tc>
          <w:tcPr>
            <w:tcW w:w="3261"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6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25 119</w:t>
            </w:r>
          </w:p>
        </w:tc>
        <w:tc>
          <w:tcPr>
            <w:tcW w:w="9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6 218</w:t>
            </w: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03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31 337</w:t>
            </w:r>
          </w:p>
        </w:tc>
      </w:tr>
      <w:tr>
        <w:tblPrEx>
          <w:tblW w:w="9088" w:type="dxa"/>
          <w:tblCellMar>
            <w:left w:w="70" w:type="dxa"/>
            <w:right w:w="70" w:type="dxa"/>
          </w:tblCellMar>
          <w:tblLook w:val="04A0"/>
        </w:tblPrEx>
        <w:trPr>
          <w:trHeight w:val="265"/>
        </w:trPr>
        <w:tc>
          <w:tcPr>
            <w:tcW w:w="3261"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Kapitálové fondy</w:t>
            </w:r>
          </w:p>
        </w:tc>
        <w:tc>
          <w:tcPr>
            <w:tcW w:w="16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0</w:t>
            </w:r>
          </w:p>
        </w:tc>
        <w:tc>
          <w:tcPr>
            <w:tcW w:w="9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124</w:t>
            </w: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03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124</w:t>
            </w:r>
          </w:p>
        </w:tc>
      </w:tr>
      <w:tr>
        <w:tblPrEx>
          <w:tblW w:w="9088" w:type="dxa"/>
          <w:tblCellMar>
            <w:left w:w="70" w:type="dxa"/>
            <w:right w:w="70" w:type="dxa"/>
          </w:tblCellMar>
          <w:tblLook w:val="04A0"/>
        </w:tblPrEx>
        <w:trPr>
          <w:trHeight w:val="265"/>
        </w:trPr>
        <w:tc>
          <w:tcPr>
            <w:tcW w:w="3261"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6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53</w:t>
            </w:r>
          </w:p>
        </w:tc>
        <w:tc>
          <w:tcPr>
            <w:tcW w:w="9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22 617</w:t>
            </w: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03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22 670</w:t>
            </w:r>
          </w:p>
        </w:tc>
      </w:tr>
      <w:tr>
        <w:tblPrEx>
          <w:tblW w:w="9088" w:type="dxa"/>
          <w:tblCellMar>
            <w:left w:w="70" w:type="dxa"/>
            <w:right w:w="70" w:type="dxa"/>
          </w:tblCellMar>
          <w:tblLook w:val="04A0"/>
        </w:tblPrEx>
        <w:trPr>
          <w:trHeight w:val="265"/>
        </w:trPr>
        <w:tc>
          <w:tcPr>
            <w:tcW w:w="3261"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6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-7 341</w:t>
            </w:r>
          </w:p>
        </w:tc>
        <w:tc>
          <w:tcPr>
            <w:tcW w:w="95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-13 502</w:t>
            </w:r>
          </w:p>
        </w:tc>
        <w:tc>
          <w:tcPr>
            <w:tcW w:w="774"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03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6"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-20 843</w:t>
            </w:r>
          </w:p>
        </w:tc>
      </w:tr>
      <w:tr>
        <w:tblPrEx>
          <w:tblW w:w="9088" w:type="dxa"/>
          <w:tblCellMar>
            <w:left w:w="70" w:type="dxa"/>
            <w:right w:w="70" w:type="dxa"/>
          </w:tblCellMar>
          <w:tblLook w:val="04A0"/>
        </w:tblPrEx>
        <w:trPr>
          <w:trHeight w:val="265"/>
        </w:trPr>
        <w:tc>
          <w:tcPr>
            <w:tcW w:w="3261"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686"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51"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-1 337</w:t>
            </w:r>
          </w:p>
        </w:tc>
        <w:tc>
          <w:tcPr>
            <w:tcW w:w="774"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03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86"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-1 337</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sz w:val="16"/>
          <w:szCs w:val="16"/>
        </w:rPr>
        <w:t xml:space="preserve"> </w:t>
      </w: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 xml:space="preserve">LOT </w:t>
      </w:r>
      <w:r w:rsidRPr="00473A17">
        <w:rPr>
          <w:rFonts w:ascii="Times New Roman" w:hAnsi="Times New Roman" w:cs="Times New Roman"/>
          <w:szCs w:val="24"/>
        </w:rPr>
        <w:t xml:space="preserve">sa v roku 2014 zvýšilo o 14 120 tis. eur  vplyvom </w:t>
      </w:r>
      <w:r w:rsidR="00956D9E">
        <w:rPr>
          <w:rFonts w:ascii="Times New Roman" w:hAnsi="Times New Roman" w:cs="Times New Roman"/>
          <w:szCs w:val="24"/>
        </w:rPr>
        <w:t>zlúčenia k 1. 9. 2014 so </w:t>
      </w:r>
      <w:r w:rsidRPr="00473A17">
        <w:rPr>
          <w:rFonts w:ascii="Times New Roman" w:hAnsi="Times New Roman" w:cs="Times New Roman"/>
          <w:szCs w:val="24"/>
        </w:rPr>
        <w:t xml:space="preserve">spoločnosťou Vojenský opravárenský podnik Nováky, a.s. a so spoločnosťou Vojenský opravárenský podnik Trenčín, a.s. Obe spoločnosti zanikli bez likvidácie a nástupníckou spoločnosťou sa stali Letecké opravovne Trenčín, a.s. Zlúčenie spoločností sa prejavilo rastom vlastného imania o 9 239 tis. eur, majetku aj záväzkov. Výsledkový vplyv sa prejavil najmä vo výnosoch za prenájom a v odpisoch.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Základné imanie vzrástlo v dôsledku peňažného vkladu o 6 000 tis. eur a vplyvom nepeňažného vkladu 218 tis. eur (vklad pozemkov). Zlúčenie spoločností malo za následok zvýšenie zákonného rezervného fondu o 22 617 eur, ostatných kapitálových fondov o 124 tis. eur a prehĺbenie straty z minulých rokov o 14 839 tis. eur.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Pozitívny vplyv zlúčenia podnikov na stav vlastného imania čiastočne zmiernila dosiahnutá strata za bežné obdobie vo výške 1 337 tis. eur, ktorá sa medziročne zmiernila o 67,9 %, najmä vplyvom vyšších tržieb za služby poskytnuté Ministerstvu obrany SR (viac ako 2,0 násobne) a rastom tržieb za služby poskytnuté zahraničným subjektom (viac ako 1,9 násobne). Celková výška výnosov bola nižšia ako očakávaná výška vplyvom posunu realizácie zákaziek pre Ministerstvo obrany SR, aj pre zahraničného zákazníka z USA do roku 2015. Pozitívny vývoj tržieb eliminoval rast nákladov prevažne súvisiacich s poskytnutými službami (materiál na opravy, služby vzťahujúce sa k zákazkám).</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b/>
          <w:szCs w:val="24"/>
        </w:rPr>
        <w:t xml:space="preserve">Vodohospodárska výstavba, š.p. </w:t>
      </w:r>
      <w:r w:rsidRPr="00473A17">
        <w:rPr>
          <w:rFonts w:ascii="Times New Roman" w:hAnsi="Times New Roman" w:cs="Times New Roman"/>
          <w:szCs w:val="24"/>
        </w:rPr>
        <w:t>(ďalej „VVB“) so sídlom Karloveská 2, Bratislava, bola založená v roku 1953 ako Vodohospodárske a rozvojové stredisko za účelom prípravy a výstavby nosných investícií v oblasti vodného hospodárstva. V roku 1978 začala výstavba vodného diela Gabčíkovo – Nagymaros, pričom v roku 1989 boli pozastavené práce z maďarskej strany. Napriek tomu v roku 1991 slovenská vláda rozhodla o pokračovaní v dostavbe diela na slovenskej strane, ktoré bolo v roku 1992 uvedené do prevádzky. V roku 2006 bola zrealizovaná privatizácia SE s tým, že Vodná elektráreň Gabčíkovo bola vyčlenená z majetku SE a včlenená do majetku VVB, zároveň bola uzavretá Zmluva o prevádzke Vodnej elektrárne Gabčíkovo medzi VVB a SE.</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Jediným vlastníkom VVB bol k 31. 12. 2014 štát, pričom práva štátu ako akcionára vykonávalo Ministerstvo životného prostredia SR. Informácie prezentované nižšie sú čerpané z výročnej správy, z individuálnej účtovnej závierky spoločnosti zostavenej za obdobie od 1. januára do 31. decembra 2014 vypracovanej podľa § 17 ods. 6 zákona č. 431/2002 Z. z. o účtovníctve, v znení neskorších predpisov a verejne dostupných zdrojov. VVB vlastní majetkové podiely v spoločnosti SAT Systém automatizačnej techniky, s.r.o., so sídlom na území SR (40 % vlastník) a v Slovenskej kreditnej banke, a.s., ktorá je momentálne v konkurze (15 % vlastník), no nevzniká jej povinnosť zostavovať konsolidovanú účtovnú závierku.</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Stav zamestnancov VVB k 31. decembru 2014 bol 229.</w:t>
      </w:r>
    </w:p>
    <w:tbl>
      <w:tblPr>
        <w:tblStyle w:val="TableNormal"/>
        <w:tblW w:w="9238" w:type="dxa"/>
        <w:tblCellMar>
          <w:left w:w="70" w:type="dxa"/>
          <w:right w:w="70" w:type="dxa"/>
        </w:tblCellMar>
        <w:tblLook w:val="04A0"/>
      </w:tblPr>
      <w:tblGrid>
        <w:gridCol w:w="3402"/>
        <w:gridCol w:w="1701"/>
        <w:gridCol w:w="993"/>
        <w:gridCol w:w="850"/>
        <w:gridCol w:w="882"/>
        <w:gridCol w:w="1410"/>
      </w:tblGrid>
      <w:tr>
        <w:tblPrEx>
          <w:tblW w:w="9238" w:type="dxa"/>
          <w:tblCellMar>
            <w:left w:w="70" w:type="dxa"/>
            <w:right w:w="70" w:type="dxa"/>
          </w:tblCellMar>
          <w:tblLook w:val="04A0"/>
        </w:tblPrEx>
        <w:trPr>
          <w:trHeight w:val="257"/>
        </w:trPr>
        <w:tc>
          <w:tcPr>
            <w:tcW w:w="9238"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bookmarkStart w:id="175" w:name="_Toc431985284"/>
            <w:bookmarkStart w:id="176" w:name="_Toc433099066"/>
            <w:bookmarkStart w:id="177" w:name="_Toc433099305"/>
            <w:bookmarkStart w:id="178" w:name="_Toc433099411"/>
            <w:bookmarkStart w:id="179" w:name="_Toc433099593"/>
            <w:r w:rsidRPr="00473A17">
              <w:rPr>
                <w:rStyle w:val="Heading1Char"/>
                <w:rFonts w:hint="default"/>
                <w:b w:val="0"/>
                <w:color w:val="FFFFFF" w:themeColor="bg1" w:themeShade="FF"/>
                <w:sz w:val="20"/>
                <w:szCs w:val="20"/>
              </w:rPr>
              <w:t>Vodohospodá</w:t>
            </w:r>
            <w:r w:rsidRPr="00473A17">
              <w:rPr>
                <w:rStyle w:val="Heading1Char"/>
                <w:rFonts w:hint="default"/>
                <w:b w:val="0"/>
                <w:color w:val="FFFFFF" w:themeColor="bg1" w:themeShade="FF"/>
                <w:sz w:val="20"/>
                <w:szCs w:val="20"/>
              </w:rPr>
              <w:t>rska vý</w:t>
            </w:r>
            <w:r w:rsidRPr="00473A17">
              <w:rPr>
                <w:rStyle w:val="Heading1Char"/>
                <w:rFonts w:hint="default"/>
                <w:b w:val="0"/>
                <w:color w:val="FFFFFF" w:themeColor="bg1" w:themeShade="FF"/>
                <w:sz w:val="20"/>
                <w:szCs w:val="20"/>
              </w:rPr>
              <w:t>stavba, š</w:t>
            </w:r>
            <w:r w:rsidRPr="00473A17">
              <w:rPr>
                <w:rStyle w:val="Heading1Char"/>
                <w:rFonts w:hint="default"/>
                <w:b w:val="0"/>
                <w:color w:val="FFFFFF" w:themeColor="bg1" w:themeShade="FF"/>
                <w:sz w:val="20"/>
                <w:szCs w:val="20"/>
              </w:rPr>
              <w:t>.p.</w:t>
            </w:r>
            <w:bookmarkEnd w:id="175"/>
            <w:bookmarkEnd w:id="176"/>
            <w:bookmarkEnd w:id="177"/>
            <w:bookmarkEnd w:id="178"/>
            <w:bookmarkEnd w:id="179"/>
            <w:r w:rsidRPr="00473A17">
              <w:rPr>
                <w:rFonts w:ascii="Times New Roman" w:hAnsi="Times New Roman" w:cs="Times New Roman"/>
                <w:b/>
                <w:bCs/>
                <w:color w:val="FFFFFF"/>
                <w:sz w:val="20"/>
                <w:szCs w:val="20"/>
                <w:lang w:eastAsia="sk-SK"/>
              </w:rPr>
              <w:t xml:space="preserve"> - zmena VI 2013/2014 (v tis. eur)</w:t>
            </w:r>
          </w:p>
        </w:tc>
      </w:tr>
      <w:tr>
        <w:tblPrEx>
          <w:tblW w:w="9238" w:type="dxa"/>
          <w:tblCellMar>
            <w:left w:w="70" w:type="dxa"/>
            <w:right w:w="70" w:type="dxa"/>
          </w:tblCellMar>
          <w:tblLook w:val="04A0"/>
        </w:tblPrEx>
        <w:trPr>
          <w:trHeight w:val="514"/>
        </w:trPr>
        <w:tc>
          <w:tcPr>
            <w:tcW w:w="3402"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701"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882"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41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238" w:type="dxa"/>
          <w:tblCellMar>
            <w:left w:w="70" w:type="dxa"/>
            <w:right w:w="70" w:type="dxa"/>
          </w:tblCellMar>
          <w:tblLook w:val="04A0"/>
        </w:tblPrEx>
        <w:trPr>
          <w:trHeight w:val="257"/>
        </w:trPr>
        <w:tc>
          <w:tcPr>
            <w:tcW w:w="3402"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70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444 228</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6 943</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-1 491</w:t>
            </w:r>
          </w:p>
        </w:tc>
        <w:tc>
          <w:tcPr>
            <w:tcW w:w="88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41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449 680</w:t>
            </w:r>
          </w:p>
        </w:tc>
      </w:tr>
      <w:tr>
        <w:tblPrEx>
          <w:tblW w:w="9238" w:type="dxa"/>
          <w:tblCellMar>
            <w:left w:w="70" w:type="dxa"/>
            <w:right w:w="70" w:type="dxa"/>
          </w:tblCellMar>
          <w:tblLook w:val="04A0"/>
        </w:tblPrEx>
        <w:trPr>
          <w:trHeight w:val="25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70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307 407</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82"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41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307 407</w:t>
            </w:r>
          </w:p>
        </w:tc>
      </w:tr>
      <w:tr>
        <w:tblPrEx>
          <w:tblW w:w="9238" w:type="dxa"/>
          <w:tblCellMar>
            <w:left w:w="70" w:type="dxa"/>
            <w:right w:w="70" w:type="dxa"/>
          </w:tblCellMar>
          <w:tblLook w:val="04A0"/>
        </w:tblPrEx>
        <w:trPr>
          <w:trHeight w:val="25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70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16 624</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141</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82"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41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16 765</w:t>
            </w:r>
          </w:p>
        </w:tc>
      </w:tr>
      <w:tr>
        <w:tblPrEx>
          <w:tblW w:w="9238" w:type="dxa"/>
          <w:tblCellMar>
            <w:left w:w="70" w:type="dxa"/>
            <w:right w:w="70" w:type="dxa"/>
          </w:tblCellMar>
          <w:tblLook w:val="04A0"/>
        </w:tblPrEx>
        <w:trPr>
          <w:trHeight w:val="25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Kapitálové fondy</w:t>
            </w:r>
          </w:p>
        </w:tc>
        <w:tc>
          <w:tcPr>
            <w:tcW w:w="170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142 895</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4 247</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82"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41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147 142</w:t>
            </w:r>
          </w:p>
        </w:tc>
      </w:tr>
      <w:tr>
        <w:tblPrEx>
          <w:tblW w:w="9238" w:type="dxa"/>
          <w:tblCellMar>
            <w:left w:w="70" w:type="dxa"/>
            <w:right w:w="70" w:type="dxa"/>
          </w:tblCellMar>
          <w:tblLook w:val="04A0"/>
        </w:tblPrEx>
        <w:trPr>
          <w:trHeight w:val="25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Oceňovacie rozdiely</w:t>
            </w:r>
          </w:p>
        </w:tc>
        <w:tc>
          <w:tcPr>
            <w:tcW w:w="170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248</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-88</w:t>
            </w:r>
          </w:p>
        </w:tc>
        <w:tc>
          <w:tcPr>
            <w:tcW w:w="88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41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160</w:t>
            </w:r>
          </w:p>
        </w:tc>
      </w:tr>
      <w:tr>
        <w:tblPrEx>
          <w:tblW w:w="9238" w:type="dxa"/>
          <w:tblCellMar>
            <w:left w:w="70" w:type="dxa"/>
            <w:right w:w="70" w:type="dxa"/>
          </w:tblCellMar>
          <w:tblLook w:val="04A0"/>
        </w:tblPrEx>
        <w:trPr>
          <w:trHeight w:val="25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Štatutárne a ostatné fondy</w:t>
            </w:r>
          </w:p>
        </w:tc>
        <w:tc>
          <w:tcPr>
            <w:tcW w:w="170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25</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380</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-402</w:t>
            </w:r>
          </w:p>
        </w:tc>
        <w:tc>
          <w:tcPr>
            <w:tcW w:w="88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41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w:t>
            </w:r>
          </w:p>
        </w:tc>
      </w:tr>
      <w:tr>
        <w:tblPrEx>
          <w:tblW w:w="9238" w:type="dxa"/>
          <w:tblCellMar>
            <w:left w:w="70" w:type="dxa"/>
            <w:right w:w="70" w:type="dxa"/>
          </w:tblCellMar>
          <w:tblLook w:val="04A0"/>
        </w:tblPrEx>
        <w:trPr>
          <w:trHeight w:val="257"/>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701"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-22 971</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-1 001</w:t>
            </w:r>
          </w:p>
        </w:tc>
        <w:tc>
          <w:tcPr>
            <w:tcW w:w="88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41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-23 972</w:t>
            </w:r>
          </w:p>
        </w:tc>
      </w:tr>
      <w:tr>
        <w:tblPrEx>
          <w:tblW w:w="9238" w:type="dxa"/>
          <w:tblCellMar>
            <w:left w:w="70" w:type="dxa"/>
            <w:right w:w="70" w:type="dxa"/>
          </w:tblCellMar>
          <w:tblLook w:val="04A0"/>
        </w:tblPrEx>
        <w:trPr>
          <w:trHeight w:val="257"/>
        </w:trPr>
        <w:tc>
          <w:tcPr>
            <w:tcW w:w="3402"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701"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2 175</w:t>
            </w:r>
          </w:p>
        </w:tc>
        <w:tc>
          <w:tcPr>
            <w:tcW w:w="85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882"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41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2 175</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i/>
          <w:sz w:val="16"/>
          <w:szCs w:val="16"/>
        </w:rPr>
        <w:tab/>
      </w:r>
      <w:r w:rsidRPr="00473A17">
        <w:rPr>
          <w:rFonts w:ascii="Times New Roman" w:hAnsi="Times New Roman" w:cs="Times New Roman"/>
          <w:sz w:val="16"/>
          <w:szCs w:val="16"/>
        </w:rPr>
        <w:tab/>
        <w:tab/>
      </w: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 xml:space="preserve">VVB </w:t>
      </w:r>
      <w:r w:rsidRPr="00473A17">
        <w:rPr>
          <w:rFonts w:ascii="Times New Roman" w:hAnsi="Times New Roman" w:cs="Times New Roman"/>
          <w:szCs w:val="24"/>
        </w:rPr>
        <w:t xml:space="preserve">sa v roku 2014 zvýšilo o 5 452 tis. eur vplyvom vyššieho stavu kapitálových fondov, ktorý bol spôsobený bezodplatným nadobudnutím pozemkov. Výsledok hospodárenia minulého obdobia bol rozdelený na úhradu straty minulých rokov a na navýšenie stavu zákonného rezervného fondu, štatutárnych a ostatných fondov. Pozitívny vplyv na stav vlastného imania mal aj dosiahnutý zisk za bežné obdobie vo výške 2 175 tis. eur. Negatívny vplyv mali oceňovacie rozdiely z dôvodu precenenia majetkovej účasti v spoločnosti SAT Systémy automatizačnej techniky s.r.o.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Dosiahnutý zisk zaznamenal medziročný pokles o 22,7 % najmä vplyvom nižších výnosov z predaja vlastných výrobkov a nižších tržieb z predaja nakúpenej elektriny. Negatívny vplyv na zisk mal aj nárast dane z príjmov (viac ako 2 násobný rast), ktorý bol spôsobený vyšším negatívnym vplyvom odloženej dane v porovnaní s rokom 2013. Negatívny vývoj tržieb eliminovala ú</w:t>
      </w:r>
      <w:r w:rsidR="00AC7136">
        <w:rPr>
          <w:rFonts w:ascii="Times New Roman" w:hAnsi="Times New Roman" w:cs="Times New Roman"/>
          <w:szCs w:val="24"/>
        </w:rPr>
        <w:t xml:space="preserve">spora nákladov vo výške 25,2 % </w:t>
      </w:r>
      <w:r w:rsidRPr="00473A17">
        <w:rPr>
          <w:rFonts w:ascii="Times New Roman" w:hAnsi="Times New Roman" w:cs="Times New Roman"/>
          <w:szCs w:val="24"/>
        </w:rPr>
        <w:t>a zmiernenie straty z finančnej činnosti o 39,4 %. Úspora nákladov bola najvyššia v položke ostatných nákladov, ktorých výšku zredukovalo najmä rozpustenie rezerv na súdne spory. V položkách služieb bol pokles najvýznamnejší pri opravách a údržbách budov a strojov. Nižšie boli aj náklady na nakúpený tovar (s protipólom v nižších tržbách z predaja nakúpenej elektriny) a odpisy. Nižšia strata z finančnej činnosti bola generovaná nižšími nákladovými úrokmi z úverov a ostatnými nákladmi na finančnú činnosť.</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VVB vykazovala z roku 2002 a 2006 Zmluvy o návratnej finančnej výpomoci, ktoré boli zabezpečené záložným právom na časť dlhodobého hmotného majetku - vodné dielo Čunovo. V roku 2013 čerpala VVB bankový úver vo výške 235 519 tis. eur, z prostriedkov ktorého k 31. decembru 2013 uhradila splátku návratnej finančnej výpomoci vo výške 21 676 tis. eu</w:t>
      </w:r>
      <w:r w:rsidR="00BF0DE9">
        <w:rPr>
          <w:rFonts w:ascii="Times New Roman" w:hAnsi="Times New Roman" w:cs="Times New Roman"/>
          <w:szCs w:val="24"/>
        </w:rPr>
        <w:t>r a mimoriadnu splátku vo výške</w:t>
        <w:br/>
      </w:r>
      <w:r w:rsidRPr="00473A17">
        <w:rPr>
          <w:rFonts w:ascii="Times New Roman" w:hAnsi="Times New Roman" w:cs="Times New Roman"/>
          <w:szCs w:val="24"/>
        </w:rPr>
        <w:t>8 000 tis. eur. Počas roku 2014 splatila VVB zostatok finančnej výpomoci jednorazovo vo výške 205 844 tis. eur, zároveň z vlastných zdrojov zaplatila úrok, čím podnik vysporiadal záväzky plynúce z finančnej výpomoci voči štátu a záložné právo na majetok bolo zrušené.</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V závere roku 2014 bolo zo strany VVB doručené oznámenie SE o predčasnom ukončení Zmluvy o prevádzke Vodnej elektrárne Gabčíkovo. Následne dňa 9. marca 2015 doručením odstúpenia SE zmluva zanikla z dôvodu porušenia niektorých článkov zmluvy. VVB od roku 2007 inicializovala viacero súdnych sporov v súvislosti s neplatnosťou Zmluvy o prevádzke Vodnej elektrárne Gabčíkovo. Dňa 9. marca 2015 podľa Zápisnice o pojednávaní pred odvolacím súdom bol vyhlásený rozsudok, ktorý určil Zmluvu o prevádzke za neplatnú.</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b/>
          <w:szCs w:val="24"/>
        </w:rPr>
        <w:t>Slovak Telekom, a.s.</w:t>
      </w:r>
      <w:r w:rsidRPr="00473A17">
        <w:rPr>
          <w:rFonts w:ascii="Times New Roman" w:hAnsi="Times New Roman" w:cs="Times New Roman"/>
          <w:szCs w:val="24"/>
        </w:rPr>
        <w:t xml:space="preserve"> (ďalej „ST“) so sídlom Bajkalská 28, Bratislava. Pôvodne poskytovala telefónne služby cez pevnú linku Slovenská správa pôšt a telekomunikácií, š.p.,</w:t>
      </w:r>
      <w:r w:rsidR="00546D72">
        <w:rPr>
          <w:rFonts w:ascii="Times New Roman" w:hAnsi="Times New Roman" w:cs="Times New Roman"/>
          <w:szCs w:val="24"/>
        </w:rPr>
        <w:t xml:space="preserve"> ktorá v roku 1990 podpísala so </w:t>
      </w:r>
      <w:r w:rsidRPr="00473A17">
        <w:rPr>
          <w:rFonts w:ascii="Times New Roman" w:hAnsi="Times New Roman" w:cs="Times New Roman"/>
          <w:szCs w:val="24"/>
        </w:rPr>
        <w:t>spoločnosťou Atlantic West B.V. dohodu o spoločnom podniku - EuroTel, čím vznikol prvý mobilný operátor na Slovensku. Telefónne služby poskytované cez pevnú linku a podiel v spoločnosti EuroTel sa v roku 1993 previedli na novovytvorený štátny podnik Slovenské telekomunikácie, š.p., ktorý sa neskôr transformoval na akciovú spoločnosť. V roku 2000 sa zrealizovala privatizácia, prostredníctvom ktorej získal Deutsche Telekom AG 51 % balík akcií spoločnosti Slovenské telekomunikácie, a.s. K zmene obchodného mena Slovenských telekomunikácií, a.s. na Slovak Telekom, a.s. došlo v roku 2004 a súčasne sa uskutočnil nákup 49 % podielu v spoločnosti EuroTel, čím sa ST stal výlučným vlastníkom EuroTelu. Počas nasledujúceho roka sa zmenil názov EuroTelu na T-Mobile Slovensko, a.s. Rok 2010 bol rokom zlúčenia spoločností ST a T-Mobile Slovensko, a.s. za účelom integrácie služieb a zvýšenia prevádzkovej výkonnosti.</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color w:val="000000" w:themeColor="tx1" w:themeShade="FF"/>
          <w:szCs w:val="24"/>
        </w:rPr>
        <w:t xml:space="preserve">Vlastnícku štruktúru k 31. 12. 2014 tvorili: CMobil B.V. so sídlom v Holandsku (51 %), štát (34 %), pričom práva štátu ako akcionára vykonávalo Ministerstvo hospodárstva SR a Fond národného majetku SR (15 %). Informácie </w:t>
      </w:r>
      <w:r w:rsidRPr="00473A17">
        <w:rPr>
          <w:rFonts w:ascii="Times New Roman" w:hAnsi="Times New Roman" w:cs="Times New Roman"/>
          <w:szCs w:val="24"/>
        </w:rPr>
        <w:t xml:space="preserve">prezentované nižšie sú čerpané z výročnej správy, z individuálnej účtovnej závierky spoločnosti zostavenej za obdobie od 1. januára do 31. decembra 2014 vypracovanej v súlade s Medzinárodnými štandardmi finančného </w:t>
      </w:r>
      <w:r w:rsidRPr="00473A17">
        <w:rPr>
          <w:rFonts w:ascii="Times New Roman" w:hAnsi="Times New Roman" w:cs="Times New Roman"/>
          <w:color w:val="000000" w:themeColor="tx1" w:themeShade="FF"/>
          <w:szCs w:val="24"/>
        </w:rPr>
        <w:t>výkazníctva tak, ako bo</w:t>
      </w:r>
      <w:r w:rsidR="00062DC2">
        <w:rPr>
          <w:rFonts w:ascii="Times New Roman" w:hAnsi="Times New Roman" w:cs="Times New Roman"/>
          <w:color w:val="000000" w:themeColor="tx1" w:themeShade="FF"/>
          <w:szCs w:val="24"/>
        </w:rPr>
        <w:t xml:space="preserve">li schválené na použitie v EÚ a </w:t>
      </w:r>
      <w:r w:rsidRPr="00473A17">
        <w:rPr>
          <w:rFonts w:ascii="Times New Roman" w:hAnsi="Times New Roman" w:cs="Times New Roman"/>
          <w:color w:val="000000" w:themeColor="tx1" w:themeShade="FF"/>
          <w:szCs w:val="24"/>
        </w:rPr>
        <w:t>z verejne dostupných zdrojov.</w:t>
      </w:r>
      <w:r w:rsidR="00546D72">
        <w:rPr>
          <w:rFonts w:ascii="Times New Roman" w:hAnsi="Times New Roman" w:cs="Times New Roman"/>
          <w:color w:val="000000" w:themeColor="tx1" w:themeShade="FF"/>
          <w:szCs w:val="24"/>
        </w:rPr>
        <w:t xml:space="preserve"> ST vlastní majetkové podiely v</w:t>
      </w:r>
      <w:r w:rsidR="00062DC2">
        <w:rPr>
          <w:rFonts w:ascii="Times New Roman" w:hAnsi="Times New Roman" w:cs="Times New Roman"/>
          <w:color w:val="000000" w:themeColor="tx1" w:themeShade="FF"/>
          <w:szCs w:val="24"/>
        </w:rPr>
        <w:t> </w:t>
      </w:r>
      <w:r w:rsidRPr="00473A17">
        <w:rPr>
          <w:rFonts w:ascii="Times New Roman" w:hAnsi="Times New Roman" w:cs="Times New Roman"/>
          <w:color w:val="000000" w:themeColor="tx1" w:themeShade="FF"/>
          <w:szCs w:val="24"/>
        </w:rPr>
        <w:t>inýc</w:t>
      </w:r>
      <w:r w:rsidR="00062DC2">
        <w:rPr>
          <w:rFonts w:ascii="Times New Roman" w:hAnsi="Times New Roman" w:cs="Times New Roman"/>
          <w:color w:val="000000" w:themeColor="tx1" w:themeShade="FF"/>
          <w:szCs w:val="24"/>
        </w:rPr>
        <w:t xml:space="preserve">h </w:t>
      </w:r>
      <w:r w:rsidRPr="00473A17">
        <w:rPr>
          <w:rFonts w:ascii="Times New Roman" w:hAnsi="Times New Roman" w:cs="Times New Roman"/>
          <w:color w:val="000000" w:themeColor="tx1" w:themeShade="FF"/>
          <w:szCs w:val="24"/>
        </w:rPr>
        <w:t>spoločnostiach, preto mu vzniká povinnosť zostavovať konsolidovanú účtovnú závierku. ST vlastní majetkové podiely v nasledujúcich dcérskych spoločnostiach so sídlom na území SR: DIGI SLOVAKIA, s.r.o. zaoberajúca sa poskytovaním TV a internetových služieb, produkciou TV kanálov (100 % vlastník), PosAm, s.r.o. zaoberajúca sa poskytovaním IT služieb, aplikácií a business riešení (51 % vlastník), Zoznam, s.r.o. zaoberajúca sa internetovým portálom (100 % vlastník), Zoznam Mobile, s.r.o. zaoberajúca sa poskytovaním obsahu pre mobilnú komunikáciu (100 % vlastník) a Telekom Sec, s.r.o. zaoberajúca sa poskytovaním bezpečnostných služieb (100 % vlastník).</w:t>
      </w:r>
    </w:p>
    <w:p w:rsidR="00CE1C18" w:rsidRPr="00473A17" w:rsidP="00546D72">
      <w:pPr>
        <w:bidi w:val="0"/>
        <w:spacing w:after="120" w:line="336" w:lineRule="auto"/>
        <w:jc w:val="both"/>
        <w:rPr>
          <w:rFonts w:ascii="Times New Roman" w:hAnsi="Times New Roman" w:cs="Times New Roman"/>
          <w:color w:val="000000" w:themeColor="tx1" w:themeShade="FF"/>
          <w:szCs w:val="24"/>
        </w:rPr>
      </w:pPr>
      <w:r w:rsidRPr="00473A17">
        <w:rPr>
          <w:rFonts w:ascii="Times New Roman" w:hAnsi="Times New Roman" w:cs="Times New Roman"/>
          <w:color w:val="000000" w:themeColor="tx1" w:themeShade="FF"/>
          <w:szCs w:val="24"/>
        </w:rPr>
        <w:t>Počet zamestnancov ST ku koncu roka 2014 bol 3 081.</w:t>
      </w:r>
    </w:p>
    <w:tbl>
      <w:tblPr>
        <w:tblStyle w:val="TableNormal"/>
        <w:tblW w:w="9100" w:type="dxa"/>
        <w:tblCellMar>
          <w:left w:w="70" w:type="dxa"/>
          <w:right w:w="70" w:type="dxa"/>
        </w:tblCellMar>
        <w:tblLook w:val="04A0"/>
      </w:tblPr>
      <w:tblGrid>
        <w:gridCol w:w="3402"/>
        <w:gridCol w:w="1560"/>
        <w:gridCol w:w="992"/>
        <w:gridCol w:w="850"/>
        <w:gridCol w:w="913"/>
        <w:gridCol w:w="1383"/>
      </w:tblGrid>
      <w:tr>
        <w:tblPrEx>
          <w:tblW w:w="9100" w:type="dxa"/>
          <w:tblCellMar>
            <w:left w:w="70" w:type="dxa"/>
            <w:right w:w="70" w:type="dxa"/>
          </w:tblCellMar>
          <w:tblLook w:val="04A0"/>
        </w:tblPrEx>
        <w:trPr>
          <w:trHeight w:val="263"/>
        </w:trPr>
        <w:tc>
          <w:tcPr>
            <w:tcW w:w="9100"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bookmarkStart w:id="180" w:name="_Toc431985285"/>
            <w:bookmarkStart w:id="181" w:name="_Toc433099067"/>
            <w:bookmarkStart w:id="182" w:name="_Toc433099306"/>
            <w:bookmarkStart w:id="183" w:name="_Toc433099412"/>
            <w:bookmarkStart w:id="184" w:name="_Toc433099594"/>
            <w:r w:rsidRPr="00473A17">
              <w:rPr>
                <w:rStyle w:val="Heading1Char"/>
                <w:b w:val="0"/>
                <w:color w:val="FFFFFF" w:themeColor="bg1" w:themeShade="FF"/>
                <w:sz w:val="20"/>
                <w:szCs w:val="20"/>
              </w:rPr>
              <w:t>Slovak Telekom, a.s.</w:t>
            </w:r>
            <w:bookmarkEnd w:id="180"/>
            <w:bookmarkEnd w:id="181"/>
            <w:bookmarkEnd w:id="182"/>
            <w:bookmarkEnd w:id="183"/>
            <w:bookmarkEnd w:id="184"/>
            <w:r w:rsidRPr="00473A17">
              <w:rPr>
                <w:rFonts w:ascii="Times New Roman" w:hAnsi="Times New Roman" w:cs="Times New Roman"/>
                <w:b/>
                <w:bCs/>
                <w:color w:val="FFFFFF"/>
                <w:sz w:val="20"/>
                <w:szCs w:val="20"/>
                <w:lang w:eastAsia="sk-SK"/>
              </w:rPr>
              <w:t xml:space="preserve">  - zmena VI 2013/2014 (v tis. eur)</w:t>
            </w:r>
          </w:p>
        </w:tc>
      </w:tr>
      <w:tr>
        <w:tblPrEx>
          <w:tblW w:w="9100" w:type="dxa"/>
          <w:tblCellMar>
            <w:left w:w="70" w:type="dxa"/>
            <w:right w:w="70" w:type="dxa"/>
          </w:tblCellMar>
          <w:tblLook w:val="04A0"/>
        </w:tblPrEx>
        <w:trPr>
          <w:trHeight w:val="526"/>
        </w:trPr>
        <w:tc>
          <w:tcPr>
            <w:tcW w:w="3402"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56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91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8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100" w:type="dxa"/>
          <w:tblCellMar>
            <w:left w:w="70" w:type="dxa"/>
            <w:right w:w="70" w:type="dxa"/>
          </w:tblCellMar>
          <w:tblLook w:val="04A0"/>
        </w:tblPrEx>
        <w:trPr>
          <w:trHeight w:val="263"/>
        </w:trPr>
        <w:tc>
          <w:tcPr>
            <w:tcW w:w="3402"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1 586 847</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40 682</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-20 120</w:t>
            </w: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8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1 607 409</w:t>
            </w:r>
          </w:p>
        </w:tc>
      </w:tr>
      <w:tr>
        <w:tblPrEx>
          <w:tblW w:w="9100"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864 113</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864 113</w:t>
            </w:r>
          </w:p>
        </w:tc>
      </w:tr>
      <w:tr>
        <w:tblPrEx>
          <w:tblW w:w="9100"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Emisné ážio</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386 139</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386 139</w:t>
            </w:r>
          </w:p>
        </w:tc>
      </w:tr>
      <w:tr>
        <w:tblPrEx>
          <w:tblW w:w="9100"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172 823</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172 823</w:t>
            </w:r>
          </w:p>
        </w:tc>
      </w:tr>
      <w:tr>
        <w:tblPrEx>
          <w:tblW w:w="9100"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Ostatné fondy</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1 812</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-3 720</w:t>
            </w: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38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-1 908</w:t>
            </w:r>
          </w:p>
        </w:tc>
      </w:tr>
      <w:tr>
        <w:tblPrEx>
          <w:tblW w:w="9100" w:type="dxa"/>
          <w:tblCellMar>
            <w:left w:w="70" w:type="dxa"/>
            <w:right w:w="70" w:type="dxa"/>
          </w:tblCellMar>
          <w:tblLook w:val="04A0"/>
        </w:tblPrEx>
        <w:trPr>
          <w:trHeight w:val="26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161 960</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-16 400</w:t>
            </w:r>
          </w:p>
        </w:tc>
        <w:tc>
          <w:tcPr>
            <w:tcW w:w="91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38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145 560</w:t>
            </w:r>
          </w:p>
        </w:tc>
      </w:tr>
      <w:tr>
        <w:tblPrEx>
          <w:tblW w:w="9100" w:type="dxa"/>
          <w:tblCellMar>
            <w:left w:w="70" w:type="dxa"/>
            <w:right w:w="70" w:type="dxa"/>
          </w:tblCellMar>
          <w:tblLook w:val="04A0"/>
        </w:tblPrEx>
        <w:trPr>
          <w:trHeight w:val="263"/>
        </w:trPr>
        <w:tc>
          <w:tcPr>
            <w:tcW w:w="3402"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56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40 682</w:t>
            </w:r>
          </w:p>
        </w:tc>
        <w:tc>
          <w:tcPr>
            <w:tcW w:w="85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1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8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40 682</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ST</w:t>
      </w:r>
      <w:r w:rsidRPr="00473A17">
        <w:rPr>
          <w:rFonts w:ascii="Times New Roman" w:hAnsi="Times New Roman" w:cs="Times New Roman"/>
          <w:szCs w:val="24"/>
        </w:rPr>
        <w:t xml:space="preserve"> sa v roku 2014 zvýšilo o 20 562 tis. eur najm</w:t>
      </w:r>
      <w:r w:rsidR="00062DC2">
        <w:rPr>
          <w:rFonts w:ascii="Times New Roman" w:hAnsi="Times New Roman" w:cs="Times New Roman"/>
          <w:szCs w:val="24"/>
        </w:rPr>
        <w:t>ä vplyvom dosiahnutého zisku za </w:t>
      </w:r>
      <w:r w:rsidRPr="00473A17">
        <w:rPr>
          <w:rFonts w:ascii="Times New Roman" w:hAnsi="Times New Roman" w:cs="Times New Roman"/>
          <w:szCs w:val="24"/>
        </w:rPr>
        <w:t>bežné obdobie vo výške 40 682 tis. eur. Pozitívny vplyv čiastočn</w:t>
      </w:r>
      <w:r w:rsidR="00062DC2">
        <w:rPr>
          <w:rFonts w:ascii="Times New Roman" w:hAnsi="Times New Roman" w:cs="Times New Roman"/>
          <w:szCs w:val="24"/>
        </w:rPr>
        <w:t>e zmiernila výplata dividend vo </w:t>
      </w:r>
      <w:r w:rsidRPr="00473A17">
        <w:rPr>
          <w:rFonts w:ascii="Times New Roman" w:hAnsi="Times New Roman" w:cs="Times New Roman"/>
          <w:szCs w:val="24"/>
        </w:rPr>
        <w:t>výške 16 400 tis. eur, vplyv precenenia rezervy na zamestnanecké</w:t>
      </w:r>
      <w:r w:rsidR="00062DC2">
        <w:rPr>
          <w:rFonts w:ascii="Times New Roman" w:hAnsi="Times New Roman" w:cs="Times New Roman"/>
          <w:szCs w:val="24"/>
        </w:rPr>
        <w:t xml:space="preserve"> požitky a ostatných pohybov vo </w:t>
      </w:r>
      <w:r w:rsidRPr="00473A17">
        <w:rPr>
          <w:rFonts w:ascii="Times New Roman" w:hAnsi="Times New Roman" w:cs="Times New Roman"/>
          <w:szCs w:val="24"/>
        </w:rPr>
        <w:t>vlastnom imaní prostredníctvom pohybov na ostatných fondoch.</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Zisk bežného obdobia sa znížil o 14,7 %. Hlavným dôvodom poklesu zisku bola absencia pozitívneho vplyvu zmeny daňovej sadzby zúčtovaného v roku 2013. Zisk pred zdanením zaznamenal pokles len o 1,1 % vplyvom poklesu výnosov, najmä výnosov za poskytované služby tak v segmente pevnej siete, ako aj v segmente mobilnej siete (významným faktorom vplyvu na vývoj výnosov bolo pôsobenie regulácie a sezónny charakter produktov). Pokles vo výnosoch bol vo veľkej miere eliminovaný pozitívnym vplyvom ostatných prevádzkových položiek, ako odpisy (absencia zníženia hodnoty majetku zúčtovaného v roku 2013), osobné náklady (optimalizácia procesov a s ňou spojená redukcia počtu zamestnancov), materiál a služby, prepojovacie poplatky a vplyvom ostatných výnosov (vplyv zrušenia dočasného zníženia hodnoty majetku klasifikovaného ako majetok na predaj z dôvodu opätovného zaradenia časti tohto majetku do používania).</w:t>
      </w:r>
    </w:p>
    <w:p w:rsidR="00CE1C18" w:rsidRPr="00473A17" w:rsidP="00546D72">
      <w:pPr>
        <w:bidi w:val="0"/>
        <w:spacing w:after="120" w:line="336" w:lineRule="auto"/>
        <w:jc w:val="both"/>
        <w:rPr>
          <w:rFonts w:ascii="Times New Roman" w:hAnsi="Times New Roman" w:cs="Times New Roman"/>
          <w:color w:val="000000" w:themeColor="tx1" w:themeShade="FF"/>
          <w:szCs w:val="24"/>
        </w:rPr>
      </w:pPr>
      <w:r w:rsidRPr="00473A17">
        <w:rPr>
          <w:rFonts w:ascii="Times New Roman" w:hAnsi="Times New Roman" w:cs="Times New Roman"/>
          <w:color w:val="000000" w:themeColor="tx1" w:themeShade="FF"/>
          <w:szCs w:val="24"/>
        </w:rPr>
        <w:t>V priebehu prvého polroka roku 2015 štát predal svoj 49 % podiel v ST majoritnému vlastníkovi Deutsche Telekom, ktorý sa tak stal jediným vlastníkom ST.</w:t>
      </w:r>
    </w:p>
    <w:p w:rsidR="00CE1C18" w:rsidRPr="00473A17" w:rsidP="00546D72">
      <w:pPr>
        <w:bidi w:val="0"/>
        <w:spacing w:after="120" w:line="336" w:lineRule="auto"/>
        <w:jc w:val="both"/>
        <w:rPr>
          <w:rFonts w:ascii="Times New Roman" w:hAnsi="Times New Roman" w:cs="Times New Roman"/>
          <w:color w:val="000000" w:themeColor="tx1" w:themeShade="FF"/>
          <w:szCs w:val="24"/>
        </w:rPr>
      </w:pPr>
      <w:r w:rsidRPr="00473A17">
        <w:rPr>
          <w:rFonts w:ascii="Times New Roman" w:hAnsi="Times New Roman" w:cs="Times New Roman"/>
          <w:b/>
          <w:color w:val="000000" w:themeColor="tx1" w:themeShade="FF"/>
          <w:szCs w:val="24"/>
        </w:rPr>
        <w:t>Letové prevádzkové služby SR, š.p.</w:t>
      </w:r>
      <w:r w:rsidRPr="00473A17">
        <w:rPr>
          <w:rFonts w:ascii="Times New Roman" w:hAnsi="Times New Roman" w:cs="Times New Roman"/>
          <w:color w:val="000000" w:themeColor="tx1" w:themeShade="FF"/>
          <w:szCs w:val="24"/>
        </w:rPr>
        <w:t xml:space="preserve"> (ďalej „LPS“) so sídlom Ivanská c</w:t>
      </w:r>
      <w:r w:rsidR="00062DC2">
        <w:rPr>
          <w:rFonts w:ascii="Times New Roman" w:hAnsi="Times New Roman" w:cs="Times New Roman"/>
          <w:color w:val="000000" w:themeColor="tx1" w:themeShade="FF"/>
          <w:szCs w:val="24"/>
        </w:rPr>
        <w:t>esta 93, Bratislava, vznikli 1. </w:t>
      </w:r>
      <w:r w:rsidRPr="00473A17">
        <w:rPr>
          <w:rFonts w:ascii="Times New Roman" w:hAnsi="Times New Roman" w:cs="Times New Roman"/>
          <w:color w:val="000000" w:themeColor="tx1" w:themeShade="FF"/>
          <w:szCs w:val="24"/>
        </w:rPr>
        <w:t>januára 2000 a pôsobia ako zástupca SR v organizácii EUROCONTROL, ktorá riadi Európsky program harmonizácie a integrácie riadenia letovej prevádzky.</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Jediným vlastníkom LPS bol k 31. 12. 2014 štát, pričom práva štátu ako akcionára vykonávalo Ministerstvo dopravy, výstavby a regionálneho rozvoja SR. Informácie prezentované nižšie sú čerpané z individuálnej účtovnej závierky spoločnosti zostavenej za obdobie od 1. januára do 31. decembra 2014 vypracovanej podľa § 17 ods. 6 zákona č. 431/2002 Z. z. o účtovníctve, v znení neskorších predpisov a verejne dostupných zdrojov. LPS vlastnia podiel vo FAB CE, Aviation Services, Ltd. so sídlom na území Slovinska, zaoberajúce sa pomocou pri koordinácii a zabezpečovaní činností a projektov v rámci FAB CE – funkčný blok vzdušného priestoru stredná Európa (16,67 % vlastník), no nevzniká im povinnosť zostavovať konsolidovanú účtovnú závierku. </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Stav zamestnancov LPS k 31. decembru 2014 bol 476.</w:t>
      </w:r>
    </w:p>
    <w:tbl>
      <w:tblPr>
        <w:tblStyle w:val="TableNormal"/>
        <w:tblW w:w="9170" w:type="dxa"/>
        <w:tblCellMar>
          <w:left w:w="70" w:type="dxa"/>
          <w:right w:w="70" w:type="dxa"/>
        </w:tblCellMar>
        <w:tblLook w:val="04A0"/>
      </w:tblPr>
      <w:tblGrid>
        <w:gridCol w:w="3544"/>
        <w:gridCol w:w="1559"/>
        <w:gridCol w:w="993"/>
        <w:gridCol w:w="835"/>
        <w:gridCol w:w="840"/>
        <w:gridCol w:w="1399"/>
      </w:tblGrid>
      <w:tr>
        <w:tblPrEx>
          <w:tblW w:w="9170" w:type="dxa"/>
          <w:tblCellMar>
            <w:left w:w="70" w:type="dxa"/>
            <w:right w:w="70" w:type="dxa"/>
          </w:tblCellMar>
          <w:tblLook w:val="04A0"/>
        </w:tblPrEx>
        <w:trPr>
          <w:trHeight w:val="257"/>
        </w:trPr>
        <w:tc>
          <w:tcPr>
            <w:tcW w:w="9170"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bookmarkStart w:id="185" w:name="_Toc431985286"/>
            <w:bookmarkStart w:id="186" w:name="_Toc433099068"/>
            <w:bookmarkStart w:id="187" w:name="_Toc433099307"/>
            <w:bookmarkStart w:id="188" w:name="_Toc433099413"/>
            <w:bookmarkStart w:id="189" w:name="_Toc433099595"/>
            <w:r w:rsidRPr="00473A17">
              <w:rPr>
                <w:rStyle w:val="Heading1Char"/>
                <w:rFonts w:hint="default"/>
                <w:b w:val="0"/>
                <w:color w:val="FFFFFF" w:themeColor="bg1" w:themeShade="FF"/>
                <w:sz w:val="20"/>
                <w:szCs w:val="20"/>
              </w:rPr>
              <w:t>Letové</w:t>
            </w:r>
            <w:r w:rsidRPr="00473A17">
              <w:rPr>
                <w:rStyle w:val="Heading1Char"/>
                <w:rFonts w:hint="default"/>
                <w:b w:val="0"/>
                <w:color w:val="FFFFFF" w:themeColor="bg1" w:themeShade="FF"/>
                <w:sz w:val="20"/>
                <w:szCs w:val="20"/>
              </w:rPr>
              <w:t xml:space="preserve"> prevá</w:t>
            </w:r>
            <w:r w:rsidRPr="00473A17">
              <w:rPr>
                <w:rStyle w:val="Heading1Char"/>
                <w:rFonts w:hint="default"/>
                <w:b w:val="0"/>
                <w:color w:val="FFFFFF" w:themeColor="bg1" w:themeShade="FF"/>
                <w:sz w:val="20"/>
                <w:szCs w:val="20"/>
              </w:rPr>
              <w:t>dzkové</w:t>
            </w:r>
            <w:r w:rsidRPr="00473A17">
              <w:rPr>
                <w:rStyle w:val="Heading1Char"/>
                <w:rFonts w:hint="default"/>
                <w:b w:val="0"/>
                <w:color w:val="FFFFFF" w:themeColor="bg1" w:themeShade="FF"/>
                <w:sz w:val="20"/>
                <w:szCs w:val="20"/>
              </w:rPr>
              <w:t xml:space="preserve"> služ</w:t>
            </w:r>
            <w:r w:rsidRPr="00473A17">
              <w:rPr>
                <w:rStyle w:val="Heading1Char"/>
                <w:rFonts w:hint="default"/>
                <w:b w:val="0"/>
                <w:color w:val="FFFFFF" w:themeColor="bg1" w:themeShade="FF"/>
                <w:sz w:val="20"/>
                <w:szCs w:val="20"/>
              </w:rPr>
              <w:t>by SR, š</w:t>
            </w:r>
            <w:r w:rsidRPr="00473A17">
              <w:rPr>
                <w:rStyle w:val="Heading1Char"/>
                <w:rFonts w:hint="default"/>
                <w:b w:val="0"/>
                <w:color w:val="FFFFFF" w:themeColor="bg1" w:themeShade="FF"/>
                <w:sz w:val="20"/>
                <w:szCs w:val="20"/>
              </w:rPr>
              <w:t>.p.</w:t>
            </w:r>
            <w:bookmarkEnd w:id="185"/>
            <w:bookmarkEnd w:id="186"/>
            <w:bookmarkEnd w:id="187"/>
            <w:bookmarkEnd w:id="188"/>
            <w:bookmarkEnd w:id="189"/>
            <w:r w:rsidRPr="00473A17">
              <w:rPr>
                <w:rFonts w:ascii="Times New Roman" w:hAnsi="Times New Roman" w:cs="Times New Roman"/>
                <w:b/>
                <w:bCs/>
                <w:color w:val="FFFFFF"/>
                <w:sz w:val="20"/>
                <w:szCs w:val="20"/>
                <w:lang w:eastAsia="sk-SK"/>
              </w:rPr>
              <w:t xml:space="preserve"> - zmena VI 2013/2014 (v tis. eur)</w:t>
            </w:r>
          </w:p>
        </w:tc>
      </w:tr>
      <w:tr>
        <w:tblPrEx>
          <w:tblW w:w="9170" w:type="dxa"/>
          <w:tblCellMar>
            <w:left w:w="70" w:type="dxa"/>
            <w:right w:w="70" w:type="dxa"/>
          </w:tblCellMar>
          <w:tblLook w:val="04A0"/>
        </w:tblPrEx>
        <w:trPr>
          <w:trHeight w:val="515"/>
        </w:trPr>
        <w:tc>
          <w:tcPr>
            <w:tcW w:w="3544"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55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3"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35"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84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9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170" w:type="dxa"/>
          <w:tblCellMar>
            <w:left w:w="70" w:type="dxa"/>
            <w:right w:w="70" w:type="dxa"/>
          </w:tblCellMar>
          <w:tblLook w:val="04A0"/>
        </w:tblPrEx>
        <w:trPr>
          <w:trHeight w:val="257"/>
        </w:trPr>
        <w:tc>
          <w:tcPr>
            <w:tcW w:w="3544"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64 130</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5 112</w:t>
            </w:r>
          </w:p>
        </w:tc>
        <w:tc>
          <w:tcPr>
            <w:tcW w:w="83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-966</w:t>
            </w: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9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68 276</w:t>
            </w:r>
          </w:p>
        </w:tc>
      </w:tr>
      <w:tr>
        <w:tblPrEx>
          <w:tblW w:w="9170" w:type="dxa"/>
          <w:tblCellMar>
            <w:left w:w="70" w:type="dxa"/>
            <w:right w:w="70" w:type="dxa"/>
          </w:tblCellMar>
          <w:tblLook w:val="04A0"/>
        </w:tblPrEx>
        <w:trPr>
          <w:trHeight w:val="257"/>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50 734</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35"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9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50 734</w:t>
            </w:r>
          </w:p>
        </w:tc>
      </w:tr>
      <w:tr>
        <w:tblPrEx>
          <w:tblW w:w="9170" w:type="dxa"/>
          <w:tblCellMar>
            <w:left w:w="70" w:type="dxa"/>
            <w:right w:w="70" w:type="dxa"/>
          </w:tblCellMar>
          <w:tblLook w:val="04A0"/>
        </w:tblPrEx>
        <w:trPr>
          <w:trHeight w:val="257"/>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1 917</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35"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118</w:t>
            </w:r>
          </w:p>
        </w:tc>
        <w:tc>
          <w:tcPr>
            <w:tcW w:w="139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2 035</w:t>
            </w:r>
          </w:p>
        </w:tc>
      </w:tr>
      <w:tr>
        <w:tblPrEx>
          <w:tblW w:w="9170" w:type="dxa"/>
          <w:tblCellMar>
            <w:left w:w="70" w:type="dxa"/>
            <w:right w:w="70" w:type="dxa"/>
          </w:tblCellMar>
          <w:tblLook w:val="04A0"/>
        </w:tblPrEx>
        <w:trPr>
          <w:trHeight w:val="257"/>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Štatutárne a ostatné fondy</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9 005</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35"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1 268</w:t>
            </w:r>
          </w:p>
        </w:tc>
        <w:tc>
          <w:tcPr>
            <w:tcW w:w="139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10 273</w:t>
            </w:r>
          </w:p>
        </w:tc>
      </w:tr>
      <w:tr>
        <w:tblPrEx>
          <w:tblW w:w="9170" w:type="dxa"/>
          <w:tblCellMar>
            <w:left w:w="70" w:type="dxa"/>
            <w:right w:w="70" w:type="dxa"/>
          </w:tblCellMar>
          <w:tblLook w:val="04A0"/>
        </w:tblPrEx>
        <w:trPr>
          <w:trHeight w:val="257"/>
        </w:trPr>
        <w:tc>
          <w:tcPr>
            <w:tcW w:w="3544"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55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2 474</w:t>
            </w:r>
          </w:p>
        </w:tc>
        <w:tc>
          <w:tcPr>
            <w:tcW w:w="993"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35"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-966</w:t>
            </w:r>
          </w:p>
        </w:tc>
        <w:tc>
          <w:tcPr>
            <w:tcW w:w="84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-1 386</w:t>
            </w:r>
          </w:p>
        </w:tc>
        <w:tc>
          <w:tcPr>
            <w:tcW w:w="139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122</w:t>
            </w:r>
          </w:p>
        </w:tc>
      </w:tr>
      <w:tr>
        <w:tblPrEx>
          <w:tblW w:w="9170" w:type="dxa"/>
          <w:tblCellMar>
            <w:left w:w="70" w:type="dxa"/>
            <w:right w:w="70" w:type="dxa"/>
          </w:tblCellMar>
          <w:tblLook w:val="04A0"/>
        </w:tblPrEx>
        <w:trPr>
          <w:trHeight w:val="257"/>
        </w:trPr>
        <w:tc>
          <w:tcPr>
            <w:tcW w:w="3544"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55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3"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5 112</w:t>
            </w:r>
          </w:p>
        </w:tc>
        <w:tc>
          <w:tcPr>
            <w:tcW w:w="835"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84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9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5 112</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i/>
          <w:iCs/>
          <w:sz w:val="16"/>
          <w:szCs w:val="16"/>
          <w:lang w:eastAsia="sk-SK"/>
        </w:rPr>
        <w:t>Zdroj: IÚZ</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LPS</w:t>
      </w:r>
      <w:r w:rsidRPr="00473A17">
        <w:rPr>
          <w:rFonts w:ascii="Times New Roman" w:hAnsi="Times New Roman" w:cs="Times New Roman"/>
          <w:szCs w:val="24"/>
        </w:rPr>
        <w:t xml:space="preserve"> sa v roku 2014 zvýšilo o 4 146 tis. eur najmä vplyvom dosiahnutého zisku za bežné obdobie vo výške 5 112 tis. eur. Pozitívny vplyv zisku len mierne znížilo vyplatenie podielov na zisku vo výške 16 tis. eur a príspevok na tvorbu sociálneho fondu zo zisku vo výške 950 tis. eur.</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Zisk bežného obdobia sa medziročne zvýšil 2,2 násobne najmä vplyvom vyšších výnosov za traťové odplaty a vplyvom prijatých dotácií zo štátneho rozpočtu na oslobodené lety. Pozitívny vplyv mal aj pokles nákladov na poistenie zodpovednosti, ktorý bol eliminovaný tvorbou opravných položiek k pohľadávkam vzhľadom na vysoký stav pohľadávok z obchodného styku a iných pohľadávok po lehote splatnosti. Negatívny vplyv na výsledok mala aj daň z príjmov vplyvom vyšších daňovo neuznateľných nákladov a nižších daňovo neuznateľných výnosov, čo malo za následok zvýšenie základu dane.</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b/>
          <w:szCs w:val="24"/>
        </w:rPr>
        <w:t>Transpetrol, a.s.</w:t>
      </w:r>
      <w:r w:rsidRPr="00473A17">
        <w:rPr>
          <w:rFonts w:ascii="Times New Roman" w:hAnsi="Times New Roman" w:cs="Times New Roman"/>
          <w:szCs w:val="24"/>
        </w:rPr>
        <w:t xml:space="preserve"> (ďalej „TP“) so sídlom Šumavská 38, Bratislava. História TP súvisí s budovaním južnej vetvy tranzitného ropovodu Družba. Slovenský úsek tohto ropovodu, od ukrajinských hraníc, cez Šahy do Bratislavy, bol vybudovaný v rokoch 1960 – 61. V roku 1980 bol uvedený do prevádzky ropovod Adria, ktorý sa z Chorvátska (pobrežia Jadranského mora), cez Maďarsko napája na ropovod Družba v Šahách. 1. júla 1991 bola založená československá akciová spoločnosť Transpetrol, a.s. ako prevádzkovateľ celej československej ropovodnej siete. Po rozdelení Česko-Slovenska sa rozdelilo aj vlastníctvo ropovodnej siete, a preto československá spoločnosť Transpetrol zanikla a jej rozdelením 1. januára 1993 vznikla slovenská spoločnosť Transpetrol, a.s. a česká akciová spoločnosť MERO ČR.</w:t>
      </w:r>
    </w:p>
    <w:p w:rsidR="00CE1C18" w:rsidRPr="00473A17" w:rsidP="00546D72">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szCs w:val="24"/>
        </w:rPr>
        <w:t xml:space="preserve">Jediným vlastníkom TP bol k 31. 12. 2014 štát, pričom práva štátu ako akcionára vykonávalo Ministerstvo hospodárstva SR. Informácie prezentované nižšie sú čerpané z výročnej správy, z individuálnej účtovnej závierky spoločnosti zostavenej za obdobie od 1. januára do 31. decembra 2014 vypracovanej podľa § 17 ods. 6 zákona č. 431/2002 Z. z. o účtovníctve, v znení neskorších predpisov a verejne dostupných zdrojov. TP vlastní majetkový podiel v iných spoločnostiach, preto mu vzniká povinnosť zostavovať konsolidovanú účtovnú závierku. TP vlastní podiely v nasledujúcich spoločnostiach: BSP Bratislava – Schwechat pipeline GmbH, so sídlom v Rakúsku (74,00 % vlastník), Spoločnosť pre skladovanie, a.s. so sídlom na území SR (86,55 </w:t>
      </w:r>
      <w:r w:rsidR="00062DC2">
        <w:rPr>
          <w:rFonts w:ascii="Times New Roman" w:hAnsi="Times New Roman" w:cs="Times New Roman"/>
          <w:szCs w:val="24"/>
        </w:rPr>
        <w:t>% vlastník), ENERGOTEL, a.s. so </w:t>
      </w:r>
      <w:r w:rsidRPr="00473A17">
        <w:rPr>
          <w:rFonts w:ascii="Times New Roman" w:hAnsi="Times New Roman" w:cs="Times New Roman"/>
          <w:szCs w:val="24"/>
        </w:rPr>
        <w:t>sídlom na území SR (20,00 % vlastník) a SWS, s.r.o. so sídlom na území SR (48,85 % vlastník).</w:t>
      </w:r>
    </w:p>
    <w:p w:rsidR="00CE1C18" w:rsidRPr="00473A17" w:rsidP="00546D72">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Stav zamestnancov TP</w:t>
      </w:r>
      <w:r w:rsidR="00AC7136">
        <w:rPr>
          <w:rFonts w:ascii="Times New Roman" w:hAnsi="Times New Roman" w:cs="Times New Roman"/>
          <w:szCs w:val="24"/>
        </w:rPr>
        <w:t xml:space="preserve"> </w:t>
      </w:r>
      <w:r w:rsidRPr="00473A17">
        <w:rPr>
          <w:rFonts w:ascii="Times New Roman" w:hAnsi="Times New Roman" w:cs="Times New Roman"/>
          <w:szCs w:val="24"/>
        </w:rPr>
        <w:t>k 31. decembru 2014 bol 293.</w:t>
      </w:r>
    </w:p>
    <w:p w:rsidR="00414642">
      <w:pPr>
        <w:bidi w:val="0"/>
      </w:pPr>
      <w:bookmarkStart w:id="190" w:name="_Toc431985287"/>
      <w:bookmarkStart w:id="191" w:name="_Toc433099069"/>
      <w:bookmarkStart w:id="192" w:name="_Toc433099308"/>
      <w:bookmarkStart w:id="193" w:name="_Toc433099414"/>
      <w:bookmarkStart w:id="194" w:name="_Toc433099596"/>
      <w:r>
        <w:br w:type="page"/>
      </w:r>
    </w:p>
    <w:tbl>
      <w:tblPr>
        <w:tblStyle w:val="TableNormal"/>
        <w:tblW w:w="9115" w:type="dxa"/>
        <w:tblCellMar>
          <w:left w:w="70" w:type="dxa"/>
          <w:right w:w="70" w:type="dxa"/>
        </w:tblCellMar>
        <w:tblLook w:val="04A0"/>
      </w:tblPr>
      <w:tblGrid>
        <w:gridCol w:w="3402"/>
        <w:gridCol w:w="1560"/>
        <w:gridCol w:w="992"/>
        <w:gridCol w:w="850"/>
        <w:gridCol w:w="919"/>
        <w:gridCol w:w="1392"/>
      </w:tblGrid>
      <w:tr>
        <w:tblPrEx>
          <w:tblW w:w="9115" w:type="dxa"/>
          <w:tblCellMar>
            <w:left w:w="70" w:type="dxa"/>
            <w:right w:w="70" w:type="dxa"/>
          </w:tblCellMar>
          <w:tblLook w:val="04A0"/>
        </w:tblPrEx>
        <w:trPr>
          <w:trHeight w:val="258"/>
        </w:trPr>
        <w:tc>
          <w:tcPr>
            <w:tcW w:w="9115"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r w:rsidRPr="00473A17">
              <w:rPr>
                <w:rStyle w:val="Heading1Char"/>
                <w:b w:val="0"/>
                <w:color w:val="FFFFFF" w:themeColor="bg1" w:themeShade="FF"/>
                <w:sz w:val="20"/>
                <w:szCs w:val="20"/>
              </w:rPr>
              <w:t>Transpetro</w:t>
            </w:r>
            <w:r w:rsidRPr="00473A17">
              <w:rPr>
                <w:rStyle w:val="Heading1Char"/>
                <w:b w:val="0"/>
                <w:color w:val="FFFFFF" w:themeColor="bg1" w:themeShade="FF"/>
                <w:sz w:val="20"/>
                <w:szCs w:val="20"/>
              </w:rPr>
              <w:t>l, a.s.</w:t>
            </w:r>
            <w:bookmarkEnd w:id="190"/>
            <w:bookmarkEnd w:id="191"/>
            <w:bookmarkEnd w:id="192"/>
            <w:bookmarkEnd w:id="193"/>
            <w:bookmarkEnd w:id="194"/>
            <w:r w:rsidRPr="00473A17">
              <w:rPr>
                <w:rFonts w:ascii="Times New Roman" w:hAnsi="Times New Roman" w:cs="Times New Roman"/>
                <w:b/>
                <w:bCs/>
                <w:color w:val="FFFFFF"/>
                <w:sz w:val="20"/>
                <w:szCs w:val="20"/>
                <w:lang w:eastAsia="sk-SK"/>
              </w:rPr>
              <w:t xml:space="preserve"> - zmena VI 2013/2014 (v tis. eur)</w:t>
            </w:r>
          </w:p>
        </w:tc>
      </w:tr>
      <w:tr>
        <w:tblPrEx>
          <w:tblW w:w="9115" w:type="dxa"/>
          <w:tblCellMar>
            <w:left w:w="70" w:type="dxa"/>
            <w:right w:w="70" w:type="dxa"/>
          </w:tblCellMar>
          <w:tblLook w:val="04A0"/>
        </w:tblPrEx>
        <w:trPr>
          <w:trHeight w:val="516"/>
        </w:trPr>
        <w:tc>
          <w:tcPr>
            <w:tcW w:w="3402"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56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50"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91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92"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115" w:type="dxa"/>
          <w:tblCellMar>
            <w:left w:w="70" w:type="dxa"/>
            <w:right w:w="70" w:type="dxa"/>
          </w:tblCellMar>
          <w:tblLook w:val="04A0"/>
        </w:tblPrEx>
        <w:trPr>
          <w:trHeight w:val="258"/>
        </w:trPr>
        <w:tc>
          <w:tcPr>
            <w:tcW w:w="3402"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318 601</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6 958</w:t>
            </w: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-7 834</w:t>
            </w:r>
          </w:p>
        </w:tc>
        <w:tc>
          <w:tcPr>
            <w:tcW w:w="91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317 725</w:t>
            </w:r>
          </w:p>
        </w:tc>
      </w:tr>
      <w:tr>
        <w:tblPrEx>
          <w:tblW w:w="9115" w:type="dxa"/>
          <w:tblCellMar>
            <w:left w:w="70" w:type="dxa"/>
            <w:right w:w="70" w:type="dxa"/>
          </w:tblCellMar>
          <w:tblLook w:val="04A0"/>
        </w:tblPrEx>
        <w:trPr>
          <w:trHeight w:val="258"/>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130 851</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19"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130 851</w:t>
            </w:r>
          </w:p>
        </w:tc>
      </w:tr>
      <w:tr>
        <w:tblPrEx>
          <w:tblW w:w="9115" w:type="dxa"/>
          <w:tblCellMar>
            <w:left w:w="70" w:type="dxa"/>
            <w:right w:w="70" w:type="dxa"/>
          </w:tblCellMar>
          <w:tblLook w:val="04A0"/>
        </w:tblPrEx>
        <w:trPr>
          <w:trHeight w:val="258"/>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26 170</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19"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26 170</w:t>
            </w:r>
          </w:p>
        </w:tc>
      </w:tr>
      <w:tr>
        <w:tblPrEx>
          <w:tblW w:w="9115" w:type="dxa"/>
          <w:tblCellMar>
            <w:left w:w="70" w:type="dxa"/>
            <w:right w:w="70" w:type="dxa"/>
          </w:tblCellMar>
          <w:tblLook w:val="04A0"/>
        </w:tblPrEx>
        <w:trPr>
          <w:trHeight w:val="258"/>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Kapitálové fondy</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10 072</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919"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10 072</w:t>
            </w:r>
          </w:p>
        </w:tc>
      </w:tr>
      <w:tr>
        <w:tblPrEx>
          <w:tblW w:w="9115" w:type="dxa"/>
          <w:tblCellMar>
            <w:left w:w="70" w:type="dxa"/>
            <w:right w:w="70" w:type="dxa"/>
          </w:tblCellMar>
          <w:tblLook w:val="04A0"/>
        </w:tblPrEx>
        <w:trPr>
          <w:trHeight w:val="258"/>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Oceňovacie rozdiely</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535</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-622</w:t>
            </w:r>
          </w:p>
        </w:tc>
        <w:tc>
          <w:tcPr>
            <w:tcW w:w="91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3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-87</w:t>
            </w:r>
          </w:p>
        </w:tc>
      </w:tr>
      <w:tr>
        <w:tblPrEx>
          <w:tblW w:w="9115" w:type="dxa"/>
          <w:tblCellMar>
            <w:left w:w="70" w:type="dxa"/>
            <w:right w:w="70" w:type="dxa"/>
          </w:tblCellMar>
          <w:tblLook w:val="04A0"/>
        </w:tblPrEx>
        <w:trPr>
          <w:trHeight w:val="258"/>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Štatutárne a ostatné fondy</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124 386</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-24</w:t>
            </w:r>
          </w:p>
        </w:tc>
        <w:tc>
          <w:tcPr>
            <w:tcW w:w="91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3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124 362</w:t>
            </w:r>
          </w:p>
        </w:tc>
      </w:tr>
      <w:tr>
        <w:tblPrEx>
          <w:tblW w:w="9115" w:type="dxa"/>
          <w:tblCellMar>
            <w:left w:w="70" w:type="dxa"/>
            <w:right w:w="70" w:type="dxa"/>
          </w:tblCellMar>
          <w:tblLook w:val="04A0"/>
        </w:tblPrEx>
        <w:trPr>
          <w:trHeight w:val="258"/>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56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26 587</w:t>
            </w:r>
          </w:p>
        </w:tc>
        <w:tc>
          <w:tcPr>
            <w:tcW w:w="9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50"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-7 188</w:t>
            </w:r>
          </w:p>
        </w:tc>
        <w:tc>
          <w:tcPr>
            <w:tcW w:w="91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39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19 399</w:t>
            </w:r>
          </w:p>
        </w:tc>
      </w:tr>
      <w:tr>
        <w:tblPrEx>
          <w:tblW w:w="9115" w:type="dxa"/>
          <w:tblCellMar>
            <w:left w:w="70" w:type="dxa"/>
            <w:right w:w="70" w:type="dxa"/>
          </w:tblCellMar>
          <w:tblLook w:val="04A0"/>
        </w:tblPrEx>
        <w:trPr>
          <w:trHeight w:val="258"/>
        </w:trPr>
        <w:tc>
          <w:tcPr>
            <w:tcW w:w="3402"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56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6 958</w:t>
            </w:r>
          </w:p>
        </w:tc>
        <w:tc>
          <w:tcPr>
            <w:tcW w:w="850"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1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92"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6 958</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i/>
          <w:color w:val="FF0000"/>
          <w:sz w:val="16"/>
          <w:szCs w:val="16"/>
        </w:rPr>
        <w:tab/>
        <w:tab/>
        <w:tab/>
      </w:r>
      <w:r w:rsidRPr="00473A17">
        <w:rPr>
          <w:rFonts w:ascii="Times New Roman" w:hAnsi="Times New Roman" w:cs="Times New Roman"/>
          <w:color w:val="FF0000"/>
          <w:sz w:val="16"/>
          <w:szCs w:val="16"/>
        </w:rPr>
        <w:tab/>
        <w:tab/>
      </w:r>
      <w:r w:rsidRPr="00473A17">
        <w:rPr>
          <w:rFonts w:ascii="Times New Roman" w:hAnsi="Times New Roman" w:cs="Times New Roman"/>
          <w:i/>
          <w:iCs/>
          <w:sz w:val="16"/>
          <w:szCs w:val="16"/>
          <w:lang w:eastAsia="sk-SK"/>
        </w:rPr>
        <w:t>Zdroj: IÚZ</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 xml:space="preserve">TP </w:t>
      </w:r>
      <w:r w:rsidRPr="00473A17">
        <w:rPr>
          <w:rFonts w:ascii="Times New Roman" w:hAnsi="Times New Roman" w:cs="Times New Roman"/>
          <w:szCs w:val="24"/>
        </w:rPr>
        <w:t>sa v roku 2014 znížilo o 876 tis. eur najmä vplyvom vyplatenia dividendy vo výške 7 000 tis. eur, rozpustením oceňovacích rozdielov majetku a záväzkov, čerpaním z fondu odmien a vplyvom prídelu do sociálneho fondu vo výške 188 tis. eur. Negatívne vplyvy čiastočne eliminoval dosiahnutý zisk za bežné obdobie vo výške 6 958 tis. eur.</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Zisk zaznamenal pokles o 22,9 % hlavne z dôvodu absencie pozitívneho vplyvu oceňovacieho rozdielu z nepeňažného vkladu do Spoločnosti pre skladovanie, a.s., ktorý bol zúčtovaný v roku 2013. Negatívny vplyv mala aj absencia vysokého rozpustenie opravnej položky k vlastníckemu podielu v pridruženom podniku SWS, s.r.o., ktoré bolo zúčtované v roku 2013 (v roku 2014 bolo rozpustenie zúčtované v podstatne nižšej výške) a vyššia daň z príjmov (negatívny vplyv odloženej dane). Na zvyšovaní zisku sa naopak spolupodieľali vyššie výnosy z cenných papierov (v roku 2014 boli zúčtované bez vplyvu straty z predaja cenných papierov, ktorá bola v roku 2013) a úspora na nákladových položkách služieb najmä v oblasti opráv a údržby (pokles o 48,4 %) a v odborno-poradenských službách (pokles o 62,6 %). Úspora bola vykázaná aj v položkách odpisov vplyvom nižšieho stavu dlhodobého majetku z dôvodu prevodu majetku ako nepeňažného vkladu do Spoločnosti pre skladovanie, a.s. zrealizovaného počas roku 2013. </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Dcérska spoločnosť BSP bola založená za účelom národného záujmu a spolupráce v záujme zvýšenia energetickej bezpečnosti SR. Projekt výstavby ropovodu Bratislava – Schwechat (ďalej „BSP“) má za úlohu zásobovať rafinériu Schwechat ruskou ropou a v prípade kríz dodávať ropu reverzom do rafinérie Slovnaft, a.s. Projekt BSP pokračoval v realizácii aj počas roku 2014, kedy prebiehali rokovania so zainteresovanými stranami, ktoré pokračovali aj v roku 2015. Projekt sa zameriaval najmä na trasovanie ropovodu na území mesta Bratislava. Koncom roka 2014 bola podpísaná Dohoda medzi vládou Slovenska a Rakúska o spolupráci v oblasti dlhodobých dodávok ropy z Rakúska na Slovensko na 15 rokov.</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Spoločnosť pre skladovanie, a.s., vznikla v roku 2013 na podnet potreby zmeny spôsobu správy núdzových zásob ropy a ropných výrobkov v Slovenskej republike. </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Spoločnosť pre skladovanie, a.s. sa v roku 2013 stala spoluzakladateľom Agentúry pre núdzové stavy ropy a ropných produktov (ďalej „Agentúra“), ktorá vznikla s cieľom obstarávania a udržiavania núdzových zásob roby a ropných produktov pre potreby ich použitia v stave ropnej núdze, prípadne na plnenie medzinárodných záväzkov, ktoré má SR. Počas roka 2014 bola Agentúre poskytnutá návratná finančná výpomoc vo výške 520 000 tis. eur so splatnosťou do 16. decembra 2024.</w:t>
      </w:r>
    </w:p>
    <w:p w:rsidR="00CE1C18" w:rsidRPr="00473A17" w:rsidP="00473A17">
      <w:pPr>
        <w:bidi w:val="0"/>
        <w:spacing w:after="120" w:line="336" w:lineRule="auto"/>
        <w:jc w:val="both"/>
        <w:rPr>
          <w:rFonts w:ascii="Times New Roman" w:hAnsi="Times New Roman" w:cs="Times New Roman"/>
          <w:color w:val="FF0000"/>
          <w:szCs w:val="24"/>
        </w:rPr>
      </w:pPr>
      <w:r w:rsidRPr="00473A17">
        <w:rPr>
          <w:rFonts w:ascii="Times New Roman" w:hAnsi="Times New Roman" w:cs="Times New Roman"/>
          <w:b/>
          <w:szCs w:val="24"/>
        </w:rPr>
        <w:t>Všeobecná zdravotná poisťovňa, a.s.</w:t>
      </w:r>
      <w:r w:rsidRPr="00473A17">
        <w:rPr>
          <w:rFonts w:ascii="Times New Roman" w:hAnsi="Times New Roman" w:cs="Times New Roman"/>
          <w:szCs w:val="24"/>
        </w:rPr>
        <w:t xml:space="preserve"> (ďalej „VZP“) so sídlom Mamateyova 17, Bratislava, vznikla 1. júla 2005 transformáciou, v súlade so zákonom č. 581/2004 Z. z. o zdravotných poisťovniach, dohľade nad zdravotnou starostlivosťou a o zmene a doplnení niektorých zákonov v znení neskorších predpisov, formou nepeňažného vkladu dovtedajšej verejnoprávnej inštitúcie Všeobecná zdravotná poisťovňa. Od 1. januára 2010 je právnym nástupcom Spoločnej zdravotnej poisťovne, a.s., s ktorou sa týmto dňom zlúčila.</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Jediným vlastníkom VZP bol k 31. 12. 2014 štát, pričom práva štátu ako akcionára vykonávalo Ministerstvo zdravotníctva SR. Informácie prezentované nižšie sú čerpané z výročnej správy zostavenej v zmysle § 11 ods. 3 zákona č. 581/2004 Z. z. a z individuálnej účtovnej závierky poisťovne zostavenej za obdobie od 1. januára do 31. decembra 2014 vypracovanej v súlade so zákonom č. 431/2002 Z. z. o účtovníctve v znení neskorších predpisov, s opatrením Ministerstva financií SR z 30. novembra 2005 č. MF/22930/2005-74, ktorým sa ustanovujú podrobnosti o postupoch účtovania a rámcovej účtovej osnove pre zdravotné poisťovne, v znení neskorších predpisov a opatrením Ministerstva financií zo 14. decembra 2005 č. MF/22933/2005-74, ktorým sa ustanovujú podrobnosti o usporiadaní a označovaní položiek individuálnej účtovnej závierky, obsahovom vymedzení týchto položiek a rozsahu údajov určených z účtovnej závierky na zverejnenie pre zdravotné poisťovne, v znení neskorších predpisov. VZP nevlastní majetkové podiely v dcérskych spoločnostiach, preto jej nevzniká povinnosť zostavovať konsolidovanú účtovnú závierku. VZP vlastní podiely v nasledujúcich spoločnostiach s podstatným vplyvom: Slovenské liečebné kúpele Turčianske Teplice, a.s. (20,00 % vlastník), Kúpele Nimnica, a.s. (20,00 % vlastník), Kúpele Štós, a.s. (34,00 % vlastník), Kúpele Nový Smokovec, a.s. (34,00 % vlastník) a Kúpele Vyšné Ružbachy, a.s. (24,10 % vlastník). VZP vlastní cenné papiere – akcie s podielom pod 20 % na základnom imaní v</w:t>
      </w:r>
      <w:r w:rsidR="00EE6AC2">
        <w:rPr>
          <w:rFonts w:ascii="Times New Roman" w:hAnsi="Times New Roman" w:cs="Times New Roman"/>
          <w:szCs w:val="24"/>
        </w:rPr>
        <w:t> </w:t>
      </w:r>
      <w:r w:rsidRPr="00473A17">
        <w:rPr>
          <w:rFonts w:ascii="Times New Roman" w:hAnsi="Times New Roman" w:cs="Times New Roman"/>
          <w:szCs w:val="24"/>
        </w:rPr>
        <w:t>ďalších 8 kúpeľoch.</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Priemerný prepočítaný počet zamestnancov VZP k 31. decembru 2014 bol 2 056.</w:t>
      </w:r>
    </w:p>
    <w:tbl>
      <w:tblPr>
        <w:tblStyle w:val="TableNormal"/>
        <w:tblW w:w="9088" w:type="dxa"/>
        <w:tblCellMar>
          <w:left w:w="70" w:type="dxa"/>
          <w:right w:w="70" w:type="dxa"/>
        </w:tblCellMar>
        <w:tblLook w:val="04A0"/>
      </w:tblPr>
      <w:tblGrid>
        <w:gridCol w:w="3402"/>
        <w:gridCol w:w="1632"/>
        <w:gridCol w:w="979"/>
        <w:gridCol w:w="838"/>
        <w:gridCol w:w="848"/>
        <w:gridCol w:w="1389"/>
      </w:tblGrid>
      <w:tr>
        <w:tblPrEx>
          <w:tblW w:w="9088" w:type="dxa"/>
          <w:tblCellMar>
            <w:left w:w="70" w:type="dxa"/>
            <w:right w:w="70" w:type="dxa"/>
          </w:tblCellMar>
          <w:tblLook w:val="04A0"/>
        </w:tblPrEx>
        <w:trPr>
          <w:trHeight w:val="253"/>
        </w:trPr>
        <w:tc>
          <w:tcPr>
            <w:tcW w:w="9088" w:type="dxa"/>
            <w:gridSpan w:val="6"/>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FFFFFF"/>
                <w:sz w:val="20"/>
                <w:szCs w:val="20"/>
                <w:lang w:eastAsia="sk-SK"/>
              </w:rPr>
            </w:pPr>
            <w:bookmarkStart w:id="195" w:name="_Toc431985288"/>
            <w:bookmarkStart w:id="196" w:name="_Toc433099070"/>
            <w:bookmarkStart w:id="197" w:name="_Toc433099309"/>
            <w:bookmarkStart w:id="198" w:name="_Toc433099415"/>
            <w:bookmarkStart w:id="199" w:name="_Toc433099597"/>
            <w:r w:rsidRPr="00473A17">
              <w:rPr>
                <w:rStyle w:val="Heading1Char"/>
                <w:rFonts w:hint="default"/>
                <w:b w:val="0"/>
                <w:color w:val="FFFFFF" w:themeColor="bg1" w:themeShade="FF"/>
                <w:sz w:val="20"/>
                <w:szCs w:val="20"/>
              </w:rPr>
              <w:t>Vš</w:t>
            </w:r>
            <w:r w:rsidRPr="00473A17">
              <w:rPr>
                <w:rStyle w:val="Heading1Char"/>
                <w:rFonts w:hint="default"/>
                <w:b w:val="0"/>
                <w:color w:val="FFFFFF" w:themeColor="bg1" w:themeShade="FF"/>
                <w:sz w:val="20"/>
                <w:szCs w:val="20"/>
              </w:rPr>
              <w:t>eobecná</w:t>
            </w:r>
            <w:r w:rsidRPr="00473A17">
              <w:rPr>
                <w:rStyle w:val="Heading1Char"/>
                <w:rFonts w:hint="default"/>
                <w:b w:val="0"/>
                <w:color w:val="FFFFFF" w:themeColor="bg1" w:themeShade="FF"/>
                <w:sz w:val="20"/>
                <w:szCs w:val="20"/>
              </w:rPr>
              <w:t xml:space="preserve"> zdravotná</w:t>
            </w:r>
            <w:r w:rsidRPr="00473A17">
              <w:rPr>
                <w:rStyle w:val="Heading1Char"/>
                <w:rFonts w:hint="default"/>
                <w:b w:val="0"/>
                <w:color w:val="FFFFFF" w:themeColor="bg1" w:themeShade="FF"/>
                <w:sz w:val="20"/>
                <w:szCs w:val="20"/>
              </w:rPr>
              <w:t xml:space="preserve"> poisť</w:t>
            </w:r>
            <w:r w:rsidRPr="00473A17">
              <w:rPr>
                <w:rStyle w:val="Heading1Char"/>
                <w:rFonts w:hint="default"/>
                <w:b w:val="0"/>
                <w:color w:val="FFFFFF" w:themeColor="bg1" w:themeShade="FF"/>
                <w:sz w:val="20"/>
                <w:szCs w:val="20"/>
              </w:rPr>
              <w:t>ovň</w:t>
            </w:r>
            <w:r w:rsidRPr="00473A17">
              <w:rPr>
                <w:rStyle w:val="Heading1Char"/>
                <w:rFonts w:hint="default"/>
                <w:b w:val="0"/>
                <w:color w:val="FFFFFF" w:themeColor="bg1" w:themeShade="FF"/>
                <w:sz w:val="20"/>
                <w:szCs w:val="20"/>
              </w:rPr>
              <w:t>a, a.s.</w:t>
            </w:r>
            <w:bookmarkEnd w:id="195"/>
            <w:bookmarkEnd w:id="196"/>
            <w:bookmarkEnd w:id="197"/>
            <w:bookmarkEnd w:id="198"/>
            <w:bookmarkEnd w:id="199"/>
            <w:r w:rsidRPr="00473A17">
              <w:rPr>
                <w:rFonts w:ascii="Times New Roman" w:hAnsi="Times New Roman" w:cs="Times New Roman"/>
                <w:b/>
                <w:bCs/>
                <w:color w:val="FFFFFF"/>
                <w:sz w:val="20"/>
                <w:szCs w:val="20"/>
                <w:lang w:eastAsia="sk-SK"/>
              </w:rPr>
              <w:t xml:space="preserve"> - zmena VI 2013/2014 (v tis. eur)</w:t>
            </w:r>
          </w:p>
        </w:tc>
      </w:tr>
      <w:tr>
        <w:tblPrEx>
          <w:tblW w:w="9088" w:type="dxa"/>
          <w:tblCellMar>
            <w:left w:w="70" w:type="dxa"/>
            <w:right w:w="70" w:type="dxa"/>
          </w:tblCellMar>
          <w:tblLook w:val="04A0"/>
        </w:tblPrEx>
        <w:trPr>
          <w:trHeight w:val="507"/>
        </w:trPr>
        <w:tc>
          <w:tcPr>
            <w:tcW w:w="3402" w:type="dxa"/>
            <w:tcBorders>
              <w:top w:val="nil"/>
              <w:left w:val="nil"/>
              <w:bottom w:val="single" w:sz="4" w:space="0" w:color="auto"/>
              <w:right w:val="nil"/>
            </w:tcBorders>
            <w:noWrap/>
            <w:textDirection w:val="lrTb"/>
            <w:vAlign w:val="center"/>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 </w:t>
            </w:r>
          </w:p>
        </w:tc>
        <w:tc>
          <w:tcPr>
            <w:tcW w:w="1632"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začiatku obdobia</w:t>
            </w:r>
          </w:p>
        </w:tc>
        <w:tc>
          <w:tcPr>
            <w:tcW w:w="97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Prírastky</w:t>
            </w:r>
          </w:p>
        </w:tc>
        <w:tc>
          <w:tcPr>
            <w:tcW w:w="838"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Úbytky</w:t>
            </w:r>
          </w:p>
        </w:tc>
        <w:tc>
          <w:tcPr>
            <w:tcW w:w="848"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Presuny</w:t>
            </w:r>
          </w:p>
        </w:tc>
        <w:tc>
          <w:tcPr>
            <w:tcW w:w="1389" w:type="dxa"/>
            <w:tcBorders>
              <w:top w:val="nil"/>
              <w:left w:val="nil"/>
              <w:bottom w:val="single" w:sz="4" w:space="0" w:color="auto"/>
              <w:right w:val="nil"/>
            </w:tcBorders>
            <w:textDirection w:val="lrTb"/>
            <w:vAlign w:val="center"/>
            <w:hideMark/>
          </w:tcPr>
          <w:p w:rsidR="00CE1C18" w:rsidRPr="00473A17" w:rsidP="007324B7">
            <w:pPr>
              <w:bidi w:val="0"/>
              <w:spacing w:after="0" w:line="240" w:lineRule="auto"/>
              <w:jc w:val="center"/>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Stav na konci obdobia</w:t>
            </w:r>
          </w:p>
        </w:tc>
      </w:tr>
      <w:tr>
        <w:tblPrEx>
          <w:tblW w:w="9088" w:type="dxa"/>
          <w:tblCellMar>
            <w:left w:w="70" w:type="dxa"/>
            <w:right w:w="70" w:type="dxa"/>
          </w:tblCellMar>
          <w:tblLook w:val="04A0"/>
        </w:tblPrEx>
        <w:trPr>
          <w:trHeight w:val="253"/>
        </w:trPr>
        <w:tc>
          <w:tcPr>
            <w:tcW w:w="3402"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Vlastné imanie</w:t>
            </w:r>
          </w:p>
        </w:tc>
        <w:tc>
          <w:tcPr>
            <w:tcW w:w="163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68 967</w:t>
            </w:r>
          </w:p>
        </w:tc>
        <w:tc>
          <w:tcPr>
            <w:tcW w:w="97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16 685</w:t>
            </w:r>
          </w:p>
        </w:tc>
        <w:tc>
          <w:tcPr>
            <w:tcW w:w="838"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23 393</w:t>
            </w:r>
          </w:p>
        </w:tc>
        <w:tc>
          <w:tcPr>
            <w:tcW w:w="848"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0</w:t>
            </w:r>
          </w:p>
        </w:tc>
        <w:tc>
          <w:tcPr>
            <w:tcW w:w="138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b/>
                <w:bCs/>
                <w:color w:val="000000"/>
                <w:sz w:val="20"/>
                <w:szCs w:val="20"/>
                <w:lang w:eastAsia="sk-SK"/>
              </w:rPr>
            </w:pPr>
            <w:r w:rsidRPr="00473A17">
              <w:rPr>
                <w:rFonts w:ascii="Times New Roman" w:hAnsi="Times New Roman" w:cs="Times New Roman"/>
                <w:b/>
                <w:bCs/>
                <w:color w:val="000000"/>
                <w:sz w:val="20"/>
                <w:szCs w:val="20"/>
                <w:lang w:eastAsia="sk-SK"/>
              </w:rPr>
              <w:t>109 045</w:t>
            </w:r>
          </w:p>
        </w:tc>
      </w:tr>
      <w:tr>
        <w:tblPrEx>
          <w:tblW w:w="9088" w:type="dxa"/>
          <w:tblCellMar>
            <w:left w:w="70" w:type="dxa"/>
            <w:right w:w="70" w:type="dxa"/>
          </w:tblCellMar>
          <w:tblLook w:val="04A0"/>
        </w:tblPrEx>
        <w:trPr>
          <w:trHeight w:val="25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Základné imanie</w:t>
            </w:r>
          </w:p>
        </w:tc>
        <w:tc>
          <w:tcPr>
            <w:tcW w:w="163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161 180</w:t>
            </w:r>
          </w:p>
        </w:tc>
        <w:tc>
          <w:tcPr>
            <w:tcW w:w="97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38"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8"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161 180</w:t>
            </w:r>
          </w:p>
        </w:tc>
      </w:tr>
      <w:tr>
        <w:tblPrEx>
          <w:tblW w:w="9088" w:type="dxa"/>
          <w:tblCellMar>
            <w:left w:w="70" w:type="dxa"/>
            <w:right w:w="70" w:type="dxa"/>
          </w:tblCellMar>
          <w:tblLook w:val="04A0"/>
        </w:tblPrEx>
        <w:trPr>
          <w:trHeight w:val="25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Zákonný rezervný fond</w:t>
            </w:r>
          </w:p>
        </w:tc>
        <w:tc>
          <w:tcPr>
            <w:tcW w:w="163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0</w:t>
            </w:r>
          </w:p>
        </w:tc>
        <w:tc>
          <w:tcPr>
            <w:tcW w:w="97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38"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-15 586</w:t>
            </w:r>
          </w:p>
        </w:tc>
        <w:tc>
          <w:tcPr>
            <w:tcW w:w="848"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15 586</w:t>
            </w:r>
          </w:p>
        </w:tc>
        <w:tc>
          <w:tcPr>
            <w:tcW w:w="138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0</w:t>
            </w:r>
          </w:p>
        </w:tc>
      </w:tr>
      <w:tr>
        <w:tblPrEx>
          <w:tblW w:w="9088" w:type="dxa"/>
          <w:tblCellMar>
            <w:left w:w="70" w:type="dxa"/>
            <w:right w:w="70" w:type="dxa"/>
          </w:tblCellMar>
          <w:tblLook w:val="04A0"/>
        </w:tblPrEx>
        <w:trPr>
          <w:trHeight w:val="25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Ostatné fondy</w:t>
            </w:r>
          </w:p>
        </w:tc>
        <w:tc>
          <w:tcPr>
            <w:tcW w:w="163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263</w:t>
            </w:r>
          </w:p>
        </w:tc>
        <w:tc>
          <w:tcPr>
            <w:tcW w:w="97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38"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-82</w:t>
            </w:r>
          </w:p>
        </w:tc>
        <w:tc>
          <w:tcPr>
            <w:tcW w:w="848"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138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181</w:t>
            </w:r>
          </w:p>
        </w:tc>
      </w:tr>
      <w:tr>
        <w:tblPrEx>
          <w:tblW w:w="9088" w:type="dxa"/>
          <w:tblCellMar>
            <w:left w:w="70" w:type="dxa"/>
            <w:right w:w="70" w:type="dxa"/>
          </w:tblCellMar>
          <w:tblLook w:val="04A0"/>
        </w:tblPrEx>
        <w:trPr>
          <w:trHeight w:val="25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Oceňovacie rozdiely</w:t>
            </w:r>
          </w:p>
        </w:tc>
        <w:tc>
          <w:tcPr>
            <w:tcW w:w="163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0</w:t>
            </w:r>
          </w:p>
        </w:tc>
        <w:tc>
          <w:tcPr>
            <w:tcW w:w="97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4 601</w:t>
            </w:r>
          </w:p>
        </w:tc>
        <w:tc>
          <w:tcPr>
            <w:tcW w:w="838"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48"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4 601</w:t>
            </w:r>
          </w:p>
        </w:tc>
      </w:tr>
      <w:tr>
        <w:tblPrEx>
          <w:tblW w:w="9088" w:type="dxa"/>
          <w:tblCellMar>
            <w:left w:w="70" w:type="dxa"/>
            <w:right w:w="70" w:type="dxa"/>
          </w:tblCellMar>
          <w:tblLook w:val="04A0"/>
        </w:tblPrEx>
        <w:trPr>
          <w:trHeight w:val="25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Štatutárne a ostatné fondy</w:t>
            </w:r>
          </w:p>
        </w:tc>
        <w:tc>
          <w:tcPr>
            <w:tcW w:w="163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0</w:t>
            </w:r>
          </w:p>
        </w:tc>
        <w:tc>
          <w:tcPr>
            <w:tcW w:w="97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38"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848" w:type="dxa"/>
            <w:tcBorders>
              <w:top w:val="nil"/>
              <w:left w:val="nil"/>
              <w:bottom w:val="nil"/>
              <w:right w:val="nil"/>
            </w:tcBorders>
            <w:noWrap/>
            <w:textDirection w:val="lrTb"/>
            <w:vAlign w:val="bottom"/>
            <w:hideMark/>
          </w:tcPr>
          <w:p w:rsidR="00CE1C18" w:rsidRPr="00473A17" w:rsidP="007324B7">
            <w:pPr>
              <w:bidi w:val="0"/>
              <w:spacing w:after="0" w:line="240" w:lineRule="auto"/>
              <w:rPr>
                <w:rFonts w:ascii="Times New Roman" w:hAnsi="Times New Roman" w:cs="Times New Roman"/>
                <w:sz w:val="20"/>
                <w:szCs w:val="20"/>
                <w:lang w:eastAsia="sk-SK"/>
              </w:rPr>
            </w:pPr>
          </w:p>
        </w:tc>
        <w:tc>
          <w:tcPr>
            <w:tcW w:w="138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0</w:t>
            </w:r>
          </w:p>
        </w:tc>
      </w:tr>
      <w:tr>
        <w:tblPrEx>
          <w:tblW w:w="9088" w:type="dxa"/>
          <w:tblCellMar>
            <w:left w:w="70" w:type="dxa"/>
            <w:right w:w="70" w:type="dxa"/>
          </w:tblCellMar>
          <w:tblLook w:val="04A0"/>
        </w:tblPrEx>
        <w:trPr>
          <w:trHeight w:val="253"/>
        </w:trPr>
        <w:tc>
          <w:tcPr>
            <w:tcW w:w="3402" w:type="dxa"/>
            <w:tcBorders>
              <w:top w:val="nil"/>
              <w:left w:val="nil"/>
              <w:bottom w:val="nil"/>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Nerozdelený zisk/neuhradená strata</w:t>
            </w:r>
          </w:p>
        </w:tc>
        <w:tc>
          <w:tcPr>
            <w:tcW w:w="1632"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-92 476</w:t>
            </w:r>
          </w:p>
        </w:tc>
        <w:tc>
          <w:tcPr>
            <w:tcW w:w="97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p>
        </w:tc>
        <w:tc>
          <w:tcPr>
            <w:tcW w:w="838"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39 061</w:t>
            </w:r>
          </w:p>
        </w:tc>
        <w:tc>
          <w:tcPr>
            <w:tcW w:w="848"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-15 586</w:t>
            </w:r>
          </w:p>
        </w:tc>
        <w:tc>
          <w:tcPr>
            <w:tcW w:w="1389" w:type="dxa"/>
            <w:tcBorders>
              <w:top w:val="nil"/>
              <w:left w:val="nil"/>
              <w:bottom w:val="nil"/>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-69 001</w:t>
            </w:r>
          </w:p>
        </w:tc>
      </w:tr>
      <w:tr>
        <w:tblPrEx>
          <w:tblW w:w="9088" w:type="dxa"/>
          <w:tblCellMar>
            <w:left w:w="70" w:type="dxa"/>
            <w:right w:w="70" w:type="dxa"/>
          </w:tblCellMar>
          <w:tblLook w:val="04A0"/>
        </w:tblPrEx>
        <w:trPr>
          <w:trHeight w:val="253"/>
        </w:trPr>
        <w:tc>
          <w:tcPr>
            <w:tcW w:w="3402" w:type="dxa"/>
            <w:tcBorders>
              <w:top w:val="nil"/>
              <w:left w:val="nil"/>
              <w:bottom w:val="single" w:sz="4" w:space="0" w:color="auto"/>
              <w:right w:val="nil"/>
            </w:tcBorders>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Výsledok bežného obdobia</w:t>
            </w:r>
          </w:p>
        </w:tc>
        <w:tc>
          <w:tcPr>
            <w:tcW w:w="1632"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97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12 084</w:t>
            </w:r>
          </w:p>
        </w:tc>
        <w:tc>
          <w:tcPr>
            <w:tcW w:w="838"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848"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 </w:t>
            </w:r>
          </w:p>
        </w:tc>
        <w:tc>
          <w:tcPr>
            <w:tcW w:w="1389" w:type="dxa"/>
            <w:tcBorders>
              <w:top w:val="nil"/>
              <w:left w:val="nil"/>
              <w:bottom w:val="single" w:sz="4" w:space="0" w:color="auto"/>
              <w:right w:val="nil"/>
            </w:tcBorders>
            <w:noWrap/>
            <w:textDirection w:val="lrTb"/>
            <w:vAlign w:val="bottom"/>
            <w:hideMark/>
          </w:tcPr>
          <w:p w:rsidR="00CE1C18" w:rsidRPr="00473A17" w:rsidP="007324B7">
            <w:pPr>
              <w:bidi w:val="0"/>
              <w:spacing w:after="0" w:line="240" w:lineRule="auto"/>
              <w:jc w:val="right"/>
              <w:rPr>
                <w:rFonts w:ascii="Times New Roman" w:hAnsi="Times New Roman" w:cs="Times New Roman"/>
                <w:color w:val="000000"/>
                <w:sz w:val="20"/>
                <w:szCs w:val="20"/>
                <w:lang w:eastAsia="sk-SK"/>
              </w:rPr>
            </w:pPr>
            <w:r w:rsidRPr="00473A17">
              <w:rPr>
                <w:rFonts w:ascii="Times New Roman" w:hAnsi="Times New Roman" w:cs="Times New Roman"/>
                <w:color w:val="000000"/>
                <w:sz w:val="20"/>
                <w:szCs w:val="20"/>
                <w:lang w:eastAsia="sk-SK"/>
              </w:rPr>
              <w:t>12 084</w:t>
            </w:r>
          </w:p>
        </w:tc>
      </w:tr>
    </w:tbl>
    <w:p w:rsidR="00CE1C18" w:rsidRPr="00473A17" w:rsidP="00CE1C18">
      <w:pPr>
        <w:bidi w:val="0"/>
        <w:jc w:val="right"/>
        <w:rPr>
          <w:rFonts w:ascii="Times New Roman" w:hAnsi="Times New Roman" w:cs="Times New Roman"/>
          <w:sz w:val="16"/>
          <w:szCs w:val="16"/>
        </w:rPr>
      </w:pPr>
      <w:r w:rsidRPr="00473A17">
        <w:rPr>
          <w:rFonts w:ascii="Times New Roman" w:hAnsi="Times New Roman" w:cs="Times New Roman"/>
          <w:sz w:val="16"/>
          <w:szCs w:val="16"/>
        </w:rPr>
        <w:t xml:space="preserve"> </w:t>
      </w:r>
      <w:r w:rsidRPr="00473A17">
        <w:rPr>
          <w:rFonts w:ascii="Times New Roman" w:hAnsi="Times New Roman" w:cs="Times New Roman"/>
          <w:i/>
          <w:iCs/>
          <w:sz w:val="16"/>
          <w:szCs w:val="16"/>
          <w:lang w:eastAsia="sk-SK"/>
        </w:rPr>
        <w:t>Zdroj: IÚZ</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 xml:space="preserve">Vlastné imanie </w:t>
      </w:r>
      <w:r w:rsidRPr="00473A17">
        <w:rPr>
          <w:rFonts w:ascii="Times New Roman" w:hAnsi="Times New Roman" w:cs="Times New Roman"/>
          <w:b/>
          <w:szCs w:val="24"/>
        </w:rPr>
        <w:t>VZP</w:t>
      </w:r>
      <w:r w:rsidRPr="00473A17">
        <w:rPr>
          <w:rFonts w:ascii="Times New Roman" w:hAnsi="Times New Roman" w:cs="Times New Roman"/>
          <w:szCs w:val="24"/>
        </w:rPr>
        <w:t xml:space="preserve"> sa v roku 2014 zvýšilo o 40 078 tis. eur najmä vplyvom dosiahnutého zisku za bežné obdobie vo výške 12 084 tis. eur, rozdielu medzi odhadovaným a skutočným ročným zúčtovaním so štátom vo výške 10 187 tis. eur, dopadu zmeny metodiky účtovania odhadov poistného na tzv. nepokryté obdobie vo výške 13 288 tis. eur a vplyvom oceňovacích rozdielov z cenných papierov vo výške 4 601 tis. eur (precenenie kúpeľov metódou vlastného imania). Negatívny vplyv bol zaznamenaný pri čerpaní fondu zdravotnej starostlivosti za účelom financovania zdravotnej starostlivosti zameranej na prevenciu a diagnostiku.</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Zisk bežného obdobia medziročne klesol o 22,5 % najmä z dôvodu vyššieho rastu nákladov na poistné plnenie ako rastu výnosov z poistného (rozdiel -7 721 tis. eur), rast nákladov bol vykázaný najmä na výkony zariadení ústavnej starostlivosti. Pokles ostatných technických výnosov bol spôsobený najmä nižšími výnosmi z odpísaných pohľadávok. Pokles v ostatných technických a prevádzkových nákladov vo veľkej miera ovplyvnila nižšia tvorba rezerv na súdne spory, na prevádzkovú činnosť a pokles odpisov.</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Poistný kmeň VZP sa v roku 2014 zmenšil – priemerný evidovaný počet poistencov v roku 2014 bol 3 318 084, čo v porovnaní s minulým rokom bolo menej o 12 895 osôb, pričom z uvedeného počtu poistencov bolo 49,00 % mužov a 51,00 % žien. Štruktúra poistného kmeňa v roku 2014 bola nasledovná: 57,97 % poistenci štátu; 33,91 % zamestnanci; 6,94 % samostatne zárobkovo činné osoby; 1,18 % ostatní.</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Z pohľadu počtu uzatvorených a ukončených poistných vzťahov v roku 2014 bol prechod do iných poisťovní o 10 285 osôb nižší ako počet poistencov, ktorý podali prihlášku do VZP. Úbytok poistencov z iných dôvodov ako prechodu do inej poisťovne bol o 6 002 osôb vyšší, pričom úbytok osôb z dôvodu úmrtia bol o 12 657 vyšší ako prírastok novonarodených poistencov, prírastok bol zaznamenaný na vyššom príchode poistencov z cudziny ako odchode do cudziny (o 2 081 poistencov) a tiež bol vyšší príchod poistencov z EÚ ako odchod do EÚ (o 4 574 poistencov).</w:t>
      </w:r>
    </w:p>
    <w:p w:rsidR="00CE1C18" w:rsidRPr="00473A17" w:rsidP="00473A17">
      <w:pPr>
        <w:bidi w:val="0"/>
        <w:spacing w:after="120" w:line="336" w:lineRule="auto"/>
        <w:jc w:val="both"/>
        <w:rPr>
          <w:rFonts w:ascii="Times New Roman" w:hAnsi="Times New Roman" w:cs="Times New Roman"/>
          <w:szCs w:val="24"/>
        </w:rPr>
      </w:pPr>
      <w:r w:rsidRPr="00473A17">
        <w:rPr>
          <w:rFonts w:ascii="Times New Roman" w:hAnsi="Times New Roman" w:cs="Times New Roman"/>
          <w:szCs w:val="24"/>
        </w:rPr>
        <w:t>Objem príjmov VZP, ktorý v roku 2014 dosiahol výšku 2 759 015</w:t>
      </w:r>
      <w:r w:rsidR="008746F2">
        <w:rPr>
          <w:rFonts w:ascii="Times New Roman" w:hAnsi="Times New Roman" w:cs="Times New Roman"/>
          <w:szCs w:val="24"/>
        </w:rPr>
        <w:t xml:space="preserve"> tis. eur, sa medziročne zvýšil</w:t>
        <w:br/>
      </w:r>
      <w:r w:rsidRPr="00473A17">
        <w:rPr>
          <w:rFonts w:ascii="Times New Roman" w:hAnsi="Times New Roman" w:cs="Times New Roman"/>
          <w:szCs w:val="24"/>
        </w:rPr>
        <w:t>o 2,01 %, pričom priemerná výška príjmu na 1 poistenca na mesiac medziročne vzrástla zo 67,66 eur (rok 2013) na 69,29 eur (rok 2014). V roku 2014 sa zmenila aj štruktúra príjmov: vzrástol podiel príjmu z poistného od ekonomicky aktívny poistencov o 2,52 %, klesol podiel príjmov z poistného od poistencov štátu o 1,99 % a podiel príjmov z prerozdelenia poistného od iných zdravotných poisťovní klesol o 0,47 %. V roku 2014 sa zvýšil aj počet zmluvných poskytovateľov zdravotnej starostlivosti, s ktorými mala VZP uzatvorenú zmluvu.</w:t>
      </w:r>
    </w:p>
    <w:p w:rsidR="00FF584C" w:rsidP="00A66C04">
      <w:pPr>
        <w:pStyle w:val="Heading3"/>
        <w:bidi w:val="0"/>
      </w:pPr>
      <w:bookmarkStart w:id="200" w:name="_Toc433099598"/>
      <w:bookmarkStart w:id="201" w:name="_Toc399324374"/>
      <w:bookmarkStart w:id="202" w:name="_Toc401920030"/>
      <w:bookmarkEnd w:id="74"/>
      <w:r>
        <w:rPr>
          <w:rFonts w:hint="default"/>
        </w:rPr>
        <w:t>Vlastné</w:t>
      </w:r>
      <w:r>
        <w:rPr>
          <w:rFonts w:hint="default"/>
        </w:rPr>
        <w:t xml:space="preserve"> imanie N</w:t>
      </w:r>
      <w:r w:rsidR="00FF6EA9">
        <w:rPr>
          <w:rFonts w:hint="default"/>
        </w:rPr>
        <w:t>á</w:t>
      </w:r>
      <w:r w:rsidR="00FF6EA9">
        <w:rPr>
          <w:rFonts w:hint="default"/>
        </w:rPr>
        <w:t>rodnej banky Slovenska</w:t>
      </w:r>
      <w:bookmarkEnd w:id="200"/>
    </w:p>
    <w:p w:rsidR="006C021C" w:rsidRPr="00CF43A5" w:rsidP="006C021C">
      <w:pPr>
        <w:bidi w:val="0"/>
        <w:spacing w:after="120" w:line="336" w:lineRule="auto"/>
        <w:jc w:val="both"/>
        <w:rPr>
          <w:rFonts w:ascii="Times New Roman" w:hAnsi="Times New Roman" w:cs="Times New Roman"/>
          <w:szCs w:val="22"/>
        </w:rPr>
      </w:pPr>
      <w:r w:rsidRPr="00CF43A5">
        <w:rPr>
          <w:rFonts w:ascii="Times New Roman" w:hAnsi="Times New Roman" w:cs="Times New Roman"/>
          <w:b/>
          <w:szCs w:val="22"/>
        </w:rPr>
        <w:t xml:space="preserve">Národná banka Slovenska </w:t>
      </w:r>
      <w:r w:rsidRPr="00CF43A5">
        <w:rPr>
          <w:rFonts w:ascii="Times New Roman" w:hAnsi="Times New Roman" w:cs="Times New Roman"/>
          <w:szCs w:val="22"/>
        </w:rPr>
        <w:t>(ďalej „NBS“), so sídlom Imricha Karvaša 1, Bratislava, bola ako štátny orgán zriadená na základe zákona č. 566/1992 Zb. o Národnej banke Slovenska v znení neskorších predpisov ako výsledok intenzívnych príprav jej vytvorenia, ktoré začali v júli 1992 po uzavretí politickej dohody o zániku Česko – Slovenskej federatívnej republiky. Svoju činnosť začala 1.</w:t>
      </w:r>
      <w:r w:rsidR="008746F2">
        <w:rPr>
          <w:rFonts w:ascii="Times New Roman" w:hAnsi="Times New Roman" w:cs="Times New Roman"/>
          <w:szCs w:val="22"/>
        </w:rPr>
        <w:t> </w:t>
      </w:r>
      <w:r w:rsidRPr="00CF43A5">
        <w:rPr>
          <w:rFonts w:ascii="Times New Roman" w:hAnsi="Times New Roman" w:cs="Times New Roman"/>
          <w:szCs w:val="22"/>
        </w:rPr>
        <w:t>januára 1993. Zavedením eura na Slovensku k 1. januáru 2009 sa NBS stala riadnym členom Eurosystému a riadi sa Protokolom o štatúte Európskeho systému centrálnych bánk a Európskej centrálnej banky.</w:t>
      </w:r>
    </w:p>
    <w:p w:rsidR="006C021C" w:rsidRPr="00CF43A5" w:rsidP="006C021C">
      <w:pPr>
        <w:bidi w:val="0"/>
        <w:spacing w:after="120" w:line="336" w:lineRule="auto"/>
        <w:jc w:val="both"/>
        <w:rPr>
          <w:rFonts w:ascii="Times New Roman" w:hAnsi="Times New Roman" w:cs="Times New Roman"/>
          <w:szCs w:val="22"/>
        </w:rPr>
      </w:pPr>
      <w:r w:rsidRPr="00CF43A5">
        <w:rPr>
          <w:rFonts w:ascii="Times New Roman" w:hAnsi="Times New Roman" w:cs="Times New Roman"/>
          <w:szCs w:val="22"/>
        </w:rPr>
        <w:t>Informácie prezentované nižšie sú čerpané z výročnej správy, z verejne dostupných zdrojov a z individuálnej účtovnej závierky banky zostavenej za obdobie od 1. januára do 31. decembra 2014 vypracovanej v súlade s Usmernením Európskej centrálnej banky z 11. novembra 2010 o právnom rámci pre účtovníctvo a finančné výkazníctvo v Európskom systéme centrálnych bánk č. ECB/2010/20 v znení neskorších predpisov. Pri účtovaní transakcií, ktoré Usmernenie neupravuje postupuje banka v súlade s Medzinárodnými štandardmi pre finančné vykazovanie, prípadne podľa zákona č. 431/2002 Z. z. o účtovníctve v znení neskorších predpisov.</w:t>
      </w:r>
    </w:p>
    <w:p w:rsidR="006C021C" w:rsidRPr="00CF43A5" w:rsidP="006C021C">
      <w:pPr>
        <w:bidi w:val="0"/>
        <w:spacing w:after="120" w:line="336" w:lineRule="auto"/>
        <w:jc w:val="both"/>
        <w:rPr>
          <w:rFonts w:ascii="Times New Roman" w:hAnsi="Times New Roman" w:cs="Times New Roman"/>
          <w:szCs w:val="22"/>
        </w:rPr>
      </w:pPr>
      <w:r w:rsidRPr="00CF43A5">
        <w:rPr>
          <w:rFonts w:ascii="Times New Roman" w:hAnsi="Times New Roman" w:cs="Times New Roman"/>
          <w:szCs w:val="22"/>
        </w:rPr>
        <w:t>Priemerný prepočítaný počet zamestnancov NBS za rok 2014 bol 1 008.</w:t>
      </w:r>
    </w:p>
    <w:p w:rsidR="006C021C" w:rsidRPr="00CF43A5" w:rsidP="006C021C">
      <w:pPr>
        <w:bidi w:val="0"/>
        <w:spacing w:after="120" w:line="336" w:lineRule="auto"/>
        <w:jc w:val="both"/>
        <w:rPr>
          <w:rFonts w:ascii="Times New Roman" w:hAnsi="Times New Roman" w:cs="Times New Roman"/>
          <w:szCs w:val="22"/>
        </w:rPr>
      </w:pPr>
      <w:r w:rsidRPr="00CF43A5">
        <w:rPr>
          <w:rFonts w:ascii="Times New Roman" w:hAnsi="Times New Roman" w:cs="Times New Roman"/>
          <w:szCs w:val="22"/>
        </w:rPr>
        <w:t>Výsledok činnosti bežného obdobia NBS ovplyvňoval vývoj podnikateľského prostredia eurozóny, ktoré v podmienkach bankového sektora ovplyvňuje svojou činnosťou predovšetkým Európska centrálna banka. Vplyv prostredia, ktorý sa prejavil vo výsledku NBS počas roka 2014 bol najmä pokles základnej úrokovej sadzby ECB, ako reakcia na pretrvávajúcu nízku mieru inflácie s cieľom oživenia eurozóny. Ďalší faktor nezanedbateľného vplyvu je realizácia jednotnej menovej politiky v rámci Eurosystému a prechod na Jednotný mechanizmus bankového dohľadu. Počas roku 2014 nastala aj významná zmena v oblasti platobného styku, a to prechod na spoločný európsky platobný trh (SEPA), v rámci ktorého sa od februára 2014 realizujú všetky bezhotovostné úhrady a inkasá v 33 európskych krajinách rovnako efektívne ako domáce platby.</w:t>
      </w:r>
    </w:p>
    <w:tbl>
      <w:tblPr>
        <w:tblStyle w:val="TableNormal"/>
        <w:tblW w:w="9073" w:type="dxa"/>
        <w:tblCellMar>
          <w:left w:w="70" w:type="dxa"/>
          <w:right w:w="70" w:type="dxa"/>
        </w:tblCellMar>
        <w:tblLook w:val="04A0"/>
      </w:tblPr>
      <w:tblGrid>
        <w:gridCol w:w="3261"/>
        <w:gridCol w:w="1559"/>
        <w:gridCol w:w="992"/>
        <w:gridCol w:w="975"/>
        <w:gridCol w:w="840"/>
        <w:gridCol w:w="1446"/>
      </w:tblGrid>
      <w:tr>
        <w:tblPrEx>
          <w:tblW w:w="9073" w:type="dxa"/>
          <w:tblCellMar>
            <w:left w:w="70" w:type="dxa"/>
            <w:right w:w="70" w:type="dxa"/>
          </w:tblCellMar>
          <w:tblLook w:val="04A0"/>
        </w:tblPrEx>
        <w:trPr>
          <w:trHeight w:val="253"/>
        </w:trPr>
        <w:tc>
          <w:tcPr>
            <w:tcW w:w="9073" w:type="dxa"/>
            <w:gridSpan w:val="6"/>
            <w:tcBorders>
              <w:top w:val="nil"/>
              <w:left w:val="nil"/>
              <w:bottom w:val="nil"/>
              <w:right w:val="nil"/>
            </w:tcBorders>
            <w:noWrap/>
            <w:textDirection w:val="lrTb"/>
            <w:vAlign w:val="bottom"/>
            <w:hideMark/>
          </w:tcPr>
          <w:p w:rsidR="006C021C" w:rsidRPr="00CF43A5" w:rsidP="00FF6EA9">
            <w:pPr>
              <w:bidi w:val="0"/>
              <w:spacing w:after="0" w:line="240" w:lineRule="auto"/>
              <w:rPr>
                <w:rFonts w:ascii="Times New Roman" w:hAnsi="Times New Roman" w:cs="Times New Roman"/>
                <w:b/>
                <w:bCs/>
                <w:color w:val="FFFFFF"/>
                <w:sz w:val="20"/>
                <w:szCs w:val="20"/>
                <w:lang w:eastAsia="sk-SK"/>
              </w:rPr>
            </w:pPr>
            <w:bookmarkStart w:id="203" w:name="_Toc431985289"/>
            <w:bookmarkStart w:id="204" w:name="_Toc433099072"/>
            <w:bookmarkStart w:id="205" w:name="_Toc433099311"/>
            <w:bookmarkStart w:id="206" w:name="_Toc433099417"/>
            <w:bookmarkStart w:id="207" w:name="_Toc433099599"/>
            <w:r w:rsidRPr="00CF43A5">
              <w:rPr>
                <w:rStyle w:val="Heading1Char"/>
                <w:rFonts w:hint="default"/>
                <w:b w:val="0"/>
                <w:color w:val="FFFFFF" w:themeColor="bg1" w:themeShade="FF"/>
                <w:sz w:val="20"/>
                <w:szCs w:val="20"/>
              </w:rPr>
              <w:t>Ná</w:t>
            </w:r>
            <w:r w:rsidRPr="00CF43A5">
              <w:rPr>
                <w:rStyle w:val="Heading1Char"/>
                <w:rFonts w:hint="default"/>
                <w:b w:val="0"/>
                <w:color w:val="FFFFFF" w:themeColor="bg1" w:themeShade="FF"/>
                <w:sz w:val="20"/>
                <w:szCs w:val="20"/>
              </w:rPr>
              <w:t>rodná</w:t>
            </w:r>
            <w:r w:rsidRPr="00CF43A5">
              <w:rPr>
                <w:rStyle w:val="Heading1Char"/>
                <w:rFonts w:hint="default"/>
                <w:b w:val="0"/>
                <w:color w:val="FFFFFF" w:themeColor="bg1" w:themeShade="FF"/>
                <w:sz w:val="20"/>
                <w:szCs w:val="20"/>
              </w:rPr>
              <w:t xml:space="preserve"> banka Slovenska</w:t>
            </w:r>
            <w:bookmarkEnd w:id="203"/>
            <w:bookmarkEnd w:id="204"/>
            <w:bookmarkEnd w:id="205"/>
            <w:bookmarkEnd w:id="206"/>
            <w:bookmarkEnd w:id="207"/>
            <w:r w:rsidRPr="00CF43A5">
              <w:rPr>
                <w:rFonts w:ascii="Times New Roman" w:hAnsi="Times New Roman" w:cs="Times New Roman"/>
                <w:b/>
                <w:bCs/>
                <w:color w:val="FFFFFF"/>
                <w:sz w:val="20"/>
                <w:szCs w:val="20"/>
                <w:lang w:eastAsia="sk-SK"/>
              </w:rPr>
              <w:t xml:space="preserve"> - zmena VI 2013/2014 (v tis. eur)</w:t>
            </w:r>
          </w:p>
        </w:tc>
      </w:tr>
      <w:tr>
        <w:tblPrEx>
          <w:tblW w:w="9073" w:type="dxa"/>
          <w:tblCellMar>
            <w:left w:w="70" w:type="dxa"/>
            <w:right w:w="70" w:type="dxa"/>
          </w:tblCellMar>
          <w:tblLook w:val="04A0"/>
        </w:tblPrEx>
        <w:trPr>
          <w:trHeight w:val="506"/>
        </w:trPr>
        <w:tc>
          <w:tcPr>
            <w:tcW w:w="3261" w:type="dxa"/>
            <w:tcBorders>
              <w:top w:val="nil"/>
              <w:left w:val="nil"/>
              <w:bottom w:val="single" w:sz="4" w:space="0" w:color="auto"/>
              <w:right w:val="nil"/>
            </w:tcBorders>
            <w:noWrap/>
            <w:textDirection w:val="lrTb"/>
            <w:vAlign w:val="center"/>
            <w:hideMark/>
          </w:tcPr>
          <w:p w:rsidR="006C021C" w:rsidRPr="00CF43A5" w:rsidP="007324B7">
            <w:pPr>
              <w:bidi w:val="0"/>
              <w:spacing w:after="0" w:line="240" w:lineRule="auto"/>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 </w:t>
            </w:r>
          </w:p>
        </w:tc>
        <w:tc>
          <w:tcPr>
            <w:tcW w:w="1559" w:type="dxa"/>
            <w:tcBorders>
              <w:top w:val="nil"/>
              <w:left w:val="nil"/>
              <w:bottom w:val="single" w:sz="4" w:space="0" w:color="auto"/>
              <w:right w:val="nil"/>
            </w:tcBorders>
            <w:textDirection w:val="lrTb"/>
            <w:vAlign w:val="center"/>
            <w:hideMark/>
          </w:tcPr>
          <w:p w:rsidR="006C021C" w:rsidRPr="00CF43A5" w:rsidP="007324B7">
            <w:pPr>
              <w:bidi w:val="0"/>
              <w:spacing w:after="0" w:line="240" w:lineRule="auto"/>
              <w:jc w:val="center"/>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Stav na začiatku obdobia</w:t>
            </w:r>
          </w:p>
        </w:tc>
        <w:tc>
          <w:tcPr>
            <w:tcW w:w="992" w:type="dxa"/>
            <w:tcBorders>
              <w:top w:val="nil"/>
              <w:left w:val="nil"/>
              <w:bottom w:val="single" w:sz="4" w:space="0" w:color="auto"/>
              <w:right w:val="nil"/>
            </w:tcBorders>
            <w:textDirection w:val="lrTb"/>
            <w:vAlign w:val="center"/>
            <w:hideMark/>
          </w:tcPr>
          <w:p w:rsidR="006C021C" w:rsidRPr="00CF43A5" w:rsidP="007324B7">
            <w:pPr>
              <w:bidi w:val="0"/>
              <w:spacing w:after="0" w:line="240" w:lineRule="auto"/>
              <w:jc w:val="center"/>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Prírastky</w:t>
            </w:r>
          </w:p>
        </w:tc>
        <w:tc>
          <w:tcPr>
            <w:tcW w:w="975" w:type="dxa"/>
            <w:tcBorders>
              <w:top w:val="nil"/>
              <w:left w:val="nil"/>
              <w:bottom w:val="single" w:sz="4" w:space="0" w:color="auto"/>
              <w:right w:val="nil"/>
            </w:tcBorders>
            <w:textDirection w:val="lrTb"/>
            <w:vAlign w:val="center"/>
            <w:hideMark/>
          </w:tcPr>
          <w:p w:rsidR="006C021C" w:rsidRPr="00CF43A5" w:rsidP="007324B7">
            <w:pPr>
              <w:bidi w:val="0"/>
              <w:spacing w:after="0" w:line="240" w:lineRule="auto"/>
              <w:jc w:val="center"/>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Úbytky</w:t>
            </w:r>
          </w:p>
        </w:tc>
        <w:tc>
          <w:tcPr>
            <w:tcW w:w="840" w:type="dxa"/>
            <w:tcBorders>
              <w:top w:val="nil"/>
              <w:left w:val="nil"/>
              <w:bottom w:val="single" w:sz="4" w:space="0" w:color="auto"/>
              <w:right w:val="nil"/>
            </w:tcBorders>
            <w:textDirection w:val="lrTb"/>
            <w:vAlign w:val="center"/>
            <w:hideMark/>
          </w:tcPr>
          <w:p w:rsidR="006C021C" w:rsidRPr="00CF43A5" w:rsidP="007324B7">
            <w:pPr>
              <w:bidi w:val="0"/>
              <w:spacing w:after="0" w:line="240" w:lineRule="auto"/>
              <w:jc w:val="center"/>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Presuny</w:t>
            </w:r>
          </w:p>
        </w:tc>
        <w:tc>
          <w:tcPr>
            <w:tcW w:w="1446" w:type="dxa"/>
            <w:tcBorders>
              <w:top w:val="nil"/>
              <w:left w:val="nil"/>
              <w:bottom w:val="single" w:sz="4" w:space="0" w:color="auto"/>
              <w:right w:val="nil"/>
            </w:tcBorders>
            <w:textDirection w:val="lrTb"/>
            <w:vAlign w:val="center"/>
            <w:hideMark/>
          </w:tcPr>
          <w:p w:rsidR="006C021C" w:rsidRPr="00CF43A5" w:rsidP="007324B7">
            <w:pPr>
              <w:bidi w:val="0"/>
              <w:spacing w:after="0" w:line="240" w:lineRule="auto"/>
              <w:jc w:val="center"/>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Stav na konci obdobia</w:t>
            </w:r>
          </w:p>
        </w:tc>
      </w:tr>
      <w:tr>
        <w:tblPrEx>
          <w:tblW w:w="9073" w:type="dxa"/>
          <w:tblCellMar>
            <w:left w:w="70" w:type="dxa"/>
            <w:right w:w="70" w:type="dxa"/>
          </w:tblCellMar>
          <w:tblLook w:val="04A0"/>
        </w:tblPrEx>
        <w:trPr>
          <w:trHeight w:val="253"/>
        </w:trPr>
        <w:tc>
          <w:tcPr>
            <w:tcW w:w="3261" w:type="dxa"/>
            <w:tcBorders>
              <w:top w:val="nil"/>
              <w:left w:val="nil"/>
              <w:bottom w:val="nil"/>
              <w:right w:val="nil"/>
            </w:tcBorders>
            <w:noWrap/>
            <w:textDirection w:val="lrTb"/>
            <w:vAlign w:val="bottom"/>
            <w:hideMark/>
          </w:tcPr>
          <w:p w:rsidR="006C021C" w:rsidRPr="00CF43A5" w:rsidP="007324B7">
            <w:pPr>
              <w:bidi w:val="0"/>
              <w:spacing w:after="0" w:line="240" w:lineRule="auto"/>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Vlastné imanie</w:t>
            </w:r>
          </w:p>
        </w:tc>
        <w:tc>
          <w:tcPr>
            <w:tcW w:w="1559"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-3 671 207</w:t>
            </w:r>
          </w:p>
        </w:tc>
        <w:tc>
          <w:tcPr>
            <w:tcW w:w="992"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447 728</w:t>
            </w:r>
          </w:p>
        </w:tc>
        <w:tc>
          <w:tcPr>
            <w:tcW w:w="975"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-193 742</w:t>
            </w:r>
          </w:p>
        </w:tc>
        <w:tc>
          <w:tcPr>
            <w:tcW w:w="840"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0</w:t>
            </w:r>
          </w:p>
        </w:tc>
        <w:tc>
          <w:tcPr>
            <w:tcW w:w="1446"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b/>
                <w:bCs/>
                <w:color w:val="000000"/>
                <w:sz w:val="20"/>
                <w:szCs w:val="20"/>
                <w:lang w:eastAsia="sk-SK"/>
              </w:rPr>
            </w:pPr>
            <w:r w:rsidRPr="00CF43A5">
              <w:rPr>
                <w:rFonts w:ascii="Times New Roman" w:hAnsi="Times New Roman" w:cs="Times New Roman"/>
                <w:b/>
                <w:bCs/>
                <w:color w:val="000000"/>
                <w:sz w:val="20"/>
                <w:szCs w:val="20"/>
                <w:lang w:eastAsia="sk-SK"/>
              </w:rPr>
              <w:t>-3 417 221</w:t>
            </w:r>
          </w:p>
        </w:tc>
      </w:tr>
      <w:tr>
        <w:tblPrEx>
          <w:tblW w:w="9073" w:type="dxa"/>
          <w:tblCellMar>
            <w:left w:w="70" w:type="dxa"/>
            <w:right w:w="70" w:type="dxa"/>
          </w:tblCellMar>
          <w:tblLook w:val="04A0"/>
        </w:tblPrEx>
        <w:trPr>
          <w:trHeight w:val="253"/>
        </w:trPr>
        <w:tc>
          <w:tcPr>
            <w:tcW w:w="3261" w:type="dxa"/>
            <w:tcBorders>
              <w:top w:val="nil"/>
              <w:left w:val="nil"/>
              <w:bottom w:val="nil"/>
              <w:right w:val="nil"/>
            </w:tcBorders>
            <w:textDirection w:val="lrTb"/>
            <w:vAlign w:val="bottom"/>
            <w:hideMark/>
          </w:tcPr>
          <w:p w:rsidR="006C021C" w:rsidRPr="00CF43A5" w:rsidP="007324B7">
            <w:pPr>
              <w:bidi w:val="0"/>
              <w:spacing w:after="0" w:line="240" w:lineRule="auto"/>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Základné imanie a rezervné fondy</w:t>
            </w:r>
          </w:p>
        </w:tc>
        <w:tc>
          <w:tcPr>
            <w:tcW w:w="1559"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357 797</w:t>
            </w:r>
          </w:p>
        </w:tc>
        <w:tc>
          <w:tcPr>
            <w:tcW w:w="992"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p>
        </w:tc>
        <w:tc>
          <w:tcPr>
            <w:tcW w:w="975" w:type="dxa"/>
            <w:tcBorders>
              <w:top w:val="nil"/>
              <w:left w:val="nil"/>
              <w:bottom w:val="nil"/>
              <w:right w:val="nil"/>
            </w:tcBorders>
            <w:noWrap/>
            <w:textDirection w:val="lrTb"/>
            <w:vAlign w:val="bottom"/>
            <w:hideMark/>
          </w:tcPr>
          <w:p w:rsidR="006C021C" w:rsidRPr="00CF43A5"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6C021C" w:rsidRPr="00CF43A5" w:rsidP="007324B7">
            <w:pPr>
              <w:bidi w:val="0"/>
              <w:spacing w:after="0" w:line="240" w:lineRule="auto"/>
              <w:rPr>
                <w:rFonts w:ascii="Times New Roman" w:hAnsi="Times New Roman" w:cs="Times New Roman"/>
                <w:sz w:val="20"/>
                <w:szCs w:val="20"/>
                <w:lang w:eastAsia="sk-SK"/>
              </w:rPr>
            </w:pPr>
          </w:p>
        </w:tc>
        <w:tc>
          <w:tcPr>
            <w:tcW w:w="1446"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357 797</w:t>
            </w:r>
          </w:p>
        </w:tc>
      </w:tr>
      <w:tr>
        <w:tblPrEx>
          <w:tblW w:w="9073" w:type="dxa"/>
          <w:tblCellMar>
            <w:left w:w="70" w:type="dxa"/>
            <w:right w:w="70" w:type="dxa"/>
          </w:tblCellMar>
          <w:tblLook w:val="04A0"/>
        </w:tblPrEx>
        <w:trPr>
          <w:trHeight w:val="253"/>
        </w:trPr>
        <w:tc>
          <w:tcPr>
            <w:tcW w:w="3261" w:type="dxa"/>
            <w:tcBorders>
              <w:top w:val="nil"/>
              <w:left w:val="nil"/>
              <w:bottom w:val="nil"/>
              <w:right w:val="nil"/>
            </w:tcBorders>
            <w:textDirection w:val="lrTb"/>
            <w:vAlign w:val="bottom"/>
            <w:hideMark/>
          </w:tcPr>
          <w:p w:rsidR="006C021C" w:rsidRPr="00CF43A5" w:rsidP="007324B7">
            <w:pPr>
              <w:bidi w:val="0"/>
              <w:spacing w:after="0" w:line="240" w:lineRule="auto"/>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Účty precenenia</w:t>
            </w:r>
          </w:p>
        </w:tc>
        <w:tc>
          <w:tcPr>
            <w:tcW w:w="1559"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887 603</w:t>
            </w:r>
          </w:p>
        </w:tc>
        <w:tc>
          <w:tcPr>
            <w:tcW w:w="992"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345 535</w:t>
            </w:r>
          </w:p>
        </w:tc>
        <w:tc>
          <w:tcPr>
            <w:tcW w:w="975"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-193 742</w:t>
            </w:r>
          </w:p>
        </w:tc>
        <w:tc>
          <w:tcPr>
            <w:tcW w:w="840"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p>
        </w:tc>
        <w:tc>
          <w:tcPr>
            <w:tcW w:w="1446"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1 039 396</w:t>
            </w:r>
          </w:p>
        </w:tc>
      </w:tr>
      <w:tr>
        <w:tblPrEx>
          <w:tblW w:w="9073" w:type="dxa"/>
          <w:tblCellMar>
            <w:left w:w="70" w:type="dxa"/>
            <w:right w:w="70" w:type="dxa"/>
          </w:tblCellMar>
          <w:tblLook w:val="04A0"/>
        </w:tblPrEx>
        <w:trPr>
          <w:trHeight w:val="253"/>
        </w:trPr>
        <w:tc>
          <w:tcPr>
            <w:tcW w:w="3261" w:type="dxa"/>
            <w:tcBorders>
              <w:top w:val="nil"/>
              <w:left w:val="nil"/>
              <w:bottom w:val="nil"/>
              <w:right w:val="nil"/>
            </w:tcBorders>
            <w:textDirection w:val="lrTb"/>
            <w:vAlign w:val="bottom"/>
            <w:hideMark/>
          </w:tcPr>
          <w:p w:rsidR="006C021C" w:rsidRPr="00CF43A5" w:rsidP="007324B7">
            <w:pPr>
              <w:bidi w:val="0"/>
              <w:spacing w:after="0" w:line="240" w:lineRule="auto"/>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Nerozdelený zisk/neuhradená strata</w:t>
            </w:r>
          </w:p>
        </w:tc>
        <w:tc>
          <w:tcPr>
            <w:tcW w:w="1559"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-4 916 607</w:t>
            </w:r>
          </w:p>
        </w:tc>
        <w:tc>
          <w:tcPr>
            <w:tcW w:w="992"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p>
        </w:tc>
        <w:tc>
          <w:tcPr>
            <w:tcW w:w="975" w:type="dxa"/>
            <w:tcBorders>
              <w:top w:val="nil"/>
              <w:left w:val="nil"/>
              <w:bottom w:val="nil"/>
              <w:right w:val="nil"/>
            </w:tcBorders>
            <w:noWrap/>
            <w:textDirection w:val="lrTb"/>
            <w:vAlign w:val="bottom"/>
            <w:hideMark/>
          </w:tcPr>
          <w:p w:rsidR="006C021C" w:rsidRPr="00CF43A5" w:rsidP="007324B7">
            <w:pPr>
              <w:bidi w:val="0"/>
              <w:spacing w:after="0" w:line="240" w:lineRule="auto"/>
              <w:rPr>
                <w:rFonts w:ascii="Times New Roman" w:hAnsi="Times New Roman" w:cs="Times New Roman"/>
                <w:sz w:val="20"/>
                <w:szCs w:val="20"/>
                <w:lang w:eastAsia="sk-SK"/>
              </w:rPr>
            </w:pPr>
          </w:p>
        </w:tc>
        <w:tc>
          <w:tcPr>
            <w:tcW w:w="840" w:type="dxa"/>
            <w:tcBorders>
              <w:top w:val="nil"/>
              <w:left w:val="nil"/>
              <w:bottom w:val="nil"/>
              <w:right w:val="nil"/>
            </w:tcBorders>
            <w:noWrap/>
            <w:textDirection w:val="lrTb"/>
            <w:vAlign w:val="bottom"/>
            <w:hideMark/>
          </w:tcPr>
          <w:p w:rsidR="006C021C" w:rsidRPr="00CF43A5" w:rsidP="007324B7">
            <w:pPr>
              <w:bidi w:val="0"/>
              <w:spacing w:after="0" w:line="240" w:lineRule="auto"/>
              <w:rPr>
                <w:rFonts w:ascii="Times New Roman" w:hAnsi="Times New Roman" w:cs="Times New Roman"/>
                <w:sz w:val="20"/>
                <w:szCs w:val="20"/>
                <w:lang w:eastAsia="sk-SK"/>
              </w:rPr>
            </w:pPr>
          </w:p>
        </w:tc>
        <w:tc>
          <w:tcPr>
            <w:tcW w:w="1446" w:type="dxa"/>
            <w:tcBorders>
              <w:top w:val="nil"/>
              <w:left w:val="nil"/>
              <w:bottom w:val="nil"/>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-4 916 607</w:t>
            </w:r>
          </w:p>
        </w:tc>
      </w:tr>
      <w:tr>
        <w:tblPrEx>
          <w:tblW w:w="9073" w:type="dxa"/>
          <w:tblCellMar>
            <w:left w:w="70" w:type="dxa"/>
            <w:right w:w="70" w:type="dxa"/>
          </w:tblCellMar>
          <w:tblLook w:val="04A0"/>
        </w:tblPrEx>
        <w:trPr>
          <w:trHeight w:val="253"/>
        </w:trPr>
        <w:tc>
          <w:tcPr>
            <w:tcW w:w="3261" w:type="dxa"/>
            <w:tcBorders>
              <w:top w:val="nil"/>
              <w:left w:val="nil"/>
              <w:bottom w:val="single" w:sz="4" w:space="0" w:color="auto"/>
              <w:right w:val="nil"/>
            </w:tcBorders>
            <w:textDirection w:val="lrTb"/>
            <w:vAlign w:val="bottom"/>
            <w:hideMark/>
          </w:tcPr>
          <w:p w:rsidR="006C021C" w:rsidRPr="00CF43A5" w:rsidP="007324B7">
            <w:pPr>
              <w:bidi w:val="0"/>
              <w:spacing w:after="0" w:line="240" w:lineRule="auto"/>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Výsledok bežného obdobia</w:t>
            </w:r>
          </w:p>
        </w:tc>
        <w:tc>
          <w:tcPr>
            <w:tcW w:w="1559" w:type="dxa"/>
            <w:tcBorders>
              <w:top w:val="nil"/>
              <w:left w:val="nil"/>
              <w:bottom w:val="single" w:sz="4" w:space="0" w:color="auto"/>
              <w:right w:val="nil"/>
            </w:tcBorders>
            <w:noWrap/>
            <w:textDirection w:val="lrTb"/>
            <w:vAlign w:val="bottom"/>
            <w:hideMark/>
          </w:tcPr>
          <w:p w:rsidR="006C021C" w:rsidRPr="00CF43A5" w:rsidP="007324B7">
            <w:pPr>
              <w:bidi w:val="0"/>
              <w:spacing w:after="0" w:line="240" w:lineRule="auto"/>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 </w:t>
            </w:r>
          </w:p>
        </w:tc>
        <w:tc>
          <w:tcPr>
            <w:tcW w:w="992" w:type="dxa"/>
            <w:tcBorders>
              <w:top w:val="nil"/>
              <w:left w:val="nil"/>
              <w:bottom w:val="single" w:sz="4" w:space="0" w:color="auto"/>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102 193</w:t>
            </w:r>
          </w:p>
        </w:tc>
        <w:tc>
          <w:tcPr>
            <w:tcW w:w="975" w:type="dxa"/>
            <w:tcBorders>
              <w:top w:val="nil"/>
              <w:left w:val="nil"/>
              <w:bottom w:val="single" w:sz="4" w:space="0" w:color="auto"/>
              <w:right w:val="nil"/>
            </w:tcBorders>
            <w:noWrap/>
            <w:textDirection w:val="lrTb"/>
            <w:vAlign w:val="bottom"/>
            <w:hideMark/>
          </w:tcPr>
          <w:p w:rsidR="006C021C" w:rsidRPr="00CF43A5" w:rsidP="007324B7">
            <w:pPr>
              <w:bidi w:val="0"/>
              <w:spacing w:after="0" w:line="240" w:lineRule="auto"/>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 </w:t>
            </w:r>
          </w:p>
        </w:tc>
        <w:tc>
          <w:tcPr>
            <w:tcW w:w="840" w:type="dxa"/>
            <w:tcBorders>
              <w:top w:val="nil"/>
              <w:left w:val="nil"/>
              <w:bottom w:val="single" w:sz="4" w:space="0" w:color="auto"/>
              <w:right w:val="nil"/>
            </w:tcBorders>
            <w:noWrap/>
            <w:textDirection w:val="lrTb"/>
            <w:vAlign w:val="bottom"/>
            <w:hideMark/>
          </w:tcPr>
          <w:p w:rsidR="006C021C" w:rsidRPr="00CF43A5" w:rsidP="007324B7">
            <w:pPr>
              <w:bidi w:val="0"/>
              <w:spacing w:after="0" w:line="240" w:lineRule="auto"/>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 </w:t>
            </w:r>
          </w:p>
        </w:tc>
        <w:tc>
          <w:tcPr>
            <w:tcW w:w="1446" w:type="dxa"/>
            <w:tcBorders>
              <w:top w:val="nil"/>
              <w:left w:val="nil"/>
              <w:bottom w:val="single" w:sz="4" w:space="0" w:color="auto"/>
              <w:right w:val="nil"/>
            </w:tcBorders>
            <w:noWrap/>
            <w:textDirection w:val="lrTb"/>
            <w:vAlign w:val="bottom"/>
            <w:hideMark/>
          </w:tcPr>
          <w:p w:rsidR="006C021C" w:rsidRPr="00CF43A5" w:rsidP="007324B7">
            <w:pPr>
              <w:bidi w:val="0"/>
              <w:spacing w:after="0" w:line="240" w:lineRule="auto"/>
              <w:jc w:val="right"/>
              <w:rPr>
                <w:rFonts w:ascii="Times New Roman" w:hAnsi="Times New Roman" w:cs="Times New Roman"/>
                <w:color w:val="000000"/>
                <w:sz w:val="20"/>
                <w:szCs w:val="20"/>
                <w:lang w:eastAsia="sk-SK"/>
              </w:rPr>
            </w:pPr>
            <w:r w:rsidRPr="00CF43A5">
              <w:rPr>
                <w:rFonts w:ascii="Times New Roman" w:hAnsi="Times New Roman" w:cs="Times New Roman"/>
                <w:color w:val="000000"/>
                <w:sz w:val="20"/>
                <w:szCs w:val="20"/>
                <w:lang w:eastAsia="sk-SK"/>
              </w:rPr>
              <w:t>102 193</w:t>
            </w:r>
          </w:p>
        </w:tc>
      </w:tr>
    </w:tbl>
    <w:p w:rsidR="006C021C" w:rsidRPr="00CF43A5" w:rsidP="006C021C">
      <w:pPr>
        <w:bidi w:val="0"/>
        <w:jc w:val="right"/>
        <w:rPr>
          <w:rFonts w:ascii="Times New Roman" w:hAnsi="Times New Roman" w:cs="Times New Roman"/>
          <w:i/>
          <w:iCs/>
          <w:sz w:val="16"/>
          <w:szCs w:val="16"/>
          <w:lang w:eastAsia="sk-SK"/>
        </w:rPr>
      </w:pPr>
      <w:r w:rsidRPr="00CF43A5">
        <w:rPr>
          <w:rFonts w:ascii="Times New Roman" w:hAnsi="Times New Roman" w:cs="Times New Roman"/>
          <w:i/>
          <w:iCs/>
          <w:sz w:val="16"/>
          <w:szCs w:val="16"/>
          <w:lang w:eastAsia="sk-SK"/>
        </w:rPr>
        <w:t>Zdroj: IÚZ</w:t>
      </w:r>
    </w:p>
    <w:p w:rsidR="006C021C" w:rsidRPr="00CF43A5" w:rsidP="006C021C">
      <w:pPr>
        <w:bidi w:val="0"/>
        <w:spacing w:after="120" w:line="336" w:lineRule="auto"/>
        <w:jc w:val="both"/>
        <w:rPr>
          <w:rFonts w:ascii="Times New Roman" w:hAnsi="Times New Roman" w:cs="Times New Roman"/>
          <w:szCs w:val="22"/>
        </w:rPr>
      </w:pPr>
      <w:r w:rsidRPr="00CF43A5">
        <w:rPr>
          <w:rFonts w:ascii="Times New Roman" w:hAnsi="Times New Roman" w:cs="Times New Roman"/>
          <w:szCs w:val="22"/>
        </w:rPr>
        <w:t xml:space="preserve">Vlastné imanie </w:t>
      </w:r>
      <w:r w:rsidRPr="00CF43A5">
        <w:rPr>
          <w:rFonts w:ascii="Times New Roman" w:hAnsi="Times New Roman" w:cs="Times New Roman"/>
          <w:b/>
          <w:szCs w:val="22"/>
        </w:rPr>
        <w:t xml:space="preserve">NBS </w:t>
      </w:r>
      <w:r w:rsidRPr="00CF43A5">
        <w:rPr>
          <w:rFonts w:ascii="Times New Roman" w:hAnsi="Times New Roman" w:cs="Times New Roman"/>
          <w:szCs w:val="22"/>
        </w:rPr>
        <w:t>sa v roku 2014 zvýšilo o 253 986 tis. eur vplyvom zisku bežného obdobia vo výške 102 193 tis. eur a navýšenia stavu účtov precenenia o 151 793 tis. eur.</w:t>
      </w:r>
    </w:p>
    <w:p w:rsidR="006C021C" w:rsidRPr="00CF43A5" w:rsidP="006C021C">
      <w:pPr>
        <w:bidi w:val="0"/>
        <w:spacing w:after="120" w:line="336" w:lineRule="auto"/>
        <w:jc w:val="both"/>
        <w:rPr>
          <w:rFonts w:ascii="Times New Roman" w:hAnsi="Times New Roman" w:cs="Times New Roman"/>
          <w:szCs w:val="22"/>
        </w:rPr>
      </w:pPr>
      <w:r w:rsidRPr="00CF43A5">
        <w:rPr>
          <w:rFonts w:ascii="Times New Roman" w:hAnsi="Times New Roman" w:cs="Times New Roman"/>
          <w:szCs w:val="22"/>
        </w:rPr>
        <w:t>Zisk bežného obdobia zaznamenal pokles o 79,1 % najmä vplyvom poklesu zisku z finančných činností v dôsledku poklesu zisku zo správy investičných rezerv, výkonu menovej politiky a navýšenia všeobecnej rezervy na finančné straty (4,4 násobný rast).</w:t>
      </w:r>
    </w:p>
    <w:p w:rsidR="006C021C" w:rsidRPr="00CF43A5" w:rsidP="006C021C">
      <w:pPr>
        <w:bidi w:val="0"/>
        <w:spacing w:after="120" w:line="336" w:lineRule="auto"/>
        <w:jc w:val="both"/>
        <w:rPr>
          <w:rFonts w:ascii="Times New Roman" w:hAnsi="Times New Roman" w:cs="Times New Roman"/>
          <w:szCs w:val="22"/>
        </w:rPr>
      </w:pPr>
      <w:r w:rsidRPr="00CF43A5">
        <w:rPr>
          <w:rFonts w:ascii="Times New Roman" w:hAnsi="Times New Roman" w:cs="Times New Roman"/>
          <w:szCs w:val="22"/>
        </w:rPr>
        <w:t>Zisk zo správy investičných rezerv</w:t>
      </w:r>
      <w:r>
        <w:rPr>
          <w:rStyle w:val="FootnoteReference"/>
          <w:rFonts w:ascii="Times New Roman" w:hAnsi="Times New Roman"/>
          <w:szCs w:val="22"/>
          <w:rtl w:val="0"/>
        </w:rPr>
        <w:footnoteReference w:id="11"/>
      </w:r>
      <w:r w:rsidRPr="00CF43A5">
        <w:rPr>
          <w:rFonts w:ascii="Times New Roman" w:hAnsi="Times New Roman" w:cs="Times New Roman"/>
          <w:szCs w:val="22"/>
        </w:rPr>
        <w:t xml:space="preserve"> klesol o 43,2 % hlavne z dôvodu nižších výnosov z úrokov z operácií s cennými papiermi (dôsledok zníženia </w:t>
      </w:r>
      <w:r w:rsidR="00FF6EA9">
        <w:rPr>
          <w:rFonts w:ascii="Times New Roman" w:hAnsi="Times New Roman" w:cs="Times New Roman"/>
          <w:szCs w:val="22"/>
        </w:rPr>
        <w:t xml:space="preserve">základnej úrokovej sadzby ECB, objemu </w:t>
      </w:r>
      <w:r w:rsidRPr="00CF43A5">
        <w:rPr>
          <w:rFonts w:ascii="Times New Roman" w:hAnsi="Times New Roman" w:cs="Times New Roman"/>
          <w:szCs w:val="22"/>
        </w:rPr>
        <w:t>cenných papierov – pokles z dôvod predaja najmä v kategórii cenných papierov na obchodovanie emitovaných peňažnými finančnými inštitúciami a verejnou správou eurozóny a zmeny štruktúry portfólia – klesol podiel investičného portfólia denominovaného v EUR v prospech rastu podielu cenných papierov v portfóliu denominovaných v USD). Pokles základnej úrokovej sadzby ECB mal vplyv aj na zníženie úrokov remunerovaných pohľadávok v rámci Eurosystému (najmä z operácií realizovaných prostredníctvom TARGET2 s ostatnými členmi Európskeho systému centrálnych bánk). Negatívny vplyv mal aj výsledok z derivátových operácií.</w:t>
      </w:r>
    </w:p>
    <w:p w:rsidR="006C021C" w:rsidRPr="00CF43A5" w:rsidP="006C021C">
      <w:pPr>
        <w:bidi w:val="0"/>
        <w:spacing w:after="120" w:line="336" w:lineRule="auto"/>
        <w:jc w:val="both"/>
        <w:rPr>
          <w:rFonts w:ascii="Times New Roman" w:hAnsi="Times New Roman" w:cs="Times New Roman"/>
          <w:szCs w:val="22"/>
        </w:rPr>
      </w:pPr>
      <w:r w:rsidRPr="00CF43A5">
        <w:rPr>
          <w:rFonts w:ascii="Times New Roman" w:hAnsi="Times New Roman" w:cs="Times New Roman"/>
          <w:szCs w:val="22"/>
        </w:rPr>
        <w:t>Nižší zisk z výkonu menovej politiky</w:t>
      </w:r>
      <w:r>
        <w:rPr>
          <w:rStyle w:val="FootnoteReference"/>
          <w:rFonts w:ascii="Times New Roman" w:hAnsi="Times New Roman"/>
          <w:szCs w:val="22"/>
          <w:rtl w:val="0"/>
        </w:rPr>
        <w:footnoteReference w:id="12"/>
      </w:r>
      <w:r w:rsidRPr="00CF43A5">
        <w:rPr>
          <w:rFonts w:ascii="Times New Roman" w:hAnsi="Times New Roman" w:cs="Times New Roman"/>
          <w:szCs w:val="22"/>
        </w:rPr>
        <w:t xml:space="preserve"> o 24,6 % bol spôsobený najmä poklesom úrokových výnosov zo štrukturálny operácií vykonávaných za účelom jednotnej menovej politiky v rámci Eurosystému (štrukturálne operácie zahŕňajú nákup dlhopisov v rámci programov CBPP1, CBPP3 a SMP). Objem cenných papierov sa v priebehu roka znížil z dôvodu ich maturity. Pokles bol zaznamenaný aj v položke menového príjmu z Eurosystému a podielu na zisku ECB.</w:t>
      </w:r>
    </w:p>
    <w:p w:rsidR="006C021C" w:rsidRPr="00CF43A5" w:rsidP="006C021C">
      <w:pPr>
        <w:bidi w:val="0"/>
        <w:spacing w:after="120" w:line="336" w:lineRule="auto"/>
        <w:jc w:val="both"/>
        <w:rPr>
          <w:rFonts w:ascii="Times New Roman" w:hAnsi="Times New Roman" w:cs="Times New Roman"/>
          <w:szCs w:val="22"/>
        </w:rPr>
      </w:pPr>
      <w:r w:rsidRPr="00CF43A5">
        <w:rPr>
          <w:rFonts w:ascii="Times New Roman" w:hAnsi="Times New Roman" w:cs="Times New Roman"/>
          <w:szCs w:val="22"/>
        </w:rPr>
        <w:t>Pozitívny vplyv na zisk bežného obdobia mala emisia bankoviek a mincí vďaka emisnému zisku z nevymenených obehových korunových mincí, u ktorých bola 2. januára 2014 zákonne ukončená platnosť.</w:t>
      </w:r>
    </w:p>
    <w:p w:rsidR="006C021C" w:rsidRPr="00CF43A5" w:rsidP="006C021C">
      <w:pPr>
        <w:bidi w:val="0"/>
        <w:spacing w:after="120" w:line="336" w:lineRule="auto"/>
        <w:jc w:val="both"/>
        <w:rPr>
          <w:rFonts w:cs="Times New Roman"/>
          <w:szCs w:val="22"/>
        </w:rPr>
      </w:pPr>
      <w:r w:rsidRPr="00CF43A5">
        <w:rPr>
          <w:rFonts w:ascii="Times New Roman" w:hAnsi="Times New Roman" w:cs="Times New Roman"/>
          <w:szCs w:val="22"/>
        </w:rPr>
        <w:t>Náklady na prevádzkovú činnosť sa zvýšili o 18,7 % z dôvodu zvýšených nákladov na realizáciu komplexného hodnotenia troch najväčších úverových inštitúcií v SR (VÚB, a.s., Slovenská sporiteľňa, a.s. a Tatra banka, a.s.) externými audítorskými spoločnosťami, ktoré vyplynulo zo systému Jednotného mechanizmu dohľadu v Eurosystéme.</w:t>
      </w:r>
    </w:p>
    <w:p w:rsidR="00A544B6" w:rsidRPr="00A53EAC" w:rsidP="00A66C04">
      <w:pPr>
        <w:pStyle w:val="Heading3"/>
        <w:bidi w:val="0"/>
        <w:rPr>
          <w:rFonts w:hint="default"/>
        </w:rPr>
      </w:pPr>
      <w:bookmarkStart w:id="208" w:name="_Toc433099600"/>
      <w:r w:rsidRPr="00A53EAC">
        <w:rPr>
          <w:rFonts w:hint="default"/>
        </w:rPr>
        <w:t>Implicitné</w:t>
      </w:r>
      <w:r w:rsidRPr="00A53EAC">
        <w:rPr>
          <w:rFonts w:hint="default"/>
        </w:rPr>
        <w:t xml:space="preserve"> zá</w:t>
      </w:r>
      <w:r w:rsidRPr="00A53EAC">
        <w:rPr>
          <w:rFonts w:hint="default"/>
        </w:rPr>
        <w:t>vä</w:t>
      </w:r>
      <w:r w:rsidRPr="00A53EAC">
        <w:rPr>
          <w:rFonts w:hint="default"/>
        </w:rPr>
        <w:t>zky</w:t>
      </w:r>
      <w:bookmarkEnd w:id="201"/>
      <w:bookmarkEnd w:id="202"/>
      <w:bookmarkEnd w:id="208"/>
    </w:p>
    <w:p w:rsidR="008A7312" w:rsidRPr="00A53EAC" w:rsidP="008A7312">
      <w:pPr>
        <w:bidi w:val="0"/>
        <w:spacing w:after="120" w:line="336" w:lineRule="auto"/>
        <w:jc w:val="both"/>
        <w:rPr>
          <w:rFonts w:ascii="Times New Roman" w:hAnsi="Times New Roman" w:cs="Times New Roman"/>
          <w:szCs w:val="22"/>
        </w:rPr>
      </w:pPr>
      <w:r w:rsidRPr="00A53EAC">
        <w:rPr>
          <w:rFonts w:ascii="Times New Roman" w:hAnsi="Times New Roman" w:cs="Times New Roman"/>
          <w:szCs w:val="22"/>
        </w:rPr>
        <w:t xml:space="preserve">Implicitné záväzky sú podľa ústavného zákona o rozpočtovej zodpovednosti definované ako „rozdiel medzi očakávanými budúcimi výdavkami subjektov verejnej správy a očakávanými budúcimi príjmami subjektov verejnej správy, ktoré vyplývajú z finančných dôsledkov spôsobených budúcim uplatňovaním práv a povinností ustanovených právnym poriadkom Slovenskej republiky, ak tieto nie sú súčasťou dlhu verejnej správy“. Z uvedeného vyplýva, že nejde o záväzky vykázané v súvahe subjektov verejnej správy, keďže ich ocenenie môže byť problematické. Napriek tomu </w:t>
      </w:r>
      <w:r w:rsidRPr="00A53EAC" w:rsidR="005C0D5E">
        <w:rPr>
          <w:rFonts w:ascii="Times New Roman" w:hAnsi="Times New Roman" w:cs="Times New Roman"/>
          <w:szCs w:val="22"/>
        </w:rPr>
        <w:t xml:space="preserve">v individuálnych prípadoch </w:t>
      </w:r>
      <w:r w:rsidRPr="00A53EAC">
        <w:rPr>
          <w:rFonts w:ascii="Times New Roman" w:hAnsi="Times New Roman" w:cs="Times New Roman"/>
          <w:szCs w:val="22"/>
        </w:rPr>
        <w:t>možno, pri použití adekvátnych analytických metód a pri zohľadnení aktuálneho legislatívneho stavu, odhadnúť ich výšku.</w:t>
      </w:r>
    </w:p>
    <w:p w:rsidR="008A7312" w:rsidRPr="00A53EAC" w:rsidP="00206DF9">
      <w:pPr>
        <w:bidi w:val="0"/>
        <w:spacing w:after="120" w:line="336" w:lineRule="auto"/>
        <w:jc w:val="both"/>
        <w:rPr>
          <w:rFonts w:ascii="Times New Roman" w:hAnsi="Times New Roman" w:cs="Times New Roman"/>
          <w:szCs w:val="22"/>
        </w:rPr>
      </w:pPr>
      <w:r w:rsidRPr="00A53EAC" w:rsidR="00C74B96">
        <w:rPr>
          <w:rFonts w:ascii="Times New Roman" w:hAnsi="Times New Roman" w:cs="Times New Roman"/>
          <w:szCs w:val="22"/>
        </w:rPr>
        <w:t xml:space="preserve">Implicitné záväzky spojené so starnutím obyvateľstva </w:t>
      </w:r>
      <w:r w:rsidRPr="00A53EAC">
        <w:rPr>
          <w:rFonts w:ascii="Times New Roman" w:hAnsi="Times New Roman" w:cs="Times New Roman"/>
          <w:szCs w:val="22"/>
        </w:rPr>
        <w:t xml:space="preserve">najviac </w:t>
      </w:r>
      <w:r w:rsidRPr="00A53EAC" w:rsidR="00C74B96">
        <w:rPr>
          <w:rFonts w:ascii="Times New Roman" w:hAnsi="Times New Roman" w:cs="Times New Roman"/>
          <w:szCs w:val="22"/>
        </w:rPr>
        <w:t>ovplyvňujú</w:t>
      </w:r>
      <w:r w:rsidRPr="00A53EAC">
        <w:rPr>
          <w:rFonts w:ascii="Times New Roman" w:hAnsi="Times New Roman" w:cs="Times New Roman"/>
          <w:szCs w:val="22"/>
        </w:rPr>
        <w:t xml:space="preserve"> záväzky dôcho</w:t>
      </w:r>
      <w:r w:rsidRPr="00A53EAC" w:rsidR="00C74B96">
        <w:rPr>
          <w:rFonts w:ascii="Times New Roman" w:hAnsi="Times New Roman" w:cs="Times New Roman"/>
          <w:szCs w:val="22"/>
        </w:rPr>
        <w:t>dkového systému a zdravotníctva</w:t>
      </w:r>
      <w:r w:rsidRPr="00A53EAC">
        <w:rPr>
          <w:rFonts w:ascii="Times New Roman" w:hAnsi="Times New Roman" w:cs="Times New Roman"/>
          <w:szCs w:val="22"/>
        </w:rPr>
        <w:t xml:space="preserve"> spolu vo</w:t>
      </w:r>
      <w:r w:rsidRPr="00A53EAC" w:rsidR="00507F2C">
        <w:rPr>
          <w:rFonts w:ascii="Times New Roman" w:hAnsi="Times New Roman" w:cs="Times New Roman"/>
          <w:szCs w:val="22"/>
        </w:rPr>
        <w:t xml:space="preserve"> výške </w:t>
      </w:r>
      <w:r w:rsidRPr="00A53EAC" w:rsidR="00C74B96">
        <w:rPr>
          <w:rFonts w:ascii="Times New Roman" w:hAnsi="Times New Roman" w:cs="Times New Roman"/>
          <w:szCs w:val="22"/>
        </w:rPr>
        <w:t>157,2 % HDP</w:t>
      </w:r>
      <w:r w:rsidRPr="00A53EAC">
        <w:rPr>
          <w:rFonts w:ascii="Times New Roman" w:hAnsi="Times New Roman" w:cs="Times New Roman"/>
          <w:szCs w:val="22"/>
        </w:rPr>
        <w:t>. Poistenie v nezamestnanosti a výdavky na školstvo sú položkami, ktoré naopak celkovú výšku implicitných zá</w:t>
      </w:r>
      <w:r w:rsidRPr="00A53EAC" w:rsidR="00C74B96">
        <w:rPr>
          <w:rFonts w:ascii="Times New Roman" w:hAnsi="Times New Roman" w:cs="Times New Roman"/>
          <w:szCs w:val="22"/>
        </w:rPr>
        <w:t>väzkov znižujú spolu vo výške 25,8</w:t>
      </w:r>
      <w:r w:rsidRPr="00A53EAC">
        <w:rPr>
          <w:rFonts w:ascii="Times New Roman" w:hAnsi="Times New Roman" w:cs="Times New Roman"/>
          <w:szCs w:val="22"/>
        </w:rPr>
        <w:t> % HDP. Starnutie populácie prináša so sebou postupné znižovanie počtu detí a aktívneho obyvateľstva na trhu práce, čo automaticky vedie (za predpokladu nezmenených iných podmienok ako napríklad očakávaný väčší dôraz na výdavky do školstva v budúcnosti) k úsporám na strane výdavkov verejných financií.</w:t>
      </w:r>
    </w:p>
    <w:p w:rsidR="008770AD" w:rsidRPr="00A53EAC" w:rsidP="00206DF9">
      <w:pPr>
        <w:bidi w:val="0"/>
        <w:spacing w:after="120" w:line="336" w:lineRule="auto"/>
        <w:jc w:val="both"/>
        <w:rPr>
          <w:rFonts w:ascii="Times New Roman" w:hAnsi="Times New Roman" w:cs="Times New Roman"/>
          <w:szCs w:val="22"/>
        </w:rPr>
      </w:pPr>
      <w:r w:rsidRPr="00A53EAC">
        <w:rPr>
          <w:rFonts w:ascii="Times New Roman" w:hAnsi="Times New Roman" w:cs="Times New Roman"/>
          <w:szCs w:val="22"/>
        </w:rPr>
        <w:t>Hodnota implicitných záväzkov zo starnutia obyvateľstva ku koncu roka 2014 výrazne medziročne poklesla o 69,</w:t>
      </w:r>
      <w:r w:rsidRPr="00A53EAC" w:rsidR="00806A3F">
        <w:rPr>
          <w:rFonts w:ascii="Times New Roman" w:hAnsi="Times New Roman" w:cs="Times New Roman"/>
          <w:szCs w:val="22"/>
        </w:rPr>
        <w:t>5 p.b</w:t>
      </w:r>
      <w:r w:rsidRPr="00A53EAC">
        <w:rPr>
          <w:rFonts w:ascii="Times New Roman" w:hAnsi="Times New Roman" w:cs="Times New Roman"/>
          <w:szCs w:val="22"/>
        </w:rPr>
        <w:t>. Pokles</w:t>
      </w:r>
      <w:r w:rsidRPr="00A53EAC" w:rsidR="00026F0C">
        <w:rPr>
          <w:rFonts w:ascii="Times New Roman" w:hAnsi="Times New Roman" w:cs="Times New Roman"/>
          <w:szCs w:val="22"/>
        </w:rPr>
        <w:t xml:space="preserve"> nastal</w:t>
      </w:r>
      <w:r w:rsidRPr="00A53EAC">
        <w:rPr>
          <w:rFonts w:ascii="Times New Roman" w:hAnsi="Times New Roman" w:cs="Times New Roman"/>
          <w:szCs w:val="22"/>
        </w:rPr>
        <w:t xml:space="preserve"> predovšetkým </w:t>
      </w:r>
      <w:r w:rsidRPr="00A53EAC" w:rsidR="00026F0C">
        <w:rPr>
          <w:rFonts w:ascii="Times New Roman" w:hAnsi="Times New Roman" w:cs="Times New Roman"/>
          <w:szCs w:val="22"/>
        </w:rPr>
        <w:t>z dôvodu aktualizácie dlhodobých makroekonomických a demografických predpokladov, ku ktorým pristupuje pracovná skupina Európskej komisie raz za tri roky. V novej projekcii je tiež novinkou zahrnutie systému dôchodkov ozbrojených zložiek a vianočných dôchodkov do projekcií v rámci výdavkov na dôchodky.</w:t>
      </w:r>
    </w:p>
    <w:p w:rsidR="00D86489" w:rsidRPr="00A53EAC" w:rsidP="00206DF9">
      <w:pPr>
        <w:bidi w:val="0"/>
        <w:spacing w:after="120" w:line="336" w:lineRule="auto"/>
        <w:jc w:val="both"/>
        <w:rPr>
          <w:rFonts w:ascii="Times New Roman" w:hAnsi="Times New Roman" w:cs="Times New Roman"/>
          <w:szCs w:val="22"/>
        </w:rPr>
      </w:pPr>
      <w:r w:rsidRPr="00A53EAC" w:rsidR="008A7312">
        <w:rPr>
          <w:rFonts w:ascii="Times New Roman" w:hAnsi="Times New Roman" w:cs="Times New Roman"/>
          <w:szCs w:val="22"/>
        </w:rPr>
        <w:t>Implicitné záväzky súvisiace so splácaním dlhodobého PPP projektu rýchlostnej cesty R1 sú kvantifikované na základe odhadu platieb štátu za dostupnosť počas celej doby trvania koncesie do roku 2041.</w:t>
      </w:r>
      <w:r w:rsidRPr="00A53EAC">
        <w:rPr>
          <w:rFonts w:ascii="Times New Roman" w:hAnsi="Times New Roman" w:cs="Times New Roman"/>
          <w:szCs w:val="22"/>
        </w:rPr>
        <w:t xml:space="preserve"> Oproti roku 2013 došlo k miernemu poklesu vplyvu </w:t>
      </w:r>
      <w:r w:rsidR="00062DC2">
        <w:rPr>
          <w:rFonts w:ascii="Times New Roman" w:hAnsi="Times New Roman" w:cs="Times New Roman"/>
          <w:szCs w:val="22"/>
        </w:rPr>
        <w:t>na celkové implicitné záväzky o </w:t>
      </w:r>
      <w:r w:rsidRPr="00A53EAC">
        <w:rPr>
          <w:rFonts w:ascii="Times New Roman" w:hAnsi="Times New Roman" w:cs="Times New Roman"/>
          <w:szCs w:val="22"/>
        </w:rPr>
        <w:t>0,1</w:t>
      </w:r>
      <w:r w:rsidRPr="00A53EAC" w:rsidR="00806A3F">
        <w:rPr>
          <w:rFonts w:ascii="Times New Roman" w:hAnsi="Times New Roman" w:cs="Times New Roman"/>
          <w:szCs w:val="22"/>
        </w:rPr>
        <w:t> p.b.</w:t>
      </w:r>
      <w:r w:rsidRPr="00A53EAC">
        <w:rPr>
          <w:rFonts w:ascii="Times New Roman" w:hAnsi="Times New Roman" w:cs="Times New Roman"/>
          <w:szCs w:val="22"/>
        </w:rPr>
        <w:t xml:space="preserve"> z dôvodu aktualizácie platieb za dostupnosť v rokoch 2014 a 2015.</w:t>
      </w:r>
    </w:p>
    <w:p w:rsidR="008A7312" w:rsidRPr="00A53EAC" w:rsidP="00206DF9">
      <w:pPr>
        <w:bidi w:val="0"/>
        <w:spacing w:after="120" w:line="336" w:lineRule="auto"/>
        <w:jc w:val="both"/>
        <w:rPr>
          <w:rFonts w:ascii="Times New Roman" w:hAnsi="Times New Roman" w:cs="Times New Roman"/>
          <w:szCs w:val="22"/>
        </w:rPr>
      </w:pPr>
      <w:r w:rsidRPr="00A53EAC" w:rsidR="00D86489">
        <w:rPr>
          <w:rFonts w:ascii="Times New Roman" w:hAnsi="Times New Roman" w:cs="Times New Roman"/>
          <w:szCs w:val="22"/>
        </w:rPr>
        <w:t>Implicitný záväzok</w:t>
      </w:r>
      <w:r w:rsidRPr="00A53EAC">
        <w:rPr>
          <w:rFonts w:ascii="Times New Roman" w:hAnsi="Times New Roman" w:cs="Times New Roman"/>
          <w:szCs w:val="22"/>
        </w:rPr>
        <w:t xml:space="preserve"> súvisiac</w:t>
      </w:r>
      <w:r w:rsidRPr="00A53EAC" w:rsidR="00D86489">
        <w:rPr>
          <w:rFonts w:ascii="Times New Roman" w:hAnsi="Times New Roman" w:cs="Times New Roman"/>
          <w:szCs w:val="22"/>
        </w:rPr>
        <w:t>i</w:t>
      </w:r>
      <w:r w:rsidRPr="00A53EAC">
        <w:rPr>
          <w:rFonts w:ascii="Times New Roman" w:hAnsi="Times New Roman" w:cs="Times New Roman"/>
          <w:szCs w:val="22"/>
        </w:rPr>
        <w:t xml:space="preserve"> s Národným jadrovým fondom</w:t>
      </w:r>
      <w:r w:rsidRPr="00A53EAC" w:rsidR="00D86489">
        <w:rPr>
          <w:rFonts w:ascii="Times New Roman" w:hAnsi="Times New Roman" w:cs="Times New Roman"/>
          <w:szCs w:val="22"/>
        </w:rPr>
        <w:t xml:space="preserve"> vyplýva z</w:t>
      </w:r>
      <w:r w:rsidRPr="00A53EAC">
        <w:rPr>
          <w:rFonts w:ascii="Times New Roman" w:hAnsi="Times New Roman" w:cs="Times New Roman"/>
          <w:szCs w:val="22"/>
        </w:rPr>
        <w:t xml:space="preserve"> financovania vyraďovania jadrových zariadení, keď veľkosť budúcich nákladov výraznejšie porastie kvôli zvyšujúcim sa nákladom na skladovanie a likvidáciu jadrového odpadu. V celom horizonte, najmä vďaka kumulujúcemu sa prebytku systému v prvých dekádach, je vplyv zahrnutia Národného jadrového fondu kladný vo výške 3,</w:t>
      </w:r>
      <w:r w:rsidRPr="00A53EAC" w:rsidR="00D86489">
        <w:rPr>
          <w:rFonts w:ascii="Times New Roman" w:hAnsi="Times New Roman" w:cs="Times New Roman"/>
          <w:szCs w:val="22"/>
        </w:rPr>
        <w:t>3</w:t>
      </w:r>
      <w:r w:rsidRPr="00A53EAC">
        <w:rPr>
          <w:rFonts w:ascii="Times New Roman" w:hAnsi="Times New Roman" w:cs="Times New Roman"/>
          <w:szCs w:val="22"/>
        </w:rPr>
        <w:t> % HDP a znižuje celkové implicitné záväzky.</w:t>
      </w:r>
      <w:r w:rsidRPr="00A53EAC" w:rsidR="005A18A9">
        <w:rPr>
          <w:rFonts w:ascii="Times New Roman" w:hAnsi="Times New Roman" w:cs="Times New Roman"/>
          <w:szCs w:val="22"/>
        </w:rPr>
        <w:t xml:space="preserve"> Mierne zhoršenie o 0,</w:t>
      </w:r>
      <w:r w:rsidRPr="00A53EAC" w:rsidR="00806A3F">
        <w:rPr>
          <w:rFonts w:ascii="Times New Roman" w:hAnsi="Times New Roman" w:cs="Times New Roman"/>
          <w:szCs w:val="22"/>
        </w:rPr>
        <w:t>4 p.b.</w:t>
      </w:r>
      <w:r w:rsidRPr="00A53EAC" w:rsidR="005A18A9">
        <w:rPr>
          <w:rFonts w:ascii="Times New Roman" w:hAnsi="Times New Roman" w:cs="Times New Roman"/>
          <w:szCs w:val="22"/>
        </w:rPr>
        <w:t xml:space="preserve"> oproti roku 2013 vyplynulo z</w:t>
      </w:r>
      <w:r w:rsidRPr="00A53EAC" w:rsidR="00E05B20">
        <w:rPr>
          <w:rFonts w:ascii="Times New Roman" w:hAnsi="Times New Roman" w:cs="Times New Roman"/>
          <w:szCs w:val="22"/>
        </w:rPr>
        <w:t> nové</w:t>
      </w:r>
      <w:r w:rsidRPr="00A53EAC" w:rsidR="00ED7BC4">
        <w:rPr>
          <w:rFonts w:ascii="Times New Roman" w:hAnsi="Times New Roman" w:cs="Times New Roman"/>
          <w:szCs w:val="22"/>
        </w:rPr>
        <w:t>ho</w:t>
      </w:r>
      <w:r w:rsidRPr="00A53EAC" w:rsidR="00E05B20">
        <w:rPr>
          <w:rFonts w:ascii="Times New Roman" w:hAnsi="Times New Roman" w:cs="Times New Roman"/>
          <w:szCs w:val="22"/>
        </w:rPr>
        <w:t xml:space="preserve"> prepočtu</w:t>
      </w:r>
      <w:r w:rsidRPr="00A53EAC" w:rsidR="005A18A9">
        <w:rPr>
          <w:rFonts w:ascii="Times New Roman" w:hAnsi="Times New Roman" w:cs="Times New Roman"/>
          <w:szCs w:val="22"/>
        </w:rPr>
        <w:t xml:space="preserve"> v súlade s predpokladmi </w:t>
      </w:r>
      <w:r w:rsidRPr="00A53EAC" w:rsidR="00E05B20">
        <w:rPr>
          <w:rFonts w:ascii="Times New Roman" w:hAnsi="Times New Roman" w:cs="Times New Roman"/>
          <w:szCs w:val="22"/>
        </w:rPr>
        <w:t>aktualizovanej</w:t>
      </w:r>
      <w:r w:rsidRPr="00A53EAC" w:rsidR="005A18A9">
        <w:rPr>
          <w:rFonts w:ascii="Times New Roman" w:hAnsi="Times New Roman" w:cs="Times New Roman"/>
          <w:szCs w:val="22"/>
        </w:rPr>
        <w:t xml:space="preserve"> </w:t>
      </w:r>
      <w:r w:rsidRPr="00A53EAC" w:rsidR="00E05B20">
        <w:rPr>
          <w:rFonts w:ascii="Times New Roman" w:hAnsi="Times New Roman" w:cs="Times New Roman"/>
          <w:szCs w:val="22"/>
        </w:rPr>
        <w:t>Stratégie záverečnej časti mierového využívania jadrovej energie v Slovenskej republike, ktorú Vláda SR schválila 8.7.2015</w:t>
      </w:r>
      <w:r w:rsidRPr="00A53EAC" w:rsidR="005A18A9">
        <w:rPr>
          <w:rFonts w:ascii="Times New Roman" w:hAnsi="Times New Roman" w:cs="Times New Roman"/>
          <w:szCs w:val="22"/>
        </w:rPr>
        <w:t>.</w:t>
      </w:r>
    </w:p>
    <w:p w:rsidR="005C0D5E" w:rsidRPr="00A53EAC" w:rsidP="00206DF9">
      <w:pPr>
        <w:bidi w:val="0"/>
        <w:spacing w:after="120" w:line="336" w:lineRule="auto"/>
        <w:jc w:val="both"/>
        <w:rPr>
          <w:rFonts w:ascii="Times New Roman" w:hAnsi="Times New Roman" w:cs="Times New Roman"/>
          <w:szCs w:val="22"/>
        </w:rPr>
      </w:pPr>
      <w:r w:rsidRPr="00A53EAC">
        <w:rPr>
          <w:rFonts w:ascii="Times New Roman" w:hAnsi="Times New Roman" w:cs="Times New Roman"/>
          <w:szCs w:val="22"/>
        </w:rPr>
        <w:t>V tohtoročnej správe pribudla pre informáciu memorandová položka PPP projektu výstavby Univerzitnej nemocnice v Bratislave. Kvantifikácia dopadov na implicitné záväzky sa vypracovala na základe štúdie uskutočniteľnosti, ktorú Vláda SR vzala na vedomie dňa 21.6.2014. Vplyv tohto projektu nie je zohľadnený v celkových implicitných záväzkoch až</w:t>
      </w:r>
      <w:r w:rsidR="00062DC2">
        <w:rPr>
          <w:rFonts w:ascii="Times New Roman" w:hAnsi="Times New Roman" w:cs="Times New Roman"/>
          <w:szCs w:val="22"/>
        </w:rPr>
        <w:t xml:space="preserve"> do definitívneho rozhodnutia o </w:t>
      </w:r>
      <w:r w:rsidRPr="00A53EAC">
        <w:rPr>
          <w:rFonts w:ascii="Times New Roman" w:hAnsi="Times New Roman" w:cs="Times New Roman"/>
          <w:szCs w:val="22"/>
        </w:rPr>
        <w:t>spôsobe jeho realizácie.</w:t>
      </w:r>
    </w:p>
    <w:p w:rsidR="00BC3B25" w:rsidRPr="00A53EAC" w:rsidP="00BC3B25">
      <w:pPr>
        <w:bidi w:val="0"/>
        <w:spacing w:after="120" w:line="336" w:lineRule="auto"/>
        <w:jc w:val="both"/>
        <w:rPr>
          <w:rFonts w:ascii="Times New Roman" w:hAnsi="Times New Roman" w:cs="Times New Roman"/>
          <w:b/>
          <w:szCs w:val="22"/>
        </w:rPr>
      </w:pPr>
      <w:r w:rsidRPr="00A53EAC" w:rsidR="008A7312">
        <w:rPr>
          <w:rFonts w:ascii="Times New Roman" w:hAnsi="Times New Roman" w:cs="Times New Roman"/>
          <w:b/>
          <w:szCs w:val="22"/>
        </w:rPr>
        <w:t xml:space="preserve">Celkovo hodnota implicitných záväzkov </w:t>
      </w:r>
      <w:r w:rsidRPr="00A53EAC" w:rsidR="005C0D5E">
        <w:rPr>
          <w:rFonts w:ascii="Times New Roman" w:hAnsi="Times New Roman" w:cs="Times New Roman"/>
          <w:b/>
          <w:szCs w:val="22"/>
        </w:rPr>
        <w:t xml:space="preserve">bola ku koncu roka 2014 </w:t>
      </w:r>
      <w:r w:rsidRPr="00A53EAC" w:rsidR="008A7312">
        <w:rPr>
          <w:rFonts w:ascii="Times New Roman" w:hAnsi="Times New Roman" w:cs="Times New Roman"/>
          <w:b/>
          <w:szCs w:val="22"/>
        </w:rPr>
        <w:t>na</w:t>
      </w:r>
      <w:r w:rsidRPr="00A53EAC" w:rsidR="005C0D5E">
        <w:rPr>
          <w:rFonts w:ascii="Times New Roman" w:hAnsi="Times New Roman" w:cs="Times New Roman"/>
          <w:b/>
          <w:szCs w:val="22"/>
        </w:rPr>
        <w:t xml:space="preserve"> úrovni 148,2 </w:t>
      </w:r>
      <w:r w:rsidRPr="00A53EAC" w:rsidR="008A7312">
        <w:rPr>
          <w:rFonts w:ascii="Times New Roman" w:hAnsi="Times New Roman" w:cs="Times New Roman"/>
          <w:b/>
          <w:szCs w:val="22"/>
        </w:rPr>
        <w:t>% HDP</w:t>
      </w:r>
      <w:r w:rsidRPr="00A53EAC" w:rsidR="005C0D5E">
        <w:rPr>
          <w:rFonts w:ascii="Times New Roman" w:hAnsi="Times New Roman" w:cs="Times New Roman"/>
          <w:b/>
          <w:szCs w:val="22"/>
        </w:rPr>
        <w:t>,</w:t>
      </w:r>
      <w:r w:rsidRPr="00A53EAC" w:rsidR="008A7312">
        <w:rPr>
          <w:rFonts w:ascii="Times New Roman" w:hAnsi="Times New Roman" w:cs="Times New Roman"/>
          <w:b/>
          <w:szCs w:val="22"/>
        </w:rPr>
        <w:t xml:space="preserve"> oproti </w:t>
      </w:r>
      <w:r w:rsidRPr="00A53EAC">
        <w:rPr>
          <w:rFonts w:ascii="Times New Roman" w:hAnsi="Times New Roman" w:cs="Times New Roman"/>
          <w:b/>
          <w:szCs w:val="22"/>
        </w:rPr>
        <w:t>predchádzajúcemu roku klesla</w:t>
      </w:r>
      <w:r w:rsidRPr="00A53EAC" w:rsidR="00ED7BC4">
        <w:rPr>
          <w:rFonts w:ascii="Times New Roman" w:hAnsi="Times New Roman" w:cs="Times New Roman"/>
          <w:b/>
          <w:szCs w:val="22"/>
        </w:rPr>
        <w:t xml:space="preserve"> o 69,5 p.b. najmä</w:t>
      </w:r>
      <w:r w:rsidRPr="00A53EAC" w:rsidR="008A7312">
        <w:rPr>
          <w:rFonts w:ascii="Times New Roman" w:hAnsi="Times New Roman" w:cs="Times New Roman"/>
          <w:b/>
          <w:szCs w:val="22"/>
        </w:rPr>
        <w:t xml:space="preserve"> </w:t>
      </w:r>
      <w:r w:rsidRPr="00A53EAC" w:rsidR="00ED7BC4">
        <w:rPr>
          <w:rFonts w:ascii="Times New Roman" w:hAnsi="Times New Roman" w:cs="Times New Roman"/>
          <w:b/>
          <w:szCs w:val="22"/>
        </w:rPr>
        <w:t>kvôli revízii predpokladov</w:t>
      </w:r>
      <w:r w:rsidRPr="00A53EAC" w:rsidR="008A7312">
        <w:rPr>
          <w:rFonts w:ascii="Times New Roman" w:hAnsi="Times New Roman" w:cs="Times New Roman"/>
          <w:b/>
          <w:szCs w:val="22"/>
        </w:rPr>
        <w:t xml:space="preserve"> </w:t>
      </w:r>
      <w:r w:rsidRPr="00A53EAC" w:rsidR="00ED7BC4">
        <w:rPr>
          <w:rFonts w:ascii="Times New Roman" w:hAnsi="Times New Roman" w:cs="Times New Roman"/>
          <w:b/>
          <w:szCs w:val="22"/>
        </w:rPr>
        <w:t>dlhodobých pr</w:t>
      </w:r>
      <w:r w:rsidRPr="00A53EAC">
        <w:rPr>
          <w:rFonts w:ascii="Times New Roman" w:hAnsi="Times New Roman" w:cs="Times New Roman"/>
          <w:b/>
          <w:szCs w:val="22"/>
        </w:rPr>
        <w:t xml:space="preserve">ojekcií príjmov a výdavkov súvisiacich so starnutím obyvateľstva. </w:t>
      </w:r>
    </w:p>
    <w:tbl>
      <w:tblPr>
        <w:tblStyle w:val="TableNormal"/>
        <w:tblW w:w="9363" w:type="dxa"/>
        <w:tblCellMar>
          <w:left w:w="70" w:type="dxa"/>
          <w:right w:w="70" w:type="dxa"/>
        </w:tblCellMar>
        <w:tblLook w:val="04A0"/>
      </w:tblPr>
      <w:tblGrid>
        <w:gridCol w:w="3261"/>
        <w:gridCol w:w="941"/>
        <w:gridCol w:w="1276"/>
        <w:gridCol w:w="1043"/>
        <w:gridCol w:w="1276"/>
        <w:gridCol w:w="490"/>
        <w:gridCol w:w="1076"/>
      </w:tblGrid>
      <w:tr>
        <w:tblPrEx>
          <w:tblW w:w="9363" w:type="dxa"/>
          <w:tblCellMar>
            <w:left w:w="70" w:type="dxa"/>
            <w:right w:w="70" w:type="dxa"/>
          </w:tblCellMar>
          <w:tblLook w:val="04A0"/>
        </w:tblPrEx>
        <w:trPr>
          <w:trHeight w:val="330"/>
        </w:trPr>
        <w:tc>
          <w:tcPr>
            <w:tcW w:w="4202" w:type="dxa"/>
            <w:gridSpan w:val="2"/>
            <w:tcBorders>
              <w:top w:val="nil"/>
              <w:left w:val="nil"/>
              <w:bottom w:val="nil"/>
              <w:right w:val="nil"/>
            </w:tcBorders>
            <w:noWrap/>
            <w:textDirection w:val="lrTb"/>
            <w:vAlign w:val="center"/>
            <w:hideMark/>
          </w:tcPr>
          <w:p w:rsidR="00BC3B25" w:rsidRPr="00A53EAC" w:rsidP="007956F2">
            <w:pPr>
              <w:bidi w:val="0"/>
              <w:spacing w:after="0" w:line="240" w:lineRule="auto"/>
              <w:rPr>
                <w:rFonts w:ascii="Times New Roman" w:hAnsi="Times New Roman" w:cs="Times New Roman"/>
                <w:b/>
                <w:bCs/>
                <w:color w:val="FFFFFF"/>
                <w:sz w:val="20"/>
                <w:szCs w:val="20"/>
                <w:lang w:eastAsia="sk-SK"/>
              </w:rPr>
            </w:pPr>
            <w:r w:rsidRPr="00A53EAC">
              <w:rPr>
                <w:rFonts w:ascii="Times New Roman" w:hAnsi="Times New Roman" w:cs="Times New Roman"/>
                <w:b/>
                <w:bCs/>
                <w:color w:val="FFFFFF"/>
                <w:sz w:val="20"/>
                <w:szCs w:val="20"/>
                <w:lang w:eastAsia="sk-SK"/>
              </w:rPr>
              <w:t>Odhad implicitných záväzkov (tis. eur)</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c>
          <w:tcPr>
            <w:tcW w:w="1043" w:type="dxa"/>
            <w:tcBorders>
              <w:top w:val="nil"/>
              <w:left w:val="nil"/>
              <w:bottom w:val="nil"/>
              <w:right w:val="nil"/>
            </w:tcBorders>
            <w:noWrap/>
            <w:textDirection w:val="lrTb"/>
            <w:vAlign w:val="bottom"/>
            <w:hideMark/>
          </w:tcPr>
          <w:p w:rsidR="00BC3B25" w:rsidRPr="00A53EAC" w:rsidP="007956F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c>
          <w:tcPr>
            <w:tcW w:w="1276" w:type="dxa"/>
            <w:tcBorders>
              <w:top w:val="nil"/>
              <w:left w:val="nil"/>
              <w:bottom w:val="nil"/>
              <w:right w:val="nil"/>
            </w:tcBorders>
            <w:noWrap/>
            <w:textDirection w:val="lrTb"/>
            <w:vAlign w:val="bottom"/>
            <w:hideMark/>
          </w:tcPr>
          <w:p w:rsidR="00BC3B25" w:rsidRPr="00A53EAC" w:rsidP="007956F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c>
          <w:tcPr>
            <w:tcW w:w="490" w:type="dxa"/>
            <w:tcBorders>
              <w:top w:val="nil"/>
              <w:left w:val="nil"/>
              <w:bottom w:val="nil"/>
              <w:right w:val="nil"/>
            </w:tcBorders>
            <w:noWrap/>
            <w:textDirection w:val="lrTb"/>
            <w:vAlign w:val="bottom"/>
            <w:hideMark/>
          </w:tcPr>
          <w:p w:rsidR="00BC3B25" w:rsidRPr="00A53EAC" w:rsidP="007956F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c>
          <w:tcPr>
            <w:tcW w:w="1076" w:type="dxa"/>
            <w:tcBorders>
              <w:top w:val="nil"/>
              <w:left w:val="nil"/>
              <w:bottom w:val="nil"/>
              <w:right w:val="nil"/>
            </w:tcBorders>
            <w:noWrap/>
            <w:textDirection w:val="lrTb"/>
            <w:vAlign w:val="bottom"/>
            <w:hideMark/>
          </w:tcPr>
          <w:p w:rsidR="00BC3B25" w:rsidRPr="00A53EAC" w:rsidP="007956F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7956F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c>
          <w:tcPr>
            <w:tcW w:w="2217" w:type="dxa"/>
            <w:gridSpan w:val="2"/>
            <w:tcBorders>
              <w:top w:val="nil"/>
              <w:left w:val="nil"/>
              <w:bottom w:val="nil"/>
              <w:right w:val="nil"/>
            </w:tcBorders>
            <w:noWrap/>
            <w:textDirection w:val="lrTb"/>
            <w:vAlign w:val="center"/>
            <w:hideMark/>
          </w:tcPr>
          <w:p w:rsidR="00BC3B25" w:rsidRPr="00A53EAC" w:rsidP="007956F2">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31.12.2014</w:t>
            </w:r>
          </w:p>
        </w:tc>
        <w:tc>
          <w:tcPr>
            <w:tcW w:w="2319" w:type="dxa"/>
            <w:gridSpan w:val="2"/>
            <w:tcBorders>
              <w:top w:val="nil"/>
              <w:left w:val="nil"/>
              <w:bottom w:val="nil"/>
              <w:right w:val="nil"/>
            </w:tcBorders>
            <w:noWrap/>
            <w:textDirection w:val="lrTb"/>
            <w:vAlign w:val="center"/>
            <w:hideMark/>
          </w:tcPr>
          <w:p w:rsidR="00BC3B25" w:rsidRPr="00A53EAC" w:rsidP="007956F2">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31.12.2013</w:t>
            </w:r>
          </w:p>
        </w:tc>
        <w:tc>
          <w:tcPr>
            <w:tcW w:w="1566" w:type="dxa"/>
            <w:gridSpan w:val="2"/>
            <w:tcBorders>
              <w:top w:val="nil"/>
              <w:left w:val="nil"/>
              <w:bottom w:val="nil"/>
              <w:right w:val="nil"/>
            </w:tcBorders>
            <w:noWrap/>
            <w:textDirection w:val="lrTb"/>
            <w:vAlign w:val="center"/>
            <w:hideMark/>
          </w:tcPr>
          <w:p w:rsidR="00BC3B25" w:rsidRPr="00A53EAC" w:rsidP="007956F2">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2014-2013</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7956F2">
            <w:pPr>
              <w:bidi w:val="0"/>
              <w:spacing w:after="0" w:line="240" w:lineRule="auto"/>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w:t>
            </w:r>
          </w:p>
        </w:tc>
        <w:tc>
          <w:tcPr>
            <w:tcW w:w="941" w:type="dxa"/>
            <w:tcBorders>
              <w:top w:val="nil"/>
              <w:left w:val="nil"/>
              <w:bottom w:val="nil"/>
              <w:right w:val="nil"/>
            </w:tcBorders>
            <w:noWrap/>
            <w:textDirection w:val="lrTb"/>
            <w:vAlign w:val="center"/>
            <w:hideMark/>
          </w:tcPr>
          <w:p w:rsidR="00BC3B25" w:rsidRPr="00A53EAC" w:rsidP="007956F2">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HDP</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tis. eur</w:t>
            </w:r>
          </w:p>
        </w:tc>
        <w:tc>
          <w:tcPr>
            <w:tcW w:w="1043" w:type="dxa"/>
            <w:tcBorders>
              <w:top w:val="nil"/>
              <w:left w:val="nil"/>
              <w:bottom w:val="nil"/>
              <w:right w:val="nil"/>
            </w:tcBorders>
            <w:noWrap/>
            <w:textDirection w:val="lrTb"/>
            <w:vAlign w:val="center"/>
            <w:hideMark/>
          </w:tcPr>
          <w:p w:rsidR="00BC3B25" w:rsidRPr="00A53EAC" w:rsidP="007956F2">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HDP</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tis. eur</w:t>
            </w:r>
          </w:p>
        </w:tc>
        <w:tc>
          <w:tcPr>
            <w:tcW w:w="490" w:type="dxa"/>
            <w:tcBorders>
              <w:top w:val="nil"/>
              <w:left w:val="nil"/>
              <w:bottom w:val="nil"/>
              <w:right w:val="nil"/>
            </w:tcBorders>
            <w:noWrap/>
            <w:textDirection w:val="lrTb"/>
            <w:vAlign w:val="center"/>
            <w:hideMark/>
          </w:tcPr>
          <w:p w:rsidR="00BC3B25" w:rsidRPr="00A53EAC" w:rsidP="007956F2">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p.b.</w:t>
            </w:r>
          </w:p>
        </w:tc>
        <w:tc>
          <w:tcPr>
            <w:tcW w:w="1076" w:type="dxa"/>
            <w:tcBorders>
              <w:top w:val="nil"/>
              <w:left w:val="nil"/>
              <w:bottom w:val="nil"/>
              <w:right w:val="nil"/>
            </w:tcBorders>
            <w:noWrap/>
            <w:textDirection w:val="lrTb"/>
            <w:vAlign w:val="center"/>
            <w:hideMark/>
          </w:tcPr>
          <w:p w:rsidR="00BC3B25" w:rsidRPr="00A53EAC" w:rsidP="007956F2">
            <w:pPr>
              <w:bidi w:val="0"/>
              <w:spacing w:after="0" w:line="240" w:lineRule="auto"/>
              <w:jc w:val="center"/>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tis. eur</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7956F2">
            <w:pPr>
              <w:bidi w:val="0"/>
              <w:spacing w:after="0" w:line="240" w:lineRule="auto"/>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Starnutie obyvateľstva</w:t>
            </w:r>
          </w:p>
        </w:tc>
        <w:tc>
          <w:tcPr>
            <w:tcW w:w="941"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-148,6</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-111 803 428</w:t>
            </w:r>
          </w:p>
        </w:tc>
        <w:tc>
          <w:tcPr>
            <w:tcW w:w="1043"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-218,1</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-160 525 088</w:t>
            </w:r>
          </w:p>
        </w:tc>
        <w:tc>
          <w:tcPr>
            <w:tcW w:w="490"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69,5</w:t>
            </w:r>
          </w:p>
        </w:tc>
        <w:tc>
          <w:tcPr>
            <w:tcW w:w="10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48 721 660</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7956F2">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dôchodkový systém</w:t>
            </w:r>
          </w:p>
        </w:tc>
        <w:tc>
          <w:tcPr>
            <w:tcW w:w="941"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-57,8</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-43 445 940</w:t>
            </w:r>
          </w:p>
        </w:tc>
        <w:tc>
          <w:tcPr>
            <w:tcW w:w="1043"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-84,9</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-62 489 575</w:t>
            </w:r>
          </w:p>
        </w:tc>
        <w:tc>
          <w:tcPr>
            <w:tcW w:w="490"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27,1</w:t>
            </w:r>
          </w:p>
        </w:tc>
        <w:tc>
          <w:tcPr>
            <w:tcW w:w="10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19 043 635</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7956F2">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zdravotníctvo</w:t>
            </w:r>
          </w:p>
        </w:tc>
        <w:tc>
          <w:tcPr>
            <w:tcW w:w="941"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-99,4</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-74 796 443</w:t>
            </w:r>
          </w:p>
        </w:tc>
        <w:tc>
          <w:tcPr>
            <w:tcW w:w="1043"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-138,2</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-101 700 277</w:t>
            </w:r>
          </w:p>
        </w:tc>
        <w:tc>
          <w:tcPr>
            <w:tcW w:w="490"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38,8</w:t>
            </w:r>
          </w:p>
        </w:tc>
        <w:tc>
          <w:tcPr>
            <w:tcW w:w="10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26 903 834</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7956F2">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dlhodobá starostlivosť</w:t>
            </w:r>
          </w:p>
        </w:tc>
        <w:tc>
          <w:tcPr>
            <w:tcW w:w="941"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-17,2</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-12 965 831</w:t>
            </w:r>
          </w:p>
        </w:tc>
        <w:tc>
          <w:tcPr>
            <w:tcW w:w="1043"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-16,9</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-12 442 675</w:t>
            </w:r>
          </w:p>
        </w:tc>
        <w:tc>
          <w:tcPr>
            <w:tcW w:w="490"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-0,3</w:t>
            </w:r>
          </w:p>
        </w:tc>
        <w:tc>
          <w:tcPr>
            <w:tcW w:w="10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-523 156</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7956F2">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poistenie v nezamestnanosti</w:t>
            </w:r>
          </w:p>
        </w:tc>
        <w:tc>
          <w:tcPr>
            <w:tcW w:w="941"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6,1</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4 555 428</w:t>
            </w:r>
          </w:p>
        </w:tc>
        <w:tc>
          <w:tcPr>
            <w:tcW w:w="1043"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4,4</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3 247 603</w:t>
            </w:r>
          </w:p>
        </w:tc>
        <w:tc>
          <w:tcPr>
            <w:tcW w:w="490"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1,7</w:t>
            </w:r>
          </w:p>
        </w:tc>
        <w:tc>
          <w:tcPr>
            <w:tcW w:w="10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1 307 825</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7956F2">
            <w:pPr>
              <w:bidi w:val="0"/>
              <w:spacing w:after="0" w:line="240" w:lineRule="auto"/>
              <w:ind w:firstLine="200" w:firstLineChars="100"/>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 xml:space="preserve"> - školstvo</w:t>
            </w:r>
          </w:p>
        </w:tc>
        <w:tc>
          <w:tcPr>
            <w:tcW w:w="941"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19,7</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14 849 357</w:t>
            </w:r>
          </w:p>
        </w:tc>
        <w:tc>
          <w:tcPr>
            <w:tcW w:w="1043"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17,5</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12 859 836</w:t>
            </w:r>
          </w:p>
        </w:tc>
        <w:tc>
          <w:tcPr>
            <w:tcW w:w="490"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2,2</w:t>
            </w:r>
          </w:p>
        </w:tc>
        <w:tc>
          <w:tcPr>
            <w:tcW w:w="10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color w:val="000000"/>
                <w:sz w:val="20"/>
                <w:szCs w:val="20"/>
                <w:lang w:eastAsia="sk-SK"/>
              </w:rPr>
            </w:pPr>
            <w:r w:rsidRPr="00A53EAC">
              <w:rPr>
                <w:rFonts w:ascii="Times New Roman" w:hAnsi="Times New Roman" w:cs="Times New Roman"/>
                <w:color w:val="000000"/>
                <w:sz w:val="20"/>
                <w:szCs w:val="20"/>
                <w:lang w:eastAsia="sk-SK"/>
              </w:rPr>
              <w:t>1 989 521</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7956F2">
            <w:pPr>
              <w:bidi w:val="0"/>
              <w:spacing w:after="0" w:line="240" w:lineRule="auto"/>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PPP projekt - rýchlostná cesta R1</w:t>
            </w:r>
          </w:p>
        </w:tc>
        <w:tc>
          <w:tcPr>
            <w:tcW w:w="941"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-2,8</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-2 114 061</w:t>
            </w:r>
          </w:p>
        </w:tc>
        <w:tc>
          <w:tcPr>
            <w:tcW w:w="1043"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-2,9</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-2 116 763</w:t>
            </w:r>
          </w:p>
        </w:tc>
        <w:tc>
          <w:tcPr>
            <w:tcW w:w="490"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0,1</w:t>
            </w:r>
          </w:p>
        </w:tc>
        <w:tc>
          <w:tcPr>
            <w:tcW w:w="10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2 702</w:t>
            </w:r>
          </w:p>
        </w:tc>
      </w:tr>
      <w:tr>
        <w:tblPrEx>
          <w:tblW w:w="9363" w:type="dxa"/>
          <w:tblCellMar>
            <w:left w:w="70" w:type="dxa"/>
            <w:right w:w="70" w:type="dxa"/>
          </w:tblCellMar>
          <w:tblLook w:val="04A0"/>
        </w:tblPrEx>
        <w:trPr>
          <w:trHeight w:val="330"/>
        </w:trPr>
        <w:tc>
          <w:tcPr>
            <w:tcW w:w="3261" w:type="dxa"/>
            <w:tcBorders>
              <w:top w:val="nil"/>
              <w:left w:val="nil"/>
              <w:bottom w:val="nil"/>
              <w:right w:val="nil"/>
            </w:tcBorders>
            <w:noWrap/>
            <w:textDirection w:val="lrTb"/>
            <w:vAlign w:val="center"/>
            <w:hideMark/>
          </w:tcPr>
          <w:p w:rsidR="00BC3B25" w:rsidRPr="00A53EAC" w:rsidP="00BC3B25">
            <w:pPr>
              <w:bidi w:val="0"/>
              <w:spacing w:after="0" w:line="240" w:lineRule="auto"/>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Národný jadrový fond</w:t>
            </w:r>
          </w:p>
        </w:tc>
        <w:tc>
          <w:tcPr>
            <w:tcW w:w="941"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3,3</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2 450 852</w:t>
            </w:r>
          </w:p>
        </w:tc>
        <w:tc>
          <w:tcPr>
            <w:tcW w:w="1043"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3,7</w:t>
            </w:r>
          </w:p>
        </w:tc>
        <w:tc>
          <w:tcPr>
            <w:tcW w:w="12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2 709 465</w:t>
            </w:r>
          </w:p>
        </w:tc>
        <w:tc>
          <w:tcPr>
            <w:tcW w:w="490"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-0,4</w:t>
            </w:r>
          </w:p>
        </w:tc>
        <w:tc>
          <w:tcPr>
            <w:tcW w:w="1076" w:type="dxa"/>
            <w:tcBorders>
              <w:top w:val="nil"/>
              <w:left w:val="nil"/>
              <w:bottom w:val="nil"/>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-258 613</w:t>
            </w:r>
          </w:p>
        </w:tc>
      </w:tr>
      <w:tr>
        <w:tblPrEx>
          <w:tblW w:w="9363" w:type="dxa"/>
          <w:tblCellMar>
            <w:left w:w="70" w:type="dxa"/>
            <w:right w:w="70" w:type="dxa"/>
          </w:tblCellMar>
          <w:tblLook w:val="04A0"/>
        </w:tblPrEx>
        <w:trPr>
          <w:trHeight w:val="345"/>
        </w:trPr>
        <w:tc>
          <w:tcPr>
            <w:tcW w:w="3261" w:type="dxa"/>
            <w:tcBorders>
              <w:top w:val="single" w:sz="4" w:space="0" w:color="auto"/>
              <w:left w:val="nil"/>
              <w:bottom w:val="double" w:sz="6" w:space="0" w:color="auto"/>
              <w:right w:val="nil"/>
            </w:tcBorders>
            <w:noWrap/>
            <w:textDirection w:val="lrTb"/>
            <w:vAlign w:val="center"/>
            <w:hideMark/>
          </w:tcPr>
          <w:p w:rsidR="00BC3B25" w:rsidRPr="00A53EAC" w:rsidP="007956F2">
            <w:pPr>
              <w:bidi w:val="0"/>
              <w:spacing w:after="0" w:line="240" w:lineRule="auto"/>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Implicitné záväzky spolu</w:t>
            </w:r>
          </w:p>
        </w:tc>
        <w:tc>
          <w:tcPr>
            <w:tcW w:w="941" w:type="dxa"/>
            <w:tcBorders>
              <w:top w:val="single" w:sz="4" w:space="0" w:color="auto"/>
              <w:left w:val="nil"/>
              <w:bottom w:val="double" w:sz="6" w:space="0" w:color="auto"/>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-148,2</w:t>
            </w:r>
          </w:p>
        </w:tc>
        <w:tc>
          <w:tcPr>
            <w:tcW w:w="1276" w:type="dxa"/>
            <w:tcBorders>
              <w:top w:val="single" w:sz="4" w:space="0" w:color="auto"/>
              <w:left w:val="nil"/>
              <w:bottom w:val="double" w:sz="6" w:space="0" w:color="auto"/>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-111 466 637</w:t>
            </w:r>
          </w:p>
        </w:tc>
        <w:tc>
          <w:tcPr>
            <w:tcW w:w="1043" w:type="dxa"/>
            <w:tcBorders>
              <w:top w:val="single" w:sz="4" w:space="0" w:color="auto"/>
              <w:left w:val="nil"/>
              <w:bottom w:val="double" w:sz="6" w:space="0" w:color="auto"/>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-217,3</w:t>
            </w:r>
          </w:p>
        </w:tc>
        <w:tc>
          <w:tcPr>
            <w:tcW w:w="1276" w:type="dxa"/>
            <w:tcBorders>
              <w:top w:val="single" w:sz="4" w:space="0" w:color="auto"/>
              <w:left w:val="nil"/>
              <w:bottom w:val="double" w:sz="6" w:space="0" w:color="auto"/>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-159 932 386</w:t>
            </w:r>
          </w:p>
        </w:tc>
        <w:tc>
          <w:tcPr>
            <w:tcW w:w="490" w:type="dxa"/>
            <w:tcBorders>
              <w:top w:val="single" w:sz="4" w:space="0" w:color="auto"/>
              <w:left w:val="nil"/>
              <w:bottom w:val="double" w:sz="6" w:space="0" w:color="auto"/>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69,1</w:t>
            </w:r>
          </w:p>
        </w:tc>
        <w:tc>
          <w:tcPr>
            <w:tcW w:w="1076" w:type="dxa"/>
            <w:tcBorders>
              <w:top w:val="single" w:sz="4" w:space="0" w:color="auto"/>
              <w:left w:val="nil"/>
              <w:bottom w:val="double" w:sz="6" w:space="0" w:color="auto"/>
              <w:right w:val="nil"/>
            </w:tcBorders>
            <w:noWrap/>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48 645 749</w:t>
            </w:r>
          </w:p>
        </w:tc>
      </w:tr>
      <w:tr>
        <w:tblPrEx>
          <w:tblW w:w="9363" w:type="dxa"/>
          <w:tblCellMar>
            <w:left w:w="70" w:type="dxa"/>
            <w:right w:w="70" w:type="dxa"/>
          </w:tblCellMar>
          <w:tblLook w:val="04A0"/>
        </w:tblPrEx>
        <w:trPr>
          <w:trHeight w:val="360"/>
        </w:trPr>
        <w:tc>
          <w:tcPr>
            <w:tcW w:w="3261" w:type="dxa"/>
            <w:tcBorders>
              <w:top w:val="nil"/>
              <w:left w:val="nil"/>
              <w:bottom w:val="single" w:sz="8" w:space="0" w:color="auto"/>
              <w:right w:val="nil"/>
            </w:tcBorders>
            <w:noWrap/>
            <w:textDirection w:val="lrTb"/>
            <w:vAlign w:val="center"/>
            <w:hideMark/>
          </w:tcPr>
          <w:p w:rsidR="00BC3B25" w:rsidRPr="00A53EAC" w:rsidP="007956F2">
            <w:pPr>
              <w:bidi w:val="0"/>
              <w:spacing w:after="0" w:line="240" w:lineRule="auto"/>
              <w:rPr>
                <w:rFonts w:ascii="Times New Roman" w:hAnsi="Times New Roman" w:cs="Times New Roman"/>
                <w:i/>
                <w:iCs/>
                <w:color w:val="000000"/>
                <w:sz w:val="16"/>
                <w:szCs w:val="16"/>
                <w:lang w:eastAsia="sk-SK"/>
              </w:rPr>
            </w:pPr>
            <w:r w:rsidRPr="00A53EAC">
              <w:rPr>
                <w:rFonts w:ascii="Times New Roman" w:hAnsi="Times New Roman" w:cs="Times New Roman"/>
                <w:i/>
                <w:iCs/>
                <w:color w:val="000000"/>
                <w:sz w:val="16"/>
                <w:szCs w:val="16"/>
                <w:lang w:eastAsia="sk-SK"/>
              </w:rPr>
              <w:t xml:space="preserve"> p.m. PPP projekt - </w:t>
            </w:r>
            <w:r w:rsidRPr="00A53EAC">
              <w:rPr>
                <w:rFonts w:eastAsia="Times New Roman" w:cs="Times New Roman"/>
                <w:bCs/>
                <w:i/>
                <w:color w:val="000000"/>
                <w:sz w:val="16"/>
                <w:szCs w:val="16"/>
                <w:lang w:eastAsia="sk-SK"/>
              </w:rPr>
              <w:t>Nová univerzitná nemocnica v Bratislave</w:t>
            </w:r>
          </w:p>
        </w:tc>
        <w:tc>
          <w:tcPr>
            <w:tcW w:w="941" w:type="dxa"/>
            <w:tcBorders>
              <w:top w:val="nil"/>
              <w:left w:val="nil"/>
              <w:bottom w:val="single" w:sz="8" w:space="0" w:color="auto"/>
              <w:right w:val="nil"/>
            </w:tcBorders>
            <w:textDirection w:val="lrTb"/>
            <w:vAlign w:val="center"/>
            <w:hideMark/>
          </w:tcPr>
          <w:p w:rsidR="00BC3B25" w:rsidRPr="00A53EAC" w:rsidP="007956F2">
            <w:pPr>
              <w:bidi w:val="0"/>
              <w:spacing w:after="0" w:line="240" w:lineRule="auto"/>
              <w:jc w:val="right"/>
              <w:rPr>
                <w:rFonts w:ascii="Times New Roman" w:hAnsi="Times New Roman" w:cs="Times New Roman"/>
                <w:bCs/>
                <w:color w:val="000000"/>
                <w:sz w:val="16"/>
                <w:szCs w:val="16"/>
                <w:lang w:eastAsia="sk-SK"/>
              </w:rPr>
            </w:pPr>
            <w:r w:rsidRPr="00A53EAC">
              <w:rPr>
                <w:rFonts w:ascii="Times New Roman" w:hAnsi="Times New Roman" w:cs="Times New Roman"/>
                <w:bCs/>
                <w:color w:val="000000"/>
                <w:sz w:val="16"/>
                <w:szCs w:val="16"/>
                <w:lang w:eastAsia="sk-SK"/>
              </w:rPr>
              <w:t>-0,18%</w:t>
            </w:r>
          </w:p>
        </w:tc>
        <w:tc>
          <w:tcPr>
            <w:tcW w:w="1276" w:type="dxa"/>
            <w:tcBorders>
              <w:top w:val="nil"/>
              <w:left w:val="nil"/>
              <w:bottom w:val="single" w:sz="8" w:space="0" w:color="auto"/>
              <w:right w:val="nil"/>
            </w:tcBorders>
            <w:textDirection w:val="lrTb"/>
            <w:vAlign w:val="center"/>
            <w:hideMark/>
          </w:tcPr>
          <w:p w:rsidR="00BC3B25" w:rsidRPr="00A53EAC" w:rsidP="007956F2">
            <w:pPr>
              <w:bidi w:val="0"/>
              <w:spacing w:after="0" w:line="240" w:lineRule="auto"/>
              <w:jc w:val="right"/>
              <w:rPr>
                <w:rFonts w:ascii="Times New Roman" w:hAnsi="Times New Roman" w:cs="Times New Roman"/>
                <w:bCs/>
                <w:color w:val="000000"/>
                <w:sz w:val="16"/>
                <w:szCs w:val="16"/>
                <w:lang w:eastAsia="sk-SK"/>
              </w:rPr>
            </w:pPr>
            <w:r w:rsidRPr="00A53EAC">
              <w:rPr>
                <w:rFonts w:ascii="Times New Roman" w:hAnsi="Times New Roman" w:cs="Times New Roman"/>
                <w:bCs/>
                <w:color w:val="000000"/>
                <w:sz w:val="16"/>
                <w:szCs w:val="16"/>
                <w:lang w:eastAsia="sk-SK"/>
              </w:rPr>
              <w:t xml:space="preserve">- 137 450   </w:t>
            </w:r>
          </w:p>
        </w:tc>
        <w:tc>
          <w:tcPr>
            <w:tcW w:w="1043" w:type="dxa"/>
            <w:tcBorders>
              <w:top w:val="nil"/>
              <w:left w:val="nil"/>
              <w:bottom w:val="single" w:sz="8" w:space="0" w:color="auto"/>
              <w:right w:val="nil"/>
            </w:tcBorders>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c>
          <w:tcPr>
            <w:tcW w:w="1276" w:type="dxa"/>
            <w:tcBorders>
              <w:top w:val="nil"/>
              <w:left w:val="nil"/>
              <w:bottom w:val="single" w:sz="8" w:space="0" w:color="auto"/>
              <w:right w:val="nil"/>
            </w:tcBorders>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c>
          <w:tcPr>
            <w:tcW w:w="490" w:type="dxa"/>
            <w:tcBorders>
              <w:top w:val="nil"/>
              <w:left w:val="nil"/>
              <w:bottom w:val="single" w:sz="8" w:space="0" w:color="auto"/>
              <w:right w:val="nil"/>
            </w:tcBorders>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c>
          <w:tcPr>
            <w:tcW w:w="1076" w:type="dxa"/>
            <w:tcBorders>
              <w:top w:val="nil"/>
              <w:left w:val="nil"/>
              <w:bottom w:val="single" w:sz="8" w:space="0" w:color="auto"/>
              <w:right w:val="nil"/>
            </w:tcBorders>
            <w:textDirection w:val="lrTb"/>
            <w:vAlign w:val="center"/>
            <w:hideMark/>
          </w:tcPr>
          <w:p w:rsidR="00BC3B25" w:rsidRPr="00A53EAC" w:rsidP="007956F2">
            <w:pPr>
              <w:bidi w:val="0"/>
              <w:spacing w:after="0" w:line="240" w:lineRule="auto"/>
              <w:jc w:val="right"/>
              <w:rPr>
                <w:rFonts w:ascii="Times New Roman" w:hAnsi="Times New Roman" w:cs="Times New Roman"/>
                <w:b/>
                <w:bCs/>
                <w:color w:val="000000"/>
                <w:sz w:val="20"/>
                <w:szCs w:val="20"/>
                <w:lang w:eastAsia="sk-SK"/>
              </w:rPr>
            </w:pPr>
            <w:r w:rsidRPr="00A53EAC">
              <w:rPr>
                <w:rFonts w:ascii="Times New Roman" w:hAnsi="Times New Roman" w:cs="Times New Roman"/>
                <w:b/>
                <w:bCs/>
                <w:color w:val="000000"/>
                <w:sz w:val="20"/>
                <w:szCs w:val="20"/>
                <w:lang w:eastAsia="sk-SK"/>
              </w:rPr>
              <w:t> </w:t>
            </w:r>
          </w:p>
        </w:tc>
      </w:tr>
    </w:tbl>
    <w:p w:rsidR="00475F12" w:rsidP="00475F12">
      <w:pPr>
        <w:pStyle w:val="Heading3"/>
        <w:numPr>
          <w:ilvl w:val="0"/>
          <w:numId w:val="0"/>
        </w:numPr>
        <w:bidi w:val="0"/>
        <w:spacing w:before="240"/>
        <w:ind w:left="1077" w:firstLine="0"/>
      </w:pPr>
      <w:bookmarkStart w:id="209" w:name="_Toc399324375"/>
      <w:bookmarkStart w:id="210" w:name="_Toc401920031"/>
      <w:bookmarkStart w:id="211" w:name="_Toc433099601"/>
    </w:p>
    <w:p w:rsidR="00475F12">
      <w:pPr>
        <w:bidi w:val="0"/>
        <w:rPr>
          <w:rFonts w:ascii="Times New Roman" w:eastAsia="Cambria" w:hAnsi="Times New Roman" w:cs="Times New Roman"/>
          <w:b/>
          <w:szCs w:val="22"/>
          <w:lang w:eastAsia="sk-SK"/>
        </w:rPr>
      </w:pPr>
      <w:r>
        <w:br w:type="page"/>
      </w:r>
    </w:p>
    <w:p w:rsidR="00A66C04" w:rsidRPr="00A53EAC" w:rsidP="001767F0">
      <w:pPr>
        <w:pStyle w:val="Heading3"/>
        <w:bidi w:val="0"/>
        <w:spacing w:before="240"/>
        <w:ind w:left="1077"/>
        <w:rPr>
          <w:rFonts w:hint="default"/>
        </w:rPr>
      </w:pPr>
      <w:r w:rsidRPr="00A53EAC">
        <w:rPr>
          <w:rFonts w:hint="default"/>
        </w:rPr>
        <w:t>Podmienené</w:t>
      </w:r>
      <w:r w:rsidRPr="00A53EAC">
        <w:rPr>
          <w:rFonts w:hint="default"/>
        </w:rPr>
        <w:t xml:space="preserve"> zá</w:t>
      </w:r>
      <w:r w:rsidRPr="00A53EAC">
        <w:rPr>
          <w:rFonts w:hint="default"/>
        </w:rPr>
        <w:t>vä</w:t>
      </w:r>
      <w:r w:rsidRPr="00A53EAC">
        <w:rPr>
          <w:rFonts w:hint="default"/>
        </w:rPr>
        <w:t>zky</w:t>
      </w:r>
      <w:bookmarkEnd w:id="209"/>
      <w:bookmarkEnd w:id="210"/>
      <w:bookmarkEnd w:id="211"/>
    </w:p>
    <w:p w:rsidR="00216E76" w:rsidRPr="00A53EAC" w:rsidP="00216E76">
      <w:pPr>
        <w:bidi w:val="0"/>
        <w:spacing w:before="120" w:after="120" w:line="336" w:lineRule="auto"/>
        <w:jc w:val="both"/>
        <w:rPr>
          <w:rFonts w:ascii="Times New Roman" w:hAnsi="Times New Roman" w:cs="Times New Roman"/>
          <w:szCs w:val="22"/>
        </w:rPr>
      </w:pPr>
      <w:r w:rsidRPr="00A53EAC">
        <w:rPr>
          <w:rFonts w:ascii="Times New Roman" w:hAnsi="Times New Roman" w:cs="Times New Roman"/>
          <w:szCs w:val="22"/>
        </w:rPr>
        <w:t>Podmienenými záväzkami sú iné pasíva účtovnej jednotky, ktorá ich vykazuje v poznámkach individuálnej účtovnej závierky. Nejde teda o záväzok vykázaný na súvahových položkách pasív, pretože nie je splne</w:t>
      </w:r>
      <w:r w:rsidRPr="00A53EAC" w:rsidR="00823607">
        <w:rPr>
          <w:rFonts w:ascii="Times New Roman" w:hAnsi="Times New Roman" w:cs="Times New Roman"/>
          <w:szCs w:val="22"/>
        </w:rPr>
        <w:t>ná podmienka na ich zaúčtovanie (</w:t>
      </w:r>
      <w:r w:rsidRPr="00A53EAC">
        <w:rPr>
          <w:rFonts w:ascii="Times New Roman" w:hAnsi="Times New Roman" w:cs="Times New Roman"/>
          <w:szCs w:val="22"/>
        </w:rPr>
        <w:t>výška záväzku sa nedá spoľahlivo oceniť, obdobie, ku ktorému sa povinnosť viaže nie je určené a úbytok ekonomických úžitkov v budúcnosti nie je istý</w:t>
      </w:r>
      <w:r w:rsidRPr="00A53EAC" w:rsidR="00823607">
        <w:rPr>
          <w:rFonts w:ascii="Times New Roman" w:hAnsi="Times New Roman" w:cs="Times New Roman"/>
          <w:szCs w:val="22"/>
        </w:rPr>
        <w:t>)</w:t>
      </w:r>
      <w:r w:rsidRPr="00A53EAC">
        <w:rPr>
          <w:rFonts w:ascii="Times New Roman" w:hAnsi="Times New Roman" w:cs="Times New Roman"/>
          <w:szCs w:val="22"/>
        </w:rPr>
        <w:t>.</w:t>
      </w:r>
    </w:p>
    <w:tbl>
      <w:tblPr>
        <w:tblStyle w:val="TableNormal"/>
        <w:tblW w:w="5000" w:type="pct"/>
        <w:tblCellMar>
          <w:left w:w="70" w:type="dxa"/>
          <w:right w:w="70" w:type="dxa"/>
        </w:tblCellMar>
        <w:tblLook w:val="04A0"/>
      </w:tblPr>
      <w:tblGrid>
        <w:gridCol w:w="4147"/>
        <w:gridCol w:w="1658"/>
        <w:gridCol w:w="1798"/>
        <w:gridCol w:w="1608"/>
      </w:tblGrid>
      <w:tr>
        <w:tblPrEx>
          <w:tblW w:w="5000" w:type="pct"/>
          <w:tblCellMar>
            <w:left w:w="70" w:type="dxa"/>
            <w:right w:w="70" w:type="dxa"/>
          </w:tblCellMar>
          <w:tblLook w:val="04A0"/>
        </w:tblPrEx>
        <w:trPr>
          <w:trHeight w:val="300"/>
        </w:trPr>
        <w:tc>
          <w:tcPr>
            <w:tcW w:w="5000" w:type="pct"/>
            <w:gridSpan w:val="4"/>
            <w:tcBorders>
              <w:top w:val="nil"/>
              <w:left w:val="nil"/>
              <w:bottom w:val="single" w:sz="4" w:space="0" w:color="auto"/>
              <w:right w:val="nil"/>
            </w:tcBorders>
            <w:noWrap/>
            <w:textDirection w:val="lrTb"/>
            <w:vAlign w:val="center"/>
            <w:hideMark/>
          </w:tcPr>
          <w:p w:rsidR="00BB51EB" w:rsidRPr="00BB51EB" w:rsidP="004B7DC7">
            <w:pPr>
              <w:bidi w:val="0"/>
              <w:spacing w:after="0" w:line="240" w:lineRule="auto"/>
              <w:rPr>
                <w:rFonts w:ascii="Times New Roman" w:hAnsi="Times New Roman" w:cs="Times New Roman"/>
                <w:b/>
                <w:bCs/>
                <w:color w:val="FFFFFF"/>
                <w:sz w:val="20"/>
                <w:szCs w:val="20"/>
                <w:lang w:eastAsia="sk-SK"/>
              </w:rPr>
            </w:pPr>
            <w:r w:rsidRPr="00BB51EB">
              <w:rPr>
                <w:rFonts w:ascii="Times New Roman" w:hAnsi="Times New Roman" w:cs="Times New Roman"/>
                <w:b/>
                <w:bCs/>
                <w:color w:val="FFFFFF"/>
                <w:sz w:val="20"/>
                <w:szCs w:val="20"/>
                <w:lang w:eastAsia="sk-SK"/>
              </w:rPr>
              <w:t>Podmienené záväzky podľa zložiek verejného sektora (tis. eur)</w:t>
            </w:r>
          </w:p>
        </w:tc>
      </w:tr>
      <w:tr>
        <w:tblPrEx>
          <w:tblW w:w="5000" w:type="pct"/>
          <w:tblCellMar>
            <w:left w:w="70" w:type="dxa"/>
            <w:right w:w="70" w:type="dxa"/>
          </w:tblCellMar>
          <w:tblLook w:val="04A0"/>
        </w:tblPrEx>
        <w:trPr>
          <w:trHeight w:val="300"/>
        </w:trPr>
        <w:tc>
          <w:tcPr>
            <w:tcW w:w="2251" w:type="pct"/>
            <w:tcBorders>
              <w:top w:val="nil"/>
              <w:left w:val="nil"/>
              <w:bottom w:val="nil"/>
              <w:right w:val="nil"/>
            </w:tcBorders>
            <w:textDirection w:val="lrTb"/>
            <w:vAlign w:val="bottom"/>
            <w:hideMark/>
          </w:tcPr>
          <w:p w:rsidR="00BB51EB" w:rsidRPr="00BB51EB" w:rsidP="004B7DC7">
            <w:pPr>
              <w:bidi w:val="0"/>
              <w:spacing w:after="0" w:line="240" w:lineRule="auto"/>
              <w:rPr>
                <w:rFonts w:ascii="Times New Roman" w:hAnsi="Times New Roman" w:cs="Times New Roman"/>
                <w:b/>
                <w:bCs/>
                <w:szCs w:val="22"/>
                <w:lang w:eastAsia="sk-SK"/>
              </w:rPr>
            </w:pPr>
            <w:r w:rsidRPr="00BB51EB">
              <w:rPr>
                <w:rFonts w:ascii="Times New Roman" w:hAnsi="Times New Roman" w:cs="Times New Roman"/>
                <w:b/>
                <w:bCs/>
                <w:szCs w:val="22"/>
                <w:lang w:eastAsia="sk-SK"/>
              </w:rPr>
              <w:t> </w:t>
            </w:r>
          </w:p>
        </w:tc>
        <w:tc>
          <w:tcPr>
            <w:tcW w:w="900" w:type="pct"/>
            <w:tcBorders>
              <w:top w:val="nil"/>
              <w:left w:val="nil"/>
              <w:bottom w:val="nil"/>
              <w:right w:val="nil"/>
            </w:tcBorders>
            <w:textDirection w:val="lrTb"/>
            <w:vAlign w:val="bottom"/>
            <w:hideMark/>
          </w:tcPr>
          <w:p w:rsidR="00BB51EB" w:rsidRPr="00BB51EB" w:rsidP="004B7DC7">
            <w:pPr>
              <w:bidi w:val="0"/>
              <w:spacing w:after="0" w:line="240" w:lineRule="auto"/>
              <w:jc w:val="right"/>
              <w:rPr>
                <w:rFonts w:ascii="Times New Roman" w:hAnsi="Times New Roman" w:cs="Times New Roman"/>
                <w:b/>
                <w:bCs/>
                <w:szCs w:val="22"/>
                <w:lang w:eastAsia="sk-SK"/>
              </w:rPr>
            </w:pPr>
            <w:r w:rsidRPr="00BB51EB">
              <w:rPr>
                <w:rFonts w:ascii="Times New Roman" w:hAnsi="Times New Roman" w:cs="Times New Roman"/>
                <w:b/>
                <w:bCs/>
                <w:szCs w:val="22"/>
                <w:lang w:eastAsia="sk-SK"/>
              </w:rPr>
              <w:t>31.12.2013</w:t>
            </w:r>
          </w:p>
        </w:tc>
        <w:tc>
          <w:tcPr>
            <w:tcW w:w="976" w:type="pct"/>
            <w:tcBorders>
              <w:top w:val="nil"/>
              <w:left w:val="nil"/>
              <w:bottom w:val="nil"/>
              <w:right w:val="nil"/>
            </w:tcBorders>
            <w:textDirection w:val="lrTb"/>
            <w:vAlign w:val="bottom"/>
            <w:hideMark/>
          </w:tcPr>
          <w:p w:rsidR="00BB51EB" w:rsidRPr="00BB51EB" w:rsidP="004B7DC7">
            <w:pPr>
              <w:bidi w:val="0"/>
              <w:spacing w:after="0" w:line="240" w:lineRule="auto"/>
              <w:jc w:val="right"/>
              <w:rPr>
                <w:rFonts w:ascii="Times New Roman" w:hAnsi="Times New Roman" w:cs="Times New Roman"/>
                <w:b/>
                <w:bCs/>
                <w:szCs w:val="22"/>
                <w:lang w:eastAsia="sk-SK"/>
              </w:rPr>
            </w:pPr>
            <w:r w:rsidRPr="00BB51EB">
              <w:rPr>
                <w:rFonts w:ascii="Times New Roman" w:hAnsi="Times New Roman" w:cs="Times New Roman"/>
                <w:b/>
                <w:bCs/>
                <w:szCs w:val="22"/>
                <w:lang w:eastAsia="sk-SK"/>
              </w:rPr>
              <w:t>31.12.2014</w:t>
            </w:r>
          </w:p>
        </w:tc>
        <w:tc>
          <w:tcPr>
            <w:tcW w:w="873" w:type="pct"/>
            <w:tcBorders>
              <w:top w:val="nil"/>
              <w:left w:val="nil"/>
              <w:bottom w:val="nil"/>
              <w:right w:val="nil"/>
            </w:tcBorders>
            <w:textDirection w:val="lrTb"/>
            <w:vAlign w:val="bottom"/>
            <w:hideMark/>
          </w:tcPr>
          <w:p w:rsidR="00BB51EB" w:rsidRPr="00BB51EB" w:rsidP="004B7DC7">
            <w:pPr>
              <w:bidi w:val="0"/>
              <w:spacing w:after="0" w:line="240" w:lineRule="auto"/>
              <w:jc w:val="right"/>
              <w:rPr>
                <w:rFonts w:ascii="Times New Roman" w:hAnsi="Times New Roman" w:cs="Times New Roman"/>
                <w:b/>
                <w:bCs/>
                <w:szCs w:val="22"/>
                <w:lang w:eastAsia="sk-SK"/>
              </w:rPr>
            </w:pPr>
            <w:r w:rsidRPr="00BB51EB">
              <w:rPr>
                <w:rFonts w:ascii="Times New Roman" w:hAnsi="Times New Roman" w:cs="Times New Roman"/>
                <w:b/>
                <w:bCs/>
                <w:szCs w:val="22"/>
                <w:lang w:eastAsia="sk-SK"/>
              </w:rPr>
              <w:t>2014-2013</w:t>
            </w:r>
          </w:p>
        </w:tc>
      </w:tr>
      <w:tr>
        <w:tblPrEx>
          <w:tblW w:w="5000" w:type="pct"/>
          <w:tblCellMar>
            <w:left w:w="70" w:type="dxa"/>
            <w:right w:w="70" w:type="dxa"/>
          </w:tblCellMar>
          <w:tblLook w:val="04A0"/>
        </w:tblPrEx>
        <w:trPr>
          <w:trHeight w:val="300"/>
        </w:trPr>
        <w:tc>
          <w:tcPr>
            <w:tcW w:w="2251" w:type="pct"/>
            <w:tcBorders>
              <w:top w:val="single" w:sz="4" w:space="0" w:color="auto"/>
              <w:left w:val="nil"/>
              <w:bottom w:val="nil"/>
              <w:right w:val="nil"/>
            </w:tcBorders>
            <w:textDirection w:val="lrTb"/>
            <w:vAlign w:val="center"/>
            <w:hideMark/>
          </w:tcPr>
          <w:p w:rsidR="00BB51EB" w:rsidRPr="00BB51EB" w:rsidP="004B7DC7">
            <w:pPr>
              <w:bidi w:val="0"/>
              <w:spacing w:after="0" w:line="240" w:lineRule="auto"/>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Ústredná správa a podniky štátnej správy</w:t>
            </w:r>
          </w:p>
        </w:tc>
        <w:tc>
          <w:tcPr>
            <w:tcW w:w="900" w:type="pct"/>
            <w:tcBorders>
              <w:top w:val="single" w:sz="4" w:space="0" w:color="auto"/>
              <w:left w:val="nil"/>
              <w:bottom w:val="nil"/>
              <w:right w:val="nil"/>
            </w:tcBorders>
            <w:noWrap/>
            <w:textDirection w:val="lrTb"/>
            <w:vAlign w:val="center"/>
            <w:hideMark/>
          </w:tcPr>
          <w:p w:rsidR="00BB51EB" w:rsidRPr="00BB51EB" w:rsidP="004B7DC7">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12 034 579</w:t>
            </w:r>
          </w:p>
        </w:tc>
        <w:tc>
          <w:tcPr>
            <w:tcW w:w="976" w:type="pct"/>
            <w:tcBorders>
              <w:top w:val="single" w:sz="4" w:space="0" w:color="auto"/>
              <w:left w:val="nil"/>
              <w:bottom w:val="nil"/>
              <w:right w:val="nil"/>
            </w:tcBorders>
            <w:noWrap/>
            <w:textDirection w:val="lrTb"/>
            <w:vAlign w:val="center"/>
            <w:hideMark/>
          </w:tcPr>
          <w:p w:rsidR="00BB51EB" w:rsidRPr="00BB51EB" w:rsidP="004B7DC7">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13 309 615</w:t>
            </w:r>
          </w:p>
        </w:tc>
        <w:tc>
          <w:tcPr>
            <w:tcW w:w="873" w:type="pct"/>
            <w:tcBorders>
              <w:top w:val="single" w:sz="4" w:space="0" w:color="auto"/>
              <w:left w:val="nil"/>
              <w:bottom w:val="nil"/>
              <w:right w:val="nil"/>
            </w:tcBorders>
            <w:textDirection w:val="lrTb"/>
            <w:vAlign w:val="center"/>
            <w:hideMark/>
          </w:tcPr>
          <w:p w:rsidR="00BB51EB" w:rsidRPr="00BB51EB" w:rsidP="004B7DC7">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1 275 036</w:t>
            </w:r>
          </w:p>
        </w:tc>
      </w:tr>
      <w:tr>
        <w:tblPrEx>
          <w:tblW w:w="5000" w:type="pct"/>
          <w:tblCellMar>
            <w:left w:w="70" w:type="dxa"/>
            <w:right w:w="70" w:type="dxa"/>
          </w:tblCellMar>
          <w:tblLook w:val="04A0"/>
        </w:tblPrEx>
        <w:trPr>
          <w:trHeight w:val="300"/>
        </w:trPr>
        <w:tc>
          <w:tcPr>
            <w:tcW w:w="2251" w:type="pct"/>
            <w:tcBorders>
              <w:top w:val="nil"/>
              <w:left w:val="nil"/>
              <w:bottom w:val="nil"/>
              <w:right w:val="nil"/>
            </w:tcBorders>
            <w:textDirection w:val="lrTb"/>
            <w:vAlign w:val="center"/>
            <w:hideMark/>
          </w:tcPr>
          <w:p w:rsidR="00BB51EB" w:rsidRPr="00BB51EB" w:rsidP="004B7DC7">
            <w:pPr>
              <w:bidi w:val="0"/>
              <w:spacing w:after="0" w:line="240" w:lineRule="auto"/>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Vyššie územné celky a ich účtovné jednotky</w:t>
            </w:r>
          </w:p>
        </w:tc>
        <w:tc>
          <w:tcPr>
            <w:tcW w:w="900" w:type="pct"/>
            <w:tcBorders>
              <w:top w:val="nil"/>
              <w:left w:val="nil"/>
              <w:bottom w:val="nil"/>
              <w:right w:val="nil"/>
            </w:tcBorders>
            <w:textDirection w:val="lrTb"/>
            <w:vAlign w:val="center"/>
            <w:hideMark/>
          </w:tcPr>
          <w:p w:rsidR="00BB51EB" w:rsidRPr="00BB51EB" w:rsidP="004B7DC7">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7 578</w:t>
            </w:r>
          </w:p>
        </w:tc>
        <w:tc>
          <w:tcPr>
            <w:tcW w:w="976" w:type="pct"/>
            <w:tcBorders>
              <w:top w:val="nil"/>
              <w:left w:val="nil"/>
              <w:bottom w:val="nil"/>
              <w:right w:val="nil"/>
            </w:tcBorders>
            <w:textDirection w:val="lrTb"/>
            <w:vAlign w:val="center"/>
            <w:hideMark/>
          </w:tcPr>
          <w:p w:rsidR="00BB51EB" w:rsidRPr="00BB51EB" w:rsidP="004B7DC7">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5 832</w:t>
            </w:r>
          </w:p>
        </w:tc>
        <w:tc>
          <w:tcPr>
            <w:tcW w:w="873" w:type="pct"/>
            <w:tcBorders>
              <w:top w:val="nil"/>
              <w:left w:val="nil"/>
              <w:bottom w:val="nil"/>
              <w:right w:val="nil"/>
            </w:tcBorders>
            <w:textDirection w:val="lrTb"/>
            <w:vAlign w:val="center"/>
            <w:hideMark/>
          </w:tcPr>
          <w:p w:rsidR="00BB51EB" w:rsidRPr="00BB51EB" w:rsidP="004B7DC7">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-1 746</w:t>
            </w:r>
          </w:p>
        </w:tc>
      </w:tr>
      <w:tr>
        <w:tblPrEx>
          <w:tblW w:w="5000" w:type="pct"/>
          <w:tblCellMar>
            <w:left w:w="70" w:type="dxa"/>
            <w:right w:w="70" w:type="dxa"/>
          </w:tblCellMar>
          <w:tblLook w:val="04A0"/>
        </w:tblPrEx>
        <w:trPr>
          <w:trHeight w:val="300"/>
        </w:trPr>
        <w:tc>
          <w:tcPr>
            <w:tcW w:w="2251" w:type="pct"/>
            <w:tcBorders>
              <w:top w:val="nil"/>
              <w:left w:val="nil"/>
              <w:bottom w:val="nil"/>
              <w:right w:val="nil"/>
            </w:tcBorders>
            <w:textDirection w:val="lrTb"/>
            <w:vAlign w:val="center"/>
            <w:hideMark/>
          </w:tcPr>
          <w:p w:rsidR="00BB51EB" w:rsidRPr="00BB51EB" w:rsidP="004B7DC7">
            <w:pPr>
              <w:bidi w:val="0"/>
              <w:spacing w:after="0" w:line="240" w:lineRule="auto"/>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Obce a ich účtovné jednotky</w:t>
            </w:r>
          </w:p>
        </w:tc>
        <w:tc>
          <w:tcPr>
            <w:tcW w:w="900" w:type="pct"/>
            <w:tcBorders>
              <w:top w:val="nil"/>
              <w:left w:val="nil"/>
              <w:bottom w:val="nil"/>
              <w:right w:val="nil"/>
            </w:tcBorders>
            <w:textDirection w:val="lrTb"/>
            <w:vAlign w:val="center"/>
            <w:hideMark/>
          </w:tcPr>
          <w:p w:rsidR="00BB51EB" w:rsidRPr="00BB51EB" w:rsidP="004B7DC7">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21 165</w:t>
            </w:r>
          </w:p>
        </w:tc>
        <w:tc>
          <w:tcPr>
            <w:tcW w:w="976" w:type="pct"/>
            <w:tcBorders>
              <w:top w:val="nil"/>
              <w:left w:val="nil"/>
              <w:bottom w:val="nil"/>
              <w:right w:val="nil"/>
            </w:tcBorders>
            <w:textDirection w:val="lrTb"/>
            <w:vAlign w:val="center"/>
            <w:hideMark/>
          </w:tcPr>
          <w:p w:rsidR="00BB51EB" w:rsidRPr="00BB51EB" w:rsidP="004B7DC7">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85 612</w:t>
            </w:r>
          </w:p>
        </w:tc>
        <w:tc>
          <w:tcPr>
            <w:tcW w:w="873" w:type="pct"/>
            <w:tcBorders>
              <w:top w:val="nil"/>
              <w:left w:val="nil"/>
              <w:bottom w:val="nil"/>
              <w:right w:val="nil"/>
            </w:tcBorders>
            <w:textDirection w:val="lrTb"/>
            <w:vAlign w:val="center"/>
            <w:hideMark/>
          </w:tcPr>
          <w:p w:rsidR="00BB51EB" w:rsidRPr="00BB51EB" w:rsidP="004B7DC7">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64 447</w:t>
            </w:r>
          </w:p>
        </w:tc>
      </w:tr>
      <w:tr>
        <w:tblPrEx>
          <w:tblW w:w="5000" w:type="pct"/>
          <w:tblCellMar>
            <w:left w:w="70" w:type="dxa"/>
            <w:right w:w="70" w:type="dxa"/>
          </w:tblCellMar>
          <w:tblLook w:val="04A0"/>
        </w:tblPrEx>
        <w:trPr>
          <w:trHeight w:val="300"/>
        </w:trPr>
        <w:tc>
          <w:tcPr>
            <w:tcW w:w="2251" w:type="pct"/>
            <w:tcBorders>
              <w:top w:val="single" w:sz="4" w:space="0" w:color="auto"/>
              <w:left w:val="nil"/>
              <w:bottom w:val="single" w:sz="4" w:space="0" w:color="auto"/>
              <w:right w:val="nil"/>
            </w:tcBorders>
            <w:noWrap/>
            <w:textDirection w:val="lrTb"/>
            <w:vAlign w:val="center"/>
            <w:hideMark/>
          </w:tcPr>
          <w:p w:rsidR="00BB51EB" w:rsidRPr="00BB51EB" w:rsidP="00AC7136">
            <w:pPr>
              <w:bidi w:val="0"/>
              <w:spacing w:after="0" w:line="240" w:lineRule="auto"/>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Spolu</w:t>
            </w:r>
          </w:p>
        </w:tc>
        <w:tc>
          <w:tcPr>
            <w:tcW w:w="900" w:type="pct"/>
            <w:tcBorders>
              <w:top w:val="single" w:sz="4" w:space="0" w:color="auto"/>
              <w:left w:val="nil"/>
              <w:bottom w:val="single" w:sz="4" w:space="0" w:color="auto"/>
              <w:right w:val="nil"/>
            </w:tcBorders>
            <w:noWrap/>
            <w:textDirection w:val="lrTb"/>
            <w:vAlign w:val="center"/>
            <w:hideMark/>
          </w:tcPr>
          <w:p w:rsidR="00BB51EB" w:rsidRPr="00BB51EB" w:rsidP="004B7DC7">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12 063 322</w:t>
            </w:r>
          </w:p>
        </w:tc>
        <w:tc>
          <w:tcPr>
            <w:tcW w:w="976" w:type="pct"/>
            <w:tcBorders>
              <w:top w:val="single" w:sz="4" w:space="0" w:color="auto"/>
              <w:left w:val="nil"/>
              <w:bottom w:val="single" w:sz="4" w:space="0" w:color="auto"/>
              <w:right w:val="nil"/>
            </w:tcBorders>
            <w:noWrap/>
            <w:textDirection w:val="lrTb"/>
            <w:vAlign w:val="center"/>
            <w:hideMark/>
          </w:tcPr>
          <w:p w:rsidR="00BB51EB" w:rsidRPr="00BB51EB" w:rsidP="004B7DC7">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13 401 059</w:t>
            </w:r>
          </w:p>
        </w:tc>
        <w:tc>
          <w:tcPr>
            <w:tcW w:w="873" w:type="pct"/>
            <w:tcBorders>
              <w:top w:val="single" w:sz="4" w:space="0" w:color="auto"/>
              <w:left w:val="nil"/>
              <w:bottom w:val="single" w:sz="4" w:space="0" w:color="auto"/>
              <w:right w:val="nil"/>
            </w:tcBorders>
            <w:noWrap/>
            <w:textDirection w:val="lrTb"/>
            <w:vAlign w:val="center"/>
            <w:hideMark/>
          </w:tcPr>
          <w:p w:rsidR="00BB51EB" w:rsidRPr="004E28F0" w:rsidP="004B7DC7">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1 337 737</w:t>
            </w:r>
          </w:p>
        </w:tc>
      </w:tr>
    </w:tbl>
    <w:p w:rsidR="00062DC2" w:rsidP="00475F12">
      <w:pPr>
        <w:bidi w:val="0"/>
        <w:spacing w:before="120" w:after="120" w:line="336" w:lineRule="auto"/>
        <w:jc w:val="both"/>
        <w:rPr>
          <w:rFonts w:ascii="Times New Roman" w:hAnsi="Times New Roman" w:cs="Times New Roman"/>
          <w:szCs w:val="22"/>
        </w:rPr>
      </w:pPr>
      <w:r w:rsidRPr="00D23D54" w:rsidR="00690C7F">
        <w:rPr>
          <w:rFonts w:ascii="Times New Roman" w:hAnsi="Times New Roman" w:cs="Times New Roman"/>
          <w:szCs w:val="22"/>
        </w:rPr>
        <w:t xml:space="preserve">Celkové podmienené záväzky verejného sektora boli k 31.12.2014 vykázané vo výške </w:t>
      </w:r>
      <w:r w:rsidRPr="00D23D54" w:rsidR="00690C7F">
        <w:rPr>
          <w:rFonts w:ascii="Times New Roman" w:hAnsi="Times New Roman" w:cs="Times New Roman"/>
          <w:b/>
          <w:bCs/>
          <w:szCs w:val="22"/>
        </w:rPr>
        <w:t>13 401 059 </w:t>
      </w:r>
      <w:r w:rsidRPr="00D23D54" w:rsidR="00690C7F">
        <w:rPr>
          <w:rFonts w:ascii="Times New Roman" w:hAnsi="Times New Roman" w:cs="Times New Roman"/>
          <w:b/>
          <w:szCs w:val="22"/>
        </w:rPr>
        <w:t>tis. eur (17,7 % HDP)</w:t>
      </w:r>
      <w:r w:rsidRPr="00D23D54" w:rsidR="00690C7F">
        <w:rPr>
          <w:rFonts w:ascii="Times New Roman" w:hAnsi="Times New Roman" w:cs="Times New Roman"/>
          <w:szCs w:val="22"/>
        </w:rPr>
        <w:t>. V rámci verejného sektora bola rozhodujúca časť (99,3 %) podmienených záväzkov vykázaná v sektore ústrednej správy vrátane podnikov štátnej správy. Zvyšná časť pripadá na samosprávu, ktorá okrem obcí a vyšších územných celkov zahŕňa aj ich rozpočtové a príspevkové organizácie a obchodné spoločnosti. Medziročný nárast celkových podmienených záväzkov o 1 337 737 tis. eur ku koncu roka 2014 je ďalej popísaný podľa jednotlivých skupín najväčších podmienených záväzkov.</w:t>
      </w:r>
    </w:p>
    <w:tbl>
      <w:tblPr>
        <w:tblStyle w:val="TableNormal"/>
        <w:tblW w:w="5000" w:type="pct"/>
        <w:tblCellMar>
          <w:left w:w="70" w:type="dxa"/>
          <w:right w:w="70" w:type="dxa"/>
        </w:tblCellMar>
        <w:tblLook w:val="04A0"/>
      </w:tblPr>
      <w:tblGrid>
        <w:gridCol w:w="5641"/>
        <w:gridCol w:w="1166"/>
        <w:gridCol w:w="1166"/>
        <w:gridCol w:w="1238"/>
      </w:tblGrid>
      <w:tr>
        <w:tblPrEx>
          <w:tblW w:w="5000" w:type="pct"/>
          <w:tblCellMar>
            <w:left w:w="70" w:type="dxa"/>
            <w:right w:w="70" w:type="dxa"/>
          </w:tblCellMar>
          <w:tblLook w:val="04A0"/>
        </w:tblPrEx>
        <w:trPr>
          <w:trHeight w:val="300"/>
        </w:trPr>
        <w:tc>
          <w:tcPr>
            <w:tcW w:w="3062" w:type="pct"/>
            <w:tcBorders>
              <w:top w:val="nil"/>
              <w:left w:val="nil"/>
              <w:bottom w:val="nil"/>
              <w:right w:val="nil"/>
            </w:tcBorders>
            <w:noWrap/>
            <w:textDirection w:val="lrTb"/>
            <w:vAlign w:val="center"/>
            <w:hideMark/>
          </w:tcPr>
          <w:p w:rsidR="00690C7F" w:rsidRPr="00BB51EB" w:rsidP="00651A0E">
            <w:pPr>
              <w:bidi w:val="0"/>
              <w:spacing w:after="0" w:line="240" w:lineRule="auto"/>
              <w:rPr>
                <w:rFonts w:ascii="Times New Roman" w:hAnsi="Times New Roman" w:cs="Times New Roman"/>
                <w:b/>
                <w:bCs/>
                <w:color w:val="FFFFFF"/>
                <w:sz w:val="20"/>
                <w:szCs w:val="20"/>
                <w:lang w:eastAsia="sk-SK"/>
              </w:rPr>
            </w:pPr>
            <w:r w:rsidRPr="00BB51EB">
              <w:rPr>
                <w:rFonts w:ascii="Times New Roman" w:hAnsi="Times New Roman" w:cs="Times New Roman"/>
                <w:b/>
                <w:bCs/>
                <w:color w:val="FFFFFF"/>
                <w:sz w:val="20"/>
                <w:szCs w:val="20"/>
                <w:lang w:eastAsia="sk-SK"/>
              </w:rPr>
              <w:t>Prehľad najväčších podmienených záväzkov (tis. eur)</w:t>
            </w:r>
          </w:p>
        </w:tc>
        <w:tc>
          <w:tcPr>
            <w:tcW w:w="633" w:type="pct"/>
            <w:tcBorders>
              <w:top w:val="nil"/>
              <w:left w:val="nil"/>
              <w:bottom w:val="nil"/>
              <w:right w:val="nil"/>
            </w:tcBorders>
            <w:noWrap/>
            <w:textDirection w:val="lrTb"/>
            <w:vAlign w:val="center"/>
            <w:hideMark/>
          </w:tcPr>
          <w:p w:rsidR="00690C7F" w:rsidRPr="00BB51EB" w:rsidP="00651A0E">
            <w:pPr>
              <w:bidi w:val="0"/>
              <w:spacing w:after="0" w:line="240" w:lineRule="auto"/>
              <w:rPr>
                <w:rFonts w:ascii="Times New Roman" w:hAnsi="Times New Roman" w:cs="Times New Roman"/>
                <w:b/>
                <w:bCs/>
                <w:color w:val="FFFFFF"/>
                <w:sz w:val="20"/>
                <w:szCs w:val="20"/>
                <w:lang w:eastAsia="sk-SK"/>
              </w:rPr>
            </w:pPr>
            <w:r w:rsidRPr="00BB51EB">
              <w:rPr>
                <w:rFonts w:ascii="Times New Roman" w:hAnsi="Times New Roman" w:cs="Times New Roman"/>
                <w:b/>
                <w:bCs/>
                <w:color w:val="FFFFFF"/>
                <w:sz w:val="20"/>
                <w:szCs w:val="20"/>
                <w:lang w:eastAsia="sk-SK"/>
              </w:rPr>
              <w:t> </w:t>
            </w:r>
          </w:p>
        </w:tc>
        <w:tc>
          <w:tcPr>
            <w:tcW w:w="633" w:type="pct"/>
            <w:tcBorders>
              <w:top w:val="nil"/>
              <w:left w:val="nil"/>
              <w:bottom w:val="nil"/>
              <w:right w:val="nil"/>
            </w:tcBorders>
            <w:noWrap/>
            <w:textDirection w:val="lrTb"/>
            <w:vAlign w:val="center"/>
            <w:hideMark/>
          </w:tcPr>
          <w:p w:rsidR="00690C7F" w:rsidRPr="00BB51EB" w:rsidP="00651A0E">
            <w:pPr>
              <w:bidi w:val="0"/>
              <w:spacing w:after="0" w:line="240" w:lineRule="auto"/>
              <w:rPr>
                <w:rFonts w:ascii="Times New Roman" w:hAnsi="Times New Roman" w:cs="Times New Roman"/>
                <w:b/>
                <w:bCs/>
                <w:color w:val="FFFFFF"/>
                <w:sz w:val="20"/>
                <w:szCs w:val="20"/>
                <w:lang w:eastAsia="sk-SK"/>
              </w:rPr>
            </w:pPr>
            <w:r w:rsidRPr="00BB51EB">
              <w:rPr>
                <w:rFonts w:ascii="Times New Roman" w:hAnsi="Times New Roman" w:cs="Times New Roman"/>
                <w:b/>
                <w:bCs/>
                <w:color w:val="FFFFFF"/>
                <w:sz w:val="20"/>
                <w:szCs w:val="20"/>
                <w:lang w:eastAsia="sk-SK"/>
              </w:rPr>
              <w:t> </w:t>
            </w:r>
          </w:p>
        </w:tc>
        <w:tc>
          <w:tcPr>
            <w:tcW w:w="672" w:type="pct"/>
            <w:tcBorders>
              <w:top w:val="nil"/>
              <w:left w:val="nil"/>
              <w:bottom w:val="nil"/>
              <w:right w:val="nil"/>
            </w:tcBorders>
            <w:noWrap/>
            <w:textDirection w:val="lrTb"/>
            <w:vAlign w:val="center"/>
            <w:hideMark/>
          </w:tcPr>
          <w:p w:rsidR="00690C7F" w:rsidRPr="00BB51EB" w:rsidP="00651A0E">
            <w:pPr>
              <w:bidi w:val="0"/>
              <w:spacing w:after="0" w:line="240" w:lineRule="auto"/>
              <w:rPr>
                <w:rFonts w:ascii="Times New Roman" w:hAnsi="Times New Roman" w:cs="Times New Roman"/>
                <w:b/>
                <w:bCs/>
                <w:color w:val="FFFFFF"/>
                <w:sz w:val="20"/>
                <w:szCs w:val="20"/>
                <w:lang w:eastAsia="sk-SK"/>
              </w:rPr>
            </w:pPr>
            <w:r w:rsidRPr="00BB51EB">
              <w:rPr>
                <w:rFonts w:ascii="Times New Roman" w:hAnsi="Times New Roman" w:cs="Times New Roman"/>
                <w:b/>
                <w:bCs/>
                <w:color w:val="FFFFFF"/>
                <w:sz w:val="20"/>
                <w:szCs w:val="20"/>
                <w:lang w:eastAsia="sk-SK"/>
              </w:rPr>
              <w:t> </w:t>
            </w:r>
          </w:p>
        </w:tc>
      </w:tr>
      <w:tr>
        <w:tblPrEx>
          <w:tblW w:w="5000" w:type="pct"/>
          <w:tblCellMar>
            <w:left w:w="70" w:type="dxa"/>
            <w:right w:w="70" w:type="dxa"/>
          </w:tblCellMar>
          <w:tblLook w:val="04A0"/>
        </w:tblPrEx>
        <w:trPr>
          <w:trHeight w:val="300"/>
        </w:trPr>
        <w:tc>
          <w:tcPr>
            <w:tcW w:w="3062" w:type="pct"/>
            <w:tcBorders>
              <w:top w:val="single" w:sz="4" w:space="0" w:color="auto"/>
              <w:left w:val="nil"/>
              <w:bottom w:val="single" w:sz="4" w:space="0" w:color="auto"/>
              <w:right w:val="nil"/>
            </w:tcBorders>
            <w:textDirection w:val="lrTb"/>
            <w:vAlign w:val="center"/>
            <w:hideMark/>
          </w:tcPr>
          <w:p w:rsidR="00690C7F" w:rsidRPr="00BB51EB" w:rsidP="00651A0E">
            <w:pPr>
              <w:bidi w:val="0"/>
              <w:spacing w:after="0" w:line="240" w:lineRule="auto"/>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 </w:t>
            </w:r>
          </w:p>
        </w:tc>
        <w:tc>
          <w:tcPr>
            <w:tcW w:w="633" w:type="pct"/>
            <w:tcBorders>
              <w:top w:val="single" w:sz="4" w:space="0" w:color="auto"/>
              <w:left w:val="nil"/>
              <w:bottom w:val="single" w:sz="4" w:space="0" w:color="auto"/>
              <w:right w:val="nil"/>
            </w:tcBorders>
            <w:textDirection w:val="lrTb"/>
            <w:vAlign w:val="bottom"/>
            <w:hideMark/>
          </w:tcPr>
          <w:p w:rsidR="00690C7F" w:rsidRPr="00BB51EB" w:rsidP="00651A0E">
            <w:pPr>
              <w:bidi w:val="0"/>
              <w:spacing w:after="0" w:line="240" w:lineRule="auto"/>
              <w:jc w:val="right"/>
              <w:rPr>
                <w:rFonts w:ascii="Times New Roman" w:hAnsi="Times New Roman" w:cs="Times New Roman"/>
                <w:b/>
                <w:bCs/>
                <w:szCs w:val="22"/>
                <w:lang w:eastAsia="sk-SK"/>
              </w:rPr>
            </w:pPr>
            <w:r w:rsidRPr="00BB51EB">
              <w:rPr>
                <w:rFonts w:ascii="Times New Roman" w:hAnsi="Times New Roman" w:cs="Times New Roman"/>
                <w:b/>
                <w:bCs/>
                <w:szCs w:val="22"/>
                <w:lang w:eastAsia="sk-SK"/>
              </w:rPr>
              <w:t>31.12.2013</w:t>
            </w:r>
          </w:p>
        </w:tc>
        <w:tc>
          <w:tcPr>
            <w:tcW w:w="633" w:type="pct"/>
            <w:tcBorders>
              <w:top w:val="single" w:sz="4" w:space="0" w:color="auto"/>
              <w:left w:val="nil"/>
              <w:bottom w:val="single" w:sz="4" w:space="0" w:color="auto"/>
              <w:right w:val="nil"/>
            </w:tcBorders>
            <w:textDirection w:val="lrTb"/>
            <w:vAlign w:val="bottom"/>
            <w:hideMark/>
          </w:tcPr>
          <w:p w:rsidR="00690C7F" w:rsidRPr="00BB51EB" w:rsidP="00651A0E">
            <w:pPr>
              <w:bidi w:val="0"/>
              <w:spacing w:after="0" w:line="240" w:lineRule="auto"/>
              <w:jc w:val="right"/>
              <w:rPr>
                <w:rFonts w:ascii="Times New Roman" w:hAnsi="Times New Roman" w:cs="Times New Roman"/>
                <w:b/>
                <w:bCs/>
                <w:szCs w:val="22"/>
                <w:lang w:eastAsia="sk-SK"/>
              </w:rPr>
            </w:pPr>
            <w:r w:rsidRPr="00BB51EB">
              <w:rPr>
                <w:rFonts w:ascii="Times New Roman" w:hAnsi="Times New Roman" w:cs="Times New Roman"/>
                <w:b/>
                <w:bCs/>
                <w:szCs w:val="22"/>
                <w:lang w:eastAsia="sk-SK"/>
              </w:rPr>
              <w:t>31.12.2014</w:t>
            </w:r>
          </w:p>
        </w:tc>
        <w:tc>
          <w:tcPr>
            <w:tcW w:w="672" w:type="pct"/>
            <w:tcBorders>
              <w:top w:val="single" w:sz="4" w:space="0" w:color="auto"/>
              <w:left w:val="nil"/>
              <w:bottom w:val="single" w:sz="4" w:space="0" w:color="auto"/>
              <w:right w:val="nil"/>
            </w:tcBorders>
            <w:textDirection w:val="lrTb"/>
            <w:vAlign w:val="bottom"/>
            <w:hideMark/>
          </w:tcPr>
          <w:p w:rsidR="00690C7F" w:rsidRPr="00BB51EB" w:rsidP="00651A0E">
            <w:pPr>
              <w:bidi w:val="0"/>
              <w:spacing w:after="0" w:line="240" w:lineRule="auto"/>
              <w:jc w:val="right"/>
              <w:rPr>
                <w:rFonts w:ascii="Times New Roman" w:hAnsi="Times New Roman" w:cs="Times New Roman"/>
                <w:b/>
                <w:bCs/>
                <w:szCs w:val="22"/>
                <w:lang w:eastAsia="sk-SK"/>
              </w:rPr>
            </w:pPr>
            <w:r w:rsidRPr="00BB51EB">
              <w:rPr>
                <w:rFonts w:ascii="Times New Roman" w:hAnsi="Times New Roman" w:cs="Times New Roman"/>
                <w:b/>
                <w:bCs/>
                <w:szCs w:val="22"/>
                <w:lang w:eastAsia="sk-SK"/>
              </w:rPr>
              <w:t>2014-2013</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Kapitál na požiadanie a záruky v medz. finančných inštitúciách</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8 390 704</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8 573 444</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182 740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Európsky stabilizačný mechanizmus (ESM)</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5 109 000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5 108 800</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-200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Európsky nástroj finančnej stability (EFSF)</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2 188 070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2 318 329</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130 259</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noWrap/>
            <w:textDirection w:val="lrTb"/>
            <w:vAlign w:val="bottom"/>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 xml:space="preserve">Európska investičná banka </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573 996</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580 496</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6 500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 xml:space="preserve">Medzinárodná banka pre obnovu a rozvoj </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339 803</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385 983</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46 180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Európska banka pre obnovu a rozvoj</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101 359</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101 359</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Rozvojová banka rady Európy</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16 853</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16 854</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Medzinárodná banka pre hospodársku spoluprácu</w:t>
            </w:r>
          </w:p>
        </w:tc>
        <w:tc>
          <w:tcPr>
            <w:tcW w:w="633" w:type="pct"/>
            <w:tcBorders>
              <w:top w:val="nil"/>
              <w:left w:val="nil"/>
              <w:bottom w:val="nil"/>
              <w:right w:val="nil"/>
            </w:tcBorders>
            <w:noWrap/>
            <w:textDirection w:val="lrTb"/>
            <w:vAlign w:val="bottom"/>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11 526</w:t>
            </w:r>
          </w:p>
        </w:tc>
        <w:tc>
          <w:tcPr>
            <w:tcW w:w="633" w:type="pct"/>
            <w:tcBorders>
              <w:top w:val="nil"/>
              <w:left w:val="nil"/>
              <w:bottom w:val="nil"/>
              <w:right w:val="nil"/>
            </w:tcBorders>
            <w:noWrap/>
            <w:textDirection w:val="lrTb"/>
            <w:vAlign w:val="bottom"/>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11 526</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noWrap/>
            <w:textDirection w:val="lrTb"/>
            <w:vAlign w:val="bottom"/>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 xml:space="preserve">Mnohostranná agentúra pre investičné záruky </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2 485</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2 485</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noWrap/>
            <w:textDirection w:val="lrTb"/>
            <w:vAlign w:val="bottom"/>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 xml:space="preserve">Medzinárodná investičná banka </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47 612</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47 612</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Medzinárodné investičné arbitráže</w:t>
            </w:r>
          </w:p>
        </w:tc>
        <w:tc>
          <w:tcPr>
            <w:tcW w:w="633" w:type="pct"/>
            <w:tcBorders>
              <w:top w:val="nil"/>
              <w:left w:val="nil"/>
              <w:bottom w:val="nil"/>
              <w:right w:val="nil"/>
            </w:tcBorders>
            <w:noWrap/>
            <w:textDirection w:val="lrTb"/>
            <w:vAlign w:val="bottom"/>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414 839</w:t>
            </w:r>
          </w:p>
        </w:tc>
        <w:tc>
          <w:tcPr>
            <w:tcW w:w="633" w:type="pct"/>
            <w:tcBorders>
              <w:top w:val="nil"/>
              <w:left w:val="nil"/>
              <w:bottom w:val="nil"/>
              <w:right w:val="nil"/>
            </w:tcBorders>
            <w:noWrap/>
            <w:textDirection w:val="lrTb"/>
            <w:vAlign w:val="bottom"/>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254 394</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-160 445</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 xml:space="preserve">Zdravotná poisťovňa Union, a.s. </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26 000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27 394</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1 394</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 xml:space="preserve">Bývalá zdravotná poisťovňa Apollo, a.s. </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131 400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-131 400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U.S. Steel Košice, a.s.</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257 439</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-257 439</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Eurogas Inc. a Belmont Resources Inc.</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227 000</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227 000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Ostatné súdne spory</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1 872 876</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1 750 985</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-121 891</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Ministerstvo financií SR</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823 467</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555 878</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-267 589</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Ministerstvo vnútra SR</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128 906</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128 906</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Kancelária národnej rady SR</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724 735</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728 073</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3 338</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Fond národného majetku</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208 543</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221 286</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12 743</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Slovenský pozemkový fond</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116 131</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116 842</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711</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Iné (FNM, podniky, MFSR)</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1 114 460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2 595 998</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1 481 538</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FNM - Privatizačné zmluvy</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1 114 433</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1 013 876</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-100 557</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FNM - Nevyrovnané reštitučné nároky</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27</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27</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Slovenský plynárenský priemysel, a.s.</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1 111 581</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1 111 581</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Slovenská záručná a rozvojová banka, a.s.</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146 880</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146 880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Exportno-importná banka Slovenska</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198 396</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198 396</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Slovenská elektrizačná prenosová sústava, a.s.</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115 050</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115 050</w:t>
            </w:r>
          </w:p>
        </w:tc>
      </w:tr>
      <w:tr>
        <w:tblPrEx>
          <w:tblW w:w="5000" w:type="pct"/>
          <w:tblCellMar>
            <w:left w:w="70" w:type="dxa"/>
            <w:right w:w="70" w:type="dxa"/>
          </w:tblCellMar>
          <w:tblLook w:val="04A0"/>
        </w:tblPrEx>
        <w:trPr>
          <w:trHeight w:val="300"/>
        </w:trPr>
        <w:tc>
          <w:tcPr>
            <w:tcW w:w="3062" w:type="pct"/>
            <w:tcBorders>
              <w:top w:val="nil"/>
              <w:left w:val="nil"/>
              <w:bottom w:val="nil"/>
              <w:right w:val="nil"/>
            </w:tcBorders>
            <w:textDirection w:val="lrTb"/>
            <w:vAlign w:val="center"/>
            <w:hideMark/>
          </w:tcPr>
          <w:p w:rsidR="00690C7F" w:rsidRPr="00BB51EB" w:rsidP="00651A0E">
            <w:pPr>
              <w:bidi w:val="0"/>
              <w:spacing w:after="0" w:line="240" w:lineRule="auto"/>
              <w:ind w:firstLine="600" w:firstLineChars="300"/>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Záruky MF SR</w:t>
            </w:r>
            <w:r>
              <w:rPr>
                <w:rFonts w:ascii="Times New Roman" w:hAnsi="Times New Roman" w:cs="Times New Roman"/>
                <w:color w:val="000000"/>
                <w:sz w:val="20"/>
                <w:szCs w:val="20"/>
                <w:lang w:eastAsia="sk-SK"/>
              </w:rPr>
              <w:t xml:space="preserve"> </w:t>
            </w:r>
            <w:r w:rsidRPr="00BB51EB">
              <w:rPr>
                <w:rFonts w:ascii="Times New Roman" w:hAnsi="Times New Roman" w:cs="Times New Roman"/>
                <w:color w:val="000000"/>
                <w:sz w:val="20"/>
                <w:szCs w:val="20"/>
                <w:lang w:eastAsia="sk-SK"/>
              </w:rPr>
              <w:t>voči SZRB, a.s.</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0</w:t>
            </w:r>
          </w:p>
        </w:tc>
        <w:tc>
          <w:tcPr>
            <w:tcW w:w="633"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10 188</w:t>
            </w:r>
          </w:p>
        </w:tc>
        <w:tc>
          <w:tcPr>
            <w:tcW w:w="672" w:type="pct"/>
            <w:tcBorders>
              <w:top w:val="nil"/>
              <w:left w:val="nil"/>
              <w:bottom w:val="nil"/>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color w:val="000000"/>
                <w:sz w:val="20"/>
                <w:szCs w:val="20"/>
                <w:lang w:eastAsia="sk-SK"/>
              </w:rPr>
            </w:pPr>
            <w:r w:rsidRPr="00BB51EB">
              <w:rPr>
                <w:rFonts w:ascii="Times New Roman" w:hAnsi="Times New Roman" w:cs="Times New Roman"/>
                <w:color w:val="000000"/>
                <w:sz w:val="20"/>
                <w:szCs w:val="20"/>
                <w:lang w:eastAsia="sk-SK"/>
              </w:rPr>
              <w:t>10 188</w:t>
            </w:r>
          </w:p>
        </w:tc>
      </w:tr>
      <w:tr>
        <w:tblPrEx>
          <w:tblW w:w="5000" w:type="pct"/>
          <w:tblCellMar>
            <w:left w:w="70" w:type="dxa"/>
            <w:right w:w="70" w:type="dxa"/>
          </w:tblCellMar>
          <w:tblLook w:val="04A0"/>
        </w:tblPrEx>
        <w:trPr>
          <w:trHeight w:val="300"/>
        </w:trPr>
        <w:tc>
          <w:tcPr>
            <w:tcW w:w="3062" w:type="pct"/>
            <w:tcBorders>
              <w:top w:val="single" w:sz="4" w:space="0" w:color="auto"/>
              <w:left w:val="nil"/>
              <w:bottom w:val="single" w:sz="4" w:space="0" w:color="auto"/>
              <w:right w:val="nil"/>
            </w:tcBorders>
            <w:noWrap/>
            <w:textDirection w:val="lrTb"/>
            <w:vAlign w:val="center"/>
            <w:hideMark/>
          </w:tcPr>
          <w:p w:rsidR="00690C7F" w:rsidRPr="00BB51EB" w:rsidP="00651A0E">
            <w:pPr>
              <w:bidi w:val="0"/>
              <w:spacing w:after="0" w:line="240" w:lineRule="auto"/>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Spolu</w:t>
            </w:r>
          </w:p>
        </w:tc>
        <w:tc>
          <w:tcPr>
            <w:tcW w:w="633" w:type="pct"/>
            <w:tcBorders>
              <w:top w:val="single" w:sz="4" w:space="0" w:color="auto"/>
              <w:left w:val="nil"/>
              <w:bottom w:val="single" w:sz="4" w:space="0" w:color="auto"/>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11 792 879</w:t>
            </w:r>
          </w:p>
        </w:tc>
        <w:tc>
          <w:tcPr>
            <w:tcW w:w="633" w:type="pct"/>
            <w:tcBorders>
              <w:top w:val="single" w:sz="4" w:space="0" w:color="auto"/>
              <w:left w:val="nil"/>
              <w:bottom w:val="single" w:sz="4" w:space="0" w:color="auto"/>
              <w:right w:val="nil"/>
            </w:tcBorders>
            <w:textDirection w:val="lrTb"/>
            <w:vAlign w:val="center"/>
            <w:hideMark/>
          </w:tcPr>
          <w:p w:rsidR="00690C7F" w:rsidRPr="00BB51EB"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13 174 821</w:t>
            </w:r>
          </w:p>
        </w:tc>
        <w:tc>
          <w:tcPr>
            <w:tcW w:w="672" w:type="pct"/>
            <w:tcBorders>
              <w:top w:val="single" w:sz="4" w:space="0" w:color="auto"/>
              <w:left w:val="nil"/>
              <w:bottom w:val="single" w:sz="4" w:space="0" w:color="auto"/>
              <w:right w:val="nil"/>
            </w:tcBorders>
            <w:textDirection w:val="lrTb"/>
            <w:vAlign w:val="center"/>
            <w:hideMark/>
          </w:tcPr>
          <w:p w:rsidR="00690C7F" w:rsidRPr="00CF1035" w:rsidP="00651A0E">
            <w:pPr>
              <w:bidi w:val="0"/>
              <w:spacing w:after="0" w:line="240" w:lineRule="auto"/>
              <w:jc w:val="right"/>
              <w:rPr>
                <w:rFonts w:ascii="Times New Roman" w:hAnsi="Times New Roman" w:cs="Times New Roman"/>
                <w:b/>
                <w:bCs/>
                <w:color w:val="000000"/>
                <w:sz w:val="20"/>
                <w:szCs w:val="20"/>
                <w:lang w:eastAsia="sk-SK"/>
              </w:rPr>
            </w:pPr>
            <w:r w:rsidRPr="00BB51EB">
              <w:rPr>
                <w:rFonts w:ascii="Times New Roman" w:hAnsi="Times New Roman" w:cs="Times New Roman"/>
                <w:b/>
                <w:bCs/>
                <w:color w:val="000000"/>
                <w:sz w:val="20"/>
                <w:szCs w:val="20"/>
                <w:lang w:eastAsia="sk-SK"/>
              </w:rPr>
              <w:t>1 381 942</w:t>
            </w:r>
          </w:p>
        </w:tc>
      </w:tr>
    </w:tbl>
    <w:p w:rsidR="00690C7F" w:rsidP="00690C7F">
      <w:pPr>
        <w:bidi w:val="0"/>
        <w:spacing w:after="0" w:line="336" w:lineRule="auto"/>
        <w:jc w:val="both"/>
        <w:rPr>
          <w:rFonts w:ascii="Times New Roman" w:hAnsi="Times New Roman" w:cs="Times New Roman"/>
          <w:szCs w:val="22"/>
        </w:rPr>
      </w:pPr>
    </w:p>
    <w:p w:rsidR="00BD7865" w:rsidRPr="00A53EAC" w:rsidP="00690C7F">
      <w:pPr>
        <w:bidi w:val="0"/>
        <w:spacing w:after="120" w:line="336" w:lineRule="auto"/>
        <w:jc w:val="both"/>
        <w:rPr>
          <w:rFonts w:ascii="Times New Roman" w:hAnsi="Times New Roman" w:cs="Times New Roman"/>
          <w:szCs w:val="22"/>
        </w:rPr>
      </w:pPr>
      <w:r w:rsidRPr="00A53EAC" w:rsidR="0074344D">
        <w:rPr>
          <w:rFonts w:ascii="Times New Roman" w:hAnsi="Times New Roman" w:cs="Times New Roman"/>
          <w:szCs w:val="22"/>
        </w:rPr>
        <w:t>Prvú</w:t>
      </w:r>
      <w:r w:rsidRPr="00A53EAC" w:rsidR="00BC6E8B">
        <w:rPr>
          <w:rFonts w:ascii="Times New Roman" w:hAnsi="Times New Roman" w:cs="Times New Roman"/>
          <w:szCs w:val="22"/>
        </w:rPr>
        <w:t xml:space="preserve"> skupinu tvoria </w:t>
      </w:r>
      <w:r w:rsidRPr="00062DC2" w:rsidR="00BC6E8B">
        <w:rPr>
          <w:rFonts w:ascii="Times New Roman" w:hAnsi="Times New Roman" w:cs="Times New Roman"/>
          <w:b/>
          <w:szCs w:val="22"/>
        </w:rPr>
        <w:t>podmienené záväzky vyplývajúce z kapitálu splatného na požiadanie a záruk</w:t>
      </w:r>
      <w:r w:rsidRPr="00A53EAC" w:rsidR="00BC6E8B">
        <w:rPr>
          <w:rFonts w:ascii="Times New Roman" w:hAnsi="Times New Roman" w:cs="Times New Roman"/>
          <w:szCs w:val="22"/>
        </w:rPr>
        <w:t xml:space="preserve"> v medzinárodných finančných inštitúciách. </w:t>
      </w:r>
      <w:r w:rsidRPr="00A53EAC" w:rsidR="00FE0BD8">
        <w:rPr>
          <w:rFonts w:ascii="Times New Roman" w:hAnsi="Times New Roman" w:cs="Times New Roman"/>
          <w:szCs w:val="22"/>
        </w:rPr>
        <w:t>N</w:t>
      </w:r>
      <w:r w:rsidRPr="00A53EAC" w:rsidR="00BC6E8B">
        <w:rPr>
          <w:rFonts w:ascii="Times New Roman" w:hAnsi="Times New Roman" w:cs="Times New Roman"/>
          <w:szCs w:val="22"/>
        </w:rPr>
        <w:t>ajväčší podmienený záväzok je vykázaný pri Európskom stabilizačnom mechanizme (ESM) vo</w:t>
      </w:r>
      <w:r w:rsidRPr="00A53EAC" w:rsidR="008F4E75">
        <w:rPr>
          <w:rFonts w:ascii="Times New Roman" w:hAnsi="Times New Roman" w:cs="Times New Roman"/>
          <w:szCs w:val="22"/>
        </w:rPr>
        <w:t> </w:t>
      </w:r>
      <w:r w:rsidRPr="00A53EAC" w:rsidR="00BC6E8B">
        <w:rPr>
          <w:rFonts w:ascii="Times New Roman" w:hAnsi="Times New Roman" w:cs="Times New Roman"/>
          <w:szCs w:val="22"/>
        </w:rPr>
        <w:t xml:space="preserve">výške </w:t>
      </w:r>
      <w:r w:rsidRPr="00A53EAC" w:rsidR="0074344D">
        <w:rPr>
          <w:rFonts w:ascii="Times New Roman" w:hAnsi="Times New Roman" w:cs="Times New Roman"/>
          <w:szCs w:val="22"/>
        </w:rPr>
        <w:t>5 108 8</w:t>
      </w:r>
      <w:r w:rsidRPr="00A53EAC" w:rsidR="00BC6E8B">
        <w:rPr>
          <w:rFonts w:ascii="Times New Roman" w:hAnsi="Times New Roman" w:cs="Times New Roman"/>
          <w:szCs w:val="22"/>
        </w:rPr>
        <w:t>00 tis. eur. Tento finančný mechanizmus je určený na poskytovanie pomoci členským štátom eurozóny vo vážnych finančných problémoch s cieľom zabezpečiť stabilitu eurozóny. Základné imanie ESM v sume 700 000 000 tis. eur tvorí 80 000 000 tis. eur vo forme splatených akcií (z toho podiel SR: 659 200 tis. eur) a 620 000 000 tis. eur vo forme akcií splatných na vyzvanie (z toho podiel SR: 5 10</w:t>
      </w:r>
      <w:r w:rsidRPr="00A53EAC" w:rsidR="0074344D">
        <w:rPr>
          <w:rFonts w:ascii="Times New Roman" w:hAnsi="Times New Roman" w:cs="Times New Roman"/>
          <w:szCs w:val="22"/>
        </w:rPr>
        <w:t>8 8</w:t>
      </w:r>
      <w:r w:rsidRPr="00A53EAC" w:rsidR="00BC6E8B">
        <w:rPr>
          <w:rFonts w:ascii="Times New Roman" w:hAnsi="Times New Roman" w:cs="Times New Roman"/>
          <w:szCs w:val="22"/>
        </w:rPr>
        <w:t>00 tis. eur).</w:t>
      </w:r>
      <w:r w:rsidRPr="00A53EAC">
        <w:rPr>
          <w:rFonts w:ascii="Times New Roman" w:hAnsi="Times New Roman" w:cs="Times New Roman"/>
          <w:szCs w:val="22"/>
        </w:rPr>
        <w:t xml:space="preserve"> Slovenská republika sa ratifikáciou zmluvy, ktorou sa zriaďuje ESM zaviazala, že v prípade, ak úroveň splateného i</w:t>
      </w:r>
      <w:r w:rsidRPr="00A53EAC" w:rsidR="00FE0BD8">
        <w:rPr>
          <w:rFonts w:ascii="Times New Roman" w:hAnsi="Times New Roman" w:cs="Times New Roman"/>
          <w:szCs w:val="22"/>
        </w:rPr>
        <w:t>mania klesne pod schválených 80 000 000 tis. </w:t>
      </w:r>
      <w:r w:rsidRPr="00A53EAC">
        <w:rPr>
          <w:rFonts w:ascii="Times New Roman" w:hAnsi="Times New Roman" w:cs="Times New Roman"/>
          <w:szCs w:val="22"/>
        </w:rPr>
        <w:t>eur absorbovaním strát ESM, Správna rada ESM vyzve akcionárov na jeho splatenie jednoduchou väčšinou. Tento proces sa týka iba poklesu splateného imania pod úroveň schváleného zaplateného imania, ktorý by mal v prípade jeho nedoplnenia za následok stratu „AAA“ ratingu ESM. Ďalej, pri potrebe zabrániť omeškaniu ESM v platení povinností voči svojim veriteľom má generálny riaditeľ ESM právo vyzvať na úhradu upísaného základného imania prostredníctvom výzvy. Členovia ESM sú takúto výzvu na úhradu príspevku povinní splatiť do siedmich dní od doručenia výzvy generálneho riaditeľa.</w:t>
      </w:r>
    </w:p>
    <w:p w:rsidR="0063746C" w:rsidRPr="00A53EAC" w:rsidP="00690C7F">
      <w:pPr>
        <w:bidi w:val="0"/>
        <w:spacing w:after="120" w:line="336" w:lineRule="auto"/>
        <w:jc w:val="both"/>
        <w:rPr>
          <w:rFonts w:ascii="Times New Roman" w:hAnsi="Times New Roman" w:cs="Times New Roman"/>
          <w:szCs w:val="22"/>
        </w:rPr>
      </w:pPr>
      <w:r w:rsidRPr="00A53EAC">
        <w:rPr>
          <w:rFonts w:ascii="Times New Roman" w:hAnsi="Times New Roman" w:cs="Times New Roman"/>
          <w:szCs w:val="22"/>
        </w:rPr>
        <w:t>Európsky nástroj finančnej stability (</w:t>
      </w:r>
      <w:r w:rsidRPr="00A53EAC">
        <w:rPr>
          <w:rFonts w:ascii="Times New Roman" w:hAnsi="Times New Roman" w:cs="Times New Roman"/>
          <w:b/>
          <w:szCs w:val="22"/>
        </w:rPr>
        <w:t>EFSF</w:t>
      </w:r>
      <w:r w:rsidRPr="00A53EAC">
        <w:rPr>
          <w:rFonts w:ascii="Times New Roman" w:hAnsi="Times New Roman" w:cs="Times New Roman"/>
          <w:szCs w:val="22"/>
        </w:rPr>
        <w:t>)</w:t>
      </w:r>
      <w:r w:rsidRPr="00A53EAC" w:rsidR="00C607CE">
        <w:rPr>
          <w:rFonts w:ascii="Times New Roman" w:hAnsi="Times New Roman" w:cs="Times New Roman"/>
          <w:szCs w:val="22"/>
        </w:rPr>
        <w:t xml:space="preserve"> je pre</w:t>
      </w:r>
      <w:r w:rsidRPr="00A53EAC">
        <w:rPr>
          <w:rFonts w:ascii="Times New Roman" w:hAnsi="Times New Roman" w:cs="Times New Roman"/>
          <w:szCs w:val="22"/>
        </w:rPr>
        <w:t xml:space="preserve">dchodca ESM (tzv. euroval 1). Slovenská republika sa ako členský štát EFSF zaviazala poskytovať záruky za dlhové finančné inštrumenty vydávané EFSF v prípade žiadosti členského štátu eurozóny o finančnú podporu. V zmysle zákona o špecifických štátnych zárukách sa Slovensko musí podieľať na celkovej výške záruk podielom </w:t>
      </w:r>
      <w:r w:rsidRPr="00A53EAC" w:rsidR="00A36DB4">
        <w:rPr>
          <w:rFonts w:ascii="Times New Roman" w:hAnsi="Times New Roman" w:cs="Times New Roman"/>
          <w:szCs w:val="22"/>
        </w:rPr>
        <w:t>7 727 570 tis.</w:t>
      </w:r>
      <w:r w:rsidRPr="00A53EAC">
        <w:rPr>
          <w:rFonts w:ascii="Times New Roman" w:hAnsi="Times New Roman" w:cs="Times New Roman"/>
          <w:szCs w:val="22"/>
        </w:rPr>
        <w:t xml:space="preserve"> eur. Zároveň sa musí podieľať na ďalších záručných mechanizmoch potrebných na získanie AAA ratingu pre EFSF, napríklad poskytnutím dodatočných záruk EFSF do výšky 165 % svojho podielu na zárukác</w:t>
      </w:r>
      <w:r w:rsidRPr="00A53EAC" w:rsidR="0074344D">
        <w:rPr>
          <w:rFonts w:ascii="Times New Roman" w:hAnsi="Times New Roman" w:cs="Times New Roman"/>
          <w:szCs w:val="22"/>
        </w:rPr>
        <w:t xml:space="preserve">h pre každú emisiu. </w:t>
      </w:r>
      <w:r w:rsidRPr="00A53EAC" w:rsidR="00C54BCE">
        <w:rPr>
          <w:rFonts w:ascii="Times New Roman" w:hAnsi="Times New Roman" w:cs="Times New Roman"/>
          <w:szCs w:val="22"/>
        </w:rPr>
        <w:t>S</w:t>
      </w:r>
      <w:r w:rsidRPr="00A53EAC">
        <w:rPr>
          <w:rFonts w:ascii="Times New Roman" w:hAnsi="Times New Roman" w:cs="Times New Roman"/>
          <w:szCs w:val="22"/>
        </w:rPr>
        <w:t xml:space="preserve">tav záruk vystavených Slovenskou republikou </w:t>
      </w:r>
      <w:r w:rsidRPr="00A53EAC" w:rsidR="00183F38">
        <w:rPr>
          <w:rFonts w:ascii="Times New Roman" w:hAnsi="Times New Roman" w:cs="Times New Roman"/>
          <w:szCs w:val="22"/>
        </w:rPr>
        <w:t>bol</w:t>
      </w:r>
      <w:r w:rsidRPr="00A53EAC" w:rsidR="00A81019">
        <w:rPr>
          <w:rFonts w:ascii="Times New Roman" w:hAnsi="Times New Roman" w:cs="Times New Roman"/>
          <w:szCs w:val="22"/>
        </w:rPr>
        <w:t xml:space="preserve"> </w:t>
      </w:r>
      <w:r w:rsidRPr="00A53EAC" w:rsidR="00C54BCE">
        <w:rPr>
          <w:rFonts w:ascii="Times New Roman" w:hAnsi="Times New Roman" w:cs="Times New Roman"/>
          <w:szCs w:val="22"/>
        </w:rPr>
        <w:t xml:space="preserve">k 31.12.2014 </w:t>
      </w:r>
      <w:r w:rsidRPr="00A53EAC" w:rsidR="00183F38">
        <w:rPr>
          <w:rFonts w:ascii="Times New Roman" w:hAnsi="Times New Roman" w:cs="Times New Roman"/>
          <w:szCs w:val="22"/>
        </w:rPr>
        <w:t xml:space="preserve">vo výške 2 318 329 tis. eur a v priebehu roka 2014 sa zvýšil </w:t>
      </w:r>
      <w:r w:rsidRPr="00A53EAC" w:rsidR="00A81019">
        <w:rPr>
          <w:rFonts w:ascii="Times New Roman" w:hAnsi="Times New Roman" w:cs="Times New Roman"/>
          <w:szCs w:val="22"/>
        </w:rPr>
        <w:t>o </w:t>
      </w:r>
      <w:r w:rsidRPr="00A53EAC" w:rsidR="00C607CE">
        <w:rPr>
          <w:rFonts w:ascii="Times New Roman" w:hAnsi="Times New Roman" w:cs="Times New Roman"/>
          <w:szCs w:val="22"/>
        </w:rPr>
        <w:t>1</w:t>
      </w:r>
      <w:r w:rsidRPr="00A53EAC" w:rsidR="00A81019">
        <w:rPr>
          <w:rFonts w:ascii="Times New Roman" w:hAnsi="Times New Roman" w:cs="Times New Roman"/>
          <w:szCs w:val="22"/>
        </w:rPr>
        <w:t>30 259 </w:t>
      </w:r>
      <w:r w:rsidRPr="00A53EAC" w:rsidR="00C607CE">
        <w:rPr>
          <w:rFonts w:ascii="Times New Roman" w:hAnsi="Times New Roman" w:cs="Times New Roman"/>
          <w:szCs w:val="22"/>
        </w:rPr>
        <w:t>tis.</w:t>
      </w:r>
      <w:r w:rsidRPr="00A53EAC">
        <w:rPr>
          <w:rFonts w:ascii="Times New Roman" w:hAnsi="Times New Roman" w:cs="Times New Roman"/>
          <w:szCs w:val="22"/>
        </w:rPr>
        <w:t xml:space="preserve"> eur</w:t>
      </w:r>
      <w:r>
        <w:rPr>
          <w:rStyle w:val="FootnoteReference"/>
          <w:rFonts w:ascii="Times New Roman" w:hAnsi="Times New Roman"/>
          <w:szCs w:val="22"/>
          <w:rtl w:val="0"/>
        </w:rPr>
        <w:footnoteReference w:id="13"/>
      </w:r>
      <w:r w:rsidRPr="00A53EAC" w:rsidR="00A81019">
        <w:rPr>
          <w:rFonts w:ascii="Times New Roman" w:hAnsi="Times New Roman" w:cs="Times New Roman"/>
          <w:szCs w:val="22"/>
        </w:rPr>
        <w:t xml:space="preserve"> z dôvodu </w:t>
      </w:r>
      <w:r w:rsidRPr="00A53EAC" w:rsidR="00C54BCE">
        <w:rPr>
          <w:rFonts w:ascii="Times New Roman" w:hAnsi="Times New Roman" w:cs="Times New Roman"/>
          <w:szCs w:val="22"/>
        </w:rPr>
        <w:t>realizovaných emisií dlhopisov zo strany EFSF potrebných na pokrytie troch tranží finančnej stabilizačnej pomoci pre Grécko.</w:t>
      </w:r>
      <w:r w:rsidRPr="00A53EAC" w:rsidR="00C607CE">
        <w:rPr>
          <w:rFonts w:ascii="Times New Roman" w:hAnsi="Times New Roman" w:cs="Times New Roman"/>
          <w:szCs w:val="22"/>
        </w:rPr>
        <w:t xml:space="preserve"> </w:t>
      </w:r>
    </w:p>
    <w:p w:rsidR="00A827C3" w:rsidRPr="00A53EAC" w:rsidP="00690C7F">
      <w:pPr>
        <w:bidi w:val="0"/>
        <w:spacing w:after="120" w:line="336" w:lineRule="auto"/>
        <w:jc w:val="both"/>
        <w:rPr>
          <w:rFonts w:ascii="Times New Roman" w:hAnsi="Times New Roman" w:cs="Times New Roman"/>
          <w:szCs w:val="22"/>
        </w:rPr>
      </w:pPr>
      <w:r w:rsidRPr="00A53EAC">
        <w:rPr>
          <w:rFonts w:ascii="Times New Roman" w:hAnsi="Times New Roman" w:cs="Times New Roman"/>
        </w:rPr>
        <w:t>Ostatné medziročné zmeny v kategórii kapitálu splatného na požiadanie spôsobili úpravy členského podielu v cudzej mene (precenenie), ktoré má Slovensko ako akcionár v medzinárodných finančných inštitúciách.</w:t>
      </w:r>
    </w:p>
    <w:p w:rsidR="00216E76" w:rsidRPr="00A53EAC" w:rsidP="00690C7F">
      <w:pPr>
        <w:bidi w:val="0"/>
        <w:spacing w:after="120" w:line="336" w:lineRule="auto"/>
        <w:jc w:val="both"/>
        <w:rPr>
          <w:rFonts w:ascii="Times New Roman" w:hAnsi="Times New Roman" w:cs="Times New Roman"/>
          <w:szCs w:val="22"/>
        </w:rPr>
      </w:pPr>
      <w:r w:rsidRPr="00690C7F" w:rsidR="00A36DB4">
        <w:rPr>
          <w:rFonts w:ascii="Times New Roman" w:hAnsi="Times New Roman" w:cs="Times New Roman"/>
          <w:b/>
          <w:szCs w:val="22"/>
        </w:rPr>
        <w:t>Medzinárodné investičné arbitráže</w:t>
      </w:r>
      <w:r w:rsidRPr="00A53EAC" w:rsidR="00A36DB4">
        <w:rPr>
          <w:rFonts w:ascii="Times New Roman" w:hAnsi="Times New Roman" w:cs="Times New Roman"/>
          <w:szCs w:val="22"/>
        </w:rPr>
        <w:t xml:space="preserve"> vznikajú domnelým porušením bilaterálnych investičných dohôd uzatváraných medzi suverénnymi štátmi na podporu a ochranu investícií. </w:t>
      </w:r>
      <w:r w:rsidRPr="00A53EAC" w:rsidR="00743547">
        <w:rPr>
          <w:rFonts w:ascii="Times New Roman" w:hAnsi="Times New Roman" w:cs="Times New Roman"/>
          <w:szCs w:val="22"/>
        </w:rPr>
        <w:t>P</w:t>
      </w:r>
      <w:r w:rsidRPr="00A53EAC" w:rsidR="00A36DB4">
        <w:rPr>
          <w:rFonts w:ascii="Times New Roman" w:hAnsi="Times New Roman" w:cs="Times New Roman"/>
          <w:szCs w:val="22"/>
        </w:rPr>
        <w:t xml:space="preserve">redmetom sporov </w:t>
      </w:r>
      <w:r w:rsidRPr="00A53EAC" w:rsidR="00743547">
        <w:rPr>
          <w:rFonts w:ascii="Times New Roman" w:hAnsi="Times New Roman" w:cs="Times New Roman"/>
          <w:szCs w:val="22"/>
        </w:rPr>
        <w:t xml:space="preserve">je </w:t>
      </w:r>
      <w:r w:rsidRPr="00A53EAC" w:rsidR="00A36DB4">
        <w:rPr>
          <w:rFonts w:ascii="Times New Roman" w:hAnsi="Times New Roman" w:cs="Times New Roman"/>
          <w:szCs w:val="22"/>
        </w:rPr>
        <w:t>náhrada škody za porušenie dohôd o podpore a ochrane investícií.</w:t>
      </w:r>
    </w:p>
    <w:p w:rsidR="006A1E93" w:rsidRPr="00A53EAC" w:rsidP="00690C7F">
      <w:pPr>
        <w:bidi w:val="0"/>
        <w:spacing w:after="120" w:line="336" w:lineRule="auto"/>
        <w:jc w:val="both"/>
        <w:rPr>
          <w:rFonts w:ascii="Times New Roman" w:hAnsi="Times New Roman" w:cs="Times New Roman"/>
          <w:szCs w:val="22"/>
        </w:rPr>
      </w:pPr>
      <w:r w:rsidRPr="00A53EAC">
        <w:rPr>
          <w:rFonts w:ascii="Times New Roman" w:hAnsi="Times New Roman" w:cs="Times New Roman"/>
          <w:szCs w:val="22"/>
        </w:rPr>
        <w:t>V priebehu roka 2014 došlo k ukončeniu dvoch arbitráží. Arbitráž s akcionármi bývalej zdravotnej poisťovne Apollo bola ukončená jurisdikčným rozhodnutím arbitrážneho tribunálu zo 4.6.2014, ktorým bol zamietnutý celý žalovaný nárok z dôvodu nedostatku ju</w:t>
      </w:r>
      <w:r w:rsidR="00690C7F">
        <w:rPr>
          <w:rFonts w:ascii="Times New Roman" w:hAnsi="Times New Roman" w:cs="Times New Roman"/>
          <w:szCs w:val="22"/>
        </w:rPr>
        <w:t>risdikcie tribunálu. Arbitráž s </w:t>
      </w:r>
      <w:r w:rsidRPr="00A53EAC">
        <w:rPr>
          <w:rFonts w:ascii="Times New Roman" w:hAnsi="Times New Roman" w:cs="Times New Roman"/>
          <w:szCs w:val="22"/>
        </w:rPr>
        <w:t>akcionármi U.S. Steel Košice, a.s. bola ukončená procedurálnym rozhodnutím arbitrážneho tribunálu zo 16.4.2014 na základe stiahnutia žaloby žalobcom. Výsledkom je, že SR nemusí platiť U.S. Steel Košice, a.s. žiadnu náhradu škody a strany sporu si samy znášajú svoje trovy konania.</w:t>
      </w:r>
    </w:p>
    <w:p w:rsidR="00690C7F" w:rsidP="00690C7F">
      <w:pPr>
        <w:bidi w:val="0"/>
        <w:spacing w:after="120" w:line="336" w:lineRule="auto"/>
        <w:jc w:val="both"/>
        <w:rPr>
          <w:rFonts w:ascii="Times New Roman" w:hAnsi="Times New Roman" w:cs="Times New Roman"/>
          <w:szCs w:val="22"/>
        </w:rPr>
      </w:pPr>
      <w:r w:rsidRPr="00A53EAC" w:rsidR="006A1E93">
        <w:rPr>
          <w:rFonts w:ascii="Times New Roman" w:hAnsi="Times New Roman" w:cs="Times New Roman"/>
          <w:szCs w:val="22"/>
        </w:rPr>
        <w:t>V roku 2014 začalo arbitrážne konanie s EuroGas Inc. a Belmont Resources Inc.</w:t>
      </w:r>
      <w:r w:rsidRPr="00A53EAC" w:rsidR="00663FBE">
        <w:rPr>
          <w:rFonts w:ascii="Times New Roman" w:hAnsi="Times New Roman" w:cs="Times New Roman"/>
          <w:szCs w:val="22"/>
        </w:rPr>
        <w:t xml:space="preserve">. Spor o náhradu škody </w:t>
      </w:r>
      <w:r w:rsidRPr="00A53EAC" w:rsidR="00D93AA9">
        <w:rPr>
          <w:rFonts w:ascii="Times New Roman" w:hAnsi="Times New Roman" w:cs="Times New Roman"/>
          <w:szCs w:val="22"/>
        </w:rPr>
        <w:t>vedú uvedené spoločnosti voči SR</w:t>
      </w:r>
      <w:r w:rsidRPr="00A53EAC" w:rsidR="00663FBE">
        <w:rPr>
          <w:rFonts w:ascii="Times New Roman" w:hAnsi="Times New Roman" w:cs="Times New Roman"/>
          <w:szCs w:val="22"/>
        </w:rPr>
        <w:t xml:space="preserve"> vo výške 227 000 tis. eur </w:t>
      </w:r>
      <w:r w:rsidRPr="00A53EAC" w:rsidR="006A1E93">
        <w:rPr>
          <w:rFonts w:ascii="Times New Roman" w:hAnsi="Times New Roman" w:cs="Times New Roman"/>
          <w:szCs w:val="22"/>
        </w:rPr>
        <w:t>z dôvodu údajného protiprávneho odobratia povolenia na ťažbu mastenca. Arbitráž je vedená podľa bilaterálnej investičnej dohody medzi SR a USA a bilaterálnej investičnej dohody medzi SR a</w:t>
      </w:r>
      <w:r w:rsidRPr="00A53EAC" w:rsidR="00663FBE">
        <w:rPr>
          <w:rFonts w:ascii="Times New Roman" w:hAnsi="Times New Roman" w:cs="Times New Roman"/>
          <w:szCs w:val="22"/>
        </w:rPr>
        <w:t> </w:t>
      </w:r>
      <w:r w:rsidRPr="00A53EAC" w:rsidR="006A1E93">
        <w:rPr>
          <w:rFonts w:ascii="Times New Roman" w:hAnsi="Times New Roman" w:cs="Times New Roman"/>
          <w:szCs w:val="22"/>
        </w:rPr>
        <w:t>Kanadou</w:t>
      </w:r>
      <w:r w:rsidRPr="00A53EAC" w:rsidR="00663FBE">
        <w:rPr>
          <w:rFonts w:ascii="Times New Roman" w:hAnsi="Times New Roman" w:cs="Times New Roman"/>
          <w:szCs w:val="22"/>
        </w:rPr>
        <w:t xml:space="preserve">. </w:t>
      </w:r>
    </w:p>
    <w:p w:rsidR="006A1E93" w:rsidRPr="00A53EAC" w:rsidP="00690C7F">
      <w:pPr>
        <w:bidi w:val="0"/>
        <w:spacing w:after="120" w:line="336" w:lineRule="auto"/>
        <w:jc w:val="both"/>
        <w:rPr>
          <w:rFonts w:ascii="Times New Roman" w:hAnsi="Times New Roman" w:cs="Times New Roman"/>
          <w:szCs w:val="22"/>
        </w:rPr>
      </w:pPr>
      <w:r w:rsidRPr="00A53EAC" w:rsidR="00663FBE">
        <w:rPr>
          <w:rFonts w:ascii="Times New Roman" w:hAnsi="Times New Roman" w:cs="Times New Roman"/>
          <w:szCs w:val="22"/>
        </w:rPr>
        <w:t>Pri medzinárodnej arbitráži so Zdravotnou poisťovňou Union, a.s. sa zvýšili podmienené záväzky z dôvodu započítania úrokov.</w:t>
      </w:r>
    </w:p>
    <w:p w:rsidR="00413B19" w:rsidRPr="00A53EAC" w:rsidP="00690C7F">
      <w:pPr>
        <w:bidi w:val="0"/>
        <w:spacing w:after="120" w:line="336" w:lineRule="auto"/>
        <w:jc w:val="both"/>
        <w:rPr>
          <w:rFonts w:ascii="Times New Roman" w:hAnsi="Times New Roman" w:cs="Times New Roman"/>
          <w:szCs w:val="22"/>
        </w:rPr>
      </w:pPr>
      <w:r w:rsidRPr="00690C7F" w:rsidR="0080394F">
        <w:rPr>
          <w:rFonts w:ascii="Times New Roman" w:hAnsi="Times New Roman" w:cs="Times New Roman"/>
          <w:b/>
          <w:szCs w:val="22"/>
        </w:rPr>
        <w:t>Kategória</w:t>
      </w:r>
      <w:r w:rsidRPr="00690C7F">
        <w:rPr>
          <w:rFonts w:ascii="Times New Roman" w:hAnsi="Times New Roman" w:cs="Times New Roman"/>
          <w:b/>
          <w:szCs w:val="22"/>
        </w:rPr>
        <w:t xml:space="preserve"> </w:t>
      </w:r>
      <w:r w:rsidRPr="00690C7F" w:rsidR="0080394F">
        <w:rPr>
          <w:rFonts w:ascii="Times New Roman" w:hAnsi="Times New Roman" w:cs="Times New Roman"/>
          <w:b/>
          <w:szCs w:val="22"/>
        </w:rPr>
        <w:t>ostatných</w:t>
      </w:r>
      <w:r w:rsidRPr="00690C7F">
        <w:rPr>
          <w:rFonts w:ascii="Times New Roman" w:hAnsi="Times New Roman" w:cs="Times New Roman"/>
          <w:b/>
          <w:szCs w:val="22"/>
        </w:rPr>
        <w:t xml:space="preserve"> </w:t>
      </w:r>
      <w:r w:rsidRPr="00690C7F" w:rsidR="0080394F">
        <w:rPr>
          <w:rFonts w:ascii="Times New Roman" w:hAnsi="Times New Roman" w:cs="Times New Roman"/>
          <w:b/>
          <w:szCs w:val="22"/>
        </w:rPr>
        <w:t>súdnych sporov</w:t>
      </w:r>
      <w:r w:rsidRPr="00A53EAC" w:rsidR="0080394F">
        <w:rPr>
          <w:rFonts w:ascii="Times New Roman" w:hAnsi="Times New Roman" w:cs="Times New Roman"/>
          <w:szCs w:val="22"/>
        </w:rPr>
        <w:t xml:space="preserve"> </w:t>
      </w:r>
      <w:r w:rsidRPr="00A53EAC">
        <w:rPr>
          <w:rFonts w:ascii="Times New Roman" w:hAnsi="Times New Roman" w:cs="Times New Roman"/>
          <w:szCs w:val="22"/>
        </w:rPr>
        <w:t>je</w:t>
      </w:r>
      <w:r w:rsidRPr="00A53EAC" w:rsidR="0080394F">
        <w:rPr>
          <w:rFonts w:ascii="Times New Roman" w:hAnsi="Times New Roman" w:cs="Times New Roman"/>
          <w:szCs w:val="22"/>
        </w:rPr>
        <w:t xml:space="preserve"> po vecnej stránke rozmanitá</w:t>
      </w:r>
      <w:r w:rsidRPr="00A53EAC">
        <w:rPr>
          <w:rFonts w:ascii="Times New Roman" w:hAnsi="Times New Roman" w:cs="Times New Roman"/>
          <w:szCs w:val="22"/>
        </w:rPr>
        <w:t>, FNM napríklad eviduje súdne spory s privatizovaným majetkom (žaloba o náhradu škody, exekučné konanie, náhrada škody z</w:t>
      </w:r>
      <w:r w:rsidR="008746F2">
        <w:rPr>
          <w:rFonts w:ascii="Times New Roman" w:hAnsi="Times New Roman" w:cs="Times New Roman"/>
          <w:szCs w:val="22"/>
        </w:rPr>
        <w:t> </w:t>
      </w:r>
      <w:r w:rsidRPr="00A53EAC">
        <w:rPr>
          <w:rFonts w:ascii="Times New Roman" w:hAnsi="Times New Roman" w:cs="Times New Roman"/>
          <w:szCs w:val="22"/>
        </w:rPr>
        <w:t xml:space="preserve">odstúpenia od zmluvy a iné). </w:t>
      </w:r>
      <w:r w:rsidRPr="00A53EAC" w:rsidR="0080394F">
        <w:rPr>
          <w:rFonts w:ascii="Times New Roman" w:hAnsi="Times New Roman" w:cs="Times New Roman"/>
          <w:szCs w:val="22"/>
        </w:rPr>
        <w:t>B</w:t>
      </w:r>
      <w:r w:rsidRPr="00A53EAC">
        <w:rPr>
          <w:rFonts w:ascii="Times New Roman" w:hAnsi="Times New Roman" w:cs="Times New Roman"/>
          <w:szCs w:val="22"/>
        </w:rPr>
        <w:t xml:space="preserve">ližšie informácie k jednotlivým súdnym sporom sa </w:t>
      </w:r>
      <w:r w:rsidRPr="00A53EAC" w:rsidR="00FE0BD8">
        <w:rPr>
          <w:rFonts w:ascii="Times New Roman" w:hAnsi="Times New Roman" w:cs="Times New Roman"/>
          <w:szCs w:val="22"/>
        </w:rPr>
        <w:t>z dôvodu</w:t>
      </w:r>
      <w:r w:rsidRPr="00A53EAC">
        <w:rPr>
          <w:rFonts w:ascii="Times New Roman" w:hAnsi="Times New Roman" w:cs="Times New Roman"/>
          <w:szCs w:val="22"/>
        </w:rPr>
        <w:t xml:space="preserve"> citlivosti údajov </w:t>
      </w:r>
      <w:r w:rsidRPr="00A53EAC" w:rsidR="0080394F">
        <w:rPr>
          <w:rFonts w:ascii="Times New Roman" w:hAnsi="Times New Roman" w:cs="Times New Roman"/>
          <w:szCs w:val="22"/>
        </w:rPr>
        <w:t xml:space="preserve">spravidla </w:t>
      </w:r>
      <w:r w:rsidRPr="00A53EAC">
        <w:rPr>
          <w:rFonts w:ascii="Times New Roman" w:hAnsi="Times New Roman" w:cs="Times New Roman"/>
          <w:szCs w:val="22"/>
        </w:rPr>
        <w:t>n</w:t>
      </w:r>
      <w:r w:rsidRPr="00A53EAC" w:rsidR="00FE0BD8">
        <w:rPr>
          <w:rFonts w:ascii="Times New Roman" w:hAnsi="Times New Roman" w:cs="Times New Roman"/>
          <w:szCs w:val="22"/>
        </w:rPr>
        <w:t>euvádzajú.</w:t>
      </w:r>
    </w:p>
    <w:p w:rsidR="00216984" w:rsidRPr="00A53EAC" w:rsidP="00690C7F">
      <w:pPr>
        <w:bidi w:val="0"/>
        <w:spacing w:after="120" w:line="336" w:lineRule="auto"/>
        <w:jc w:val="both"/>
        <w:rPr>
          <w:rFonts w:ascii="Times New Roman" w:hAnsi="Times New Roman" w:cs="Times New Roman"/>
          <w:szCs w:val="22"/>
        </w:rPr>
      </w:pPr>
      <w:r w:rsidRPr="00A53EAC">
        <w:rPr>
          <w:rFonts w:ascii="Times New Roman" w:hAnsi="Times New Roman" w:cs="Times New Roman"/>
          <w:szCs w:val="22"/>
        </w:rPr>
        <w:t>V roku 2014 sa rozšíril zoznam podmienených záväzkov o súdne spory Ministerstva vnútra SR</w:t>
      </w:r>
      <w:r w:rsidRPr="00A53EAC" w:rsidR="00D76FC1">
        <w:rPr>
          <w:rFonts w:ascii="Times New Roman" w:hAnsi="Times New Roman" w:cs="Times New Roman"/>
          <w:szCs w:val="22"/>
        </w:rPr>
        <w:t xml:space="preserve"> (spory o náhradu škody a nemajetkovej ujmy)</w:t>
      </w:r>
      <w:r w:rsidRPr="00A53EAC">
        <w:rPr>
          <w:rFonts w:ascii="Times New Roman" w:hAnsi="Times New Roman" w:cs="Times New Roman"/>
          <w:szCs w:val="22"/>
        </w:rPr>
        <w:t xml:space="preserve">, ktoré neboli predtým vykázané. </w:t>
      </w:r>
      <w:r w:rsidRPr="00A53EAC" w:rsidR="00D76FC1">
        <w:rPr>
          <w:rFonts w:ascii="Times New Roman" w:hAnsi="Times New Roman" w:cs="Times New Roman"/>
          <w:szCs w:val="22"/>
        </w:rPr>
        <w:t>Ukončenie viacerých žalôb v prospech Ministerstva financií SR znížilo podmienené záväzky o 267 589 tis. eur. V prípade Kancelárie národnej rady SR pribudla jedna žaloba za legislatívnu činnosť SR a klesli antidiskriminačné žaloby sudcov.</w:t>
      </w:r>
    </w:p>
    <w:p w:rsidR="004130D0" w:rsidRPr="00A53EAC" w:rsidP="00690C7F">
      <w:pPr>
        <w:bidi w:val="0"/>
        <w:spacing w:after="120" w:line="336" w:lineRule="auto"/>
        <w:jc w:val="both"/>
        <w:rPr>
          <w:rFonts w:ascii="Times New Roman" w:hAnsi="Times New Roman" w:cs="Times New Roman"/>
          <w:szCs w:val="22"/>
        </w:rPr>
      </w:pPr>
      <w:r w:rsidRPr="00A53EAC" w:rsidR="00B622F2">
        <w:rPr>
          <w:rFonts w:ascii="Times New Roman" w:hAnsi="Times New Roman" w:cs="Times New Roman"/>
        </w:rPr>
        <w:t xml:space="preserve">Skvalitňovanie uplatňovania </w:t>
      </w:r>
      <w:r w:rsidRPr="00A53EAC" w:rsidR="00D93AA9">
        <w:rPr>
          <w:rFonts w:ascii="Times New Roman" w:hAnsi="Times New Roman" w:cs="Times New Roman"/>
        </w:rPr>
        <w:t>požiadaviek ústavného zákona</w:t>
      </w:r>
      <w:r w:rsidRPr="00A53EAC" w:rsidR="00B622F2">
        <w:rPr>
          <w:rFonts w:ascii="Times New Roman" w:hAnsi="Times New Roman" w:cs="Times New Roman"/>
          <w:szCs w:val="22"/>
        </w:rPr>
        <w:t xml:space="preserve"> </w:t>
      </w:r>
      <w:r w:rsidRPr="00A53EAC" w:rsidR="00413A0E">
        <w:rPr>
          <w:rFonts w:ascii="Times New Roman" w:hAnsi="Times New Roman" w:cs="Times New Roman"/>
          <w:szCs w:val="22"/>
        </w:rPr>
        <w:t>viedlo k rozšíreniu</w:t>
      </w:r>
      <w:r w:rsidRPr="00A53EAC" w:rsidR="00D76FC1">
        <w:rPr>
          <w:rFonts w:ascii="Times New Roman" w:hAnsi="Times New Roman" w:cs="Times New Roman"/>
          <w:szCs w:val="22"/>
        </w:rPr>
        <w:t xml:space="preserve"> skupiny</w:t>
      </w:r>
      <w:r w:rsidRPr="00A53EAC">
        <w:rPr>
          <w:rFonts w:ascii="Times New Roman" w:hAnsi="Times New Roman" w:cs="Times New Roman"/>
          <w:szCs w:val="22"/>
        </w:rPr>
        <w:t xml:space="preserve"> ostatných podmienených záväzkov </w:t>
      </w:r>
      <w:r w:rsidRPr="00A53EAC" w:rsidR="00413A0E">
        <w:rPr>
          <w:rFonts w:ascii="Times New Roman" w:hAnsi="Times New Roman" w:cs="Times New Roman"/>
          <w:szCs w:val="22"/>
        </w:rPr>
        <w:t>o niektoré podniky štátnej správy. Slovenský plynárenský priemysel, a.s. vykázal ku koncu roka 2014 najväčší objem podmienených záväzkov vo výške</w:t>
      </w:r>
      <w:r w:rsidR="00FF6EA9">
        <w:rPr>
          <w:rFonts w:ascii="Times New Roman" w:hAnsi="Times New Roman" w:cs="Times New Roman"/>
          <w:szCs w:val="22"/>
        </w:rPr>
        <w:t xml:space="preserve"> </w:t>
      </w:r>
      <w:r w:rsidRPr="00A53EAC" w:rsidR="00413A0E">
        <w:rPr>
          <w:rFonts w:ascii="Times New Roman" w:hAnsi="Times New Roman" w:cs="Times New Roman"/>
          <w:szCs w:val="22"/>
        </w:rPr>
        <w:t xml:space="preserve">1 111 581 tis. eur súvisiacich najmä s finančnými </w:t>
      </w:r>
      <w:r w:rsidRPr="00A53EAC" w:rsidR="000A357C">
        <w:rPr>
          <w:rFonts w:ascii="Times New Roman" w:hAnsi="Times New Roman" w:cs="Times New Roman"/>
          <w:szCs w:val="22"/>
        </w:rPr>
        <w:t>derivátmi slúžiacimi na zaistenie obchodov na nákup plynu.</w:t>
      </w:r>
      <w:r w:rsidRPr="00A53EAC" w:rsidR="006D3BEF">
        <w:rPr>
          <w:rFonts w:ascii="Times New Roman" w:hAnsi="Times New Roman" w:cs="Times New Roman"/>
          <w:szCs w:val="22"/>
        </w:rPr>
        <w:t xml:space="preserve"> </w:t>
      </w:r>
      <w:r w:rsidRPr="00A53EAC" w:rsidR="000E4520">
        <w:rPr>
          <w:rFonts w:ascii="Times New Roman" w:hAnsi="Times New Roman" w:cs="Times New Roman"/>
          <w:szCs w:val="22"/>
        </w:rPr>
        <w:t>Štátne b</w:t>
      </w:r>
      <w:r w:rsidRPr="00A53EAC" w:rsidR="002662DA">
        <w:rPr>
          <w:rFonts w:ascii="Times New Roman" w:hAnsi="Times New Roman" w:cs="Times New Roman"/>
          <w:szCs w:val="22"/>
        </w:rPr>
        <w:t>anky</w:t>
      </w:r>
      <w:r w:rsidRPr="00A53EAC" w:rsidR="000E4520">
        <w:rPr>
          <w:rFonts w:ascii="Times New Roman" w:hAnsi="Times New Roman" w:cs="Times New Roman"/>
          <w:szCs w:val="22"/>
        </w:rPr>
        <w:t xml:space="preserve"> EXIM a SZRB, a.s.</w:t>
      </w:r>
      <w:r w:rsidRPr="00A53EAC" w:rsidR="002662DA">
        <w:rPr>
          <w:rFonts w:ascii="Times New Roman" w:hAnsi="Times New Roman" w:cs="Times New Roman"/>
          <w:szCs w:val="22"/>
        </w:rPr>
        <w:t xml:space="preserve"> vykazujú bankové záruky a úverové </w:t>
      </w:r>
      <w:r w:rsidRPr="00A53EAC" w:rsidR="00CA3EE1">
        <w:rPr>
          <w:rFonts w:ascii="Times New Roman" w:hAnsi="Times New Roman" w:cs="Times New Roman"/>
          <w:szCs w:val="22"/>
        </w:rPr>
        <w:t>prísľuby.</w:t>
      </w:r>
      <w:r w:rsidRPr="00A53EAC" w:rsidR="002662DA">
        <w:rPr>
          <w:rFonts w:ascii="Times New Roman" w:hAnsi="Times New Roman" w:cs="Times New Roman"/>
          <w:szCs w:val="22"/>
        </w:rPr>
        <w:t xml:space="preserve"> </w:t>
      </w:r>
    </w:p>
    <w:p w:rsidR="00B34C7B" w:rsidRPr="00A53EAC" w:rsidP="00690C7F">
      <w:pPr>
        <w:bidi w:val="0"/>
        <w:spacing w:after="120" w:line="336" w:lineRule="auto"/>
        <w:jc w:val="both"/>
        <w:rPr>
          <w:rFonts w:ascii="Times New Roman" w:hAnsi="Times New Roman" w:cs="Times New Roman"/>
          <w:szCs w:val="22"/>
        </w:rPr>
      </w:pPr>
      <w:r w:rsidRPr="00A53EAC" w:rsidR="00A63AE7">
        <w:rPr>
          <w:rFonts w:ascii="Times New Roman" w:hAnsi="Times New Roman" w:cs="Times New Roman"/>
          <w:szCs w:val="22"/>
        </w:rPr>
        <w:t>Záruky Mini</w:t>
      </w:r>
      <w:r w:rsidRPr="00A53EAC" w:rsidR="009D52DC">
        <w:rPr>
          <w:rFonts w:ascii="Times New Roman" w:hAnsi="Times New Roman" w:cs="Times New Roman"/>
          <w:szCs w:val="22"/>
        </w:rPr>
        <w:t>sterstva financií SR voči Slovenskej záručnej a rozvojovej banke, a.s. predstavujú nové podmienené záväzky ku koncu roka 2014</w:t>
      </w:r>
      <w:r w:rsidRPr="00A53EAC" w:rsidR="000454D8">
        <w:rPr>
          <w:rFonts w:ascii="Times New Roman" w:hAnsi="Times New Roman" w:cs="Times New Roman"/>
          <w:szCs w:val="22"/>
        </w:rPr>
        <w:t xml:space="preserve"> vo výške 10 188 tis. eur. Na základe zmluvy podpísanej medzi MF SR a SZRB dňa 20.12.2013 poskytuje SZRB odvodový úver na podporu udržania zamestnanosti zamestnávateľovi, ktorý je malým alebo stredným podnikom, s možnosťou získania finančnej pomoci MF SR vo forme záruky za úver a/alebo úhrady časti úrokov z úveru.</w:t>
      </w:r>
    </w:p>
    <w:p w:rsidR="00A66C04" w:rsidRPr="00A53EAC" w:rsidP="00A66C04">
      <w:pPr>
        <w:pStyle w:val="Heading3"/>
        <w:bidi w:val="0"/>
        <w:rPr>
          <w:rFonts w:hint="default"/>
        </w:rPr>
      </w:pPr>
      <w:bookmarkStart w:id="212" w:name="_Toc399324376"/>
      <w:bookmarkStart w:id="213" w:name="_Toc401920032"/>
      <w:bookmarkStart w:id="214" w:name="_Toc433099602"/>
      <w:r w:rsidRPr="00A53EAC">
        <w:rPr>
          <w:rFonts w:hint="default"/>
        </w:rPr>
        <w:t>Ostatné</w:t>
      </w:r>
      <w:r w:rsidRPr="00A53EAC">
        <w:rPr>
          <w:rFonts w:hint="default"/>
        </w:rPr>
        <w:t xml:space="preserve"> zlož</w:t>
      </w:r>
      <w:r w:rsidRPr="00A53EAC">
        <w:rPr>
          <w:rFonts w:hint="default"/>
        </w:rPr>
        <w:t>ky č</w:t>
      </w:r>
      <w:r w:rsidRPr="00A53EAC">
        <w:rPr>
          <w:rFonts w:hint="default"/>
        </w:rPr>
        <w:t>isté</w:t>
      </w:r>
      <w:r w:rsidRPr="00A53EAC">
        <w:rPr>
          <w:rFonts w:hint="default"/>
        </w:rPr>
        <w:t>ho bohatstva</w:t>
      </w:r>
      <w:bookmarkEnd w:id="212"/>
      <w:bookmarkEnd w:id="213"/>
      <w:bookmarkEnd w:id="214"/>
    </w:p>
    <w:p w:rsidR="007D6338" w:rsidRPr="00A53EAC" w:rsidP="00F10D2F">
      <w:pPr>
        <w:bidi w:val="0"/>
        <w:spacing w:after="120" w:line="336" w:lineRule="auto"/>
        <w:jc w:val="both"/>
        <w:rPr>
          <w:rFonts w:ascii="Times New Roman" w:hAnsi="Times New Roman" w:cs="Times New Roman"/>
          <w:szCs w:val="22"/>
        </w:rPr>
      </w:pPr>
      <w:r w:rsidRPr="00F10D2F" w:rsidR="00F10D2F">
        <w:rPr>
          <w:rFonts w:ascii="Times New Roman" w:hAnsi="Times New Roman" w:cs="Times New Roman"/>
          <w:szCs w:val="22"/>
        </w:rPr>
        <w:t>Pod ostatnými zložkami čistého bohatstva sa k 31.12.2014 vykazovali najmä aktívne súdne spory v kategórii iné aktíva v súhrnnej výške 1 258 240 tis. eur. Medziročný nárast o 569 595 tis. eur je spôsobený hlavne rozšírením zoznamu iných aktív za subjekty, ktoré ich predtým nevykazovali</w:t>
      </w:r>
      <w:r w:rsidRPr="00F10D2F">
        <w:rPr>
          <w:rFonts w:ascii="Times New Roman" w:hAnsi="Times New Roman" w:cs="Times New Roman"/>
          <w:szCs w:val="22"/>
        </w:rPr>
        <w:t>.</w:t>
      </w:r>
    </w:p>
    <w:tbl>
      <w:tblPr>
        <w:tblStyle w:val="TableNormal"/>
        <w:tblW w:w="5000" w:type="pct"/>
        <w:tblCellMar>
          <w:left w:w="70" w:type="dxa"/>
          <w:right w:w="70" w:type="dxa"/>
        </w:tblCellMar>
        <w:tblLook w:val="04A0"/>
      </w:tblPr>
      <w:tblGrid>
        <w:gridCol w:w="5173"/>
        <w:gridCol w:w="1842"/>
        <w:gridCol w:w="1135"/>
        <w:gridCol w:w="1061"/>
      </w:tblGrid>
      <w:tr>
        <w:tblPrEx>
          <w:tblW w:w="5000" w:type="pct"/>
          <w:tblCellMar>
            <w:left w:w="70" w:type="dxa"/>
            <w:right w:w="70" w:type="dxa"/>
          </w:tblCellMar>
          <w:tblLook w:val="04A0"/>
        </w:tblPrEx>
        <w:trPr>
          <w:trHeight w:val="300"/>
        </w:trPr>
        <w:tc>
          <w:tcPr>
            <w:tcW w:w="5000" w:type="pct"/>
            <w:gridSpan w:val="4"/>
            <w:tcBorders>
              <w:top w:val="nil"/>
              <w:left w:val="nil"/>
              <w:bottom w:val="single" w:sz="4" w:space="0" w:color="auto"/>
              <w:right w:val="nil"/>
            </w:tcBorders>
            <w:noWrap/>
            <w:textDirection w:val="lrTb"/>
            <w:vAlign w:val="center"/>
            <w:hideMark/>
          </w:tcPr>
          <w:p w:rsidR="00F10D2F" w:rsidRPr="00942EF8" w:rsidP="004B7DC7">
            <w:pPr>
              <w:bidi w:val="0"/>
              <w:spacing w:after="0" w:line="240" w:lineRule="auto"/>
              <w:rPr>
                <w:rFonts w:ascii="Times New Roman" w:hAnsi="Times New Roman" w:cs="Times New Roman"/>
                <w:b/>
                <w:bCs/>
                <w:color w:val="FFFFFF"/>
                <w:sz w:val="20"/>
                <w:szCs w:val="20"/>
                <w:lang w:eastAsia="sk-SK"/>
              </w:rPr>
            </w:pPr>
            <w:r w:rsidRPr="00942EF8">
              <w:rPr>
                <w:rFonts w:ascii="Times New Roman" w:hAnsi="Times New Roman" w:cs="Times New Roman"/>
                <w:b/>
                <w:bCs/>
                <w:color w:val="FFFFFF"/>
                <w:sz w:val="20"/>
                <w:szCs w:val="20"/>
                <w:lang w:eastAsia="sk-SK"/>
              </w:rPr>
              <w:t>Podmienené aktíva podľa zložiek verejného sektora k 31.12.2014 (tis. eur)</w:t>
            </w:r>
          </w:p>
        </w:tc>
      </w:tr>
      <w:tr>
        <w:tblPrEx>
          <w:tblW w:w="5000" w:type="pct"/>
          <w:tblCellMar>
            <w:left w:w="70" w:type="dxa"/>
            <w:right w:w="70" w:type="dxa"/>
          </w:tblCellMar>
          <w:tblLook w:val="04A0"/>
        </w:tblPrEx>
        <w:trPr>
          <w:trHeight w:val="300"/>
        </w:trPr>
        <w:tc>
          <w:tcPr>
            <w:tcW w:w="2808" w:type="pct"/>
            <w:tcBorders>
              <w:top w:val="nil"/>
              <w:left w:val="nil"/>
              <w:bottom w:val="nil"/>
              <w:right w:val="nil"/>
            </w:tcBorders>
            <w:textDirection w:val="lrTb"/>
            <w:vAlign w:val="bottom"/>
            <w:hideMark/>
          </w:tcPr>
          <w:p w:rsidR="00F10D2F" w:rsidRPr="00942EF8" w:rsidP="004B7DC7">
            <w:pPr>
              <w:bidi w:val="0"/>
              <w:spacing w:after="0" w:line="240" w:lineRule="auto"/>
              <w:rPr>
                <w:rFonts w:ascii="Times New Roman" w:hAnsi="Times New Roman" w:cs="Times New Roman"/>
                <w:b/>
                <w:bCs/>
                <w:sz w:val="20"/>
                <w:szCs w:val="20"/>
                <w:lang w:eastAsia="sk-SK"/>
              </w:rPr>
            </w:pPr>
            <w:r w:rsidRPr="00942EF8">
              <w:rPr>
                <w:rFonts w:ascii="Times New Roman" w:hAnsi="Times New Roman" w:cs="Times New Roman"/>
                <w:b/>
                <w:bCs/>
                <w:sz w:val="20"/>
                <w:szCs w:val="20"/>
                <w:lang w:eastAsia="sk-SK"/>
              </w:rPr>
              <w:t> </w:t>
            </w:r>
          </w:p>
        </w:tc>
        <w:tc>
          <w:tcPr>
            <w:tcW w:w="1000" w:type="pct"/>
            <w:tcBorders>
              <w:top w:val="nil"/>
              <w:left w:val="nil"/>
              <w:bottom w:val="nil"/>
              <w:right w:val="nil"/>
            </w:tcBorders>
            <w:textDirection w:val="lrTb"/>
            <w:vAlign w:val="bottom"/>
            <w:hideMark/>
          </w:tcPr>
          <w:p w:rsidR="00F10D2F" w:rsidRPr="00942EF8" w:rsidP="004B7DC7">
            <w:pPr>
              <w:bidi w:val="0"/>
              <w:spacing w:after="0" w:line="240" w:lineRule="auto"/>
              <w:jc w:val="right"/>
              <w:rPr>
                <w:rFonts w:ascii="Times New Roman" w:hAnsi="Times New Roman" w:cs="Times New Roman"/>
                <w:b/>
                <w:bCs/>
                <w:sz w:val="20"/>
                <w:szCs w:val="20"/>
                <w:lang w:eastAsia="sk-SK"/>
              </w:rPr>
            </w:pPr>
            <w:r w:rsidRPr="00942EF8">
              <w:rPr>
                <w:rFonts w:ascii="Times New Roman" w:hAnsi="Times New Roman" w:cs="Times New Roman"/>
                <w:b/>
                <w:bCs/>
                <w:sz w:val="20"/>
                <w:szCs w:val="20"/>
                <w:lang w:eastAsia="sk-SK"/>
              </w:rPr>
              <w:t>31.12.2013</w:t>
            </w:r>
          </w:p>
        </w:tc>
        <w:tc>
          <w:tcPr>
            <w:tcW w:w="616" w:type="pct"/>
            <w:tcBorders>
              <w:top w:val="nil"/>
              <w:left w:val="nil"/>
              <w:bottom w:val="nil"/>
              <w:right w:val="nil"/>
            </w:tcBorders>
            <w:textDirection w:val="lrTb"/>
            <w:vAlign w:val="bottom"/>
            <w:hideMark/>
          </w:tcPr>
          <w:p w:rsidR="00F10D2F" w:rsidRPr="00942EF8" w:rsidP="004B7DC7">
            <w:pPr>
              <w:bidi w:val="0"/>
              <w:spacing w:after="0" w:line="240" w:lineRule="auto"/>
              <w:jc w:val="right"/>
              <w:rPr>
                <w:rFonts w:ascii="Times New Roman" w:hAnsi="Times New Roman" w:cs="Times New Roman"/>
                <w:b/>
                <w:bCs/>
                <w:sz w:val="20"/>
                <w:szCs w:val="20"/>
                <w:lang w:eastAsia="sk-SK"/>
              </w:rPr>
            </w:pPr>
            <w:r w:rsidRPr="00942EF8">
              <w:rPr>
                <w:rFonts w:ascii="Times New Roman" w:hAnsi="Times New Roman" w:cs="Times New Roman"/>
                <w:b/>
                <w:bCs/>
                <w:sz w:val="20"/>
                <w:szCs w:val="20"/>
                <w:lang w:eastAsia="sk-SK"/>
              </w:rPr>
              <w:t>31.12.2014</w:t>
            </w:r>
          </w:p>
        </w:tc>
        <w:tc>
          <w:tcPr>
            <w:tcW w:w="576" w:type="pct"/>
            <w:tcBorders>
              <w:top w:val="nil"/>
              <w:left w:val="nil"/>
              <w:bottom w:val="nil"/>
              <w:right w:val="nil"/>
            </w:tcBorders>
            <w:textDirection w:val="lrTb"/>
            <w:vAlign w:val="bottom"/>
            <w:hideMark/>
          </w:tcPr>
          <w:p w:rsidR="00F10D2F" w:rsidRPr="00942EF8" w:rsidP="004B7DC7">
            <w:pPr>
              <w:bidi w:val="0"/>
              <w:spacing w:after="0" w:line="240" w:lineRule="auto"/>
              <w:jc w:val="right"/>
              <w:rPr>
                <w:rFonts w:ascii="Times New Roman" w:hAnsi="Times New Roman" w:cs="Times New Roman"/>
                <w:b/>
                <w:bCs/>
                <w:sz w:val="20"/>
                <w:szCs w:val="20"/>
                <w:lang w:eastAsia="sk-SK"/>
              </w:rPr>
            </w:pPr>
            <w:r w:rsidRPr="00942EF8">
              <w:rPr>
                <w:rFonts w:ascii="Times New Roman" w:hAnsi="Times New Roman" w:cs="Times New Roman"/>
                <w:b/>
                <w:bCs/>
                <w:sz w:val="20"/>
                <w:szCs w:val="20"/>
                <w:lang w:eastAsia="sk-SK"/>
              </w:rPr>
              <w:t>2014-2013</w:t>
            </w:r>
          </w:p>
        </w:tc>
      </w:tr>
      <w:tr>
        <w:tblPrEx>
          <w:tblW w:w="5000" w:type="pct"/>
          <w:tblCellMar>
            <w:left w:w="70" w:type="dxa"/>
            <w:right w:w="70" w:type="dxa"/>
          </w:tblCellMar>
          <w:tblLook w:val="04A0"/>
        </w:tblPrEx>
        <w:trPr>
          <w:trHeight w:val="300"/>
        </w:trPr>
        <w:tc>
          <w:tcPr>
            <w:tcW w:w="2808" w:type="pct"/>
            <w:tcBorders>
              <w:top w:val="single" w:sz="4" w:space="0" w:color="auto"/>
              <w:left w:val="nil"/>
              <w:bottom w:val="nil"/>
              <w:right w:val="nil"/>
            </w:tcBorders>
            <w:textDirection w:val="lrTb"/>
            <w:vAlign w:val="center"/>
            <w:hideMark/>
          </w:tcPr>
          <w:p w:rsidR="00F10D2F" w:rsidRPr="00942EF8" w:rsidP="004B7DC7">
            <w:pPr>
              <w:bidi w:val="0"/>
              <w:spacing w:after="0" w:line="240" w:lineRule="auto"/>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Ústredná správa a podniky štátnej správy</w:t>
            </w:r>
          </w:p>
        </w:tc>
        <w:tc>
          <w:tcPr>
            <w:tcW w:w="1000" w:type="pct"/>
            <w:tcBorders>
              <w:top w:val="single" w:sz="4" w:space="0" w:color="auto"/>
              <w:left w:val="nil"/>
              <w:bottom w:val="nil"/>
              <w:right w:val="nil"/>
            </w:tcBorders>
            <w:textDirection w:val="lrTb"/>
            <w:vAlign w:val="center"/>
            <w:hideMark/>
          </w:tcPr>
          <w:p w:rsidR="00F10D2F" w:rsidRPr="00942EF8" w:rsidP="004B7DC7">
            <w:pPr>
              <w:bidi w:val="0"/>
              <w:spacing w:after="0" w:line="240" w:lineRule="auto"/>
              <w:jc w:val="right"/>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631 685</w:t>
            </w:r>
          </w:p>
        </w:tc>
        <w:tc>
          <w:tcPr>
            <w:tcW w:w="616" w:type="pct"/>
            <w:tcBorders>
              <w:top w:val="single" w:sz="4" w:space="0" w:color="auto"/>
              <w:left w:val="nil"/>
              <w:bottom w:val="nil"/>
              <w:right w:val="nil"/>
            </w:tcBorders>
            <w:textDirection w:val="lrTb"/>
            <w:vAlign w:val="center"/>
            <w:hideMark/>
          </w:tcPr>
          <w:p w:rsidR="00F10D2F" w:rsidRPr="00942EF8" w:rsidP="004B7DC7">
            <w:pPr>
              <w:bidi w:val="0"/>
              <w:spacing w:after="0" w:line="240" w:lineRule="auto"/>
              <w:jc w:val="right"/>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1 218 382</w:t>
            </w:r>
          </w:p>
        </w:tc>
        <w:tc>
          <w:tcPr>
            <w:tcW w:w="576" w:type="pct"/>
            <w:tcBorders>
              <w:top w:val="single" w:sz="4" w:space="0" w:color="auto"/>
              <w:left w:val="nil"/>
              <w:bottom w:val="nil"/>
              <w:right w:val="nil"/>
            </w:tcBorders>
            <w:textDirection w:val="lrTb"/>
            <w:vAlign w:val="center"/>
            <w:hideMark/>
          </w:tcPr>
          <w:p w:rsidR="00F10D2F" w:rsidRPr="00942EF8" w:rsidP="004B7DC7">
            <w:pPr>
              <w:bidi w:val="0"/>
              <w:spacing w:after="0" w:line="240" w:lineRule="auto"/>
              <w:jc w:val="right"/>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586 697</w:t>
            </w:r>
          </w:p>
        </w:tc>
      </w:tr>
      <w:tr>
        <w:tblPrEx>
          <w:tblW w:w="5000" w:type="pct"/>
          <w:tblCellMar>
            <w:left w:w="70" w:type="dxa"/>
            <w:right w:w="70" w:type="dxa"/>
          </w:tblCellMar>
          <w:tblLook w:val="04A0"/>
        </w:tblPrEx>
        <w:trPr>
          <w:trHeight w:val="300"/>
        </w:trPr>
        <w:tc>
          <w:tcPr>
            <w:tcW w:w="2808" w:type="pct"/>
            <w:tcBorders>
              <w:top w:val="nil"/>
              <w:left w:val="nil"/>
              <w:bottom w:val="nil"/>
              <w:right w:val="nil"/>
            </w:tcBorders>
            <w:textDirection w:val="lrTb"/>
            <w:vAlign w:val="center"/>
            <w:hideMark/>
          </w:tcPr>
          <w:p w:rsidR="00F10D2F" w:rsidRPr="00942EF8" w:rsidP="004B7DC7">
            <w:pPr>
              <w:bidi w:val="0"/>
              <w:spacing w:after="0" w:line="240" w:lineRule="auto"/>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Vyššie územné celky a ich účtovné jednotky</w:t>
            </w:r>
          </w:p>
        </w:tc>
        <w:tc>
          <w:tcPr>
            <w:tcW w:w="1000" w:type="pct"/>
            <w:tcBorders>
              <w:top w:val="nil"/>
              <w:left w:val="nil"/>
              <w:bottom w:val="nil"/>
              <w:right w:val="nil"/>
            </w:tcBorders>
            <w:textDirection w:val="lrTb"/>
            <w:vAlign w:val="center"/>
            <w:hideMark/>
          </w:tcPr>
          <w:p w:rsidR="00F10D2F" w:rsidRPr="00942EF8" w:rsidP="004B7DC7">
            <w:pPr>
              <w:bidi w:val="0"/>
              <w:spacing w:after="0" w:line="240" w:lineRule="auto"/>
              <w:jc w:val="right"/>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10 107</w:t>
            </w:r>
          </w:p>
        </w:tc>
        <w:tc>
          <w:tcPr>
            <w:tcW w:w="616" w:type="pct"/>
            <w:tcBorders>
              <w:top w:val="nil"/>
              <w:left w:val="nil"/>
              <w:bottom w:val="nil"/>
              <w:right w:val="nil"/>
            </w:tcBorders>
            <w:textDirection w:val="lrTb"/>
            <w:vAlign w:val="center"/>
            <w:hideMark/>
          </w:tcPr>
          <w:p w:rsidR="00F10D2F" w:rsidRPr="00942EF8" w:rsidP="004B7DC7">
            <w:pPr>
              <w:bidi w:val="0"/>
              <w:spacing w:after="0" w:line="240" w:lineRule="auto"/>
              <w:jc w:val="right"/>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9 236</w:t>
            </w:r>
          </w:p>
        </w:tc>
        <w:tc>
          <w:tcPr>
            <w:tcW w:w="576" w:type="pct"/>
            <w:tcBorders>
              <w:top w:val="nil"/>
              <w:left w:val="nil"/>
              <w:bottom w:val="nil"/>
              <w:right w:val="nil"/>
            </w:tcBorders>
            <w:textDirection w:val="lrTb"/>
            <w:vAlign w:val="center"/>
            <w:hideMark/>
          </w:tcPr>
          <w:p w:rsidR="00F10D2F" w:rsidRPr="00942EF8" w:rsidP="004B7DC7">
            <w:pPr>
              <w:bidi w:val="0"/>
              <w:spacing w:after="0" w:line="240" w:lineRule="auto"/>
              <w:jc w:val="right"/>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-871</w:t>
            </w:r>
          </w:p>
        </w:tc>
      </w:tr>
      <w:tr>
        <w:tblPrEx>
          <w:tblW w:w="5000" w:type="pct"/>
          <w:tblCellMar>
            <w:left w:w="70" w:type="dxa"/>
            <w:right w:w="70" w:type="dxa"/>
          </w:tblCellMar>
          <w:tblLook w:val="04A0"/>
        </w:tblPrEx>
        <w:trPr>
          <w:trHeight w:val="255"/>
        </w:trPr>
        <w:tc>
          <w:tcPr>
            <w:tcW w:w="2808" w:type="pct"/>
            <w:tcBorders>
              <w:top w:val="nil"/>
              <w:left w:val="nil"/>
              <w:bottom w:val="nil"/>
              <w:right w:val="nil"/>
            </w:tcBorders>
            <w:textDirection w:val="lrTb"/>
            <w:vAlign w:val="center"/>
            <w:hideMark/>
          </w:tcPr>
          <w:p w:rsidR="00F10D2F" w:rsidRPr="00942EF8" w:rsidP="004B7DC7">
            <w:pPr>
              <w:bidi w:val="0"/>
              <w:spacing w:after="0" w:line="240" w:lineRule="auto"/>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Obce a ich účtovné jednotky</w:t>
            </w:r>
          </w:p>
        </w:tc>
        <w:tc>
          <w:tcPr>
            <w:tcW w:w="1000" w:type="pct"/>
            <w:tcBorders>
              <w:top w:val="nil"/>
              <w:left w:val="nil"/>
              <w:bottom w:val="nil"/>
              <w:right w:val="nil"/>
            </w:tcBorders>
            <w:textDirection w:val="lrTb"/>
            <w:vAlign w:val="center"/>
            <w:hideMark/>
          </w:tcPr>
          <w:p w:rsidR="00F10D2F" w:rsidRPr="00942EF8" w:rsidP="004B7DC7">
            <w:pPr>
              <w:bidi w:val="0"/>
              <w:spacing w:after="0" w:line="240" w:lineRule="auto"/>
              <w:jc w:val="right"/>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46 853</w:t>
            </w:r>
          </w:p>
        </w:tc>
        <w:tc>
          <w:tcPr>
            <w:tcW w:w="616" w:type="pct"/>
            <w:tcBorders>
              <w:top w:val="nil"/>
              <w:left w:val="nil"/>
              <w:bottom w:val="nil"/>
              <w:right w:val="nil"/>
            </w:tcBorders>
            <w:textDirection w:val="lrTb"/>
            <w:vAlign w:val="center"/>
            <w:hideMark/>
          </w:tcPr>
          <w:p w:rsidR="00F10D2F" w:rsidRPr="00942EF8" w:rsidP="004B7DC7">
            <w:pPr>
              <w:bidi w:val="0"/>
              <w:spacing w:after="0" w:line="240" w:lineRule="auto"/>
              <w:jc w:val="right"/>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30 622</w:t>
            </w:r>
          </w:p>
        </w:tc>
        <w:tc>
          <w:tcPr>
            <w:tcW w:w="576" w:type="pct"/>
            <w:tcBorders>
              <w:top w:val="nil"/>
              <w:left w:val="nil"/>
              <w:bottom w:val="nil"/>
              <w:right w:val="nil"/>
            </w:tcBorders>
            <w:textDirection w:val="lrTb"/>
            <w:vAlign w:val="center"/>
            <w:hideMark/>
          </w:tcPr>
          <w:p w:rsidR="00F10D2F" w:rsidRPr="00942EF8" w:rsidP="004B7DC7">
            <w:pPr>
              <w:bidi w:val="0"/>
              <w:spacing w:after="0" w:line="240" w:lineRule="auto"/>
              <w:jc w:val="right"/>
              <w:rPr>
                <w:rFonts w:ascii="Times New Roman" w:hAnsi="Times New Roman" w:cs="Times New Roman"/>
                <w:color w:val="000000"/>
                <w:sz w:val="20"/>
                <w:szCs w:val="20"/>
                <w:lang w:eastAsia="sk-SK"/>
              </w:rPr>
            </w:pPr>
            <w:r w:rsidRPr="00942EF8">
              <w:rPr>
                <w:rFonts w:ascii="Times New Roman" w:hAnsi="Times New Roman" w:cs="Times New Roman"/>
                <w:color w:val="000000"/>
                <w:sz w:val="20"/>
                <w:szCs w:val="20"/>
                <w:lang w:eastAsia="sk-SK"/>
              </w:rPr>
              <w:t>-16 231</w:t>
            </w:r>
          </w:p>
        </w:tc>
      </w:tr>
      <w:tr>
        <w:tblPrEx>
          <w:tblW w:w="5000" w:type="pct"/>
          <w:tblCellMar>
            <w:left w:w="70" w:type="dxa"/>
            <w:right w:w="70" w:type="dxa"/>
          </w:tblCellMar>
          <w:tblLook w:val="04A0"/>
        </w:tblPrEx>
        <w:trPr>
          <w:trHeight w:val="255"/>
        </w:trPr>
        <w:tc>
          <w:tcPr>
            <w:tcW w:w="2808" w:type="pct"/>
            <w:tcBorders>
              <w:top w:val="single" w:sz="4" w:space="0" w:color="auto"/>
              <w:left w:val="nil"/>
              <w:bottom w:val="single" w:sz="4" w:space="0" w:color="auto"/>
              <w:right w:val="nil"/>
            </w:tcBorders>
            <w:noWrap/>
            <w:textDirection w:val="lrTb"/>
            <w:vAlign w:val="center"/>
            <w:hideMark/>
          </w:tcPr>
          <w:p w:rsidR="00F10D2F" w:rsidRPr="00942EF8" w:rsidP="00AC7136">
            <w:pPr>
              <w:bidi w:val="0"/>
              <w:spacing w:after="0" w:line="240" w:lineRule="auto"/>
              <w:rPr>
                <w:rFonts w:ascii="Times New Roman" w:hAnsi="Times New Roman" w:cs="Times New Roman"/>
                <w:b/>
                <w:bCs/>
                <w:color w:val="000000"/>
                <w:sz w:val="20"/>
                <w:szCs w:val="20"/>
                <w:lang w:eastAsia="sk-SK"/>
              </w:rPr>
            </w:pPr>
            <w:r w:rsidRPr="00942EF8">
              <w:rPr>
                <w:rFonts w:ascii="Times New Roman" w:hAnsi="Times New Roman" w:cs="Times New Roman"/>
                <w:b/>
                <w:bCs/>
                <w:color w:val="000000"/>
                <w:sz w:val="20"/>
                <w:szCs w:val="20"/>
                <w:lang w:eastAsia="sk-SK"/>
              </w:rPr>
              <w:t>Spolu</w:t>
            </w:r>
          </w:p>
        </w:tc>
        <w:tc>
          <w:tcPr>
            <w:tcW w:w="1000" w:type="pct"/>
            <w:tcBorders>
              <w:top w:val="single" w:sz="4" w:space="0" w:color="auto"/>
              <w:left w:val="nil"/>
              <w:bottom w:val="single" w:sz="4" w:space="0" w:color="auto"/>
              <w:right w:val="nil"/>
            </w:tcBorders>
            <w:noWrap/>
            <w:textDirection w:val="lrTb"/>
            <w:vAlign w:val="center"/>
            <w:hideMark/>
          </w:tcPr>
          <w:p w:rsidR="00F10D2F" w:rsidRPr="00942EF8" w:rsidP="004B7DC7">
            <w:pPr>
              <w:bidi w:val="0"/>
              <w:spacing w:after="0" w:line="240" w:lineRule="auto"/>
              <w:jc w:val="right"/>
              <w:rPr>
                <w:rFonts w:ascii="Times New Roman" w:hAnsi="Times New Roman" w:cs="Times New Roman"/>
                <w:b/>
                <w:bCs/>
                <w:color w:val="000000"/>
                <w:sz w:val="20"/>
                <w:szCs w:val="20"/>
                <w:lang w:eastAsia="sk-SK"/>
              </w:rPr>
            </w:pPr>
            <w:r w:rsidRPr="00942EF8">
              <w:rPr>
                <w:rFonts w:ascii="Times New Roman" w:hAnsi="Times New Roman" w:cs="Times New Roman"/>
                <w:b/>
                <w:bCs/>
                <w:color w:val="000000"/>
                <w:sz w:val="20"/>
                <w:szCs w:val="20"/>
                <w:lang w:eastAsia="sk-SK"/>
              </w:rPr>
              <w:t>688 645</w:t>
            </w:r>
          </w:p>
        </w:tc>
        <w:tc>
          <w:tcPr>
            <w:tcW w:w="616" w:type="pct"/>
            <w:tcBorders>
              <w:top w:val="single" w:sz="4" w:space="0" w:color="auto"/>
              <w:left w:val="nil"/>
              <w:bottom w:val="single" w:sz="4" w:space="0" w:color="auto"/>
              <w:right w:val="nil"/>
            </w:tcBorders>
            <w:noWrap/>
            <w:textDirection w:val="lrTb"/>
            <w:vAlign w:val="center"/>
            <w:hideMark/>
          </w:tcPr>
          <w:p w:rsidR="00F10D2F" w:rsidRPr="00942EF8" w:rsidP="004B7DC7">
            <w:pPr>
              <w:bidi w:val="0"/>
              <w:spacing w:after="0" w:line="240" w:lineRule="auto"/>
              <w:jc w:val="right"/>
              <w:rPr>
                <w:rFonts w:ascii="Times New Roman" w:hAnsi="Times New Roman" w:cs="Times New Roman"/>
                <w:b/>
                <w:bCs/>
                <w:color w:val="000000"/>
                <w:sz w:val="20"/>
                <w:szCs w:val="20"/>
                <w:lang w:eastAsia="sk-SK"/>
              </w:rPr>
            </w:pPr>
            <w:r w:rsidRPr="00942EF8">
              <w:rPr>
                <w:rFonts w:ascii="Times New Roman" w:hAnsi="Times New Roman" w:cs="Times New Roman"/>
                <w:b/>
                <w:bCs/>
                <w:color w:val="000000"/>
                <w:sz w:val="20"/>
                <w:szCs w:val="20"/>
                <w:lang w:eastAsia="sk-SK"/>
              </w:rPr>
              <w:t>1 258 240</w:t>
            </w:r>
          </w:p>
        </w:tc>
        <w:tc>
          <w:tcPr>
            <w:tcW w:w="576" w:type="pct"/>
            <w:tcBorders>
              <w:top w:val="single" w:sz="4" w:space="0" w:color="auto"/>
              <w:left w:val="nil"/>
              <w:bottom w:val="single" w:sz="4" w:space="0" w:color="auto"/>
              <w:right w:val="nil"/>
            </w:tcBorders>
            <w:noWrap/>
            <w:textDirection w:val="lrTb"/>
            <w:vAlign w:val="center"/>
            <w:hideMark/>
          </w:tcPr>
          <w:p w:rsidR="00F10D2F" w:rsidRPr="00B573E4" w:rsidP="004B7DC7">
            <w:pPr>
              <w:bidi w:val="0"/>
              <w:spacing w:after="0" w:line="240" w:lineRule="auto"/>
              <w:jc w:val="right"/>
              <w:rPr>
                <w:rFonts w:ascii="Times New Roman" w:hAnsi="Times New Roman" w:cs="Times New Roman"/>
                <w:b/>
                <w:bCs/>
                <w:color w:val="000000"/>
                <w:sz w:val="20"/>
                <w:szCs w:val="20"/>
                <w:lang w:eastAsia="sk-SK"/>
              </w:rPr>
            </w:pPr>
            <w:r w:rsidRPr="00942EF8">
              <w:rPr>
                <w:rFonts w:ascii="Times New Roman" w:hAnsi="Times New Roman" w:cs="Times New Roman"/>
                <w:b/>
                <w:bCs/>
                <w:color w:val="000000"/>
                <w:sz w:val="20"/>
                <w:szCs w:val="20"/>
                <w:lang w:eastAsia="sk-SK"/>
              </w:rPr>
              <w:t>569 595</w:t>
            </w:r>
          </w:p>
        </w:tc>
      </w:tr>
    </w:tbl>
    <w:p w:rsidR="00B34C7B" w:rsidRPr="00A53EAC" w:rsidP="00690C7F">
      <w:pPr>
        <w:bidi w:val="0"/>
        <w:spacing w:after="120" w:line="336" w:lineRule="auto"/>
        <w:jc w:val="both"/>
        <w:rPr>
          <w:rFonts w:ascii="Times New Roman" w:hAnsi="Times New Roman" w:cs="Times New Roman"/>
          <w:szCs w:val="22"/>
        </w:rPr>
      </w:pPr>
      <w:r w:rsidRPr="00A53EAC" w:rsidR="0078121C">
        <w:rPr>
          <w:rFonts w:ascii="Times New Roman" w:hAnsi="Times New Roman" w:cs="Times New Roman"/>
          <w:szCs w:val="22"/>
        </w:rPr>
        <w:t>Medzi najväčšie iné aktíva k 31.12.2014 patrili</w:t>
      </w:r>
      <w:r w:rsidRPr="00A53EAC" w:rsidR="007D6338">
        <w:rPr>
          <w:rFonts w:ascii="Times New Roman" w:hAnsi="Times New Roman" w:cs="Times New Roman"/>
          <w:szCs w:val="22"/>
        </w:rPr>
        <w:t xml:space="preserve"> </w:t>
      </w:r>
      <w:r w:rsidRPr="00A53EAC" w:rsidR="00374314">
        <w:rPr>
          <w:rFonts w:ascii="Times New Roman" w:hAnsi="Times New Roman" w:cs="Times New Roman"/>
          <w:szCs w:val="22"/>
        </w:rPr>
        <w:t>súdne spory evidované Ministerstvom financií</w:t>
      </w:r>
      <w:r w:rsidRPr="00A53EAC" w:rsidR="00F46802">
        <w:rPr>
          <w:rFonts w:ascii="Times New Roman" w:hAnsi="Times New Roman" w:cs="Times New Roman"/>
          <w:szCs w:val="22"/>
        </w:rPr>
        <w:t xml:space="preserve"> SR vo</w:t>
      </w:r>
      <w:r w:rsidR="008746F2">
        <w:rPr>
          <w:rFonts w:ascii="Times New Roman" w:hAnsi="Times New Roman" w:cs="Times New Roman"/>
          <w:szCs w:val="22"/>
        </w:rPr>
        <w:t> </w:t>
      </w:r>
      <w:r w:rsidRPr="00A53EAC" w:rsidR="00F46802">
        <w:rPr>
          <w:rFonts w:ascii="Times New Roman" w:hAnsi="Times New Roman" w:cs="Times New Roman"/>
          <w:szCs w:val="22"/>
        </w:rPr>
        <w:t xml:space="preserve">výške </w:t>
      </w:r>
      <w:r w:rsidRPr="00A53EAC" w:rsidR="0078121C">
        <w:rPr>
          <w:rFonts w:ascii="Times New Roman" w:hAnsi="Times New Roman" w:cs="Times New Roman"/>
          <w:szCs w:val="22"/>
        </w:rPr>
        <w:t>393 218</w:t>
      </w:r>
      <w:r w:rsidRPr="00A53EAC" w:rsidR="00F46802">
        <w:rPr>
          <w:rFonts w:ascii="Times New Roman" w:hAnsi="Times New Roman" w:cs="Times New Roman"/>
          <w:szCs w:val="22"/>
        </w:rPr>
        <w:t xml:space="preserve"> </w:t>
      </w:r>
      <w:r w:rsidRPr="00A53EAC" w:rsidR="00374314">
        <w:rPr>
          <w:rFonts w:ascii="Times New Roman" w:hAnsi="Times New Roman" w:cs="Times New Roman"/>
          <w:szCs w:val="22"/>
        </w:rPr>
        <w:t xml:space="preserve">tis. eur </w:t>
      </w:r>
      <w:r w:rsidRPr="00A53EAC" w:rsidR="0078121C">
        <w:rPr>
          <w:rFonts w:ascii="Times New Roman" w:hAnsi="Times New Roman" w:cs="Times New Roman"/>
          <w:szCs w:val="22"/>
        </w:rPr>
        <w:t xml:space="preserve">(konkurzné konania, exekučné rozhodnutia a iné súdne spory). Ministerstvo financií SR ešte </w:t>
      </w:r>
      <w:r w:rsidRPr="00A53EAC" w:rsidR="0008572B">
        <w:rPr>
          <w:rFonts w:ascii="Times New Roman" w:hAnsi="Times New Roman" w:cs="Times New Roman"/>
          <w:szCs w:val="22"/>
        </w:rPr>
        <w:t>viedlo</w:t>
      </w:r>
      <w:r w:rsidRPr="00A53EAC" w:rsidR="0078121C">
        <w:rPr>
          <w:rFonts w:ascii="Times New Roman" w:hAnsi="Times New Roman" w:cs="Times New Roman"/>
          <w:szCs w:val="22"/>
        </w:rPr>
        <w:t xml:space="preserve"> pohľadávku voči Slovenskému </w:t>
      </w:r>
      <w:r w:rsidRPr="00A53EAC" w:rsidR="00851BA4">
        <w:rPr>
          <w:rFonts w:ascii="Times New Roman" w:hAnsi="Times New Roman" w:cs="Times New Roman"/>
          <w:szCs w:val="22"/>
        </w:rPr>
        <w:t>záručnému a investičnému</w:t>
      </w:r>
      <w:r w:rsidRPr="00A53EAC" w:rsidR="0078121C">
        <w:rPr>
          <w:rFonts w:ascii="Times New Roman" w:hAnsi="Times New Roman" w:cs="Times New Roman"/>
          <w:szCs w:val="22"/>
        </w:rPr>
        <w:t xml:space="preserve"> fondu</w:t>
      </w:r>
      <w:r w:rsidRPr="00A53EAC" w:rsidR="00851BA4">
        <w:rPr>
          <w:rFonts w:ascii="Times New Roman" w:hAnsi="Times New Roman" w:cs="Times New Roman"/>
          <w:szCs w:val="22"/>
        </w:rPr>
        <w:t>, s.r.o.</w:t>
      </w:r>
      <w:r w:rsidRPr="00A53EAC" w:rsidR="0078121C">
        <w:rPr>
          <w:rFonts w:ascii="Times New Roman" w:hAnsi="Times New Roman" w:cs="Times New Roman"/>
          <w:szCs w:val="22"/>
        </w:rPr>
        <w:t xml:space="preserve"> </w:t>
      </w:r>
      <w:r w:rsidRPr="00A53EAC" w:rsidR="00851BA4">
        <w:rPr>
          <w:rFonts w:ascii="Times New Roman" w:hAnsi="Times New Roman" w:cs="Times New Roman"/>
          <w:szCs w:val="22"/>
        </w:rPr>
        <w:t>vo</w:t>
      </w:r>
      <w:r w:rsidR="008746F2">
        <w:rPr>
          <w:rFonts w:ascii="Times New Roman" w:hAnsi="Times New Roman" w:cs="Times New Roman"/>
          <w:szCs w:val="22"/>
        </w:rPr>
        <w:t> </w:t>
      </w:r>
      <w:r w:rsidRPr="00A53EAC" w:rsidR="00851BA4">
        <w:rPr>
          <w:rFonts w:ascii="Times New Roman" w:hAnsi="Times New Roman" w:cs="Times New Roman"/>
          <w:szCs w:val="22"/>
        </w:rPr>
        <w:t xml:space="preserve">výške 85 751 tis. eur, ktorá </w:t>
      </w:r>
      <w:r w:rsidRPr="00A53EAC" w:rsidR="00A54A8F">
        <w:rPr>
          <w:rFonts w:ascii="Times New Roman" w:hAnsi="Times New Roman" w:cs="Times New Roman"/>
          <w:szCs w:val="22"/>
        </w:rPr>
        <w:t>sa rovná výške</w:t>
      </w:r>
      <w:r w:rsidRPr="00A53EAC" w:rsidR="00851BA4">
        <w:rPr>
          <w:rFonts w:ascii="Times New Roman" w:hAnsi="Times New Roman" w:cs="Times New Roman"/>
          <w:szCs w:val="22"/>
        </w:rPr>
        <w:t xml:space="preserve"> obchodného podielu Európskeho investičného fondu</w:t>
      </w:r>
      <w:r w:rsidRPr="00A53EAC" w:rsidR="00A54A8F">
        <w:rPr>
          <w:rFonts w:ascii="Times New Roman" w:hAnsi="Times New Roman" w:cs="Times New Roman"/>
          <w:szCs w:val="22"/>
        </w:rPr>
        <w:t xml:space="preserve"> v</w:t>
      </w:r>
      <w:r w:rsidR="008746F2">
        <w:rPr>
          <w:rFonts w:ascii="Times New Roman" w:hAnsi="Times New Roman" w:cs="Times New Roman"/>
          <w:szCs w:val="22"/>
        </w:rPr>
        <w:t> </w:t>
      </w:r>
      <w:r w:rsidRPr="00A53EAC" w:rsidR="00A54A8F">
        <w:rPr>
          <w:rFonts w:ascii="Times New Roman" w:hAnsi="Times New Roman" w:cs="Times New Roman"/>
          <w:szCs w:val="22"/>
        </w:rPr>
        <w:t xml:space="preserve">SZIF, s.r.o., ktorý má byť prevedený na právnickú osobu ovládanú Slovenskou republikou. </w:t>
      </w:r>
      <w:r w:rsidRPr="00A53EAC" w:rsidR="00FB51CA">
        <w:rPr>
          <w:rFonts w:ascii="Times New Roman" w:hAnsi="Times New Roman" w:cs="Times New Roman"/>
          <w:szCs w:val="22"/>
        </w:rPr>
        <w:t>P</w:t>
      </w:r>
      <w:r w:rsidRPr="00A53EAC" w:rsidR="00FF57FB">
        <w:rPr>
          <w:rFonts w:ascii="Times New Roman" w:hAnsi="Times New Roman" w:cs="Times New Roman"/>
          <w:szCs w:val="22"/>
        </w:rPr>
        <w:t>odnik</w:t>
      </w:r>
      <w:r w:rsidRPr="00A53EAC" w:rsidR="00F46802">
        <w:rPr>
          <w:rFonts w:ascii="Times New Roman" w:hAnsi="Times New Roman" w:cs="Times New Roman"/>
          <w:szCs w:val="22"/>
        </w:rPr>
        <w:t xml:space="preserve"> </w:t>
      </w:r>
      <w:r w:rsidRPr="00A53EAC" w:rsidR="00B65FDE">
        <w:rPr>
          <w:rFonts w:ascii="Times New Roman" w:hAnsi="Times New Roman" w:cs="Times New Roman"/>
          <w:szCs w:val="22"/>
        </w:rPr>
        <w:t>Vodohospodárska výstavba</w:t>
      </w:r>
      <w:r w:rsidRPr="00A53EAC" w:rsidR="00F46802">
        <w:rPr>
          <w:rFonts w:ascii="Times New Roman" w:hAnsi="Times New Roman" w:cs="Times New Roman"/>
          <w:szCs w:val="22"/>
        </w:rPr>
        <w:t>,</w:t>
      </w:r>
      <w:r w:rsidRPr="00A53EAC" w:rsidR="00FB51CA">
        <w:rPr>
          <w:rFonts w:ascii="Times New Roman" w:hAnsi="Times New Roman" w:cs="Times New Roman"/>
          <w:szCs w:val="22"/>
        </w:rPr>
        <w:t xml:space="preserve"> š.p. </w:t>
      </w:r>
      <w:r w:rsidRPr="00A53EAC" w:rsidR="0008572B">
        <w:rPr>
          <w:rFonts w:ascii="Times New Roman" w:hAnsi="Times New Roman" w:cs="Times New Roman"/>
          <w:szCs w:val="22"/>
        </w:rPr>
        <w:t>vykazoval</w:t>
      </w:r>
      <w:r w:rsidRPr="00A53EAC" w:rsidR="00FB51CA">
        <w:rPr>
          <w:rFonts w:ascii="Times New Roman" w:hAnsi="Times New Roman" w:cs="Times New Roman"/>
          <w:szCs w:val="22"/>
        </w:rPr>
        <w:t xml:space="preserve"> súdny spor voči</w:t>
      </w:r>
      <w:r w:rsidRPr="00A53EAC" w:rsidR="00374314">
        <w:rPr>
          <w:rFonts w:ascii="Times New Roman" w:hAnsi="Times New Roman" w:cs="Times New Roman"/>
          <w:szCs w:val="22"/>
        </w:rPr>
        <w:t xml:space="preserve"> </w:t>
      </w:r>
      <w:r w:rsidRPr="00A53EAC" w:rsidR="00FB51CA">
        <w:rPr>
          <w:rFonts w:ascii="Times New Roman" w:hAnsi="Times New Roman"/>
          <w:szCs w:val="22"/>
          <w:lang w:eastAsia="sk-SK"/>
        </w:rPr>
        <w:t>Slovenským elektrárňam, a.s. vo výške 324 534 tis. eur</w:t>
      </w:r>
      <w:r w:rsidRPr="00A53EAC" w:rsidR="00FB51CA">
        <w:rPr>
          <w:rFonts w:ascii="Times New Roman" w:hAnsi="Times New Roman" w:cs="Times New Roman"/>
          <w:szCs w:val="22"/>
        </w:rPr>
        <w:t>. Spor sa týka platieb, ktoré platí Vodohospodárska výstavba, š.p. elektrárňam od roku 2006 na základe podľa nich n</w:t>
      </w:r>
      <w:r w:rsidRPr="00A53EAC" w:rsidR="00F65E30">
        <w:rPr>
          <w:rFonts w:ascii="Times New Roman" w:hAnsi="Times New Roman" w:cs="Times New Roman"/>
          <w:szCs w:val="22"/>
        </w:rPr>
        <w:t>eplatných zmlúv na užívanie Vod</w:t>
      </w:r>
      <w:r w:rsidRPr="00A53EAC" w:rsidR="00FB51CA">
        <w:rPr>
          <w:rFonts w:ascii="Times New Roman" w:hAnsi="Times New Roman" w:cs="Times New Roman"/>
          <w:szCs w:val="22"/>
        </w:rPr>
        <w:t>n</w:t>
      </w:r>
      <w:r w:rsidRPr="00A53EAC" w:rsidR="00F65E30">
        <w:rPr>
          <w:rFonts w:ascii="Times New Roman" w:hAnsi="Times New Roman" w:cs="Times New Roman"/>
          <w:szCs w:val="22"/>
        </w:rPr>
        <w:t>e</w:t>
      </w:r>
      <w:r w:rsidRPr="00A53EAC" w:rsidR="00FB51CA">
        <w:rPr>
          <w:rFonts w:ascii="Times New Roman" w:hAnsi="Times New Roman" w:cs="Times New Roman"/>
          <w:szCs w:val="22"/>
        </w:rPr>
        <w:t>j elektrárne Gabčíkovo.</w:t>
      </w:r>
      <w:r w:rsidRPr="00A53EAC" w:rsidR="00B365FE">
        <w:rPr>
          <w:rFonts w:ascii="Times New Roman" w:hAnsi="Times New Roman" w:cs="Times New Roman"/>
          <w:szCs w:val="22"/>
        </w:rPr>
        <w:t xml:space="preserve"> </w:t>
      </w:r>
      <w:r w:rsidRPr="00A53EAC" w:rsidR="004C490D">
        <w:rPr>
          <w:rFonts w:ascii="Times New Roman" w:hAnsi="Times New Roman" w:cs="Times New Roman"/>
          <w:szCs w:val="22"/>
        </w:rPr>
        <w:t>Exportno-importná banka SR vykázala pod inými aktívami prijaté zabezpečenie za poskytnuté úvery a záruky v sume 177 944 tis. eur.</w:t>
      </w:r>
      <w:r w:rsidRPr="00A53EAC" w:rsidR="00BA0E8E">
        <w:rPr>
          <w:rFonts w:ascii="Times New Roman" w:hAnsi="Times New Roman" w:cs="Times New Roman"/>
          <w:szCs w:val="22"/>
        </w:rPr>
        <w:t xml:space="preserve"> Skupina Slovenská elektrizačná prenosová sústava, a.s. vykázala v konsolidovanej účtovnej závierke pod podmienenými aktívami sumu prijatých bankových záruk vo</w:t>
      </w:r>
      <w:r w:rsidR="008746F2">
        <w:rPr>
          <w:rFonts w:ascii="Times New Roman" w:hAnsi="Times New Roman" w:cs="Times New Roman"/>
          <w:szCs w:val="22"/>
        </w:rPr>
        <w:t> </w:t>
      </w:r>
      <w:r w:rsidRPr="00A53EAC" w:rsidR="00BA0E8E">
        <w:rPr>
          <w:rFonts w:ascii="Times New Roman" w:hAnsi="Times New Roman" w:cs="Times New Roman"/>
          <w:szCs w:val="22"/>
        </w:rPr>
        <w:t>výške 103 901 tis. eur.</w:t>
      </w:r>
      <w:r w:rsidRPr="00A53EAC" w:rsidR="00313C6C">
        <w:rPr>
          <w:rFonts w:ascii="Times New Roman" w:hAnsi="Times New Roman" w:cs="Times New Roman"/>
          <w:szCs w:val="22"/>
        </w:rPr>
        <w:t xml:space="preserve"> Bankové záruky sú uzatvárané v prospech skupiny SEPS, a.s. účastníkmi krátkodobého trhu s elektrickou energiou, ktoré chránia skupinu pred ich prípadnou platobnou neschopnosťou.</w:t>
      </w:r>
    </w:p>
    <w:p w:rsidR="00DF75CD" w:rsidP="00690C7F">
      <w:pPr>
        <w:bidi w:val="0"/>
        <w:spacing w:after="120" w:line="336" w:lineRule="auto"/>
        <w:jc w:val="both"/>
        <w:rPr>
          <w:rFonts w:ascii="Times New Roman" w:hAnsi="Times New Roman" w:cs="Times New Roman"/>
          <w:szCs w:val="22"/>
        </w:rPr>
      </w:pPr>
      <w:r w:rsidRPr="00DF75CD">
        <w:rPr>
          <w:rFonts w:ascii="Times New Roman" w:hAnsi="Times New Roman" w:cs="Times New Roman"/>
          <w:szCs w:val="22"/>
        </w:rPr>
        <w:t xml:space="preserve">Pre koncept čistého bohatstva boli celkové podmienené aktíva verejného sektora upravené o nasledovné položky. Časť vyčíslenej spornej sumy, o ktorú sa súdi Vodohospodárska výstavba, š.p. so Slovenskými elektrárňami, a.s., bola od celkových podmienených aktív odpočítaná. Táto časť zodpovedá 34% vlastníckemu podielu štátu v SE, a.s. Z pohľadu verejného sektora </w:t>
      </w:r>
      <w:r w:rsidR="00690C7F">
        <w:rPr>
          <w:rFonts w:ascii="Times New Roman" w:hAnsi="Times New Roman" w:cs="Times New Roman"/>
          <w:szCs w:val="22"/>
        </w:rPr>
        <w:t xml:space="preserve">ide </w:t>
      </w:r>
      <w:r w:rsidRPr="00DF75CD">
        <w:rPr>
          <w:rFonts w:ascii="Times New Roman" w:hAnsi="Times New Roman" w:cs="Times New Roman"/>
          <w:szCs w:val="22"/>
        </w:rPr>
        <w:t>o konsolidáciu. Odpočítané boli tiež prijaté záruky EXIM</w:t>
      </w:r>
      <w:r w:rsidR="00690C7F">
        <w:rPr>
          <w:rFonts w:ascii="Times New Roman" w:hAnsi="Times New Roman" w:cs="Times New Roman"/>
          <w:szCs w:val="22"/>
        </w:rPr>
        <w:t>BANKY</w:t>
      </w:r>
      <w:r w:rsidRPr="00DF75CD">
        <w:rPr>
          <w:rFonts w:ascii="Times New Roman" w:hAnsi="Times New Roman" w:cs="Times New Roman"/>
          <w:szCs w:val="22"/>
        </w:rPr>
        <w:t xml:space="preserve"> a SEPS, a.s. V oboch prípadoch, ak by boli záruky realizované, vlastné imanie a čisté bohatstvo by nevzrástlo, pretože príjmy z</w:t>
      </w:r>
      <w:r w:rsidR="008746F2">
        <w:rPr>
          <w:rFonts w:ascii="Times New Roman" w:hAnsi="Times New Roman" w:cs="Times New Roman"/>
          <w:szCs w:val="22"/>
        </w:rPr>
        <w:t> </w:t>
      </w:r>
      <w:r w:rsidRPr="00DF75CD">
        <w:rPr>
          <w:rFonts w:ascii="Times New Roman" w:hAnsi="Times New Roman" w:cs="Times New Roman"/>
          <w:szCs w:val="22"/>
        </w:rPr>
        <w:t>realizovaných záruk by len nahradili existujúce bilančné aktíva (úvery u EXIM</w:t>
      </w:r>
      <w:r w:rsidR="00690C7F">
        <w:rPr>
          <w:rFonts w:ascii="Times New Roman" w:hAnsi="Times New Roman" w:cs="Times New Roman"/>
          <w:szCs w:val="22"/>
        </w:rPr>
        <w:t>BANKY</w:t>
      </w:r>
      <w:r w:rsidRPr="00DF75CD">
        <w:rPr>
          <w:rFonts w:ascii="Times New Roman" w:hAnsi="Times New Roman" w:cs="Times New Roman"/>
          <w:szCs w:val="22"/>
        </w:rPr>
        <w:t xml:space="preserve"> a obchodné pohľadávky u skupiny SEPS, a.s.). Tieto podmienené aktíva teda nepredstavujú potenciálny zdroj zvýšenia vlastného imania verejného sektora. </w:t>
      </w:r>
      <w:r w:rsidRPr="00DF75CD">
        <w:rPr>
          <w:rFonts w:ascii="Times New Roman" w:hAnsi="Times New Roman" w:cs="Times New Roman"/>
          <w:b/>
          <w:szCs w:val="22"/>
        </w:rPr>
        <w:t>Upravená výška podmienených aktív pre čisté bohatstvo k 31.12.2014 bola 866 053 tis. eur</w:t>
      </w:r>
      <w:r w:rsidRPr="00DF75CD">
        <w:rPr>
          <w:rFonts w:ascii="Times New Roman" w:hAnsi="Times New Roman" w:cs="Times New Roman"/>
          <w:szCs w:val="22"/>
        </w:rPr>
        <w:t>.</w:t>
      </w:r>
    </w:p>
    <w:p w:rsidR="001D3593">
      <w:pPr>
        <w:bidi w:val="0"/>
        <w:rPr>
          <w:rFonts w:ascii="Times New Roman" w:hAnsi="Times New Roman" w:cs="Times New Roman"/>
          <w:szCs w:val="22"/>
        </w:rPr>
      </w:pPr>
      <w:r>
        <w:rPr>
          <w:rFonts w:ascii="Times New Roman" w:hAnsi="Times New Roman" w:cs="Times New Roman"/>
          <w:szCs w:val="22"/>
        </w:rPr>
        <w:br w:type="page"/>
      </w:r>
    </w:p>
    <w:p w:rsidR="001D3593" w:rsidP="001D3593">
      <w:pPr>
        <w:pStyle w:val="Heading1"/>
        <w:numPr>
          <w:numId w:val="0"/>
        </w:numPr>
        <w:bidi w:val="0"/>
        <w:ind w:left="425" w:hanging="431"/>
        <w:rPr>
          <w:rFonts w:eastAsia="Times New Roman"/>
        </w:rPr>
      </w:pPr>
      <w:bookmarkStart w:id="215" w:name="_Toc399324377"/>
      <w:bookmarkStart w:id="216" w:name="_Toc433099603"/>
      <w:r>
        <w:rPr>
          <w:rFonts w:eastAsia="Times New Roman"/>
        </w:rPr>
        <w:t xml:space="preserve">4. </w:t>
      </w:r>
      <w:r w:rsidRPr="009E49F8">
        <w:rPr>
          <w:rFonts w:eastAsia="Times New Roman"/>
        </w:rPr>
        <w:t>Komentár k súhrnnej účtovnej závierke verejnej správy Slovenskej republiky</w:t>
      </w:r>
      <w:r>
        <w:rPr>
          <w:rFonts w:eastAsia="Times New Roman"/>
        </w:rPr>
        <w:t xml:space="preserve"> </w:t>
      </w:r>
      <w:r w:rsidRPr="009E49F8">
        <w:rPr>
          <w:rFonts w:eastAsia="Times New Roman"/>
        </w:rPr>
        <w:t>za rok 201</w:t>
      </w:r>
      <w:bookmarkEnd w:id="215"/>
      <w:r>
        <w:rPr>
          <w:rFonts w:eastAsia="Times New Roman"/>
        </w:rPr>
        <w:t>4</w:t>
      </w:r>
      <w:bookmarkEnd w:id="216"/>
      <w:r w:rsidRPr="009E49F8">
        <w:rPr>
          <w:rFonts w:eastAsia="Times New Roman"/>
        </w:rPr>
        <w:t xml:space="preserve"> </w:t>
      </w:r>
    </w:p>
    <w:p w:rsidR="001D3593" w:rsidRPr="00BC17C4" w:rsidP="001D3593">
      <w:pPr>
        <w:pStyle w:val="ListParagraph"/>
        <w:bidi w:val="0"/>
        <w:spacing w:after="120" w:line="336" w:lineRule="auto"/>
        <w:ind w:left="0"/>
        <w:jc w:val="both"/>
        <w:rPr>
          <w:rFonts w:ascii="Times New Roman" w:hAnsi="Times New Roman" w:cs="Times New Roman"/>
          <w:color w:val="000000"/>
        </w:rPr>
      </w:pPr>
      <w:r w:rsidRPr="00BC17C4">
        <w:rPr>
          <w:rFonts w:ascii="Times New Roman" w:hAnsi="Times New Roman" w:cs="Times New Roman"/>
        </w:rPr>
        <w:t>Súhrnná účtovná závierka verejnej správy sa zostavuje podľa zákona č. 431/2002 Z. z.</w:t>
        <w:br/>
        <w:t xml:space="preserve">o účtovníctve v znení neskorších predpisov (ďalej len ,,zákon o účtovníctve“). Primerane sa využívajú aj ustanovenia Opatrenia Ministerstva financií Slovenskej republiky zo 17. decembra 2008 </w:t>
        <w:br/>
        <w:t xml:space="preserve">č. MF/27526/2008-31 v znení neskorších predpisov, ktorým sa ustanovujú podrobnosti o metódach a postupoch konsolidácie vo verejnej správe a podrobnosti o usporiadaní a označovaní položiek konsolidovanej účtovnej závierky vo verejnej správe (ďalej len ,,opatrenie“), a to v oblasti použitých metód konsolidácie a postupu konsolidácie. </w:t>
      </w:r>
    </w:p>
    <w:p w:rsidR="001D3593" w:rsidRPr="00BC17C4" w:rsidP="001D3593">
      <w:pPr>
        <w:bidi w:val="0"/>
        <w:spacing w:after="120" w:line="336" w:lineRule="auto"/>
        <w:jc w:val="both"/>
        <w:rPr>
          <w:rFonts w:ascii="Times New Roman" w:hAnsi="Times New Roman" w:cs="Times New Roman"/>
          <w:szCs w:val="22"/>
        </w:rPr>
      </w:pPr>
      <w:r w:rsidRPr="00BC17C4">
        <w:rPr>
          <w:rFonts w:ascii="Times New Roman" w:hAnsi="Times New Roman" w:cs="Times New Roman"/>
          <w:szCs w:val="22"/>
        </w:rPr>
        <w:t>Súhrnná účtovná závierka obsahuje súvahu, výkaz ziskov a strát a poznámky zostavené na základe princípov konsolidácie uplatňovan</w:t>
      </w:r>
      <w:r>
        <w:rPr>
          <w:rFonts w:ascii="Times New Roman" w:hAnsi="Times New Roman" w:cs="Times New Roman"/>
          <w:szCs w:val="22"/>
        </w:rPr>
        <w:t>ých</w:t>
      </w:r>
      <w:r w:rsidRPr="00BC17C4">
        <w:rPr>
          <w:rFonts w:ascii="Times New Roman" w:hAnsi="Times New Roman" w:cs="Times New Roman"/>
          <w:szCs w:val="22"/>
        </w:rPr>
        <w:t xml:space="preserve"> v Medzinárodných účtovných štandardoch pre verejnú správu (IPSAS). Na rozdiel od agregovaných dát za verejnú správu neobsahuje niektoré vzájomné vzťahy, ktoré boli identifikované medzi subjektmi tvoriacimi súhrnný celok. </w:t>
      </w:r>
    </w:p>
    <w:p w:rsidR="001D3593" w:rsidRPr="00BC17C4" w:rsidP="001D3593">
      <w:pPr>
        <w:bidi w:val="0"/>
        <w:spacing w:after="120" w:line="336" w:lineRule="auto"/>
        <w:jc w:val="both"/>
        <w:rPr>
          <w:rFonts w:ascii="Times New Roman" w:hAnsi="Times New Roman" w:cs="Times New Roman"/>
          <w:szCs w:val="22"/>
        </w:rPr>
      </w:pPr>
      <w:r w:rsidRPr="00BC17C4">
        <w:rPr>
          <w:rFonts w:ascii="Times New Roman" w:hAnsi="Times New Roman" w:cs="Times New Roman"/>
          <w:b/>
          <w:szCs w:val="22"/>
        </w:rPr>
        <w:t>Cieľom súhrnnej účtovnej závierky verejnej správy je doplniť a rozšíriť informácie o verejnom sektore ako celku z pohľadu jeho finančnej pozície a hospodárenia na akruálnom princípe.</w:t>
      </w:r>
      <w:r w:rsidRPr="00BC17C4">
        <w:rPr>
          <w:rFonts w:ascii="Times New Roman" w:hAnsi="Times New Roman" w:cs="Times New Roman"/>
          <w:szCs w:val="22"/>
        </w:rPr>
        <w:t xml:space="preserve"> Úlohou tohto dokumentu nie je nahradiť výsledky spracovávané v metodike ESA 2010 alebo samotné účtovné závierky subjektov verejnej správy. Dôvodom sú určité rozdiely v štatistickej metodike</w:t>
        <w:br/>
        <w:t>ESA 2010 a účtovnej konsolidácii, ako napríklad zaradenie subjektov do verejnej správy verzus súhrnného celku, účtovný výsledok hospodárenia verzus saldo rozpočtu verejnej správy, miera akrualizácie a podobne (pozri kapitolu 4 v Súhrnnej výročnej správe za rok 2012</w:t>
      </w:r>
      <w:r>
        <w:rPr>
          <w:rStyle w:val="FootnoteReference"/>
          <w:rFonts w:cstheme="minorBidi"/>
          <w:rtl w:val="0"/>
        </w:rPr>
        <w:footnoteReference w:id="14"/>
      </w:r>
      <w:r w:rsidRPr="00BC17C4">
        <w:rPr>
          <w:rFonts w:ascii="Times New Roman" w:hAnsi="Times New Roman" w:cs="Times New Roman"/>
          <w:szCs w:val="22"/>
        </w:rPr>
        <w:t>).</w:t>
      </w:r>
    </w:p>
    <w:p w:rsidR="001D3593" w:rsidRPr="00BC17C4" w:rsidP="001D3593">
      <w:pPr>
        <w:bidi w:val="0"/>
        <w:spacing w:before="120" w:after="120" w:line="336" w:lineRule="auto"/>
        <w:jc w:val="both"/>
        <w:rPr>
          <w:rFonts w:ascii="Times New Roman" w:hAnsi="Times New Roman" w:cs="Times New Roman"/>
          <w:szCs w:val="22"/>
        </w:rPr>
      </w:pPr>
      <w:r w:rsidRPr="00BC17C4">
        <w:rPr>
          <w:rFonts w:ascii="Times New Roman" w:hAnsi="Times New Roman" w:cs="Times New Roman"/>
          <w:szCs w:val="22"/>
        </w:rPr>
        <w:t xml:space="preserve">Z pohľadu postupu zostavovania súhrnnej účtovnej závierky ide o agregáciu individuálnych a konsolidovaných účtovných závierok subjektov súhrnného celku do sumárnej súvahy a sumárneho výkazu ziskov a strát a ich očistenie o tie transakcie, ktoré sa </w:t>
      </w:r>
      <w:r>
        <w:rPr>
          <w:rFonts w:ascii="Times New Roman" w:hAnsi="Times New Roman" w:cs="Times New Roman"/>
          <w:szCs w:val="22"/>
        </w:rPr>
        <w:t>realizovali</w:t>
      </w:r>
      <w:r w:rsidRPr="00BC17C4">
        <w:rPr>
          <w:rFonts w:ascii="Times New Roman" w:hAnsi="Times New Roman" w:cs="Times New Roman"/>
          <w:szCs w:val="22"/>
        </w:rPr>
        <w:t xml:space="preserve"> v rámci súhrnného celku v priebehu účtovného obdobia. V rámci účtovnej konsolidácie sa vykonávajú aj ďalšie konsolidačné úpravy pokiaľ sú významné a neboli zaznamenané vo vstupných údajoch.</w:t>
      </w:r>
    </w:p>
    <w:p w:rsidR="001D3593" w:rsidRPr="00BC17C4" w:rsidP="001D3593">
      <w:pPr>
        <w:bidi w:val="0"/>
        <w:spacing w:after="120" w:line="336" w:lineRule="auto"/>
        <w:jc w:val="both"/>
        <w:rPr>
          <w:rFonts w:ascii="Times New Roman" w:hAnsi="Times New Roman" w:cs="Times New Roman"/>
          <w:szCs w:val="22"/>
        </w:rPr>
      </w:pPr>
      <w:r w:rsidRPr="00BC17C4">
        <w:rPr>
          <w:rFonts w:ascii="Times New Roman" w:hAnsi="Times New Roman" w:cs="Times New Roman"/>
          <w:szCs w:val="22"/>
        </w:rPr>
        <w:t>Dôležité je, že účtovná konsolidácia a spracovanie súhrnnej účtovnej závierky je reálny proces s reálnymi účtovnými dátami subjektov súhrnného celku, pričom ale nedochádza k ich zmene v pôvodných účtovných závierkach. Tento pohľad je dôležitý pri čítaní komentára k jednotlivým položkám súhrnnej účtovnej závierky a znamená, že ak boli eliminované napríklad kapitálové účasti ministerstiev v obchodných spoločnostiach, v individuálnej účtovnej závierke daného ministerstva sa takýto finančný majetok vo forme podielov bude aj naďalej vykazovať. Tieto konsolidačné operácie môžu vznikať na tzv. prvej úrovni konsolidácie (v rámci konsolidovanej účtovnej závierky kapitoly ŠR, obce alebo vyššieho územného celku), druhej úrovni konsolidácie (v rámci konsolidovanej účtovnej závierky ústrednej správy) alebo pri tretej úrovni, pri spracovaní súhrnnej účtovnej závierky.</w:t>
      </w:r>
    </w:p>
    <w:p w:rsidR="001D3593" w:rsidRPr="00BC17C4" w:rsidP="001D3593">
      <w:pPr>
        <w:bidi w:val="0"/>
        <w:spacing w:after="120" w:line="336" w:lineRule="auto"/>
        <w:jc w:val="both"/>
        <w:rPr>
          <w:rFonts w:ascii="Times New Roman" w:hAnsi="Times New Roman" w:cs="Times New Roman"/>
          <w:szCs w:val="22"/>
        </w:rPr>
      </w:pPr>
      <w:r w:rsidRPr="00BC17C4">
        <w:rPr>
          <w:rFonts w:ascii="Times New Roman" w:hAnsi="Times New Roman" w:cs="Times New Roman"/>
          <w:szCs w:val="22"/>
        </w:rPr>
        <w:t xml:space="preserve">Z pohľadu eliminovaných čiastok a iných konsolidačných úprav boli upravené tieto položky majetku: dlhodobý finančný majetok, pohľadávky, finančné účty </w:t>
      </w:r>
      <w:r w:rsidR="007C73EE">
        <w:rPr>
          <w:rFonts w:ascii="Times New Roman" w:hAnsi="Times New Roman" w:cs="Times New Roman"/>
          <w:szCs w:val="22"/>
        </w:rPr>
        <w:t>a poskytnuté finančné výpomoci.</w:t>
        <w:br/>
      </w:r>
      <w:r w:rsidRPr="00BC17C4">
        <w:rPr>
          <w:rFonts w:ascii="Times New Roman" w:hAnsi="Times New Roman" w:cs="Times New Roman"/>
          <w:szCs w:val="22"/>
        </w:rPr>
        <w:t>Z pasív boli upravené tieto položky: vlastné imanie, záväzky, prijaté finančné výpomoci. Pri nákladoch a výnosoch boli identifikované vzájomné vzťahy najmä z titulu daní a poplatkov, úrokov a ostatných finančných a prevádzkových nákladov resp. výnosov.</w:t>
      </w:r>
    </w:p>
    <w:p w:rsidR="001D3593" w:rsidRPr="00BC17C4" w:rsidP="001D3593">
      <w:pPr>
        <w:bidi w:val="0"/>
        <w:spacing w:after="120" w:line="336" w:lineRule="auto"/>
        <w:jc w:val="both"/>
        <w:rPr>
          <w:rFonts w:ascii="Times New Roman" w:hAnsi="Times New Roman" w:cs="Times New Roman"/>
          <w:szCs w:val="22"/>
        </w:rPr>
      </w:pPr>
      <w:r w:rsidRPr="00BC17C4">
        <w:rPr>
          <w:rFonts w:ascii="Times New Roman" w:hAnsi="Times New Roman" w:cs="Times New Roman"/>
          <w:szCs w:val="22"/>
        </w:rPr>
        <w:t>Z dôvodu odlišnej metodiky účtovania niektorých transakcií, ako aj z dôvodu neidentifikovaných vzájomných vzťahov v rovnakej hodnote, neboli na úrovni súhrnnej účtovnej závierky eliminované niektoré významné vzťahy:</w:t>
      </w:r>
    </w:p>
    <w:p w:rsidR="001D3593" w:rsidRPr="00BC17C4" w:rsidP="001D3593">
      <w:pPr>
        <w:numPr>
          <w:numId w:val="21"/>
        </w:numPr>
        <w:bidi w:val="0"/>
        <w:spacing w:after="0" w:line="336" w:lineRule="auto"/>
        <w:ind w:left="714" w:hanging="357"/>
        <w:jc w:val="both"/>
        <w:rPr>
          <w:rFonts w:ascii="Times New Roman" w:hAnsi="Times New Roman" w:cs="Times New Roman"/>
          <w:szCs w:val="22"/>
        </w:rPr>
      </w:pPr>
      <w:r w:rsidRPr="00BC17C4">
        <w:rPr>
          <w:rFonts w:ascii="Times New Roman" w:hAnsi="Times New Roman" w:cs="Times New Roman"/>
          <w:szCs w:val="22"/>
        </w:rPr>
        <w:t>daň z príjmu právnických osôb, fyzických osôb a daň z pridanej hodnoty,</w:t>
      </w:r>
    </w:p>
    <w:p w:rsidR="001D3593" w:rsidRPr="00BC17C4" w:rsidP="001D3593">
      <w:pPr>
        <w:numPr>
          <w:numId w:val="21"/>
        </w:numPr>
        <w:bidi w:val="0"/>
        <w:spacing w:after="0" w:line="336" w:lineRule="auto"/>
        <w:ind w:left="714" w:hanging="357"/>
        <w:jc w:val="both"/>
        <w:rPr>
          <w:rFonts w:ascii="Times New Roman" w:hAnsi="Times New Roman" w:cs="Times New Roman"/>
          <w:szCs w:val="22"/>
        </w:rPr>
      </w:pPr>
      <w:r w:rsidRPr="00BC17C4">
        <w:rPr>
          <w:rFonts w:ascii="Times New Roman" w:hAnsi="Times New Roman" w:cs="Times New Roman"/>
          <w:szCs w:val="22"/>
        </w:rPr>
        <w:t>sociálne a zdravotné poistenie v oblasti pohľadávok, záväzkov, nákladov a výnosov,</w:t>
      </w:r>
    </w:p>
    <w:p w:rsidR="001D3593" w:rsidRPr="00BC17C4" w:rsidP="001D3593">
      <w:pPr>
        <w:numPr>
          <w:numId w:val="21"/>
        </w:numPr>
        <w:bidi w:val="0"/>
        <w:spacing w:after="0" w:line="336" w:lineRule="auto"/>
        <w:ind w:left="714" w:hanging="357"/>
        <w:jc w:val="both"/>
        <w:rPr>
          <w:rFonts w:ascii="Times New Roman" w:hAnsi="Times New Roman" w:cs="Times New Roman"/>
          <w:szCs w:val="22"/>
        </w:rPr>
      </w:pPr>
      <w:r w:rsidRPr="00BC17C4">
        <w:rPr>
          <w:rFonts w:ascii="Times New Roman" w:hAnsi="Times New Roman" w:cs="Times New Roman"/>
          <w:szCs w:val="22"/>
        </w:rPr>
        <w:t>ostatné pohľadávky, záväzky, náklady a výnosy s rozdielnou hodnotou vykázanou v podkladoch pre eliminácie za jednotlivé účtovné jednotky.</w:t>
      </w:r>
    </w:p>
    <w:p w:rsidR="001D3593" w:rsidRPr="00BC17C4" w:rsidP="001D3593">
      <w:pPr>
        <w:bidi w:val="0"/>
        <w:spacing w:before="120" w:after="120" w:line="336" w:lineRule="auto"/>
        <w:jc w:val="both"/>
        <w:rPr>
          <w:rFonts w:ascii="Times New Roman" w:hAnsi="Times New Roman" w:cs="Times New Roman"/>
          <w:szCs w:val="22"/>
        </w:rPr>
      </w:pPr>
      <w:r w:rsidRPr="00BC17C4">
        <w:rPr>
          <w:rFonts w:ascii="Times New Roman" w:hAnsi="Times New Roman" w:cs="Times New Roman"/>
          <w:szCs w:val="22"/>
        </w:rPr>
        <w:t xml:space="preserve">Účtovné jednotky súhrnného celku vykazujú medzi sebou množstvo vzájomných vzťahov, ktoré je veľmi náročné eliminovať pri zostavovaní súhrnnej účtovnej závierky, a preto je potrebný čas na zlepšenie procesov a techniky za účelom použitia štandardných konsolidačných operácií. </w:t>
      </w:r>
    </w:p>
    <w:p w:rsidR="001D3593" w:rsidRPr="00BC17C4" w:rsidP="001D3593">
      <w:pPr>
        <w:bidi w:val="0"/>
        <w:spacing w:after="120" w:line="336" w:lineRule="auto"/>
        <w:jc w:val="both"/>
        <w:rPr>
          <w:rFonts w:ascii="Times New Roman" w:hAnsi="Times New Roman" w:cs="Times New Roman"/>
          <w:szCs w:val="22"/>
        </w:rPr>
      </w:pPr>
      <w:r w:rsidRPr="00BC17C4">
        <w:rPr>
          <w:rFonts w:ascii="Times New Roman" w:hAnsi="Times New Roman" w:cs="Times New Roman"/>
          <w:b/>
          <w:szCs w:val="22"/>
        </w:rPr>
        <w:t>Súhrnná účtovná závierka nie je overovaná nezávislým audítorom</w:t>
      </w:r>
      <w:r w:rsidRPr="00BC17C4">
        <w:rPr>
          <w:rFonts w:ascii="Times New Roman" w:hAnsi="Times New Roman" w:cs="Times New Roman"/>
          <w:szCs w:val="22"/>
        </w:rPr>
        <w:t xml:space="preserve">, je však zostavená z účtovných závierok, ktoré boli predmetom auditu (konsolidovaná účtovná závierka ústrednej správy, konsolidované účtovné závierky kapitol štátneho rozpočtu, konsolidované účtovné závierky vyšších územných celkov a 1 124 konsolidovaných účtovných závierok obcí). </w:t>
      </w:r>
    </w:p>
    <w:p w:rsidR="001D3593" w:rsidRPr="00BC17C4" w:rsidP="001D3593">
      <w:pPr>
        <w:bidi w:val="0"/>
        <w:spacing w:after="120" w:line="336" w:lineRule="auto"/>
        <w:jc w:val="both"/>
        <w:rPr>
          <w:rFonts w:ascii="Times New Roman" w:hAnsi="Times New Roman" w:cs="Times New Roman"/>
        </w:rPr>
      </w:pPr>
      <w:r w:rsidRPr="00BC17C4">
        <w:rPr>
          <w:rFonts w:ascii="Times New Roman" w:hAnsi="Times New Roman" w:cs="Times New Roman"/>
          <w:szCs w:val="22"/>
        </w:rPr>
        <w:t>Audit súhrnnej účtovnej závierky nie je vzhľadom na rozsah a rozmanitosť súhrnného celku realizovateľný. V praktickom prevedení nie je možné v plnom rozsahu zabezpečiť požiadavky dané medzinárodným audítorským štandardom ISA 210.3. resp. ISA 210.6., a to tak z hľadiska spoločnosti, ktorá by mala audit vykonať, ako aj z hľadiska zostavovateľa súhrnnej účtovnej závierky, čo je aj v súlade s názorom Úradu pre dohľad nad výkonom auditu. Napriek tomu súhrnná účtovná závierka vychádza z auditovaných konsolidovaných účtovných závierok zostavovaných vo verejnej správe, auditovaných individuálnych účtovných závierok obcí, obchodných spoločností a ďalších subjektov, ktorým audit účtovnej závierky vyplýva z príslušnej legislatívy, čo napokon zvyšuje dôveryhodnosť samotnej súhrnnej účtovnej závierky.</w:t>
      </w:r>
    </w:p>
    <w:p w:rsidR="001D3593" w:rsidRPr="00BC17C4" w:rsidP="001767F0">
      <w:pPr>
        <w:pStyle w:val="Heading2"/>
        <w:numPr>
          <w:ilvl w:val="0"/>
          <w:numId w:val="0"/>
        </w:numPr>
        <w:bidi w:val="0"/>
        <w:spacing w:before="120" w:after="120" w:line="336" w:lineRule="auto"/>
        <w:ind w:left="425" w:hanging="425"/>
      </w:pPr>
      <w:bookmarkStart w:id="217" w:name="_Toc399324378"/>
      <w:bookmarkStart w:id="218" w:name="_Toc401920034"/>
      <w:bookmarkStart w:id="219" w:name="_Toc433099604"/>
      <w:r w:rsidRPr="00BC17C4">
        <w:t>4.1.</w:t>
        <w:tab/>
      </w:r>
      <w:r w:rsidRPr="00BC17C4">
        <w:rPr>
          <w:rFonts w:hint="default"/>
        </w:rPr>
        <w:t>Š</w:t>
      </w:r>
      <w:r w:rsidRPr="00BC17C4">
        <w:rPr>
          <w:rFonts w:hint="default"/>
        </w:rPr>
        <w:t>truktú</w:t>
      </w:r>
      <w:r w:rsidRPr="00BC17C4">
        <w:rPr>
          <w:rFonts w:hint="default"/>
        </w:rPr>
        <w:t>ra s</w:t>
      </w:r>
      <w:r w:rsidRPr="00DF1918">
        <w:rPr>
          <w:rFonts w:hint="default"/>
        </w:rPr>
        <w:t>ú</w:t>
      </w:r>
      <w:r>
        <w:t>h</w:t>
      </w:r>
      <w:r w:rsidRPr="00DF1918">
        <w:rPr>
          <w:rFonts w:hint="default"/>
        </w:rPr>
        <w:t>rnné</w:t>
      </w:r>
      <w:r w:rsidRPr="00DF1918">
        <w:rPr>
          <w:rFonts w:hint="default"/>
        </w:rPr>
        <w:t>ho</w:t>
      </w:r>
      <w:r w:rsidRPr="00BC17C4">
        <w:t xml:space="preserve"> celku v roku 201</w:t>
      </w:r>
      <w:bookmarkEnd w:id="217"/>
      <w:bookmarkEnd w:id="218"/>
      <w:r w:rsidRPr="00BC17C4">
        <w:t>4</w:t>
      </w:r>
      <w:bookmarkEnd w:id="219"/>
    </w:p>
    <w:p w:rsidR="001D3593" w:rsidRPr="00BC17C4" w:rsidP="001D3593">
      <w:pPr>
        <w:bidi w:val="0"/>
        <w:spacing w:after="120" w:line="336" w:lineRule="auto"/>
        <w:jc w:val="both"/>
        <w:rPr>
          <w:rFonts w:ascii="Times New Roman" w:hAnsi="Times New Roman"/>
          <w:szCs w:val="22"/>
        </w:rPr>
      </w:pPr>
      <w:r w:rsidRPr="00BC17C4">
        <w:rPr>
          <w:rFonts w:ascii="Times New Roman" w:hAnsi="Times New Roman"/>
          <w:szCs w:val="22"/>
        </w:rPr>
        <w:t>Súhrnná účtovná závierka bola spracovaná Ministerstvom financií SR v súlade s § 22a zákona o účtovníctve, a to na základe:</w:t>
      </w:r>
    </w:p>
    <w:p w:rsidR="001D3593" w:rsidRPr="00BC17C4" w:rsidP="001D3593">
      <w:pPr>
        <w:numPr>
          <w:numId w:val="22"/>
        </w:numPr>
        <w:bidi w:val="0"/>
        <w:spacing w:after="0" w:line="336" w:lineRule="auto"/>
        <w:ind w:left="426" w:hanging="284"/>
        <w:jc w:val="both"/>
        <w:rPr>
          <w:rFonts w:ascii="Times New Roman" w:hAnsi="Times New Roman"/>
          <w:szCs w:val="22"/>
        </w:rPr>
      </w:pPr>
      <w:r w:rsidRPr="00BC17C4">
        <w:rPr>
          <w:rFonts w:ascii="Times New Roman" w:hAnsi="Times New Roman"/>
          <w:szCs w:val="22"/>
        </w:rPr>
        <w:t>konsolidovanej účtovnej závierky ústrednej správy (1),</w:t>
      </w:r>
    </w:p>
    <w:p w:rsidR="001D3593" w:rsidRPr="00BC17C4" w:rsidP="001D3593">
      <w:pPr>
        <w:numPr>
          <w:numId w:val="22"/>
        </w:numPr>
        <w:bidi w:val="0"/>
        <w:spacing w:after="0" w:line="336" w:lineRule="auto"/>
        <w:ind w:left="426" w:hanging="284"/>
        <w:jc w:val="both"/>
        <w:rPr>
          <w:rFonts w:ascii="Times New Roman" w:hAnsi="Times New Roman"/>
          <w:szCs w:val="22"/>
        </w:rPr>
      </w:pPr>
      <w:r w:rsidRPr="00BC17C4">
        <w:rPr>
          <w:rFonts w:ascii="Times New Roman" w:hAnsi="Times New Roman"/>
          <w:szCs w:val="22"/>
        </w:rPr>
        <w:t>konsolidovaných účtovných závierok obcí (1 124),</w:t>
      </w:r>
    </w:p>
    <w:p w:rsidR="001D3593" w:rsidRPr="00BC17C4" w:rsidP="001D3593">
      <w:pPr>
        <w:numPr>
          <w:numId w:val="22"/>
        </w:numPr>
        <w:bidi w:val="0"/>
        <w:spacing w:after="0" w:line="336" w:lineRule="auto"/>
        <w:ind w:left="426" w:hanging="284"/>
        <w:jc w:val="both"/>
        <w:rPr>
          <w:rFonts w:ascii="Times New Roman" w:hAnsi="Times New Roman"/>
          <w:szCs w:val="22"/>
        </w:rPr>
      </w:pPr>
      <w:r w:rsidRPr="00BC17C4">
        <w:rPr>
          <w:rFonts w:ascii="Times New Roman" w:hAnsi="Times New Roman"/>
          <w:szCs w:val="22"/>
        </w:rPr>
        <w:t>konsolidovaných účtovných závierok vyšších územných celkov (8),</w:t>
      </w:r>
    </w:p>
    <w:p w:rsidR="001D3593" w:rsidRPr="00BC17C4" w:rsidP="001D3593">
      <w:pPr>
        <w:numPr>
          <w:numId w:val="22"/>
        </w:numPr>
        <w:bidi w:val="0"/>
        <w:spacing w:after="0" w:line="336" w:lineRule="auto"/>
        <w:ind w:left="426" w:hanging="284"/>
        <w:jc w:val="both"/>
        <w:rPr>
          <w:rFonts w:ascii="Times New Roman" w:hAnsi="Times New Roman"/>
          <w:szCs w:val="22"/>
        </w:rPr>
      </w:pPr>
      <w:r w:rsidRPr="00BC17C4">
        <w:rPr>
          <w:rFonts w:ascii="Times New Roman" w:hAnsi="Times New Roman"/>
          <w:szCs w:val="22"/>
        </w:rPr>
        <w:t>individuálnych účtovných závierok obcí, ktoré nezostavili konsolidovanú účtovnú závierku</w:t>
        <w:br/>
        <w:t xml:space="preserve">(1 802), </w:t>
      </w:r>
    </w:p>
    <w:p w:rsidR="001D3593" w:rsidRPr="00BC17C4" w:rsidP="001D3593">
      <w:pPr>
        <w:numPr>
          <w:numId w:val="22"/>
        </w:numPr>
        <w:bidi w:val="0"/>
        <w:spacing w:after="0" w:line="336" w:lineRule="auto"/>
        <w:ind w:left="426" w:hanging="284"/>
        <w:jc w:val="both"/>
        <w:rPr>
          <w:rFonts w:ascii="Times New Roman" w:hAnsi="Times New Roman"/>
          <w:szCs w:val="22"/>
        </w:rPr>
      </w:pPr>
      <w:r w:rsidRPr="00BC17C4">
        <w:rPr>
          <w:rFonts w:ascii="Times New Roman" w:hAnsi="Times New Roman"/>
          <w:szCs w:val="22"/>
        </w:rPr>
        <w:t>individuálnych účtovných závierok ostatných subjektov verejnej správy a právnických osôb s majetkovou účasťou štátu založených podľa osobitných predpisov</w:t>
      </w:r>
      <w:r>
        <w:rPr>
          <w:rStyle w:val="FootnoteReference"/>
          <w:rFonts w:ascii="Times New Roman" w:hAnsi="Times New Roman" w:cstheme="minorBidi"/>
          <w:szCs w:val="22"/>
          <w:rtl w:val="0"/>
        </w:rPr>
        <w:footnoteReference w:id="15"/>
      </w:r>
      <w:r w:rsidRPr="00BC17C4">
        <w:rPr>
          <w:rFonts w:ascii="Times New Roman" w:hAnsi="Times New Roman"/>
          <w:szCs w:val="22"/>
        </w:rPr>
        <w:t xml:space="preserve"> (55).</w:t>
      </w:r>
    </w:p>
    <w:p w:rsidR="001D3593" w:rsidRPr="00BC17C4" w:rsidP="001D3593">
      <w:pPr>
        <w:bidi w:val="0"/>
        <w:spacing w:before="120" w:after="120" w:line="336" w:lineRule="auto"/>
        <w:jc w:val="both"/>
        <w:rPr>
          <w:rFonts w:ascii="Times New Roman" w:hAnsi="Times New Roman"/>
          <w:szCs w:val="22"/>
        </w:rPr>
      </w:pPr>
      <w:r w:rsidRPr="00BC17C4">
        <w:rPr>
          <w:rFonts w:ascii="Times New Roman" w:hAnsi="Times New Roman"/>
          <w:b/>
          <w:szCs w:val="22"/>
        </w:rPr>
        <w:t>Súhrnný celok verejnej správy predstavujú</w:t>
      </w:r>
      <w:r w:rsidRPr="00BC17C4">
        <w:rPr>
          <w:rFonts w:ascii="Times New Roman" w:hAnsi="Times New Roman"/>
          <w:szCs w:val="22"/>
        </w:rPr>
        <w:t xml:space="preserve"> všetky rozpočtové organizácie, príspevkové organizácie, štátne fondy, obce, vyššie územné celky, obchodné spoločnosti, v ktorých má vlastnícky podiel organizácia ústrednej správy (napríklad ministerstv</w:t>
      </w:r>
      <w:r>
        <w:rPr>
          <w:rFonts w:ascii="Times New Roman" w:hAnsi="Times New Roman"/>
          <w:szCs w:val="22"/>
        </w:rPr>
        <w:t>o</w:t>
      </w:r>
      <w:r w:rsidRPr="00BC17C4">
        <w:rPr>
          <w:rFonts w:ascii="Times New Roman" w:hAnsi="Times New Roman"/>
          <w:szCs w:val="22"/>
        </w:rPr>
        <w:t>) alebo územnej samosprávy (ob</w:t>
      </w:r>
      <w:r>
        <w:rPr>
          <w:rFonts w:ascii="Times New Roman" w:hAnsi="Times New Roman"/>
          <w:szCs w:val="22"/>
        </w:rPr>
        <w:t>e</w:t>
      </w:r>
      <w:r w:rsidRPr="00BC17C4">
        <w:rPr>
          <w:rFonts w:ascii="Times New Roman" w:hAnsi="Times New Roman"/>
          <w:szCs w:val="22"/>
        </w:rPr>
        <w:t>c a </w:t>
      </w:r>
      <w:r>
        <w:rPr>
          <w:rFonts w:ascii="Times New Roman" w:hAnsi="Times New Roman"/>
          <w:szCs w:val="22"/>
        </w:rPr>
        <w:t>VÚC</w:t>
      </w:r>
      <w:r w:rsidRPr="00BC17C4">
        <w:rPr>
          <w:rFonts w:ascii="Times New Roman" w:hAnsi="Times New Roman"/>
          <w:szCs w:val="22"/>
        </w:rPr>
        <w:t>), štátne podniky, verejné vysoké školy, Sociálna poisťovňa, Fond národného majetku</w:t>
      </w:r>
      <w:r>
        <w:rPr>
          <w:rFonts w:ascii="Times New Roman" w:hAnsi="Times New Roman"/>
          <w:szCs w:val="22"/>
        </w:rPr>
        <w:t xml:space="preserve"> SR</w:t>
      </w:r>
      <w:r w:rsidRPr="00BC17C4">
        <w:rPr>
          <w:rFonts w:ascii="Times New Roman" w:hAnsi="Times New Roman"/>
          <w:szCs w:val="22"/>
        </w:rPr>
        <w:t xml:space="preserve">, Rozhlas a televízia Slovenska, Slovenský pozemkový fond, Železnice SR a ďalšie organizácie založené na základe zákona (bližší popis je uvedený v prílohe č. 2 </w:t>
      </w:r>
      <w:r>
        <w:rPr>
          <w:rFonts w:ascii="Times New Roman" w:hAnsi="Times New Roman"/>
          <w:szCs w:val="22"/>
        </w:rPr>
        <w:t>tejto správy</w:t>
      </w:r>
      <w:r w:rsidRPr="00BC17C4">
        <w:rPr>
          <w:rFonts w:ascii="Times New Roman" w:hAnsi="Times New Roman"/>
          <w:szCs w:val="22"/>
        </w:rPr>
        <w:t>).</w:t>
      </w:r>
    </w:p>
    <w:p w:rsidR="001D3593" w:rsidRPr="00BC17C4" w:rsidP="001D3593">
      <w:pPr>
        <w:bidi w:val="0"/>
        <w:spacing w:after="120" w:line="336" w:lineRule="auto"/>
        <w:jc w:val="both"/>
        <w:rPr>
          <w:rFonts w:ascii="Times New Roman" w:hAnsi="Times New Roman"/>
          <w:b/>
          <w:szCs w:val="22"/>
        </w:rPr>
      </w:pPr>
      <w:r w:rsidRPr="00BC17C4">
        <w:rPr>
          <w:rFonts w:ascii="Times New Roman" w:hAnsi="Times New Roman"/>
          <w:b/>
          <w:szCs w:val="22"/>
        </w:rPr>
        <w:t xml:space="preserve">Do súhrnného celku nie sú zaradené </w:t>
      </w:r>
      <w:r w:rsidRPr="00BC17C4">
        <w:rPr>
          <w:rFonts w:ascii="Times New Roman" w:hAnsi="Times New Roman"/>
          <w:szCs w:val="22"/>
        </w:rPr>
        <w:t>obchodné spoločnosti, ktoré sú dlhodobo v konkurze alebo likvidácii, súkromné právnické osoby, družstvá, občianske združenia, politické strany, cirkvi, fyzické osoby podnikatelia a samotné obyvateľstvo.</w:t>
      </w:r>
    </w:p>
    <w:p w:rsidR="001D3593" w:rsidRPr="00BC17C4" w:rsidP="001D3593">
      <w:pPr>
        <w:bidi w:val="0"/>
        <w:spacing w:before="120" w:after="120" w:line="336" w:lineRule="auto"/>
        <w:jc w:val="both"/>
        <w:rPr>
          <w:rFonts w:ascii="Times New Roman" w:hAnsi="Times New Roman"/>
          <w:szCs w:val="22"/>
        </w:rPr>
      </w:pPr>
      <w:r w:rsidRPr="00BC17C4">
        <w:rPr>
          <w:rFonts w:ascii="Times New Roman" w:hAnsi="Times New Roman"/>
          <w:szCs w:val="22"/>
        </w:rPr>
        <w:t>Súhrnný celok verejnej správy za rok 2014 tvorilo 7 843 účtovných jednotiek, čo je v porovnaní s rokom 2013</w:t>
      </w:r>
      <w:r>
        <w:rPr>
          <w:rFonts w:ascii="Times New Roman" w:hAnsi="Times New Roman"/>
          <w:szCs w:val="22"/>
        </w:rPr>
        <w:t xml:space="preserve"> viac</w:t>
      </w:r>
      <w:r w:rsidRPr="00BC17C4">
        <w:rPr>
          <w:rFonts w:ascii="Times New Roman" w:hAnsi="Times New Roman"/>
          <w:szCs w:val="22"/>
        </w:rPr>
        <w:t xml:space="preserve"> o 29 subjektov. Na počet organizácií v súhrnnom celku mali vplyv zmeny v rámci ústrednej správy, kde došlo medziročne k zníženiu počtu organizácií o 54. Ku koncu roka 2014 zaniklo ďalších 63 štátnych organizácií, z toho 46 </w:t>
      </w:r>
      <w:r>
        <w:rPr>
          <w:rFonts w:ascii="Times New Roman" w:hAnsi="Times New Roman"/>
          <w:szCs w:val="22"/>
        </w:rPr>
        <w:t>Ú</w:t>
      </w:r>
      <w:r w:rsidRPr="00BC17C4">
        <w:rPr>
          <w:rFonts w:ascii="Times New Roman" w:hAnsi="Times New Roman"/>
          <w:szCs w:val="22"/>
        </w:rPr>
        <w:t xml:space="preserve">radov práce, sociálnych vecí a rodiny SR. Zaniknuté organizácie ústrednej správy v roku 2014 sú zahrnuté do súhrnného celku posledný krát, a to s údajmi za obdobie, počas ktorého existovali v roku 2014. V rámci územnej samosprávy však došlo k nárastu rozpočtových a príspevkových organizácií o 37, čo čiastočne kompenzovalo zníženie v ústrednej správe. Na celkovom medziročnom zvýšení organizácií súhrnného celku sa tak podieľali najmä obchodné spoločnosti územnej samosprávy. </w:t>
      </w:r>
    </w:p>
    <w:tbl>
      <w:tblPr>
        <w:tblStyle w:val="TableNormal"/>
        <w:tblW w:w="5000" w:type="pct"/>
        <w:tblLayout w:type="fixed"/>
        <w:tblCellMar>
          <w:left w:w="70" w:type="dxa"/>
          <w:right w:w="70" w:type="dxa"/>
        </w:tblCellMar>
        <w:tblLook w:val="04A0"/>
      </w:tblPr>
      <w:tblGrid>
        <w:gridCol w:w="7209"/>
        <w:gridCol w:w="1083"/>
        <w:gridCol w:w="919"/>
      </w:tblGrid>
      <w:tr>
        <w:tblPrEx>
          <w:tblW w:w="5000" w:type="pct"/>
          <w:tblLayout w:type="fixed"/>
          <w:tblCellMar>
            <w:left w:w="70" w:type="dxa"/>
            <w:right w:w="70" w:type="dxa"/>
          </w:tblCellMar>
          <w:tblLook w:val="04A0"/>
        </w:tblPrEx>
        <w:trPr>
          <w:trHeight w:val="330"/>
        </w:trPr>
        <w:tc>
          <w:tcPr>
            <w:tcW w:w="5000" w:type="pct"/>
            <w:gridSpan w:val="3"/>
            <w:tcBorders>
              <w:top w:val="single" w:sz="4" w:space="0" w:color="auto"/>
              <w:left w:val="nil"/>
              <w:bottom w:val="single" w:sz="4" w:space="0" w:color="auto"/>
              <w:right w:val="nil"/>
            </w:tcBorders>
            <w:noWrap/>
            <w:textDirection w:val="lrTb"/>
            <w:vAlign w:val="center"/>
          </w:tcPr>
          <w:p w:rsidR="001D3593" w:rsidRPr="00BC17C4" w:rsidP="004B7DC7">
            <w:pPr>
              <w:tabs>
                <w:tab w:val="left" w:pos="6630"/>
              </w:tabs>
              <w:bidi w:val="0"/>
              <w:spacing w:after="0" w:line="336" w:lineRule="auto"/>
              <w:jc w:val="both"/>
              <w:rPr>
                <w:rFonts w:ascii="Times New Roman" w:hAnsi="Times New Roman"/>
                <w:b/>
                <w:bCs/>
                <w:color w:val="FFFFFF"/>
                <w:sz w:val="20"/>
                <w:szCs w:val="20"/>
                <w:lang w:eastAsia="sk-SK"/>
              </w:rPr>
            </w:pPr>
            <w:r w:rsidRPr="00BC17C4">
              <w:rPr>
                <w:rFonts w:ascii="Times New Roman" w:hAnsi="Times New Roman"/>
                <w:b/>
                <w:bCs/>
                <w:color w:val="FFFFFF"/>
                <w:sz w:val="20"/>
                <w:szCs w:val="20"/>
                <w:lang w:eastAsia="sk-SK"/>
              </w:rPr>
              <w:t xml:space="preserve">Počet organizácií v súhrnnom celku </w:t>
            </w:r>
          </w:p>
        </w:tc>
      </w:tr>
      <w:tr>
        <w:tblPrEx>
          <w:tblW w:w="5000" w:type="pct"/>
          <w:tblLayout w:type="fixed"/>
          <w:tblCellMar>
            <w:left w:w="70" w:type="dxa"/>
            <w:right w:w="70" w:type="dxa"/>
          </w:tblCellMar>
          <w:tblLook w:val="04A0"/>
        </w:tblPrEx>
        <w:trPr>
          <w:trHeight w:val="330"/>
        </w:trPr>
        <w:tc>
          <w:tcPr>
            <w:tcW w:w="3913" w:type="pct"/>
            <w:tcBorders>
              <w:top w:val="nil"/>
              <w:left w:val="nil"/>
              <w:bottom w:val="single" w:sz="4" w:space="0" w:color="auto"/>
              <w:right w:val="nil"/>
            </w:tcBorders>
            <w:noWrap/>
            <w:textDirection w:val="lrTb"/>
            <w:vAlign w:val="bottom"/>
          </w:tcPr>
          <w:p w:rsidR="001D3593" w:rsidRPr="00BC17C4" w:rsidP="004B7DC7">
            <w:pPr>
              <w:bidi w:val="0"/>
              <w:spacing w:after="0" w:line="336" w:lineRule="auto"/>
              <w:jc w:val="both"/>
              <w:rPr>
                <w:rFonts w:ascii="Times New Roman" w:hAnsi="Times New Roman"/>
                <w:b/>
                <w:bCs/>
                <w:sz w:val="20"/>
                <w:szCs w:val="20"/>
                <w:lang w:eastAsia="sk-SK"/>
              </w:rPr>
            </w:pPr>
            <w:r w:rsidRPr="00BC17C4">
              <w:rPr>
                <w:rFonts w:ascii="Times New Roman" w:hAnsi="Times New Roman"/>
                <w:b/>
                <w:bCs/>
                <w:sz w:val="20"/>
                <w:szCs w:val="20"/>
                <w:lang w:eastAsia="sk-SK"/>
              </w:rPr>
              <w:t> </w:t>
            </w:r>
          </w:p>
        </w:tc>
        <w:tc>
          <w:tcPr>
            <w:tcW w:w="588" w:type="pct"/>
            <w:tcBorders>
              <w:top w:val="nil"/>
              <w:left w:val="nil"/>
              <w:bottom w:val="single" w:sz="4" w:space="0" w:color="auto"/>
              <w:right w:val="nil"/>
            </w:tcBorders>
            <w:noWrap/>
            <w:textDirection w:val="lrTb"/>
            <w:vAlign w:val="bottom"/>
          </w:tcPr>
          <w:p w:rsidR="001D3593" w:rsidRPr="00BC17C4" w:rsidP="004B7DC7">
            <w:pPr>
              <w:bidi w:val="0"/>
              <w:spacing w:after="0" w:line="336" w:lineRule="auto"/>
              <w:jc w:val="right"/>
              <w:rPr>
                <w:rFonts w:ascii="Times New Roman" w:hAnsi="Times New Roman"/>
                <w:b/>
                <w:bCs/>
                <w:sz w:val="20"/>
                <w:szCs w:val="20"/>
                <w:lang w:eastAsia="sk-SK"/>
              </w:rPr>
            </w:pPr>
            <w:r w:rsidRPr="00BC17C4">
              <w:rPr>
                <w:rFonts w:ascii="Times New Roman" w:hAnsi="Times New Roman"/>
                <w:b/>
                <w:bCs/>
                <w:sz w:val="20"/>
                <w:szCs w:val="20"/>
                <w:lang w:eastAsia="sk-SK"/>
              </w:rPr>
              <w:t>2014</w:t>
            </w:r>
          </w:p>
        </w:tc>
        <w:tc>
          <w:tcPr>
            <w:tcW w:w="499" w:type="pct"/>
            <w:tcBorders>
              <w:top w:val="nil"/>
              <w:left w:val="nil"/>
              <w:bottom w:val="single" w:sz="4" w:space="0" w:color="auto"/>
              <w:right w:val="nil"/>
            </w:tcBorders>
            <w:noWrap/>
            <w:textDirection w:val="lrTb"/>
            <w:vAlign w:val="bottom"/>
          </w:tcPr>
          <w:p w:rsidR="001D3593" w:rsidRPr="00BC17C4" w:rsidP="004B7DC7">
            <w:pPr>
              <w:bidi w:val="0"/>
              <w:spacing w:after="0" w:line="336" w:lineRule="auto"/>
              <w:jc w:val="right"/>
              <w:rPr>
                <w:rFonts w:ascii="Times New Roman" w:hAnsi="Times New Roman"/>
                <w:b/>
                <w:bCs/>
                <w:sz w:val="20"/>
                <w:szCs w:val="20"/>
                <w:lang w:eastAsia="sk-SK"/>
              </w:rPr>
            </w:pPr>
            <w:r w:rsidRPr="00BC17C4">
              <w:rPr>
                <w:rFonts w:ascii="Times New Roman" w:hAnsi="Times New Roman"/>
                <w:b/>
                <w:bCs/>
                <w:sz w:val="20"/>
                <w:szCs w:val="20"/>
                <w:lang w:eastAsia="sk-SK"/>
              </w:rPr>
              <w:t>2013</w:t>
            </w:r>
          </w:p>
        </w:tc>
      </w:tr>
      <w:tr>
        <w:tblPrEx>
          <w:tblW w:w="5000" w:type="pct"/>
          <w:tblLayout w:type="fixed"/>
          <w:tblCellMar>
            <w:left w:w="70" w:type="dxa"/>
            <w:right w:w="70" w:type="dxa"/>
          </w:tblCellMar>
          <w:tblLook w:val="04A0"/>
        </w:tblPrEx>
        <w:trPr>
          <w:trHeight w:val="330"/>
        </w:trPr>
        <w:tc>
          <w:tcPr>
            <w:tcW w:w="3913" w:type="pct"/>
            <w:tcBorders>
              <w:top w:val="nil"/>
              <w:left w:val="nil"/>
              <w:bottom w:val="nil"/>
              <w:right w:val="nil"/>
            </w:tcBorders>
            <w:textDirection w:val="lrTb"/>
            <w:vAlign w:val="bottom"/>
          </w:tcPr>
          <w:p w:rsidR="001D3593" w:rsidRPr="00BC17C4" w:rsidP="004B7DC7">
            <w:pPr>
              <w:bidi w:val="0"/>
              <w:spacing w:after="0" w:line="336" w:lineRule="auto"/>
              <w:jc w:val="both"/>
              <w:rPr>
                <w:rFonts w:ascii="Times New Roman" w:hAnsi="Times New Roman"/>
                <w:b/>
                <w:bCs/>
                <w:sz w:val="20"/>
                <w:szCs w:val="20"/>
                <w:lang w:eastAsia="sk-SK"/>
              </w:rPr>
            </w:pPr>
            <w:r w:rsidRPr="00BC17C4">
              <w:rPr>
                <w:rFonts w:ascii="Times New Roman" w:hAnsi="Times New Roman"/>
                <w:b/>
                <w:bCs/>
                <w:sz w:val="20"/>
                <w:szCs w:val="20"/>
                <w:lang w:eastAsia="sk-SK"/>
              </w:rPr>
              <w:t>Súhrnný celok spolu</w:t>
            </w:r>
          </w:p>
        </w:tc>
        <w:tc>
          <w:tcPr>
            <w:tcW w:w="588" w:type="pct"/>
            <w:tcBorders>
              <w:top w:val="nil"/>
              <w:left w:val="nil"/>
              <w:bottom w:val="nil"/>
              <w:right w:val="nil"/>
            </w:tcBorders>
            <w:textDirection w:val="lrTb"/>
            <w:vAlign w:val="bottom"/>
          </w:tcPr>
          <w:p w:rsidR="001D3593" w:rsidRPr="00BC17C4" w:rsidP="004B7DC7">
            <w:pPr>
              <w:bidi w:val="0"/>
              <w:spacing w:after="0" w:line="336" w:lineRule="auto"/>
              <w:jc w:val="right"/>
              <w:rPr>
                <w:rFonts w:ascii="Times New Roman" w:hAnsi="Times New Roman"/>
                <w:b/>
                <w:bCs/>
                <w:sz w:val="20"/>
                <w:szCs w:val="20"/>
                <w:lang w:eastAsia="sk-SK"/>
              </w:rPr>
            </w:pPr>
            <w:r w:rsidRPr="00BC17C4">
              <w:rPr>
                <w:rFonts w:ascii="Times New Roman" w:hAnsi="Times New Roman"/>
                <w:b/>
                <w:bCs/>
                <w:sz w:val="20"/>
                <w:szCs w:val="20"/>
                <w:lang w:eastAsia="sk-SK"/>
              </w:rPr>
              <w:t>7 843</w:t>
            </w:r>
          </w:p>
        </w:tc>
        <w:tc>
          <w:tcPr>
            <w:tcW w:w="499" w:type="pct"/>
            <w:tcBorders>
              <w:top w:val="nil"/>
              <w:left w:val="nil"/>
              <w:bottom w:val="nil"/>
              <w:right w:val="nil"/>
            </w:tcBorders>
            <w:textDirection w:val="lrTb"/>
            <w:vAlign w:val="bottom"/>
          </w:tcPr>
          <w:p w:rsidR="001D3593" w:rsidRPr="00BC17C4" w:rsidP="004B7DC7">
            <w:pPr>
              <w:bidi w:val="0"/>
              <w:spacing w:after="0" w:line="336" w:lineRule="auto"/>
              <w:jc w:val="right"/>
              <w:rPr>
                <w:rFonts w:ascii="Times New Roman" w:hAnsi="Times New Roman"/>
                <w:b/>
                <w:bCs/>
                <w:sz w:val="20"/>
                <w:szCs w:val="20"/>
                <w:lang w:eastAsia="sk-SK"/>
              </w:rPr>
            </w:pPr>
            <w:r w:rsidRPr="00BC17C4">
              <w:rPr>
                <w:rFonts w:ascii="Times New Roman" w:hAnsi="Times New Roman"/>
                <w:b/>
                <w:bCs/>
                <w:sz w:val="20"/>
                <w:szCs w:val="20"/>
                <w:lang w:eastAsia="sk-SK"/>
              </w:rPr>
              <w:t>7 814</w:t>
            </w:r>
          </w:p>
        </w:tc>
      </w:tr>
      <w:tr>
        <w:tblPrEx>
          <w:tblW w:w="5000" w:type="pct"/>
          <w:tblLayout w:type="fixed"/>
          <w:tblCellMar>
            <w:left w:w="70" w:type="dxa"/>
            <w:right w:w="70" w:type="dxa"/>
          </w:tblCellMar>
          <w:tblLook w:val="04A0"/>
        </w:tblPrEx>
        <w:trPr>
          <w:trHeight w:val="330"/>
        </w:trPr>
        <w:tc>
          <w:tcPr>
            <w:tcW w:w="3913" w:type="pct"/>
            <w:tcBorders>
              <w:top w:val="nil"/>
              <w:left w:val="nil"/>
              <w:bottom w:val="nil"/>
              <w:right w:val="nil"/>
            </w:tcBorders>
            <w:noWrap/>
            <w:textDirection w:val="lrTb"/>
            <w:vAlign w:val="bottom"/>
          </w:tcPr>
          <w:p w:rsidR="001D3593" w:rsidRPr="00BC17C4" w:rsidP="004B7DC7">
            <w:pPr>
              <w:bidi w:val="0"/>
              <w:spacing w:after="0" w:line="336" w:lineRule="auto"/>
              <w:jc w:val="both"/>
              <w:rPr>
                <w:rFonts w:ascii="Times New Roman" w:hAnsi="Times New Roman"/>
                <w:sz w:val="20"/>
                <w:szCs w:val="20"/>
                <w:lang w:eastAsia="sk-SK"/>
              </w:rPr>
            </w:pPr>
            <w:r w:rsidRPr="00BC17C4">
              <w:rPr>
                <w:rFonts w:ascii="Times New Roman" w:hAnsi="Times New Roman"/>
                <w:sz w:val="20"/>
                <w:szCs w:val="20"/>
                <w:lang w:eastAsia="sk-SK"/>
              </w:rPr>
              <w:t xml:space="preserve">     Rozpočtové a príspevkové organizácie </w:t>
            </w:r>
          </w:p>
        </w:tc>
        <w:tc>
          <w:tcPr>
            <w:tcW w:w="588" w:type="pct"/>
            <w:tcBorders>
              <w:top w:val="nil"/>
              <w:left w:val="nil"/>
              <w:bottom w:val="nil"/>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4 261</w:t>
            </w:r>
          </w:p>
        </w:tc>
        <w:tc>
          <w:tcPr>
            <w:tcW w:w="499" w:type="pct"/>
            <w:tcBorders>
              <w:top w:val="nil"/>
              <w:left w:val="nil"/>
              <w:bottom w:val="nil"/>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4 280</w:t>
            </w:r>
          </w:p>
        </w:tc>
      </w:tr>
      <w:tr>
        <w:tblPrEx>
          <w:tblW w:w="5000" w:type="pct"/>
          <w:tblLayout w:type="fixed"/>
          <w:tblCellMar>
            <w:left w:w="70" w:type="dxa"/>
            <w:right w:w="70" w:type="dxa"/>
          </w:tblCellMar>
          <w:tblLook w:val="04A0"/>
        </w:tblPrEx>
        <w:trPr>
          <w:trHeight w:val="330"/>
        </w:trPr>
        <w:tc>
          <w:tcPr>
            <w:tcW w:w="3913" w:type="pct"/>
            <w:tcBorders>
              <w:top w:val="nil"/>
              <w:left w:val="nil"/>
              <w:bottom w:val="nil"/>
              <w:right w:val="nil"/>
            </w:tcBorders>
            <w:noWrap/>
            <w:textDirection w:val="lrTb"/>
            <w:vAlign w:val="bottom"/>
          </w:tcPr>
          <w:p w:rsidR="001D3593" w:rsidRPr="00BC17C4" w:rsidP="004B7DC7">
            <w:pPr>
              <w:bidi w:val="0"/>
              <w:spacing w:after="0" w:line="336" w:lineRule="auto"/>
              <w:jc w:val="both"/>
              <w:rPr>
                <w:rFonts w:ascii="Times New Roman" w:hAnsi="Times New Roman"/>
                <w:sz w:val="20"/>
                <w:szCs w:val="20"/>
                <w:lang w:eastAsia="sk-SK"/>
              </w:rPr>
            </w:pPr>
            <w:r w:rsidRPr="00BC17C4">
              <w:rPr>
                <w:rFonts w:ascii="Times New Roman" w:hAnsi="Times New Roman"/>
                <w:sz w:val="20"/>
                <w:szCs w:val="20"/>
                <w:lang w:eastAsia="sk-SK"/>
              </w:rPr>
              <w:t xml:space="preserve">     Obce</w:t>
            </w:r>
          </w:p>
        </w:tc>
        <w:tc>
          <w:tcPr>
            <w:tcW w:w="588" w:type="pct"/>
            <w:tcBorders>
              <w:top w:val="nil"/>
              <w:left w:val="nil"/>
              <w:bottom w:val="nil"/>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2 926</w:t>
            </w:r>
          </w:p>
        </w:tc>
        <w:tc>
          <w:tcPr>
            <w:tcW w:w="499" w:type="pct"/>
            <w:tcBorders>
              <w:top w:val="nil"/>
              <w:left w:val="nil"/>
              <w:bottom w:val="nil"/>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2 926</w:t>
            </w:r>
          </w:p>
        </w:tc>
      </w:tr>
      <w:tr>
        <w:tblPrEx>
          <w:tblW w:w="5000" w:type="pct"/>
          <w:tblLayout w:type="fixed"/>
          <w:tblCellMar>
            <w:left w:w="70" w:type="dxa"/>
            <w:right w:w="70" w:type="dxa"/>
          </w:tblCellMar>
          <w:tblLook w:val="04A0"/>
        </w:tblPrEx>
        <w:trPr>
          <w:trHeight w:val="330"/>
        </w:trPr>
        <w:tc>
          <w:tcPr>
            <w:tcW w:w="3913" w:type="pct"/>
            <w:tcBorders>
              <w:top w:val="nil"/>
              <w:left w:val="nil"/>
              <w:bottom w:val="nil"/>
              <w:right w:val="nil"/>
            </w:tcBorders>
            <w:noWrap/>
            <w:textDirection w:val="lrTb"/>
            <w:vAlign w:val="bottom"/>
          </w:tcPr>
          <w:p w:rsidR="001D3593" w:rsidRPr="00BC17C4" w:rsidP="004B7DC7">
            <w:pPr>
              <w:bidi w:val="0"/>
              <w:spacing w:after="0" w:line="336" w:lineRule="auto"/>
              <w:jc w:val="both"/>
              <w:rPr>
                <w:rFonts w:ascii="Times New Roman" w:hAnsi="Times New Roman"/>
                <w:sz w:val="20"/>
                <w:szCs w:val="20"/>
                <w:lang w:eastAsia="sk-SK"/>
              </w:rPr>
            </w:pPr>
            <w:r w:rsidRPr="00BC17C4">
              <w:rPr>
                <w:rFonts w:ascii="Times New Roman" w:hAnsi="Times New Roman"/>
                <w:sz w:val="20"/>
                <w:szCs w:val="20"/>
                <w:lang w:eastAsia="sk-SK"/>
              </w:rPr>
              <w:t xml:space="preserve">     Vyššie územné celky</w:t>
            </w:r>
          </w:p>
        </w:tc>
        <w:tc>
          <w:tcPr>
            <w:tcW w:w="588" w:type="pct"/>
            <w:tcBorders>
              <w:top w:val="nil"/>
              <w:left w:val="nil"/>
              <w:bottom w:val="nil"/>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8</w:t>
            </w:r>
          </w:p>
        </w:tc>
        <w:tc>
          <w:tcPr>
            <w:tcW w:w="499" w:type="pct"/>
            <w:tcBorders>
              <w:top w:val="nil"/>
              <w:left w:val="nil"/>
              <w:bottom w:val="nil"/>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8</w:t>
            </w:r>
          </w:p>
        </w:tc>
      </w:tr>
      <w:tr>
        <w:tblPrEx>
          <w:tblW w:w="5000" w:type="pct"/>
          <w:tblLayout w:type="fixed"/>
          <w:tblCellMar>
            <w:left w:w="70" w:type="dxa"/>
            <w:right w:w="70" w:type="dxa"/>
          </w:tblCellMar>
          <w:tblLook w:val="04A0"/>
        </w:tblPrEx>
        <w:trPr>
          <w:trHeight w:val="330"/>
        </w:trPr>
        <w:tc>
          <w:tcPr>
            <w:tcW w:w="3913" w:type="pct"/>
            <w:tcBorders>
              <w:top w:val="nil"/>
              <w:left w:val="nil"/>
              <w:bottom w:val="nil"/>
              <w:right w:val="nil"/>
            </w:tcBorders>
            <w:noWrap/>
            <w:textDirection w:val="lrTb"/>
            <w:vAlign w:val="bottom"/>
          </w:tcPr>
          <w:p w:rsidR="001D3593" w:rsidRPr="00BC17C4" w:rsidP="004B7DC7">
            <w:pPr>
              <w:bidi w:val="0"/>
              <w:spacing w:after="0" w:line="336" w:lineRule="auto"/>
              <w:jc w:val="both"/>
              <w:rPr>
                <w:rFonts w:ascii="Times New Roman" w:hAnsi="Times New Roman"/>
                <w:sz w:val="20"/>
                <w:szCs w:val="20"/>
                <w:lang w:eastAsia="sk-SK"/>
              </w:rPr>
            </w:pPr>
            <w:r w:rsidRPr="00BC17C4">
              <w:rPr>
                <w:rFonts w:ascii="Times New Roman" w:hAnsi="Times New Roman"/>
                <w:sz w:val="20"/>
                <w:szCs w:val="20"/>
                <w:lang w:eastAsia="sk-SK"/>
              </w:rPr>
              <w:t xml:space="preserve">     Ostatné subjekty verejnej správy</w:t>
            </w:r>
          </w:p>
        </w:tc>
        <w:tc>
          <w:tcPr>
            <w:tcW w:w="588" w:type="pct"/>
            <w:tcBorders>
              <w:top w:val="nil"/>
              <w:left w:val="nil"/>
              <w:bottom w:val="nil"/>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55</w:t>
            </w:r>
          </w:p>
        </w:tc>
        <w:tc>
          <w:tcPr>
            <w:tcW w:w="499" w:type="pct"/>
            <w:tcBorders>
              <w:top w:val="nil"/>
              <w:left w:val="nil"/>
              <w:bottom w:val="nil"/>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53</w:t>
            </w:r>
          </w:p>
        </w:tc>
      </w:tr>
      <w:tr>
        <w:tblPrEx>
          <w:tblW w:w="5000" w:type="pct"/>
          <w:tblLayout w:type="fixed"/>
          <w:tblCellMar>
            <w:left w:w="70" w:type="dxa"/>
            <w:right w:w="70" w:type="dxa"/>
          </w:tblCellMar>
          <w:tblLook w:val="04A0"/>
        </w:tblPrEx>
        <w:trPr>
          <w:trHeight w:val="330"/>
        </w:trPr>
        <w:tc>
          <w:tcPr>
            <w:tcW w:w="3913" w:type="pct"/>
            <w:tcBorders>
              <w:top w:val="nil"/>
              <w:left w:val="nil"/>
              <w:bottom w:val="single" w:sz="4" w:space="0" w:color="auto"/>
              <w:right w:val="nil"/>
            </w:tcBorders>
            <w:noWrap/>
            <w:textDirection w:val="lrTb"/>
            <w:vAlign w:val="bottom"/>
          </w:tcPr>
          <w:p w:rsidR="001D3593" w:rsidRPr="00BC17C4" w:rsidP="004B7DC7">
            <w:pPr>
              <w:bidi w:val="0"/>
              <w:spacing w:after="0" w:line="336" w:lineRule="auto"/>
              <w:jc w:val="both"/>
              <w:rPr>
                <w:rFonts w:ascii="Times New Roman" w:hAnsi="Times New Roman"/>
                <w:sz w:val="20"/>
                <w:szCs w:val="20"/>
                <w:lang w:eastAsia="sk-SK"/>
              </w:rPr>
            </w:pPr>
            <w:r w:rsidRPr="00BC17C4">
              <w:rPr>
                <w:rFonts w:ascii="Times New Roman" w:hAnsi="Times New Roman"/>
                <w:sz w:val="20"/>
                <w:szCs w:val="20"/>
                <w:lang w:eastAsia="sk-SK"/>
              </w:rPr>
              <w:t xml:space="preserve">     Obchodné spoločnosti</w:t>
            </w:r>
          </w:p>
        </w:tc>
        <w:tc>
          <w:tcPr>
            <w:tcW w:w="588" w:type="pct"/>
            <w:tcBorders>
              <w:top w:val="nil"/>
              <w:left w:val="nil"/>
              <w:bottom w:val="single" w:sz="4" w:space="0" w:color="auto"/>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593</w:t>
            </w:r>
          </w:p>
        </w:tc>
        <w:tc>
          <w:tcPr>
            <w:tcW w:w="499" w:type="pct"/>
            <w:tcBorders>
              <w:top w:val="nil"/>
              <w:left w:val="nil"/>
              <w:bottom w:val="single" w:sz="4" w:space="0" w:color="auto"/>
              <w:right w:val="nil"/>
            </w:tcBorders>
            <w:noWrap/>
            <w:textDirection w:val="lrTb"/>
            <w:vAlign w:val="bottom"/>
          </w:tcPr>
          <w:p w:rsidR="001D3593" w:rsidRPr="00BC17C4" w:rsidP="004B7DC7">
            <w:pPr>
              <w:bidi w:val="0"/>
              <w:spacing w:after="0" w:line="336" w:lineRule="auto"/>
              <w:jc w:val="right"/>
              <w:rPr>
                <w:rFonts w:ascii="Times New Roman" w:hAnsi="Times New Roman"/>
                <w:sz w:val="20"/>
                <w:szCs w:val="20"/>
                <w:lang w:eastAsia="sk-SK"/>
              </w:rPr>
            </w:pPr>
            <w:r w:rsidRPr="00BC17C4">
              <w:rPr>
                <w:rFonts w:ascii="Times New Roman" w:hAnsi="Times New Roman"/>
                <w:sz w:val="20"/>
                <w:szCs w:val="20"/>
                <w:lang w:eastAsia="sk-SK"/>
              </w:rPr>
              <w:t>547</w:t>
            </w:r>
          </w:p>
        </w:tc>
      </w:tr>
    </w:tbl>
    <w:p w:rsidR="001D3593" w:rsidRPr="00BC17C4" w:rsidP="001D3593">
      <w:pPr>
        <w:bidi w:val="0"/>
        <w:spacing w:before="120" w:after="120" w:line="336" w:lineRule="auto"/>
        <w:jc w:val="both"/>
        <w:rPr>
          <w:rFonts w:ascii="Times New Roman" w:hAnsi="Times New Roman"/>
          <w:szCs w:val="22"/>
        </w:rPr>
      </w:pPr>
      <w:r w:rsidRPr="00BC17C4">
        <w:rPr>
          <w:rFonts w:ascii="Times New Roman" w:hAnsi="Times New Roman"/>
          <w:szCs w:val="22"/>
        </w:rPr>
        <w:t xml:space="preserve">Zo špecifík verejnej správy vyplýva, že rozhodujúcu časť tvoria rozpočtové a príspevkové organizácie, t.j. organizácie naviazané na svojho zriaďovateľa (štát, obec alebo </w:t>
      </w:r>
      <w:r>
        <w:rPr>
          <w:rFonts w:ascii="Times New Roman" w:hAnsi="Times New Roman"/>
          <w:szCs w:val="22"/>
        </w:rPr>
        <w:t>VÚC</w:t>
      </w:r>
      <w:r w:rsidRPr="00BC17C4">
        <w:rPr>
          <w:rFonts w:ascii="Times New Roman" w:hAnsi="Times New Roman"/>
          <w:szCs w:val="22"/>
        </w:rPr>
        <w:t xml:space="preserve">) celým svojim rozpočtom (rozpočtové organizácie) alebo príspevkom (príspevkové organizácie). </w:t>
      </w:r>
    </w:p>
    <w:p w:rsidR="001D3593" w:rsidRPr="00BC17C4" w:rsidP="001D3593">
      <w:pPr>
        <w:bidi w:val="0"/>
        <w:spacing w:before="120" w:after="120" w:line="336" w:lineRule="auto"/>
        <w:jc w:val="both"/>
        <w:rPr>
          <w:rFonts w:ascii="Times New Roman" w:hAnsi="Times New Roman"/>
          <w:szCs w:val="22"/>
        </w:rPr>
      </w:pPr>
      <w:r w:rsidRPr="00BC17C4">
        <w:rPr>
          <w:rFonts w:ascii="Times New Roman" w:hAnsi="Times New Roman"/>
          <w:szCs w:val="22"/>
        </w:rPr>
        <w:t xml:space="preserve">Z celkového počtu rozpočtových organizácií bolo v ústrednej správe 766, v zriaďovateľskej pôsobnosti obcí 2 236 a v zriaďovateľskej pôsobnosti VÚC 564 organizácií. Z celkového počtu príspevkových organizácií bolo v ústrednej správe 125, v zriaďovateľskej pôsobnosti obcí 263 a v zriaďovateľskej pôsobnosti VÚC 307 organizácií. </w:t>
      </w:r>
    </w:p>
    <w:p w:rsidR="001D3593" w:rsidRPr="00BC17C4" w:rsidP="001D3593">
      <w:pPr>
        <w:bidi w:val="0"/>
        <w:spacing w:before="120" w:after="120" w:line="336" w:lineRule="auto"/>
        <w:jc w:val="both"/>
        <w:rPr>
          <w:rFonts w:ascii="Times New Roman" w:hAnsi="Times New Roman"/>
          <w:szCs w:val="22"/>
        </w:rPr>
      </w:pPr>
      <w:r w:rsidRPr="00BC17C4">
        <w:rPr>
          <w:rFonts w:ascii="Times New Roman" w:hAnsi="Times New Roman"/>
          <w:szCs w:val="22"/>
        </w:rPr>
        <w:t xml:space="preserve">Z celkového počtu obchodných spoločností patrí do pôsobnosti obcí 527, ústrednej správy 49 a vyšších územných celkov 17. </w:t>
      </w:r>
    </w:p>
    <w:p w:rsidR="001D3593" w:rsidRPr="00BC17C4" w:rsidP="001D3593">
      <w:pPr>
        <w:bidi w:val="0"/>
        <w:spacing w:after="120" w:line="336" w:lineRule="auto"/>
        <w:jc w:val="both"/>
      </w:pPr>
      <w:r w:rsidRPr="00BC17C4">
        <w:rPr>
          <w:rFonts w:ascii="Times New Roman" w:hAnsi="Times New Roman"/>
          <w:b/>
          <w:i/>
          <w:szCs w:val="22"/>
        </w:rPr>
        <w:t>Bližší prehľad o súhrnnom celku verejnej správy za rok 2014 je uvedený v súhrnnej účtovnej závierke, ktorá je prílohou č. 2 tohto dokumentu</w:t>
      </w:r>
      <w:r w:rsidRPr="00BC17C4">
        <w:rPr>
          <w:rFonts w:ascii="Times New Roman" w:hAnsi="Times New Roman"/>
          <w:szCs w:val="22"/>
        </w:rPr>
        <w:t>.</w:t>
      </w:r>
    </w:p>
    <w:p w:rsidR="001D3593" w:rsidRPr="00BC17C4" w:rsidP="001767F0">
      <w:pPr>
        <w:pStyle w:val="Heading2"/>
        <w:numPr>
          <w:ilvl w:val="0"/>
          <w:numId w:val="0"/>
        </w:numPr>
        <w:bidi w:val="0"/>
        <w:spacing w:before="120" w:after="120" w:line="336" w:lineRule="auto"/>
        <w:ind w:left="425" w:hanging="425"/>
        <w:rPr>
          <w:rFonts w:hint="default"/>
        </w:rPr>
      </w:pPr>
      <w:bookmarkStart w:id="220" w:name="_Toc399324379"/>
      <w:bookmarkStart w:id="221" w:name="_Toc401920035"/>
      <w:bookmarkStart w:id="222" w:name="_Toc433099605"/>
      <w:r w:rsidRPr="00BC17C4">
        <w:t xml:space="preserve">4.2. </w:t>
        <w:tab/>
      </w:r>
      <w:r w:rsidRPr="00BC17C4">
        <w:rPr>
          <w:rFonts w:hint="default"/>
        </w:rPr>
        <w:t>Komentá</w:t>
      </w:r>
      <w:r w:rsidRPr="00BC17C4">
        <w:rPr>
          <w:rFonts w:hint="default"/>
        </w:rPr>
        <w:t>r k </w:t>
      </w:r>
      <w:r w:rsidRPr="00BC17C4">
        <w:rPr>
          <w:rFonts w:hint="default"/>
        </w:rPr>
        <w:t>najvý</w:t>
      </w:r>
      <w:r w:rsidRPr="00BC17C4">
        <w:rPr>
          <w:rFonts w:hint="default"/>
        </w:rPr>
        <w:t>znamnejší</w:t>
      </w:r>
      <w:r w:rsidRPr="00BC17C4">
        <w:rPr>
          <w:rFonts w:hint="default"/>
        </w:rPr>
        <w:t>m polož</w:t>
      </w:r>
      <w:r w:rsidRPr="00BC17C4">
        <w:rPr>
          <w:rFonts w:hint="default"/>
        </w:rPr>
        <w:t>ká</w:t>
      </w:r>
      <w:r w:rsidRPr="00BC17C4">
        <w:rPr>
          <w:rFonts w:hint="default"/>
        </w:rPr>
        <w:t>m sú</w:t>
      </w:r>
      <w:r w:rsidRPr="00BC17C4">
        <w:rPr>
          <w:rFonts w:hint="default"/>
        </w:rPr>
        <w:t>hrnnej úč</w:t>
      </w:r>
      <w:r w:rsidRPr="00BC17C4">
        <w:rPr>
          <w:rFonts w:hint="default"/>
        </w:rPr>
        <w:t>tovnej zá</w:t>
      </w:r>
      <w:r w:rsidRPr="00BC17C4">
        <w:rPr>
          <w:rFonts w:hint="default"/>
        </w:rPr>
        <w:t>vierky</w:t>
      </w:r>
      <w:bookmarkEnd w:id="220"/>
      <w:bookmarkEnd w:id="221"/>
      <w:bookmarkEnd w:id="222"/>
    </w:p>
    <w:p w:rsidR="001D3593" w:rsidRPr="00981807"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981807">
        <w:rPr>
          <w:rFonts w:ascii="Times New Roman" w:hAnsi="Times New Roman"/>
          <w:b w:val="0"/>
          <w:bCs w:val="0"/>
          <w:sz w:val="22"/>
          <w:szCs w:val="22"/>
          <w:lang w:val="sk-SK"/>
        </w:rPr>
        <w:t>Súhrnná účtovná závierka verejnej správy SR za rok 2014 je v</w:t>
      </w:r>
      <w:r>
        <w:rPr>
          <w:rFonts w:ascii="Times New Roman" w:hAnsi="Times New Roman"/>
          <w:b w:val="0"/>
          <w:bCs w:val="0"/>
          <w:sz w:val="22"/>
          <w:szCs w:val="22"/>
          <w:lang w:val="sk-SK"/>
        </w:rPr>
        <w:t xml:space="preserve"> tomto </w:t>
      </w:r>
      <w:r w:rsidRPr="00981807">
        <w:rPr>
          <w:rFonts w:ascii="Times New Roman" w:hAnsi="Times New Roman"/>
          <w:b w:val="0"/>
          <w:bCs w:val="0"/>
          <w:sz w:val="22"/>
          <w:szCs w:val="22"/>
          <w:lang w:val="sk-SK"/>
        </w:rPr>
        <w:t xml:space="preserve">komentári uvádzaná v skrátenej štruktúre. Bližší popis jednotlivých položiek je uvedený v poznámkach súhrnnej účtovnej závierky, ktorá je prílohou č. 2 tejto správy. Komentár k súhrnnej účtovnej závierke </w:t>
      </w:r>
      <w:r>
        <w:rPr>
          <w:rFonts w:ascii="Times New Roman" w:hAnsi="Times New Roman"/>
          <w:b w:val="0"/>
          <w:bCs w:val="0"/>
          <w:sz w:val="22"/>
          <w:szCs w:val="22"/>
          <w:lang w:val="sk-SK"/>
        </w:rPr>
        <w:t>podáva účtovný pohľad na hodnotu</w:t>
      </w:r>
      <w:r w:rsidRPr="00981807">
        <w:rPr>
          <w:rFonts w:ascii="Times New Roman" w:hAnsi="Times New Roman"/>
          <w:b w:val="0"/>
          <w:bCs w:val="0"/>
          <w:sz w:val="22"/>
          <w:szCs w:val="22"/>
          <w:lang w:val="sk-SK"/>
        </w:rPr>
        <w:t xml:space="preserve"> aktív, pasív, nákladov a výnosov a snaží sa o identifikovanie najvýznamnejších medziročných zmien. Ďalšie informácie o jednotlivých subjektoch je možné nájsť v ich účtovných závierkach a výročných správach, ktoré sa zverejňujú na portáli registra účtovných závierok (</w:t>
      </w:r>
      <w:hyperlink r:id="rId12" w:history="1">
        <w:r w:rsidRPr="00981807">
          <w:rPr>
            <w:rFonts w:ascii="Times New Roman" w:hAnsi="Times New Roman"/>
            <w:b w:val="0"/>
            <w:bCs w:val="0"/>
            <w:sz w:val="22"/>
            <w:lang w:val="sk-SK"/>
          </w:rPr>
          <w:t>www.registeruz.sk</w:t>
        </w:r>
      </w:hyperlink>
      <w:r w:rsidRPr="00981807">
        <w:rPr>
          <w:rFonts w:ascii="Times New Roman" w:hAnsi="Times New Roman"/>
          <w:b w:val="0"/>
          <w:bCs w:val="0"/>
          <w:sz w:val="22"/>
          <w:lang w:val="sk-SK"/>
        </w:rPr>
        <w:t>)</w:t>
      </w:r>
      <w:r w:rsidRPr="00981807">
        <w:rPr>
          <w:rFonts w:ascii="Times New Roman" w:hAnsi="Times New Roman"/>
          <w:b w:val="0"/>
          <w:bCs w:val="0"/>
          <w:sz w:val="22"/>
          <w:szCs w:val="22"/>
          <w:lang w:val="sk-SK"/>
        </w:rPr>
        <w:t>.</w:t>
      </w:r>
    </w:p>
    <w:tbl>
      <w:tblPr>
        <w:tblStyle w:val="TableNormal"/>
        <w:tblW w:w="4859" w:type="pct"/>
        <w:tblInd w:w="70" w:type="dxa"/>
        <w:tblCellMar>
          <w:left w:w="70" w:type="dxa"/>
          <w:right w:w="70" w:type="dxa"/>
        </w:tblCellMar>
        <w:tblLook w:val="04A0"/>
      </w:tblPr>
      <w:tblGrid>
        <w:gridCol w:w="5954"/>
        <w:gridCol w:w="1296"/>
        <w:gridCol w:w="1701"/>
      </w:tblGrid>
      <w:tr>
        <w:tblPrEx>
          <w:tblW w:w="4859" w:type="pct"/>
          <w:tblInd w:w="70" w:type="dxa"/>
          <w:tblCellMar>
            <w:left w:w="70" w:type="dxa"/>
            <w:right w:w="70" w:type="dxa"/>
          </w:tblCellMar>
          <w:tblLook w:val="04A0"/>
        </w:tblPrEx>
        <w:trPr>
          <w:trHeight w:val="330"/>
        </w:trPr>
        <w:tc>
          <w:tcPr>
            <w:tcW w:w="5000" w:type="pct"/>
            <w:gridSpan w:val="3"/>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contextualSpacing/>
              <w:jc w:val="center"/>
              <w:rPr>
                <w:rFonts w:ascii="Times New Roman" w:hAnsi="Times New Roman"/>
                <w:b/>
                <w:bCs/>
                <w:color w:val="FFFFFF"/>
                <w:sz w:val="20"/>
                <w:szCs w:val="20"/>
                <w:lang w:eastAsia="sk-SK"/>
              </w:rPr>
            </w:pPr>
            <w:r w:rsidRPr="00BC17C4">
              <w:rPr>
                <w:rFonts w:ascii="Times New Roman" w:hAnsi="Times New Roman"/>
                <w:b/>
                <w:bCs/>
                <w:color w:val="FFFFFF"/>
                <w:sz w:val="20"/>
                <w:szCs w:val="20"/>
                <w:lang w:eastAsia="sk-SK"/>
              </w:rPr>
              <w:t>Súvaha (v tis. eur)</w:t>
            </w:r>
          </w:p>
        </w:tc>
      </w:tr>
      <w:tr>
        <w:tblPrEx>
          <w:tblW w:w="4859" w:type="pct"/>
          <w:tblInd w:w="70" w:type="dxa"/>
          <w:tblCellMar>
            <w:left w:w="70" w:type="dxa"/>
            <w:right w:w="70" w:type="dxa"/>
          </w:tblCellMar>
          <w:tblLook w:val="04A0"/>
        </w:tblPrEx>
        <w:trPr>
          <w:trHeight w:val="330"/>
        </w:trPr>
        <w:tc>
          <w:tcPr>
            <w:tcW w:w="3326"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contextualSpacing/>
              <w:rPr>
                <w:rFonts w:ascii="Times New Roman" w:hAnsi="Times New Roman"/>
                <w:b/>
                <w:bCs/>
                <w:sz w:val="20"/>
                <w:szCs w:val="20"/>
                <w:lang w:eastAsia="sk-SK"/>
              </w:rPr>
            </w:pPr>
            <w:r w:rsidRPr="00BC17C4">
              <w:rPr>
                <w:rFonts w:ascii="Times New Roman" w:hAnsi="Times New Roman"/>
                <w:b/>
                <w:bCs/>
                <w:sz w:val="20"/>
                <w:szCs w:val="20"/>
                <w:lang w:eastAsia="sk-SK"/>
              </w:rPr>
              <w:t>Aktíva</w:t>
            </w:r>
          </w:p>
        </w:tc>
        <w:tc>
          <w:tcPr>
            <w:tcW w:w="724"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contextualSpacing/>
              <w:jc w:val="center"/>
              <w:rPr>
                <w:rFonts w:ascii="Times New Roman" w:hAnsi="Times New Roman"/>
                <w:b/>
                <w:bCs/>
                <w:sz w:val="20"/>
                <w:szCs w:val="20"/>
                <w:lang w:eastAsia="sk-SK"/>
              </w:rPr>
            </w:pPr>
            <w:r w:rsidRPr="00BC17C4">
              <w:rPr>
                <w:rFonts w:ascii="Times New Roman" w:hAnsi="Times New Roman"/>
                <w:b/>
                <w:bCs/>
                <w:sz w:val="20"/>
                <w:szCs w:val="20"/>
                <w:lang w:eastAsia="sk-SK"/>
              </w:rPr>
              <w:t>2014</w:t>
            </w:r>
          </w:p>
        </w:tc>
        <w:tc>
          <w:tcPr>
            <w:tcW w:w="950"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contextualSpacing/>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4859" w:type="pct"/>
          <w:tblInd w:w="70" w:type="dxa"/>
          <w:tblCellMar>
            <w:left w:w="70" w:type="dxa"/>
            <w:right w:w="70" w:type="dxa"/>
          </w:tblCellMar>
          <w:tblLook w:val="04A0"/>
        </w:tblPrEx>
        <w:tc>
          <w:tcPr>
            <w:tcW w:w="3326" w:type="pct"/>
            <w:tcBorders>
              <w:top w:val="nil"/>
              <w:left w:val="nil"/>
              <w:bottom w:val="nil"/>
              <w:right w:val="nil"/>
            </w:tcBorders>
            <w:textDirection w:val="lrTb"/>
            <w:vAlign w:val="top"/>
          </w:tcPr>
          <w:p w:rsidR="001D3593" w:rsidRPr="00BC17C4" w:rsidP="004B7DC7">
            <w:pPr>
              <w:bidi w:val="0"/>
              <w:spacing w:after="0" w:line="360" w:lineRule="auto"/>
              <w:jc w:val="both"/>
              <w:rPr>
                <w:rFonts w:ascii="Times New Roman" w:hAnsi="Times New Roman"/>
                <w:b/>
                <w:bCs/>
                <w:sz w:val="20"/>
                <w:szCs w:val="20"/>
                <w:lang w:eastAsia="sk-SK"/>
              </w:rPr>
            </w:pPr>
            <w:r w:rsidRPr="00BC17C4">
              <w:rPr>
                <w:rFonts w:ascii="Times New Roman" w:hAnsi="Times New Roman"/>
                <w:b/>
                <w:bCs/>
                <w:sz w:val="20"/>
                <w:szCs w:val="20"/>
                <w:lang w:eastAsia="sk-SK"/>
              </w:rPr>
              <w:t>Spolu majetok</w:t>
            </w:r>
          </w:p>
        </w:tc>
        <w:tc>
          <w:tcPr>
            <w:tcW w:w="724"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b/>
                <w:bCs/>
                <w:sz w:val="20"/>
                <w:szCs w:val="20"/>
                <w:lang w:eastAsia="sk-SK"/>
              </w:rPr>
            </w:pPr>
            <w:r>
              <w:rPr>
                <w:rFonts w:ascii="Times New Roman" w:hAnsi="Times New Roman"/>
                <w:b/>
                <w:bCs/>
                <w:sz w:val="20"/>
                <w:szCs w:val="20"/>
                <w:lang w:eastAsia="sk-SK"/>
              </w:rPr>
              <w:t>60 836 159</w:t>
            </w:r>
          </w:p>
        </w:tc>
        <w:tc>
          <w:tcPr>
            <w:tcW w:w="950"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b/>
                <w:bCs/>
                <w:sz w:val="20"/>
                <w:szCs w:val="20"/>
                <w:lang w:eastAsia="sk-SK"/>
              </w:rPr>
            </w:pPr>
            <w:r w:rsidRPr="00BC17C4">
              <w:rPr>
                <w:rFonts w:ascii="Times New Roman" w:hAnsi="Times New Roman"/>
                <w:b/>
                <w:bCs/>
                <w:sz w:val="20"/>
                <w:szCs w:val="20"/>
                <w:lang w:eastAsia="sk-SK"/>
              </w:rPr>
              <w:t>58 652 059</w:t>
            </w:r>
          </w:p>
        </w:tc>
      </w:tr>
      <w:tr>
        <w:tblPrEx>
          <w:tblW w:w="4859" w:type="pct"/>
          <w:tblInd w:w="70" w:type="dxa"/>
          <w:tblCellMar>
            <w:left w:w="70" w:type="dxa"/>
            <w:right w:w="70" w:type="dxa"/>
          </w:tblCellMar>
          <w:tblLook w:val="04A0"/>
        </w:tblPrEx>
        <w:tc>
          <w:tcPr>
            <w:tcW w:w="3326" w:type="pct"/>
            <w:tcBorders>
              <w:top w:val="nil"/>
              <w:left w:val="nil"/>
              <w:bottom w:val="nil"/>
              <w:right w:val="nil"/>
            </w:tcBorders>
            <w:textDirection w:val="lrTb"/>
            <w:vAlign w:val="top"/>
          </w:tcPr>
          <w:p w:rsidR="001D3593" w:rsidRPr="00BC17C4" w:rsidP="004B7DC7">
            <w:pPr>
              <w:bidi w:val="0"/>
              <w:spacing w:after="0" w:line="360" w:lineRule="auto"/>
              <w:jc w:val="both"/>
              <w:rPr>
                <w:rFonts w:ascii="Times New Roman" w:hAnsi="Times New Roman"/>
                <w:sz w:val="20"/>
                <w:szCs w:val="20"/>
                <w:lang w:eastAsia="sk-SK"/>
              </w:rPr>
            </w:pPr>
            <w:r w:rsidRPr="00BC17C4">
              <w:rPr>
                <w:rFonts w:ascii="Times New Roman" w:hAnsi="Times New Roman"/>
                <w:sz w:val="20"/>
                <w:szCs w:val="20"/>
                <w:lang w:eastAsia="sk-SK"/>
              </w:rPr>
              <w:t>Neobežný majetok</w:t>
            </w:r>
          </w:p>
        </w:tc>
        <w:tc>
          <w:tcPr>
            <w:tcW w:w="724"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49 305 610</w:t>
            </w:r>
          </w:p>
        </w:tc>
        <w:tc>
          <w:tcPr>
            <w:tcW w:w="950"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45 400 901</w:t>
            </w:r>
          </w:p>
        </w:tc>
      </w:tr>
      <w:tr>
        <w:tblPrEx>
          <w:tblW w:w="4859" w:type="pct"/>
          <w:tblInd w:w="70" w:type="dxa"/>
          <w:tblCellMar>
            <w:left w:w="70" w:type="dxa"/>
            <w:right w:w="70" w:type="dxa"/>
          </w:tblCellMar>
          <w:tblLook w:val="04A0"/>
        </w:tblPrEx>
        <w:tc>
          <w:tcPr>
            <w:tcW w:w="3326" w:type="pct"/>
            <w:tcBorders>
              <w:top w:val="nil"/>
              <w:left w:val="nil"/>
              <w:bottom w:val="nil"/>
              <w:right w:val="nil"/>
            </w:tcBorders>
            <w:noWrap/>
            <w:textDirection w:val="lrTb"/>
            <w:vAlign w:val="bottom"/>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Obežný majetok</w:t>
            </w:r>
          </w:p>
        </w:tc>
        <w:tc>
          <w:tcPr>
            <w:tcW w:w="724"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Pr>
                <w:rFonts w:ascii="Times New Roman" w:hAnsi="Times New Roman"/>
                <w:sz w:val="20"/>
                <w:szCs w:val="20"/>
                <w:lang w:eastAsia="sk-SK"/>
              </w:rPr>
              <w:t>10 994 741</w:t>
            </w:r>
          </w:p>
        </w:tc>
        <w:tc>
          <w:tcPr>
            <w:tcW w:w="950"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12 682 345</w:t>
            </w:r>
          </w:p>
        </w:tc>
      </w:tr>
      <w:tr>
        <w:tblPrEx>
          <w:tblW w:w="4859" w:type="pct"/>
          <w:tblInd w:w="70" w:type="dxa"/>
          <w:tblCellMar>
            <w:left w:w="70" w:type="dxa"/>
            <w:right w:w="70" w:type="dxa"/>
          </w:tblCellMar>
          <w:tblLook w:val="04A0"/>
        </w:tblPrEx>
        <w:tc>
          <w:tcPr>
            <w:tcW w:w="3326" w:type="pct"/>
            <w:tcBorders>
              <w:top w:val="nil"/>
              <w:left w:val="nil"/>
              <w:bottom w:val="nil"/>
              <w:right w:val="nil"/>
            </w:tcBorders>
            <w:noWrap/>
            <w:textDirection w:val="lrTb"/>
            <w:vAlign w:val="bottom"/>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Časové rozlíšenie</w:t>
            </w:r>
          </w:p>
        </w:tc>
        <w:tc>
          <w:tcPr>
            <w:tcW w:w="724"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535 808</w:t>
            </w:r>
          </w:p>
        </w:tc>
        <w:tc>
          <w:tcPr>
            <w:tcW w:w="950"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568 813</w:t>
            </w:r>
          </w:p>
        </w:tc>
      </w:tr>
      <w:tr>
        <w:tblPrEx>
          <w:tblW w:w="4859" w:type="pct"/>
          <w:tblInd w:w="70" w:type="dxa"/>
          <w:tblCellMar>
            <w:left w:w="70" w:type="dxa"/>
            <w:right w:w="70" w:type="dxa"/>
          </w:tblCellMar>
          <w:tblLook w:val="04A0"/>
        </w:tblPrEx>
        <w:trPr>
          <w:trHeight w:val="330"/>
        </w:trPr>
        <w:tc>
          <w:tcPr>
            <w:tcW w:w="3326" w:type="pct"/>
            <w:tcBorders>
              <w:top w:val="single" w:sz="4" w:space="0" w:color="auto"/>
              <w:left w:val="nil"/>
              <w:bottom w:val="single" w:sz="4" w:space="0" w:color="auto"/>
              <w:right w:val="nil"/>
            </w:tcBorders>
            <w:noWrap/>
            <w:textDirection w:val="lrTb"/>
            <w:vAlign w:val="bottom"/>
          </w:tcPr>
          <w:p w:rsidR="001D3593" w:rsidRPr="00BC17C4" w:rsidP="004B7DC7">
            <w:pPr>
              <w:bidi w:val="0"/>
              <w:spacing w:after="0" w:line="240" w:lineRule="auto"/>
              <w:contextualSpacing/>
              <w:rPr>
                <w:rFonts w:ascii="Times New Roman" w:hAnsi="Times New Roman"/>
                <w:b/>
                <w:bCs/>
                <w:sz w:val="20"/>
                <w:szCs w:val="20"/>
                <w:lang w:eastAsia="sk-SK"/>
              </w:rPr>
            </w:pPr>
            <w:r w:rsidRPr="00BC17C4">
              <w:rPr>
                <w:rFonts w:ascii="Times New Roman" w:hAnsi="Times New Roman"/>
                <w:b/>
                <w:bCs/>
                <w:sz w:val="20"/>
                <w:szCs w:val="20"/>
                <w:lang w:eastAsia="sk-SK"/>
              </w:rPr>
              <w:t>Pasíva</w:t>
            </w:r>
          </w:p>
        </w:tc>
        <w:tc>
          <w:tcPr>
            <w:tcW w:w="724" w:type="pct"/>
            <w:tcBorders>
              <w:top w:val="single" w:sz="4" w:space="0" w:color="auto"/>
              <w:left w:val="nil"/>
              <w:bottom w:val="single" w:sz="4" w:space="0" w:color="auto"/>
              <w:right w:val="nil"/>
            </w:tcBorders>
            <w:noWrap/>
            <w:textDirection w:val="lrTb"/>
            <w:vAlign w:val="bottom"/>
          </w:tcPr>
          <w:p w:rsidR="001D3593" w:rsidRPr="00BC17C4" w:rsidP="004B7DC7">
            <w:pPr>
              <w:bidi w:val="0"/>
              <w:spacing w:after="0" w:line="240" w:lineRule="auto"/>
              <w:contextualSpacing/>
              <w:jc w:val="center"/>
              <w:rPr>
                <w:rFonts w:ascii="Times New Roman" w:hAnsi="Times New Roman"/>
                <w:b/>
                <w:bCs/>
                <w:sz w:val="20"/>
                <w:szCs w:val="20"/>
                <w:lang w:eastAsia="sk-SK"/>
              </w:rPr>
            </w:pPr>
            <w:r w:rsidRPr="00BC17C4">
              <w:rPr>
                <w:rFonts w:ascii="Times New Roman" w:hAnsi="Times New Roman"/>
                <w:b/>
                <w:bCs/>
                <w:sz w:val="20"/>
                <w:szCs w:val="20"/>
                <w:lang w:eastAsia="sk-SK"/>
              </w:rPr>
              <w:t>2014</w:t>
            </w:r>
          </w:p>
        </w:tc>
        <w:tc>
          <w:tcPr>
            <w:tcW w:w="950" w:type="pct"/>
            <w:tcBorders>
              <w:top w:val="single" w:sz="4" w:space="0" w:color="auto"/>
              <w:left w:val="nil"/>
              <w:bottom w:val="single" w:sz="4" w:space="0" w:color="auto"/>
              <w:right w:val="nil"/>
            </w:tcBorders>
            <w:noWrap/>
            <w:textDirection w:val="lrTb"/>
            <w:vAlign w:val="bottom"/>
          </w:tcPr>
          <w:p w:rsidR="001D3593" w:rsidRPr="00BC17C4" w:rsidP="004B7DC7">
            <w:pPr>
              <w:bidi w:val="0"/>
              <w:spacing w:after="0" w:line="240" w:lineRule="auto"/>
              <w:contextualSpacing/>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4859" w:type="pct"/>
          <w:tblInd w:w="70" w:type="dxa"/>
          <w:tblCellMar>
            <w:left w:w="70" w:type="dxa"/>
            <w:right w:w="70" w:type="dxa"/>
          </w:tblCellMar>
          <w:tblLook w:val="04A0"/>
        </w:tblPrEx>
        <w:trPr>
          <w:trHeight w:val="330"/>
        </w:trPr>
        <w:tc>
          <w:tcPr>
            <w:tcW w:w="3326" w:type="pct"/>
            <w:tcBorders>
              <w:top w:val="nil"/>
              <w:left w:val="nil"/>
              <w:bottom w:val="nil"/>
              <w:right w:val="nil"/>
            </w:tcBorders>
            <w:noWrap/>
            <w:textDirection w:val="lrTb"/>
            <w:vAlign w:val="bottom"/>
          </w:tcPr>
          <w:p w:rsidR="001D3593" w:rsidRPr="00BC17C4" w:rsidP="004B7DC7">
            <w:pPr>
              <w:bidi w:val="0"/>
              <w:spacing w:after="0" w:line="360" w:lineRule="auto"/>
              <w:contextualSpacing/>
              <w:rPr>
                <w:rFonts w:ascii="Times New Roman" w:hAnsi="Times New Roman"/>
                <w:b/>
                <w:bCs/>
                <w:sz w:val="20"/>
                <w:szCs w:val="20"/>
                <w:lang w:eastAsia="sk-SK"/>
              </w:rPr>
            </w:pPr>
            <w:r w:rsidRPr="00BC17C4">
              <w:rPr>
                <w:rFonts w:ascii="Times New Roman" w:hAnsi="Times New Roman"/>
                <w:b/>
                <w:bCs/>
                <w:sz w:val="20"/>
                <w:szCs w:val="20"/>
                <w:lang w:eastAsia="sk-SK"/>
              </w:rPr>
              <w:t>Vlastné imanie a záväzky</w:t>
            </w:r>
          </w:p>
        </w:tc>
        <w:tc>
          <w:tcPr>
            <w:tcW w:w="724" w:type="pct"/>
            <w:tcBorders>
              <w:top w:val="nil"/>
              <w:left w:val="nil"/>
              <w:bottom w:val="nil"/>
              <w:right w:val="nil"/>
            </w:tcBorders>
            <w:noWrap/>
            <w:textDirection w:val="lrTb"/>
            <w:vAlign w:val="bottom"/>
          </w:tcPr>
          <w:p w:rsidR="001D3593" w:rsidRPr="00BC17C4" w:rsidP="004B7DC7">
            <w:pPr>
              <w:bidi w:val="0"/>
              <w:spacing w:after="0" w:line="360" w:lineRule="auto"/>
              <w:contextualSpacing/>
              <w:jc w:val="right"/>
              <w:rPr>
                <w:rFonts w:ascii="Times New Roman" w:hAnsi="Times New Roman"/>
                <w:b/>
                <w:bCs/>
                <w:sz w:val="20"/>
                <w:szCs w:val="20"/>
                <w:lang w:eastAsia="sk-SK"/>
              </w:rPr>
            </w:pPr>
            <w:r>
              <w:rPr>
                <w:rFonts w:ascii="Times New Roman" w:hAnsi="Times New Roman"/>
                <w:b/>
                <w:bCs/>
                <w:sz w:val="20"/>
                <w:szCs w:val="20"/>
                <w:lang w:eastAsia="sk-SK"/>
              </w:rPr>
              <w:t>60 836 159</w:t>
            </w:r>
          </w:p>
        </w:tc>
        <w:tc>
          <w:tcPr>
            <w:tcW w:w="950" w:type="pct"/>
            <w:tcBorders>
              <w:top w:val="nil"/>
              <w:left w:val="nil"/>
              <w:bottom w:val="nil"/>
              <w:right w:val="nil"/>
            </w:tcBorders>
            <w:noWrap/>
            <w:textDirection w:val="lrTb"/>
            <w:vAlign w:val="bottom"/>
          </w:tcPr>
          <w:p w:rsidR="001D3593" w:rsidRPr="00BC17C4" w:rsidP="004B7DC7">
            <w:pPr>
              <w:bidi w:val="0"/>
              <w:spacing w:after="0" w:line="360" w:lineRule="auto"/>
              <w:contextualSpacing/>
              <w:jc w:val="right"/>
              <w:rPr>
                <w:rFonts w:ascii="Times New Roman" w:hAnsi="Times New Roman"/>
                <w:b/>
                <w:bCs/>
                <w:sz w:val="20"/>
                <w:szCs w:val="20"/>
                <w:lang w:eastAsia="sk-SK"/>
              </w:rPr>
            </w:pPr>
            <w:r w:rsidRPr="00BC17C4">
              <w:rPr>
                <w:rFonts w:ascii="Times New Roman" w:hAnsi="Times New Roman"/>
                <w:b/>
                <w:bCs/>
                <w:sz w:val="20"/>
                <w:szCs w:val="20"/>
                <w:lang w:eastAsia="sk-SK"/>
              </w:rPr>
              <w:t>58 652 059</w:t>
            </w:r>
          </w:p>
        </w:tc>
      </w:tr>
      <w:tr>
        <w:tblPrEx>
          <w:tblW w:w="4859" w:type="pct"/>
          <w:tblInd w:w="70" w:type="dxa"/>
          <w:tblCellMar>
            <w:left w:w="70" w:type="dxa"/>
            <w:right w:w="70" w:type="dxa"/>
          </w:tblCellMar>
          <w:tblLook w:val="04A0"/>
        </w:tblPrEx>
        <w:trPr>
          <w:trHeight w:val="330"/>
        </w:trPr>
        <w:tc>
          <w:tcPr>
            <w:tcW w:w="3326" w:type="pct"/>
            <w:tcBorders>
              <w:top w:val="nil"/>
              <w:left w:val="nil"/>
              <w:bottom w:val="nil"/>
              <w:right w:val="nil"/>
            </w:tcBorders>
            <w:noWrap/>
            <w:textDirection w:val="lrTb"/>
            <w:vAlign w:val="bottom"/>
          </w:tcPr>
          <w:p w:rsidR="001D3593" w:rsidRPr="00BC17C4" w:rsidP="004B7DC7">
            <w:pPr>
              <w:bidi w:val="0"/>
              <w:spacing w:after="0" w:line="360" w:lineRule="auto"/>
              <w:contextualSpacing/>
              <w:rPr>
                <w:rFonts w:ascii="Times New Roman" w:hAnsi="Times New Roman"/>
                <w:sz w:val="20"/>
                <w:szCs w:val="20"/>
                <w:lang w:eastAsia="sk-SK"/>
              </w:rPr>
            </w:pPr>
            <w:r w:rsidRPr="00BC17C4">
              <w:rPr>
                <w:rFonts w:ascii="Times New Roman" w:hAnsi="Times New Roman"/>
                <w:sz w:val="20"/>
                <w:szCs w:val="20"/>
                <w:lang w:eastAsia="sk-SK"/>
              </w:rPr>
              <w:t>Vlastné imanie</w:t>
            </w:r>
          </w:p>
        </w:tc>
        <w:tc>
          <w:tcPr>
            <w:tcW w:w="724" w:type="pct"/>
            <w:tcBorders>
              <w:top w:val="nil"/>
              <w:left w:val="nil"/>
              <w:bottom w:val="nil"/>
              <w:right w:val="nil"/>
            </w:tcBorders>
            <w:noWrap/>
            <w:textDirection w:val="lrTb"/>
            <w:vAlign w:val="bottom"/>
          </w:tcPr>
          <w:p w:rsidR="001D3593" w:rsidRPr="00BC17C4" w:rsidP="004B7DC7">
            <w:pPr>
              <w:bidi w:val="0"/>
              <w:spacing w:after="0" w:line="360" w:lineRule="auto"/>
              <w:contextualSpacing/>
              <w:jc w:val="right"/>
              <w:rPr>
                <w:rFonts w:ascii="Times New Roman" w:hAnsi="Times New Roman"/>
                <w:sz w:val="20"/>
                <w:szCs w:val="20"/>
                <w:lang w:eastAsia="sk-SK"/>
              </w:rPr>
            </w:pPr>
            <w:r>
              <w:rPr>
                <w:rFonts w:ascii="Times New Roman" w:hAnsi="Times New Roman"/>
                <w:sz w:val="20"/>
                <w:szCs w:val="20"/>
                <w:lang w:eastAsia="sk-SK"/>
              </w:rPr>
              <w:t>-14 039 738</w:t>
            </w:r>
          </w:p>
        </w:tc>
        <w:tc>
          <w:tcPr>
            <w:tcW w:w="950" w:type="pct"/>
            <w:tcBorders>
              <w:top w:val="nil"/>
              <w:left w:val="nil"/>
              <w:bottom w:val="nil"/>
              <w:right w:val="nil"/>
            </w:tcBorders>
            <w:noWrap/>
            <w:textDirection w:val="lrTb"/>
            <w:vAlign w:val="bottom"/>
          </w:tcPr>
          <w:p w:rsidR="001D3593" w:rsidRPr="00BC17C4" w:rsidP="004B7DC7">
            <w:pPr>
              <w:bidi w:val="0"/>
              <w:spacing w:after="0" w:line="360" w:lineRule="auto"/>
              <w:contextualSpacing/>
              <w:jc w:val="right"/>
              <w:rPr>
                <w:rFonts w:ascii="Times New Roman" w:hAnsi="Times New Roman"/>
                <w:sz w:val="20"/>
                <w:szCs w:val="20"/>
                <w:lang w:eastAsia="sk-SK"/>
              </w:rPr>
            </w:pPr>
            <w:r w:rsidRPr="00BC17C4">
              <w:rPr>
                <w:rFonts w:ascii="Times New Roman" w:hAnsi="Times New Roman"/>
                <w:sz w:val="20"/>
                <w:szCs w:val="20"/>
                <w:lang w:eastAsia="sk-SK"/>
              </w:rPr>
              <w:t>672 141</w:t>
            </w:r>
          </w:p>
        </w:tc>
      </w:tr>
      <w:tr>
        <w:tblPrEx>
          <w:tblW w:w="4859" w:type="pct"/>
          <w:tblInd w:w="70" w:type="dxa"/>
          <w:tblCellMar>
            <w:left w:w="70" w:type="dxa"/>
            <w:right w:w="70" w:type="dxa"/>
          </w:tblCellMar>
          <w:tblLook w:val="04A0"/>
        </w:tblPrEx>
        <w:trPr>
          <w:trHeight w:val="330"/>
        </w:trPr>
        <w:tc>
          <w:tcPr>
            <w:tcW w:w="3326" w:type="pct"/>
            <w:tcBorders>
              <w:top w:val="nil"/>
              <w:left w:val="nil"/>
              <w:bottom w:val="nil"/>
              <w:right w:val="nil"/>
            </w:tcBorders>
            <w:noWrap/>
            <w:textDirection w:val="lrTb"/>
            <w:vAlign w:val="bottom"/>
          </w:tcPr>
          <w:p w:rsidR="001D3593" w:rsidRPr="00BC17C4" w:rsidP="004B7DC7">
            <w:pPr>
              <w:bidi w:val="0"/>
              <w:spacing w:after="0" w:line="360" w:lineRule="auto"/>
              <w:contextualSpacing/>
              <w:rPr>
                <w:rFonts w:ascii="Times New Roman" w:hAnsi="Times New Roman"/>
                <w:sz w:val="20"/>
                <w:szCs w:val="20"/>
                <w:lang w:eastAsia="sk-SK"/>
              </w:rPr>
            </w:pPr>
            <w:r w:rsidRPr="00BC17C4">
              <w:rPr>
                <w:rFonts w:ascii="Times New Roman" w:hAnsi="Times New Roman"/>
                <w:sz w:val="20"/>
                <w:szCs w:val="20"/>
                <w:lang w:eastAsia="sk-SK"/>
              </w:rPr>
              <w:t>Cudzie zdroje</w:t>
            </w:r>
          </w:p>
        </w:tc>
        <w:tc>
          <w:tcPr>
            <w:tcW w:w="724" w:type="pct"/>
            <w:tcBorders>
              <w:top w:val="nil"/>
              <w:left w:val="nil"/>
              <w:bottom w:val="nil"/>
              <w:right w:val="nil"/>
            </w:tcBorders>
            <w:noWrap/>
            <w:textDirection w:val="lrTb"/>
            <w:vAlign w:val="bottom"/>
          </w:tcPr>
          <w:p w:rsidR="001D3593" w:rsidRPr="00BC17C4" w:rsidP="004B7DC7">
            <w:pPr>
              <w:bidi w:val="0"/>
              <w:spacing w:after="0" w:line="360" w:lineRule="auto"/>
              <w:contextualSpacing/>
              <w:jc w:val="right"/>
              <w:rPr>
                <w:rFonts w:ascii="Times New Roman" w:hAnsi="Times New Roman"/>
                <w:sz w:val="20"/>
                <w:szCs w:val="20"/>
                <w:lang w:eastAsia="sk-SK"/>
              </w:rPr>
            </w:pPr>
            <w:r w:rsidRPr="00BC17C4">
              <w:rPr>
                <w:rFonts w:ascii="Times New Roman" w:hAnsi="Times New Roman"/>
                <w:sz w:val="20"/>
                <w:szCs w:val="20"/>
                <w:lang w:eastAsia="sk-SK"/>
              </w:rPr>
              <w:t>66</w:t>
            </w:r>
            <w:r>
              <w:rPr>
                <w:rFonts w:ascii="Times New Roman" w:hAnsi="Times New Roman"/>
                <w:sz w:val="20"/>
                <w:szCs w:val="20"/>
                <w:lang w:eastAsia="sk-SK"/>
              </w:rPr>
              <w:t> 179 289</w:t>
            </w:r>
          </w:p>
        </w:tc>
        <w:tc>
          <w:tcPr>
            <w:tcW w:w="950" w:type="pct"/>
            <w:tcBorders>
              <w:top w:val="nil"/>
              <w:left w:val="nil"/>
              <w:bottom w:val="nil"/>
              <w:right w:val="nil"/>
            </w:tcBorders>
            <w:noWrap/>
            <w:textDirection w:val="lrTb"/>
            <w:vAlign w:val="bottom"/>
          </w:tcPr>
          <w:p w:rsidR="001D3593" w:rsidRPr="00BC17C4" w:rsidP="004B7DC7">
            <w:pPr>
              <w:bidi w:val="0"/>
              <w:spacing w:after="0" w:line="360" w:lineRule="auto"/>
              <w:contextualSpacing/>
              <w:jc w:val="right"/>
              <w:rPr>
                <w:rFonts w:ascii="Times New Roman" w:hAnsi="Times New Roman"/>
                <w:sz w:val="20"/>
                <w:szCs w:val="20"/>
                <w:lang w:eastAsia="sk-SK"/>
              </w:rPr>
            </w:pPr>
            <w:r w:rsidRPr="00BC17C4">
              <w:rPr>
                <w:rFonts w:ascii="Times New Roman" w:hAnsi="Times New Roman"/>
                <w:sz w:val="20"/>
                <w:szCs w:val="20"/>
                <w:lang w:eastAsia="sk-SK"/>
              </w:rPr>
              <w:t>49 732 243</w:t>
            </w:r>
          </w:p>
        </w:tc>
      </w:tr>
      <w:tr>
        <w:tblPrEx>
          <w:tblW w:w="4859" w:type="pct"/>
          <w:tblInd w:w="70" w:type="dxa"/>
          <w:tblCellMar>
            <w:left w:w="70" w:type="dxa"/>
            <w:right w:w="70" w:type="dxa"/>
          </w:tblCellMar>
          <w:tblLook w:val="04A0"/>
        </w:tblPrEx>
        <w:trPr>
          <w:trHeight w:val="330"/>
        </w:trPr>
        <w:tc>
          <w:tcPr>
            <w:tcW w:w="3326"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contextualSpacing/>
              <w:rPr>
                <w:rFonts w:ascii="Times New Roman" w:hAnsi="Times New Roman"/>
                <w:sz w:val="20"/>
                <w:szCs w:val="20"/>
                <w:lang w:eastAsia="sk-SK"/>
              </w:rPr>
            </w:pPr>
            <w:r w:rsidRPr="00BC17C4">
              <w:rPr>
                <w:rFonts w:ascii="Times New Roman" w:hAnsi="Times New Roman"/>
                <w:sz w:val="20"/>
                <w:szCs w:val="20"/>
                <w:lang w:eastAsia="sk-SK"/>
              </w:rPr>
              <w:t>Časové rozlíšenie</w:t>
            </w:r>
          </w:p>
        </w:tc>
        <w:tc>
          <w:tcPr>
            <w:tcW w:w="724"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contextualSpacing/>
              <w:jc w:val="right"/>
              <w:rPr>
                <w:rFonts w:ascii="Times New Roman" w:hAnsi="Times New Roman"/>
                <w:sz w:val="20"/>
                <w:szCs w:val="20"/>
                <w:lang w:eastAsia="sk-SK"/>
              </w:rPr>
            </w:pPr>
            <w:r w:rsidRPr="00BC17C4">
              <w:rPr>
                <w:rFonts w:ascii="Times New Roman" w:hAnsi="Times New Roman"/>
                <w:sz w:val="20"/>
                <w:szCs w:val="20"/>
                <w:lang w:eastAsia="sk-SK"/>
              </w:rPr>
              <w:t>8 696 608</w:t>
            </w:r>
          </w:p>
        </w:tc>
        <w:tc>
          <w:tcPr>
            <w:tcW w:w="950"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contextualSpacing/>
              <w:jc w:val="right"/>
              <w:rPr>
                <w:rFonts w:ascii="Times New Roman" w:hAnsi="Times New Roman"/>
                <w:sz w:val="20"/>
                <w:szCs w:val="20"/>
                <w:lang w:eastAsia="sk-SK"/>
              </w:rPr>
            </w:pPr>
            <w:r w:rsidRPr="00BC17C4">
              <w:rPr>
                <w:rFonts w:ascii="Times New Roman" w:hAnsi="Times New Roman"/>
                <w:sz w:val="20"/>
                <w:szCs w:val="20"/>
                <w:lang w:eastAsia="sk-SK"/>
              </w:rPr>
              <w:t>8 247 675</w:t>
            </w:r>
          </w:p>
        </w:tc>
      </w:tr>
    </w:tbl>
    <w:p w:rsidR="001D3593" w:rsidRPr="00BC17C4" w:rsidP="001D3593">
      <w:pPr>
        <w:bidi w:val="0"/>
        <w:spacing w:after="0" w:line="360" w:lineRule="auto"/>
        <w:jc w:val="both"/>
        <w:rPr>
          <w:rFonts w:ascii="Times New Roman" w:hAnsi="Times New Roman"/>
          <w:szCs w:val="22"/>
        </w:rPr>
      </w:pPr>
    </w:p>
    <w:tbl>
      <w:tblPr>
        <w:tblStyle w:val="TableNormal"/>
        <w:tblW w:w="4879" w:type="pct"/>
        <w:tblInd w:w="70" w:type="dxa"/>
        <w:tblCellMar>
          <w:left w:w="70" w:type="dxa"/>
          <w:right w:w="70" w:type="dxa"/>
        </w:tblCellMar>
        <w:tblLook w:val="04A0"/>
      </w:tblPr>
      <w:tblGrid>
        <w:gridCol w:w="5953"/>
        <w:gridCol w:w="1336"/>
        <w:gridCol w:w="1699"/>
      </w:tblGrid>
      <w:tr>
        <w:tblPrEx>
          <w:tblW w:w="4879" w:type="pct"/>
          <w:tblInd w:w="70" w:type="dxa"/>
          <w:tblCellMar>
            <w:left w:w="70" w:type="dxa"/>
            <w:right w:w="70" w:type="dxa"/>
          </w:tblCellMar>
          <w:tblLook w:val="04A0"/>
        </w:tblPrEx>
        <w:trPr>
          <w:trHeight w:val="330"/>
        </w:trPr>
        <w:tc>
          <w:tcPr>
            <w:tcW w:w="5000" w:type="pct"/>
            <w:gridSpan w:val="3"/>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jc w:val="center"/>
              <w:rPr>
                <w:rFonts w:ascii="Times New Roman" w:hAnsi="Times New Roman"/>
                <w:b/>
                <w:bCs/>
                <w:color w:val="FFFFFF"/>
                <w:sz w:val="20"/>
                <w:szCs w:val="20"/>
                <w:lang w:eastAsia="sk-SK"/>
              </w:rPr>
            </w:pPr>
            <w:r w:rsidRPr="00BC17C4">
              <w:rPr>
                <w:rFonts w:ascii="Times New Roman" w:hAnsi="Times New Roman"/>
                <w:b/>
                <w:bCs/>
                <w:color w:val="FFFFFF"/>
                <w:sz w:val="20"/>
                <w:szCs w:val="20"/>
                <w:lang w:eastAsia="sk-SK"/>
              </w:rPr>
              <w:t>Výkaz ziskov a strát (v tis. eur) </w:t>
            </w:r>
          </w:p>
        </w:tc>
      </w:tr>
      <w:tr>
        <w:tblPrEx>
          <w:tblW w:w="4879" w:type="pct"/>
          <w:tblInd w:w="70" w:type="dxa"/>
          <w:tblCellMar>
            <w:left w:w="70" w:type="dxa"/>
            <w:right w:w="70" w:type="dxa"/>
          </w:tblCellMar>
          <w:tblLook w:val="04A0"/>
        </w:tblPrEx>
        <w:trPr>
          <w:trHeight w:val="330"/>
        </w:trPr>
        <w:tc>
          <w:tcPr>
            <w:tcW w:w="3312"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r w:rsidRPr="00BC17C4">
              <w:rPr>
                <w:rFonts w:ascii="Times New Roman" w:hAnsi="Times New Roman"/>
                <w:b/>
                <w:bCs/>
                <w:sz w:val="20"/>
                <w:szCs w:val="20"/>
                <w:lang w:eastAsia="sk-SK"/>
              </w:rPr>
              <w:t>Náklady a výnosy</w:t>
            </w:r>
          </w:p>
        </w:tc>
        <w:tc>
          <w:tcPr>
            <w:tcW w:w="743"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2014</w:t>
            </w:r>
          </w:p>
        </w:tc>
        <w:tc>
          <w:tcPr>
            <w:tcW w:w="945"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4879" w:type="pct"/>
          <w:tblInd w:w="70" w:type="dxa"/>
          <w:tblCellMar>
            <w:left w:w="70" w:type="dxa"/>
            <w:right w:w="70" w:type="dxa"/>
          </w:tblCellMar>
          <w:tblLook w:val="04A0"/>
        </w:tblPrEx>
        <w:trPr>
          <w:trHeight w:val="330"/>
        </w:trPr>
        <w:tc>
          <w:tcPr>
            <w:tcW w:w="3312" w:type="pct"/>
            <w:tcBorders>
              <w:top w:val="nil"/>
              <w:left w:val="nil"/>
              <w:bottom w:val="nil"/>
              <w:right w:val="nil"/>
            </w:tcBorders>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Náklady</w:t>
            </w:r>
          </w:p>
        </w:tc>
        <w:tc>
          <w:tcPr>
            <w:tcW w:w="743" w:type="pct"/>
            <w:tcBorders>
              <w:top w:val="nil"/>
              <w:left w:val="nil"/>
              <w:bottom w:val="nil"/>
              <w:right w:val="nil"/>
            </w:tcBorders>
            <w:textDirection w:val="lrTb"/>
            <w:vAlign w:val="center"/>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56</w:t>
            </w:r>
            <w:r>
              <w:rPr>
                <w:rFonts w:ascii="Times New Roman" w:hAnsi="Times New Roman"/>
                <w:sz w:val="20"/>
                <w:szCs w:val="20"/>
                <w:lang w:eastAsia="sk-SK"/>
              </w:rPr>
              <w:t> 268 258</w:t>
            </w:r>
          </w:p>
        </w:tc>
        <w:tc>
          <w:tcPr>
            <w:tcW w:w="945" w:type="pct"/>
            <w:tcBorders>
              <w:top w:val="nil"/>
              <w:left w:val="nil"/>
              <w:bottom w:val="nil"/>
              <w:right w:val="nil"/>
            </w:tcBorders>
            <w:textDirection w:val="lrTb"/>
            <w:vAlign w:val="center"/>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48 523 908</w:t>
            </w:r>
          </w:p>
        </w:tc>
      </w:tr>
      <w:tr>
        <w:tblPrEx>
          <w:tblW w:w="4879" w:type="pct"/>
          <w:tblInd w:w="70" w:type="dxa"/>
          <w:tblCellMar>
            <w:left w:w="70" w:type="dxa"/>
            <w:right w:w="70" w:type="dxa"/>
          </w:tblCellMar>
          <w:tblLook w:val="04A0"/>
        </w:tblPrEx>
        <w:trPr>
          <w:trHeight w:val="393"/>
        </w:trPr>
        <w:tc>
          <w:tcPr>
            <w:tcW w:w="3312"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Výnosy</w:t>
            </w:r>
          </w:p>
        </w:tc>
        <w:tc>
          <w:tcPr>
            <w:tcW w:w="743" w:type="pct"/>
            <w:tcBorders>
              <w:top w:val="nil"/>
              <w:left w:val="nil"/>
              <w:bottom w:val="nil"/>
              <w:right w:val="nil"/>
            </w:tcBorders>
            <w:textDirection w:val="lrTb"/>
            <w:vAlign w:val="center"/>
          </w:tcPr>
          <w:p w:rsidR="001D3593" w:rsidRPr="00BC17C4" w:rsidP="004B7DC7">
            <w:pPr>
              <w:bidi w:val="0"/>
              <w:spacing w:after="0" w:line="360" w:lineRule="auto"/>
              <w:jc w:val="right"/>
              <w:rPr>
                <w:rFonts w:ascii="Times New Roman" w:hAnsi="Times New Roman"/>
                <w:sz w:val="20"/>
                <w:szCs w:val="20"/>
                <w:lang w:eastAsia="sk-SK"/>
              </w:rPr>
            </w:pPr>
            <w:r>
              <w:rPr>
                <w:rFonts w:ascii="Times New Roman" w:hAnsi="Times New Roman"/>
                <w:sz w:val="20"/>
                <w:szCs w:val="20"/>
                <w:lang w:eastAsia="sk-SK"/>
              </w:rPr>
              <w:t>49 627 959</w:t>
            </w:r>
          </w:p>
        </w:tc>
        <w:tc>
          <w:tcPr>
            <w:tcW w:w="945" w:type="pct"/>
            <w:tcBorders>
              <w:top w:val="nil"/>
              <w:left w:val="nil"/>
              <w:bottom w:val="nil"/>
              <w:right w:val="nil"/>
            </w:tcBorders>
            <w:textDirection w:val="lrTb"/>
            <w:vAlign w:val="center"/>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47 702 001</w:t>
            </w:r>
          </w:p>
        </w:tc>
      </w:tr>
      <w:tr>
        <w:tblPrEx>
          <w:tblW w:w="4879" w:type="pct"/>
          <w:tblInd w:w="70" w:type="dxa"/>
          <w:tblCellMar>
            <w:left w:w="70" w:type="dxa"/>
            <w:right w:w="70" w:type="dxa"/>
          </w:tblCellMar>
          <w:tblLook w:val="04A0"/>
        </w:tblPrEx>
        <w:trPr>
          <w:trHeight w:val="213"/>
        </w:trPr>
        <w:tc>
          <w:tcPr>
            <w:tcW w:w="3312" w:type="pct"/>
            <w:tcBorders>
              <w:top w:val="nil"/>
              <w:left w:val="nil"/>
              <w:bottom w:val="single" w:sz="4" w:space="0" w:color="auto"/>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Výsledok hospodárenia po zdanení</w:t>
            </w:r>
          </w:p>
        </w:tc>
        <w:tc>
          <w:tcPr>
            <w:tcW w:w="743" w:type="pct"/>
            <w:tcBorders>
              <w:top w:val="nil"/>
              <w:left w:val="nil"/>
              <w:bottom w:val="single" w:sz="4" w:space="0" w:color="auto"/>
              <w:right w:val="nil"/>
            </w:tcBorders>
            <w:noWrap/>
            <w:textDirection w:val="lrTb"/>
            <w:vAlign w:val="center"/>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-6 640 29</w:t>
            </w:r>
            <w:r>
              <w:rPr>
                <w:rFonts w:ascii="Times New Roman" w:hAnsi="Times New Roman"/>
                <w:sz w:val="20"/>
                <w:szCs w:val="20"/>
                <w:lang w:eastAsia="sk-SK"/>
              </w:rPr>
              <w:t>9</w:t>
            </w:r>
          </w:p>
        </w:tc>
        <w:tc>
          <w:tcPr>
            <w:tcW w:w="945" w:type="pct"/>
            <w:tcBorders>
              <w:top w:val="nil"/>
              <w:left w:val="nil"/>
              <w:bottom w:val="single" w:sz="4" w:space="0" w:color="auto"/>
              <w:right w:val="nil"/>
            </w:tcBorders>
            <w:noWrap/>
            <w:textDirection w:val="lrTb"/>
            <w:vAlign w:val="center"/>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-868 931</w:t>
            </w:r>
          </w:p>
        </w:tc>
      </w:tr>
    </w:tbl>
    <w:p w:rsidR="001D3593" w:rsidRPr="00A34DF5" w:rsidP="00B53478">
      <w:pPr>
        <w:pStyle w:val="Heading3"/>
        <w:numPr>
          <w:ilvl w:val="0"/>
          <w:numId w:val="0"/>
        </w:numPr>
        <w:bidi w:val="0"/>
        <w:spacing w:before="120"/>
        <w:ind w:firstLine="0"/>
      </w:pPr>
      <w:bookmarkStart w:id="223" w:name="_Toc399324380"/>
      <w:bookmarkStart w:id="224" w:name="_Toc401920036"/>
      <w:bookmarkStart w:id="225" w:name="_Toc433099606"/>
      <w:r w:rsidRPr="00BC17C4">
        <w:t>4.2.1.</w:t>
        <w:tab/>
      </w:r>
      <w:r w:rsidRPr="00BC17C4">
        <w:rPr>
          <w:rFonts w:hint="default"/>
        </w:rPr>
        <w:t>Sú</w:t>
      </w:r>
      <w:r w:rsidRPr="00BC17C4">
        <w:rPr>
          <w:rFonts w:hint="default"/>
        </w:rPr>
        <w:t>vaha</w:t>
      </w:r>
      <w:bookmarkEnd w:id="223"/>
      <w:bookmarkEnd w:id="224"/>
      <w:bookmarkEnd w:id="225"/>
    </w:p>
    <w:p w:rsidR="001D3593" w:rsidRPr="00BC17C4" w:rsidP="001767F0">
      <w:pPr>
        <w:bidi w:val="0"/>
        <w:spacing w:before="120" w:after="120" w:line="336" w:lineRule="auto"/>
        <w:ind w:left="425" w:hanging="425"/>
        <w:rPr>
          <w:rFonts w:ascii="Times New Roman" w:hAnsi="Times New Roman"/>
          <w:b/>
          <w:szCs w:val="22"/>
          <w:lang w:eastAsia="sk-SK"/>
        </w:rPr>
      </w:pPr>
      <w:r w:rsidRPr="00BC17C4">
        <w:rPr>
          <w:rFonts w:ascii="Times New Roman" w:hAnsi="Times New Roman"/>
          <w:b/>
          <w:szCs w:val="22"/>
        </w:rPr>
        <w:t>Aktíva</w:t>
      </w:r>
    </w:p>
    <w:p w:rsidR="001D3593" w:rsidRPr="00BC17C4" w:rsidP="001D3593">
      <w:pPr>
        <w:bidi w:val="0"/>
        <w:spacing w:after="120" w:line="336" w:lineRule="auto"/>
        <w:jc w:val="both"/>
        <w:rPr>
          <w:rFonts w:ascii="Times New Roman" w:hAnsi="Times New Roman"/>
          <w:szCs w:val="22"/>
          <w:lang w:eastAsia="sk-SK"/>
        </w:rPr>
      </w:pPr>
      <w:r w:rsidRPr="00BC17C4">
        <w:rPr>
          <w:rFonts w:ascii="Times New Roman" w:hAnsi="Times New Roman"/>
          <w:szCs w:val="22"/>
          <w:lang w:eastAsia="sk-SK"/>
        </w:rPr>
        <w:t xml:space="preserve">Celkové aktíva dosiahli k 31.12.2014 hodnotu </w:t>
      </w:r>
      <w:r>
        <w:rPr>
          <w:rFonts w:ascii="Times New Roman" w:hAnsi="Times New Roman"/>
          <w:szCs w:val="22"/>
          <w:lang w:eastAsia="sk-SK"/>
        </w:rPr>
        <w:t>60 836 159</w:t>
      </w:r>
      <w:r w:rsidRPr="00BC17C4">
        <w:rPr>
          <w:rFonts w:ascii="Times New Roman" w:hAnsi="Times New Roman"/>
          <w:szCs w:val="22"/>
          <w:lang w:eastAsia="sk-SK"/>
        </w:rPr>
        <w:t xml:space="preserve"> tis. eur, čo je v porovnaní s rokom 2013 viac o 2</w:t>
      </w:r>
      <w:r>
        <w:rPr>
          <w:rFonts w:ascii="Times New Roman" w:hAnsi="Times New Roman"/>
          <w:szCs w:val="22"/>
          <w:lang w:eastAsia="sk-SK"/>
        </w:rPr>
        <w:t> 184 100</w:t>
      </w:r>
      <w:r w:rsidRPr="00BC17C4">
        <w:rPr>
          <w:rFonts w:ascii="Times New Roman" w:hAnsi="Times New Roman"/>
          <w:szCs w:val="22"/>
          <w:lang w:eastAsia="sk-SK"/>
        </w:rPr>
        <w:t xml:space="preserve"> tis. eur. Celkové aktíva sú tvorené najmä </w:t>
      </w:r>
      <w:r w:rsidRPr="00BC17C4">
        <w:rPr>
          <w:rFonts w:ascii="Times New Roman" w:hAnsi="Times New Roman"/>
          <w:szCs w:val="22"/>
          <w:u w:val="single"/>
          <w:lang w:eastAsia="sk-SK"/>
        </w:rPr>
        <w:t>neobežným (dlhodobým) majetkom</w:t>
      </w:r>
      <w:r w:rsidRPr="00BC17C4">
        <w:rPr>
          <w:rFonts w:ascii="Times New Roman" w:hAnsi="Times New Roman"/>
          <w:szCs w:val="22"/>
          <w:lang w:eastAsia="sk-SK"/>
        </w:rPr>
        <w:t>, z toho hlavne dlhodobým hmotným majetkom (66 %) a dlhodobým finančným majetkom (13,4 %).</w:t>
        <w:br/>
        <w:t xml:space="preserve">Z </w:t>
      </w:r>
      <w:r w:rsidRPr="00BC17C4">
        <w:rPr>
          <w:rFonts w:ascii="Times New Roman" w:hAnsi="Times New Roman"/>
          <w:szCs w:val="22"/>
          <w:u w:val="single"/>
          <w:lang w:eastAsia="sk-SK"/>
        </w:rPr>
        <w:t>obežného (krátkodobého) majetku</w:t>
      </w:r>
      <w:r w:rsidRPr="00BC17C4">
        <w:rPr>
          <w:rFonts w:ascii="Times New Roman" w:hAnsi="Times New Roman"/>
          <w:szCs w:val="22"/>
          <w:lang w:eastAsia="sk-SK"/>
        </w:rPr>
        <w:t xml:space="preserve"> sú významné pohľadávky (</w:t>
      </w:r>
      <w:r>
        <w:rPr>
          <w:rFonts w:ascii="Times New Roman" w:hAnsi="Times New Roman"/>
          <w:szCs w:val="22"/>
          <w:lang w:eastAsia="sk-SK"/>
        </w:rPr>
        <w:t>7</w:t>
      </w:r>
      <w:r w:rsidRPr="00BC17C4">
        <w:rPr>
          <w:rFonts w:ascii="Times New Roman" w:hAnsi="Times New Roman"/>
          <w:szCs w:val="22"/>
          <w:lang w:eastAsia="sk-SK"/>
        </w:rPr>
        <w:t>,</w:t>
      </w:r>
      <w:r>
        <w:rPr>
          <w:rFonts w:ascii="Times New Roman" w:hAnsi="Times New Roman"/>
          <w:szCs w:val="22"/>
          <w:lang w:eastAsia="sk-SK"/>
        </w:rPr>
        <w:t>8</w:t>
      </w:r>
      <w:r w:rsidRPr="00BC17C4">
        <w:rPr>
          <w:rFonts w:ascii="Times New Roman" w:hAnsi="Times New Roman"/>
          <w:szCs w:val="22"/>
          <w:lang w:eastAsia="sk-SK"/>
        </w:rPr>
        <w:t xml:space="preserve"> %) a finančné účty (5,2 %). Aktíva sú uvádzané aj komentované v netto hodnotách, bez vykazovania korekcií (opravných položiek a odpisov). </w:t>
      </w:r>
    </w:p>
    <w:p w:rsidR="001D3593" w:rsidRPr="00BC17C4" w:rsidP="001D3593">
      <w:pPr>
        <w:bidi w:val="0"/>
        <w:spacing w:after="120" w:line="336" w:lineRule="auto"/>
        <w:jc w:val="both"/>
        <w:rPr>
          <w:rFonts w:ascii="Times New Roman" w:hAnsi="Times New Roman"/>
          <w:szCs w:val="22"/>
          <w:lang w:eastAsia="sk-SK"/>
        </w:rPr>
      </w:pPr>
      <w:r w:rsidRPr="00BC17C4">
        <w:rPr>
          <w:rFonts w:ascii="Times New Roman" w:hAnsi="Times New Roman"/>
          <w:szCs w:val="22"/>
          <w:lang w:eastAsia="sk-SK"/>
        </w:rPr>
        <w:t>Na medziročnej zmene celkových aktív sa podieľal najmä dlhodobý finančný majetok, ktorý vzrástol oproti minulému roku o 2 136 124 tis. eur. Takisto aj dlhodobý hmotný majetok zaznamenal významný nárast oproti minulému obdobiu, a to o 1 643 267 tis. eur. Dlhodobý nehmotný majetok vzrástol medziročne o 125 318 tis. eur. Z obežného majetku bola medziročne vyššia hodnota pohľadávok o</w:t>
      </w:r>
      <w:r>
        <w:rPr>
          <w:rFonts w:ascii="Times New Roman" w:hAnsi="Times New Roman"/>
          <w:szCs w:val="22"/>
          <w:lang w:eastAsia="sk-SK"/>
        </w:rPr>
        <w:t> 132 228</w:t>
      </w:r>
      <w:r w:rsidRPr="00BC17C4">
        <w:rPr>
          <w:rFonts w:ascii="Times New Roman" w:hAnsi="Times New Roman"/>
          <w:szCs w:val="22"/>
          <w:lang w:eastAsia="sk-SK"/>
        </w:rPr>
        <w:t xml:space="preserve"> tis. eur a zásob o 713 707 tis. eur. Do položiek aktív, ktoré medziročne klesli patria finančné účty o 2 257 147 tis. eur, zúčtovacie vzťahy o 273 971 tis. eur, časové rozlíšenie</w:t>
        <w:br/>
        <w:t>o 33 005 tis. eur a poskytnuté návratné finančné výpomoci o 2 421 tis. eur.</w:t>
      </w:r>
    </w:p>
    <w:p w:rsidR="001D3593" w:rsidRPr="00BC17C4" w:rsidP="001D3593">
      <w:pPr>
        <w:bidi w:val="0"/>
        <w:spacing w:after="120" w:line="336" w:lineRule="auto"/>
        <w:jc w:val="both"/>
        <w:rPr>
          <w:rFonts w:ascii="Times New Roman" w:hAnsi="Times New Roman"/>
          <w:szCs w:val="22"/>
          <w:lang w:eastAsia="sk-SK"/>
        </w:rPr>
      </w:pPr>
      <w:r w:rsidRPr="00BC17C4">
        <w:rPr>
          <w:rFonts w:ascii="Times New Roman" w:hAnsi="Times New Roman"/>
          <w:szCs w:val="22"/>
          <w:lang w:eastAsia="sk-SK"/>
        </w:rPr>
        <w:t>Rozhodujúce prírastky dlhodobého finančného majetku boli vytvorené zmenou súhrnného celku, nakoľko pod kapitolu Ministerstva hospodárstva</w:t>
      </w:r>
      <w:r>
        <w:rPr>
          <w:rFonts w:ascii="Times New Roman" w:hAnsi="Times New Roman"/>
          <w:szCs w:val="22"/>
          <w:lang w:eastAsia="sk-SK"/>
        </w:rPr>
        <w:t xml:space="preserve"> SR</w:t>
      </w:r>
      <w:r w:rsidRPr="00BC17C4">
        <w:rPr>
          <w:rFonts w:ascii="Times New Roman" w:hAnsi="Times New Roman"/>
          <w:szCs w:val="22"/>
          <w:lang w:eastAsia="sk-SK"/>
        </w:rPr>
        <w:t xml:space="preserve"> boli prevedené podiely v energetických spoločnostiach a Slovenskom plynárenskom priemysle, a.s. (SPP, a.s.). Samotný SPP, a.s. sa výraznou mierou podieľal na medziročných zmenách či už majetku a záväzkov, ale aj nákladov a výnosov ústrednej správy a tým aj súhrnného celku. Finančné podiely s podstatným vplyvom vzrástli vďaka podielom SPP, a.s. v iných obchodných spoločnostiach o 1 769 034 tis. eur, podiely Ministerstva hospodárstva SR v energetických spoločnostiach dosiahli účtovnú hodnotu 1 712 963 tis. eur. Zníženie dlhodobého finančného majetku zaznamenali podiely s rozhodujúcim vplyvom o 879 485 </w:t>
      </w:r>
      <w:r>
        <w:rPr>
          <w:rFonts w:ascii="Times New Roman" w:hAnsi="Times New Roman"/>
          <w:szCs w:val="22"/>
          <w:lang w:eastAsia="sk-SK"/>
        </w:rPr>
        <w:t>tis.</w:t>
      </w:r>
      <w:r w:rsidRPr="00BC17C4">
        <w:rPr>
          <w:rFonts w:ascii="Times New Roman" w:hAnsi="Times New Roman"/>
          <w:szCs w:val="22"/>
          <w:lang w:eastAsia="sk-SK"/>
        </w:rPr>
        <w:t xml:space="preserve"> eur, čo bolo spôsobené najmä konsolidáciou podielu v SPP, a.s., ktorý do roku 2014 bol vykazovaný </w:t>
      </w:r>
      <w:r>
        <w:rPr>
          <w:rFonts w:ascii="Times New Roman" w:hAnsi="Times New Roman"/>
          <w:szCs w:val="22"/>
          <w:lang w:eastAsia="sk-SK"/>
        </w:rPr>
        <w:t>v rámci</w:t>
      </w:r>
      <w:r w:rsidRPr="00BC17C4">
        <w:rPr>
          <w:rFonts w:ascii="Times New Roman" w:hAnsi="Times New Roman"/>
          <w:szCs w:val="22"/>
          <w:lang w:eastAsia="sk-SK"/>
        </w:rPr>
        <w:t xml:space="preserve"> Fond</w:t>
      </w:r>
      <w:r>
        <w:rPr>
          <w:rFonts w:ascii="Times New Roman" w:hAnsi="Times New Roman"/>
          <w:szCs w:val="22"/>
          <w:lang w:eastAsia="sk-SK"/>
        </w:rPr>
        <w:t>u</w:t>
      </w:r>
      <w:r w:rsidRPr="00BC17C4">
        <w:rPr>
          <w:rFonts w:ascii="Times New Roman" w:hAnsi="Times New Roman"/>
          <w:szCs w:val="22"/>
          <w:lang w:eastAsia="sk-SK"/>
        </w:rPr>
        <w:t xml:space="preserve"> národného majetku </w:t>
      </w:r>
      <w:r>
        <w:rPr>
          <w:rFonts w:ascii="Times New Roman" w:hAnsi="Times New Roman"/>
          <w:szCs w:val="22"/>
          <w:lang w:eastAsia="sk-SK"/>
        </w:rPr>
        <w:t xml:space="preserve">SR </w:t>
      </w:r>
      <w:r w:rsidRPr="00BC17C4">
        <w:rPr>
          <w:rFonts w:ascii="Times New Roman" w:hAnsi="Times New Roman"/>
          <w:szCs w:val="22"/>
          <w:lang w:eastAsia="sk-SK"/>
        </w:rPr>
        <w:t>a nebol zahrnutý do konsolidácie.</w:t>
      </w:r>
    </w:p>
    <w:p w:rsidR="001D3593" w:rsidRPr="00BC17C4" w:rsidP="001D3593">
      <w:pPr>
        <w:bidi w:val="0"/>
        <w:spacing w:after="120" w:line="336" w:lineRule="auto"/>
        <w:jc w:val="both"/>
        <w:rPr>
          <w:rFonts w:ascii="Times New Roman" w:hAnsi="Times New Roman"/>
          <w:szCs w:val="22"/>
          <w:lang w:eastAsia="sk-SK"/>
        </w:rPr>
      </w:pPr>
      <w:r w:rsidRPr="00BC17C4">
        <w:rPr>
          <w:rFonts w:ascii="Times New Roman" w:hAnsi="Times New Roman"/>
          <w:szCs w:val="22"/>
          <w:lang w:eastAsia="sk-SK"/>
        </w:rPr>
        <w:t>Prírastky dlhodobého hmotného majetku boli spôsobené hlav</w:t>
      </w:r>
      <w:r>
        <w:rPr>
          <w:rFonts w:ascii="Times New Roman" w:hAnsi="Times New Roman"/>
          <w:szCs w:val="22"/>
          <w:lang w:eastAsia="sk-SK"/>
        </w:rPr>
        <w:t>ne prírastkom hodnoty stavieb</w:t>
        <w:br/>
        <w:t xml:space="preserve">o </w:t>
      </w:r>
      <w:r w:rsidRPr="00BC17C4">
        <w:rPr>
          <w:rFonts w:ascii="Times New Roman" w:hAnsi="Times New Roman"/>
          <w:szCs w:val="22"/>
          <w:lang w:eastAsia="sk-SK"/>
        </w:rPr>
        <w:t>528 046 tis. eur, hodnoty majetku v procese obstarania o 474 952 tis. eur a pozemkov 405 342 tis. eur.</w:t>
      </w:r>
      <w:r>
        <w:rPr>
          <w:rFonts w:ascii="Times New Roman" w:hAnsi="Times New Roman"/>
          <w:szCs w:val="22"/>
          <w:lang w:eastAsia="sk-SK"/>
        </w:rPr>
        <w:t xml:space="preserve"> </w:t>
      </w:r>
      <w:r w:rsidRPr="00BC17C4">
        <w:rPr>
          <w:rFonts w:ascii="Times New Roman" w:hAnsi="Times New Roman"/>
          <w:szCs w:val="22"/>
          <w:lang w:eastAsia="sk-SK"/>
        </w:rPr>
        <w:t>V rámci pohľadávok vzrástli najmä krátkodobé, so splatnosťou do jedného roka, čo bolo spôsobené opäť zaradením SPP, a.s. (nárast o 272 401 tis. eur) do súhrnného celku. Hodnota zásob bola medziročne vyššia z dôvodu zaradenia Agentúry pre núdzové zásoby ropy a ropné výrobky</w:t>
      </w:r>
      <w:r>
        <w:rPr>
          <w:rStyle w:val="FootnoteReference"/>
          <w:rFonts w:ascii="Times New Roman" w:hAnsi="Times New Roman"/>
          <w:rtl w:val="0"/>
        </w:rPr>
        <w:footnoteReference w:id="16"/>
      </w:r>
      <w:r w:rsidRPr="008746F2">
        <w:rPr>
          <w:rFonts w:ascii="Times New Roman" w:hAnsi="Times New Roman" w:cs="Times New Roman"/>
          <w:szCs w:val="22"/>
          <w:lang w:eastAsia="sk-SK"/>
        </w:rPr>
        <w:t xml:space="preserve"> </w:t>
      </w:r>
      <w:r w:rsidRPr="00BC17C4">
        <w:rPr>
          <w:rFonts w:ascii="Times New Roman" w:hAnsi="Times New Roman"/>
          <w:szCs w:val="22"/>
          <w:lang w:eastAsia="sk-SK"/>
        </w:rPr>
        <w:t>do súhrnného celku (500 863 tis. eur).</w:t>
      </w:r>
    </w:p>
    <w:p w:rsidR="001D3593" w:rsidRPr="00BC17C4" w:rsidP="001D3593">
      <w:pPr>
        <w:bidi w:val="0"/>
        <w:spacing w:before="180" w:after="120" w:line="336" w:lineRule="auto"/>
        <w:ind w:left="425" w:hanging="425"/>
        <w:rPr>
          <w:rFonts w:ascii="Times New Roman" w:hAnsi="Times New Roman"/>
          <w:b/>
          <w:szCs w:val="22"/>
          <w:lang w:eastAsia="sk-SK"/>
        </w:rPr>
      </w:pPr>
      <w:r w:rsidRPr="00BC17C4">
        <w:rPr>
          <w:rFonts w:ascii="Times New Roman" w:hAnsi="Times New Roman"/>
          <w:b/>
          <w:szCs w:val="22"/>
          <w:lang w:eastAsia="sk-SK"/>
        </w:rPr>
        <w:t>Neobežný majetok</w:t>
      </w:r>
    </w:p>
    <w:p w:rsidR="001D3593" w:rsidRPr="00BC17C4" w:rsidP="001D3593">
      <w:pPr>
        <w:bidi w:val="0"/>
        <w:spacing w:after="120" w:line="336" w:lineRule="auto"/>
        <w:jc w:val="both"/>
        <w:rPr>
          <w:rFonts w:ascii="Times New Roman" w:hAnsi="Times New Roman"/>
          <w:b/>
          <w:szCs w:val="22"/>
          <w:lang w:eastAsia="sk-SK"/>
        </w:rPr>
      </w:pPr>
      <w:r w:rsidRPr="00BC17C4">
        <w:rPr>
          <w:rFonts w:ascii="Times New Roman" w:hAnsi="Times New Roman"/>
          <w:szCs w:val="22"/>
          <w:lang w:eastAsia="sk-SK"/>
        </w:rPr>
        <w:t xml:space="preserve">Neobežný majetok je tvorený dlhodobým nehmotným, hmotným a finančným majetkom. </w:t>
      </w:r>
      <w:r w:rsidRPr="00BC17C4">
        <w:rPr>
          <w:rFonts w:ascii="Times New Roman" w:hAnsi="Times New Roman"/>
          <w:b/>
          <w:szCs w:val="22"/>
          <w:lang w:eastAsia="sk-SK"/>
        </w:rPr>
        <w:t>Podrobné finančné informácie ku každej z týchto položiek sú uvedené v poznámkach súhrnnej účtovnej závierky verejnej správy SR za rok 2014</w:t>
      </w:r>
      <w:r w:rsidRPr="00BC17C4">
        <w:rPr>
          <w:rFonts w:ascii="Times New Roman" w:hAnsi="Times New Roman"/>
          <w:szCs w:val="22"/>
          <w:lang w:eastAsia="sk-SK"/>
        </w:rPr>
        <w:t xml:space="preserve"> (časť III. aktíva, položky A.I. až A.III.). Nižšie uvedený text sa venuje len jeho najvýznamnejším položkám z hľadiska hodnoty alebo ich významu pre krajinu.</w:t>
      </w:r>
    </w:p>
    <w:p w:rsidR="001D3593" w:rsidRPr="00BC17C4" w:rsidP="001D3593">
      <w:pPr>
        <w:bidi w:val="0"/>
        <w:spacing w:before="120" w:after="120" w:line="336" w:lineRule="auto"/>
        <w:jc w:val="both"/>
        <w:rPr>
          <w:rFonts w:ascii="Times New Roman" w:hAnsi="Times New Roman"/>
          <w:i/>
          <w:szCs w:val="22"/>
          <w:u w:val="single"/>
          <w:lang w:eastAsia="sk-SK"/>
        </w:rPr>
      </w:pPr>
      <w:r w:rsidRPr="00BC17C4">
        <w:rPr>
          <w:rFonts w:ascii="Times New Roman" w:hAnsi="Times New Roman"/>
          <w:i/>
          <w:szCs w:val="22"/>
          <w:u w:val="single"/>
          <w:lang w:eastAsia="sk-SK"/>
        </w:rPr>
        <w:t>Dlhodobý nehmotný majetok</w:t>
      </w:r>
    </w:p>
    <w:p w:rsidR="001D3593" w:rsidRPr="00BC17C4" w:rsidP="001D3593">
      <w:pPr>
        <w:tabs>
          <w:tab w:val="num" w:pos="0"/>
        </w:tabs>
        <w:bidi w:val="0"/>
        <w:spacing w:after="120" w:line="336" w:lineRule="auto"/>
        <w:jc w:val="both"/>
        <w:rPr>
          <w:rFonts w:ascii="Times New Roman" w:hAnsi="Times New Roman"/>
          <w:szCs w:val="22"/>
          <w:lang w:eastAsia="sk-SK"/>
        </w:rPr>
      </w:pPr>
      <w:r w:rsidRPr="00BC17C4">
        <w:rPr>
          <w:rFonts w:ascii="Times New Roman" w:hAnsi="Times New Roman"/>
          <w:szCs w:val="22"/>
          <w:lang w:eastAsia="sk-SK"/>
        </w:rPr>
        <w:t>Dlhodobý nehmotný majetok súhrnného celku dosiahol k 31.12.2014 hodnotu 793 076 tis. eur. Najväčší podiel na tomto majetku tvorí softvér, v hodnote 425 784 tis. eur a obstaranie dlhodobého nehmotného majetku, t. j. nezaradeného do používania v sume 324 265 tis. eur. Dlhodobý nehmotný majetok oproti roku 2013 vzrástol o 125 318 tis. eur, a to najmä z dôvodu prírastku obstarania softvéru</w:t>
      </w:r>
      <w:r>
        <w:rPr>
          <w:rFonts w:ascii="Times New Roman" w:hAnsi="Times New Roman"/>
          <w:szCs w:val="22"/>
          <w:lang w:eastAsia="sk-SK"/>
        </w:rPr>
        <w:t xml:space="preserve"> a iného </w:t>
      </w:r>
      <w:r w:rsidRPr="00BC17C4">
        <w:rPr>
          <w:rFonts w:ascii="Times New Roman" w:hAnsi="Times New Roman"/>
          <w:szCs w:val="22"/>
          <w:lang w:eastAsia="sk-SK"/>
        </w:rPr>
        <w:t>nehmotného majetku.</w:t>
      </w:r>
    </w:p>
    <w:p w:rsidR="001D3593" w:rsidRPr="00BC17C4" w:rsidP="001D3593">
      <w:pPr>
        <w:tabs>
          <w:tab w:val="num" w:pos="0"/>
        </w:tabs>
        <w:bidi w:val="0"/>
        <w:spacing w:before="180" w:after="120" w:line="336" w:lineRule="auto"/>
        <w:jc w:val="both"/>
        <w:rPr>
          <w:rFonts w:ascii="Times New Roman" w:hAnsi="Times New Roman"/>
          <w:szCs w:val="22"/>
          <w:lang w:eastAsia="sk-SK"/>
        </w:rPr>
      </w:pPr>
      <w:r w:rsidRPr="00BC17C4">
        <w:rPr>
          <w:rFonts w:ascii="Times New Roman" w:hAnsi="Times New Roman"/>
          <w:szCs w:val="22"/>
          <w:lang w:eastAsia="sk-SK"/>
        </w:rPr>
        <w:t>Položku softvér tvoria všetky informačné systémy a programy, ktoré subjekty súhrnného celku nakupujú samostatne (nie sú súčasťou dodávky hardvéru) pre účely zabezpečenia svojich</w:t>
      </w:r>
      <w:r>
        <w:rPr>
          <w:rFonts w:ascii="Times New Roman" w:hAnsi="Times New Roman"/>
          <w:szCs w:val="22"/>
          <w:lang w:eastAsia="sk-SK"/>
        </w:rPr>
        <w:t xml:space="preserve"> </w:t>
      </w:r>
      <w:r w:rsidRPr="00BC17C4">
        <w:rPr>
          <w:rFonts w:ascii="Times New Roman" w:hAnsi="Times New Roman"/>
          <w:szCs w:val="22"/>
          <w:lang w:eastAsia="sk-SK"/>
        </w:rPr>
        <w:t>administratívnych úloh a poskytovanie služieb právnickým a fyzickým osobám na území SR ale aj mimo nej.</w:t>
      </w:r>
    </w:p>
    <w:p w:rsidR="001D3593" w:rsidRPr="00BC17C4" w:rsidP="001D3593">
      <w:pPr>
        <w:tabs>
          <w:tab w:val="num" w:pos="0"/>
        </w:tabs>
        <w:bidi w:val="0"/>
        <w:spacing w:before="180" w:after="120" w:line="336" w:lineRule="auto"/>
        <w:jc w:val="both"/>
        <w:rPr>
          <w:rFonts w:ascii="Times New Roman" w:hAnsi="Times New Roman"/>
          <w:szCs w:val="22"/>
          <w:lang w:eastAsia="sk-SK"/>
        </w:rPr>
      </w:pPr>
      <w:r w:rsidRPr="00BC17C4">
        <w:rPr>
          <w:rFonts w:ascii="Times New Roman" w:hAnsi="Times New Roman"/>
          <w:szCs w:val="22"/>
          <w:lang w:eastAsia="sk-SK"/>
        </w:rPr>
        <w:t xml:space="preserve">Vzhľadom na špecifické činnosti ústrednej správy je hodnota softvéru najvyššia práve v štátnych rozpočtových organizáciách, a to 260 618 tis. eur. Spomedzi nich ide hlavne o Ministerstvo vnútra SR (76 550 tis. eur), Finančné riaditeľstvo </w:t>
      </w:r>
      <w:r>
        <w:rPr>
          <w:rFonts w:ascii="Times New Roman" w:hAnsi="Times New Roman"/>
          <w:szCs w:val="22"/>
          <w:lang w:eastAsia="sk-SK"/>
        </w:rPr>
        <w:t xml:space="preserve">SR </w:t>
      </w:r>
      <w:r w:rsidRPr="00BC17C4">
        <w:rPr>
          <w:rFonts w:ascii="Times New Roman" w:hAnsi="Times New Roman"/>
          <w:szCs w:val="22"/>
          <w:lang w:eastAsia="sk-SK"/>
        </w:rPr>
        <w:t xml:space="preserve">(41 758 tis. eur), Ministerstvo financií SR (28 180 tis. eur), Štatistický úrad SR (18 779 tis. eur) a ďalšie. Informačné systémy ústrednej správy majú celoštátne využitie a účely (zber a spracovanie dát, informačné systémy pre správu daní, informačný systém Štátnej pokladnice, rozpočtový informačný systém pre ústrednú správu a územnú samosprávu, register obyvateľstva, centrálny konsolidačný systém, register účtovných závierok a ďalšie). Do softvéru patria aj všetky štandardné administratívne a kancelárske softvéry, účtovné systémy, bezpečnostné systémy a podobne. </w:t>
      </w:r>
    </w:p>
    <w:tbl>
      <w:tblPr>
        <w:tblStyle w:val="TableNormal"/>
        <w:tblW w:w="4923" w:type="pct"/>
        <w:tblInd w:w="70" w:type="dxa"/>
        <w:tblLayout w:type="fixed"/>
        <w:tblCellMar>
          <w:left w:w="70" w:type="dxa"/>
          <w:right w:w="70" w:type="dxa"/>
        </w:tblCellMar>
        <w:tblLook w:val="04A0"/>
      </w:tblPr>
      <w:tblGrid>
        <w:gridCol w:w="6096"/>
        <w:gridCol w:w="1701"/>
        <w:gridCol w:w="706"/>
        <w:gridCol w:w="566"/>
      </w:tblGrid>
      <w:tr>
        <w:tblPrEx>
          <w:tblW w:w="4923" w:type="pct"/>
          <w:tblInd w:w="70" w:type="dxa"/>
          <w:tblLayout w:type="fixed"/>
          <w:tblCellMar>
            <w:left w:w="70" w:type="dxa"/>
            <w:right w:w="70" w:type="dxa"/>
          </w:tblCellMar>
          <w:tblLook w:val="04A0"/>
        </w:tblPrEx>
        <w:trPr>
          <w:trHeight w:val="330"/>
        </w:trPr>
        <w:tc>
          <w:tcPr>
            <w:tcW w:w="5000" w:type="pct"/>
            <w:gridSpan w:val="4"/>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rPr>
                <w:rFonts w:ascii="Times New Roman" w:hAnsi="Times New Roman"/>
                <w:b/>
                <w:bCs/>
                <w:color w:val="FFFFFF"/>
                <w:sz w:val="20"/>
                <w:szCs w:val="20"/>
                <w:lang w:eastAsia="sk-SK"/>
              </w:rPr>
            </w:pPr>
            <w:r>
              <w:rPr>
                <w:rFonts w:ascii="Times New Roman" w:hAnsi="Times New Roman"/>
                <w:b/>
                <w:bCs/>
                <w:color w:val="FFFFFF"/>
                <w:sz w:val="20"/>
                <w:szCs w:val="20"/>
                <w:lang w:eastAsia="sk-SK"/>
              </w:rPr>
              <w:t>Hodnota softvéru</w:t>
            </w:r>
            <w:r w:rsidRPr="00BC17C4">
              <w:rPr>
                <w:rFonts w:ascii="Times New Roman" w:hAnsi="Times New Roman"/>
                <w:b/>
                <w:bCs/>
                <w:color w:val="FFFFFF"/>
                <w:sz w:val="20"/>
                <w:szCs w:val="20"/>
                <w:lang w:eastAsia="sk-SK"/>
              </w:rPr>
              <w:t xml:space="preserve"> </w:t>
            </w:r>
            <w:r>
              <w:rPr>
                <w:rFonts w:ascii="Times New Roman" w:hAnsi="Times New Roman"/>
                <w:b/>
                <w:bCs/>
                <w:color w:val="FFFFFF"/>
                <w:sz w:val="20"/>
                <w:szCs w:val="20"/>
                <w:lang w:eastAsia="sk-SK"/>
              </w:rPr>
              <w:t xml:space="preserve">podľa </w:t>
            </w:r>
            <w:r w:rsidRPr="00BC17C4">
              <w:rPr>
                <w:rFonts w:ascii="Times New Roman" w:hAnsi="Times New Roman"/>
                <w:b/>
                <w:bCs/>
                <w:color w:val="FFFFFF"/>
                <w:sz w:val="20"/>
                <w:szCs w:val="20"/>
                <w:lang w:eastAsia="sk-SK"/>
              </w:rPr>
              <w:t>jednotlivých skupín subjektov súhrnného celku (v tis. eur) </w:t>
            </w:r>
          </w:p>
        </w:tc>
      </w:tr>
      <w:tr>
        <w:tblPrEx>
          <w:tblW w:w="4923" w:type="pct"/>
          <w:tblInd w:w="70" w:type="dxa"/>
          <w:tblLayout w:type="fixed"/>
          <w:tblCellMar>
            <w:left w:w="70" w:type="dxa"/>
            <w:right w:w="70" w:type="dxa"/>
          </w:tblCellMar>
          <w:tblLook w:val="04A0"/>
        </w:tblPrEx>
        <w:trPr>
          <w:trHeight w:val="390"/>
        </w:trPr>
        <w:tc>
          <w:tcPr>
            <w:tcW w:w="3361"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p>
        </w:tc>
        <w:tc>
          <w:tcPr>
            <w:tcW w:w="1327" w:type="pct"/>
            <w:gridSpan w:val="2"/>
            <w:tcBorders>
              <w:top w:val="nil"/>
              <w:left w:val="nil"/>
              <w:bottom w:val="single" w:sz="4" w:space="0" w:color="auto"/>
              <w:right w:val="nil"/>
            </w:tcBorders>
            <w:noWrap/>
            <w:textDirection w:val="lrTb"/>
            <w:vAlign w:val="bottom"/>
          </w:tcPr>
          <w:p w:rsidR="001D3593" w:rsidRPr="00BC17C4" w:rsidP="004B7DC7">
            <w:pPr>
              <w:bidi w:val="0"/>
              <w:spacing w:after="0" w:line="240" w:lineRule="auto"/>
              <w:ind w:left="354"/>
              <w:jc w:val="center"/>
              <w:rPr>
                <w:rFonts w:ascii="Times New Roman" w:hAnsi="Times New Roman"/>
                <w:b/>
                <w:bCs/>
                <w:sz w:val="20"/>
                <w:szCs w:val="20"/>
                <w:lang w:eastAsia="sk-SK"/>
              </w:rPr>
            </w:pPr>
            <w:r w:rsidRPr="00BC17C4">
              <w:rPr>
                <w:rFonts w:ascii="Times New Roman" w:hAnsi="Times New Roman"/>
                <w:b/>
                <w:bCs/>
                <w:sz w:val="20"/>
                <w:szCs w:val="20"/>
                <w:lang w:eastAsia="sk-SK"/>
              </w:rPr>
              <w:t>2014</w:t>
            </w:r>
          </w:p>
        </w:tc>
        <w:tc>
          <w:tcPr>
            <w:tcW w:w="312"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2013</w:t>
            </w:r>
          </w:p>
        </w:tc>
      </w:tr>
      <w:tr>
        <w:tblPrEx>
          <w:tblW w:w="4923" w:type="pct"/>
          <w:tblInd w:w="70" w:type="dxa"/>
          <w:tblLayout w:type="fixed"/>
          <w:tblCellMar>
            <w:left w:w="70" w:type="dxa"/>
            <w:right w:w="70" w:type="dxa"/>
          </w:tblCellMar>
          <w:tblLook w:val="04A0"/>
        </w:tblPrEx>
        <w:trPr>
          <w:trHeight w:val="330"/>
        </w:trPr>
        <w:tc>
          <w:tcPr>
            <w:tcW w:w="3361" w:type="pct"/>
            <w:tcBorders>
              <w:top w:val="nil"/>
              <w:left w:val="nil"/>
              <w:bottom w:val="nil"/>
              <w:right w:val="nil"/>
            </w:tcBorders>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Ústredná štátna správa</w:t>
            </w:r>
          </w:p>
        </w:tc>
        <w:tc>
          <w:tcPr>
            <w:tcW w:w="938"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383 820</w:t>
            </w:r>
          </w:p>
        </w:tc>
        <w:tc>
          <w:tcPr>
            <w:tcW w:w="701"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 xml:space="preserve">         303 582</w:t>
            </w:r>
          </w:p>
        </w:tc>
      </w:tr>
      <w:tr>
        <w:tblPrEx>
          <w:tblW w:w="4923" w:type="pct"/>
          <w:tblInd w:w="70" w:type="dxa"/>
          <w:tblLayout w:type="fixed"/>
          <w:tblCellMar>
            <w:left w:w="70" w:type="dxa"/>
            <w:right w:w="70" w:type="dxa"/>
          </w:tblCellMar>
          <w:tblLook w:val="04A0"/>
        </w:tblPrEx>
        <w:trPr>
          <w:trHeight w:val="393"/>
        </w:trPr>
        <w:tc>
          <w:tcPr>
            <w:tcW w:w="3361"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Územná samospráva</w:t>
            </w:r>
          </w:p>
        </w:tc>
        <w:tc>
          <w:tcPr>
            <w:tcW w:w="938"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7 025</w:t>
            </w:r>
          </w:p>
        </w:tc>
        <w:tc>
          <w:tcPr>
            <w:tcW w:w="701"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 xml:space="preserve">        6 911</w:t>
            </w:r>
          </w:p>
        </w:tc>
      </w:tr>
      <w:tr>
        <w:tblPrEx>
          <w:tblW w:w="4923" w:type="pct"/>
          <w:tblInd w:w="70" w:type="dxa"/>
          <w:tblLayout w:type="fixed"/>
          <w:tblCellMar>
            <w:left w:w="70" w:type="dxa"/>
            <w:right w:w="70" w:type="dxa"/>
          </w:tblCellMar>
          <w:tblLook w:val="04A0"/>
        </w:tblPrEx>
        <w:trPr>
          <w:trHeight w:val="318"/>
        </w:trPr>
        <w:tc>
          <w:tcPr>
            <w:tcW w:w="3361"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 xml:space="preserve">Štátne podniky </w:t>
            </w:r>
          </w:p>
        </w:tc>
        <w:tc>
          <w:tcPr>
            <w:tcW w:w="938"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10 518</w:t>
            </w:r>
          </w:p>
        </w:tc>
        <w:tc>
          <w:tcPr>
            <w:tcW w:w="701"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8 905</w:t>
            </w:r>
          </w:p>
        </w:tc>
      </w:tr>
      <w:tr>
        <w:tblPrEx>
          <w:tblW w:w="4923" w:type="pct"/>
          <w:tblInd w:w="70" w:type="dxa"/>
          <w:tblLayout w:type="fixed"/>
          <w:tblCellMar>
            <w:left w:w="70" w:type="dxa"/>
            <w:right w:w="70" w:type="dxa"/>
          </w:tblCellMar>
          <w:tblLook w:val="04A0"/>
        </w:tblPrEx>
        <w:trPr>
          <w:trHeight w:val="213"/>
        </w:trPr>
        <w:tc>
          <w:tcPr>
            <w:tcW w:w="3361"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Ostatné subjekty</w:t>
            </w:r>
          </w:p>
        </w:tc>
        <w:tc>
          <w:tcPr>
            <w:tcW w:w="938"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24 421</w:t>
            </w:r>
          </w:p>
        </w:tc>
        <w:tc>
          <w:tcPr>
            <w:tcW w:w="701"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27 133</w:t>
            </w:r>
          </w:p>
        </w:tc>
      </w:tr>
      <w:tr>
        <w:tblPrEx>
          <w:tblW w:w="4923" w:type="pct"/>
          <w:tblInd w:w="70" w:type="dxa"/>
          <w:tblLayout w:type="fixed"/>
          <w:tblCellMar>
            <w:left w:w="70" w:type="dxa"/>
            <w:right w:w="70" w:type="dxa"/>
          </w:tblCellMar>
          <w:tblLook w:val="04A0"/>
        </w:tblPrEx>
        <w:trPr>
          <w:trHeight w:val="213"/>
        </w:trPr>
        <w:tc>
          <w:tcPr>
            <w:tcW w:w="3361" w:type="pct"/>
            <w:tcBorders>
              <w:top w:val="nil"/>
              <w:left w:val="nil"/>
              <w:bottom w:val="single" w:sz="4" w:space="0" w:color="auto"/>
              <w:right w:val="nil"/>
            </w:tcBorders>
            <w:noWrap/>
            <w:textDirection w:val="lrTb"/>
            <w:vAlign w:val="center"/>
          </w:tcPr>
          <w:p w:rsidR="001D3593" w:rsidRPr="00BC17C4" w:rsidP="004B7DC7">
            <w:pPr>
              <w:bidi w:val="0"/>
              <w:spacing w:after="0" w:line="360" w:lineRule="auto"/>
              <w:rPr>
                <w:rFonts w:ascii="Times New Roman" w:hAnsi="Times New Roman"/>
                <w:b/>
                <w:sz w:val="20"/>
                <w:szCs w:val="20"/>
                <w:lang w:eastAsia="sk-SK"/>
              </w:rPr>
            </w:pPr>
            <w:r w:rsidRPr="00BC17C4">
              <w:rPr>
                <w:rFonts w:ascii="Times New Roman" w:hAnsi="Times New Roman"/>
                <w:b/>
                <w:sz w:val="20"/>
                <w:szCs w:val="20"/>
                <w:lang w:eastAsia="sk-SK"/>
              </w:rPr>
              <w:t>Spolu</w:t>
            </w:r>
          </w:p>
        </w:tc>
        <w:tc>
          <w:tcPr>
            <w:tcW w:w="938"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425 784</w:t>
            </w:r>
          </w:p>
        </w:tc>
        <w:tc>
          <w:tcPr>
            <w:tcW w:w="701" w:type="pct"/>
            <w:gridSpan w:val="2"/>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346 531</w:t>
            </w:r>
          </w:p>
        </w:tc>
      </w:tr>
    </w:tbl>
    <w:p w:rsidR="001D3593" w:rsidRPr="00BC17C4" w:rsidP="001D3593">
      <w:pPr>
        <w:tabs>
          <w:tab w:val="num" w:pos="0"/>
        </w:tabs>
        <w:bidi w:val="0"/>
        <w:spacing w:before="180" w:after="120" w:line="336" w:lineRule="auto"/>
        <w:jc w:val="both"/>
        <w:rPr>
          <w:rFonts w:ascii="Times New Roman" w:hAnsi="Times New Roman"/>
          <w:szCs w:val="22"/>
          <w:lang w:eastAsia="sk-SK"/>
        </w:rPr>
      </w:pPr>
      <w:r w:rsidRPr="00BC17C4">
        <w:rPr>
          <w:rFonts w:ascii="Times New Roman" w:hAnsi="Times New Roman"/>
          <w:szCs w:val="22"/>
          <w:lang w:eastAsia="sk-SK"/>
        </w:rPr>
        <w:t>Na hodnote majetku v procese obstarania sa podieľa najmä ústredná štátna správa sumou</w:t>
      </w:r>
      <w:r>
        <w:rPr>
          <w:rFonts w:ascii="Times New Roman" w:hAnsi="Times New Roman"/>
          <w:szCs w:val="22"/>
          <w:lang w:eastAsia="sk-SK"/>
        </w:rPr>
        <w:br/>
      </w:r>
      <w:r w:rsidRPr="00BC17C4">
        <w:rPr>
          <w:rFonts w:ascii="Times New Roman" w:hAnsi="Times New Roman"/>
          <w:szCs w:val="22"/>
          <w:lang w:eastAsia="sk-SK"/>
        </w:rPr>
        <w:t xml:space="preserve">283 277 tis. eur, pričom ide hlavne o ďalšie softvérové programy štátnych úradov, ktoré sú v procese obstarávania (napríklad v rámci projektu elektronizácie súdov a súdnych podaní, elektronické služby na komunikáciu obyvateľstva so štátnymi úradmi a podobne). </w:t>
      </w:r>
    </w:p>
    <w:p w:rsidR="001D3593" w:rsidRPr="00BC17C4" w:rsidP="001D3593">
      <w:pPr>
        <w:tabs>
          <w:tab w:val="num" w:pos="0"/>
        </w:tabs>
        <w:bidi w:val="0"/>
        <w:spacing w:before="180" w:after="120" w:line="336" w:lineRule="auto"/>
        <w:jc w:val="both"/>
        <w:rPr>
          <w:rFonts w:ascii="Times New Roman" w:hAnsi="Times New Roman"/>
          <w:i/>
          <w:szCs w:val="22"/>
          <w:u w:val="single"/>
          <w:lang w:eastAsia="sk-SK"/>
        </w:rPr>
      </w:pPr>
      <w:r w:rsidRPr="00BC17C4">
        <w:rPr>
          <w:rFonts w:ascii="Times New Roman" w:hAnsi="Times New Roman"/>
          <w:i/>
          <w:szCs w:val="22"/>
          <w:u w:val="single"/>
          <w:lang w:eastAsia="sk-SK"/>
        </w:rPr>
        <w:t>Dlhodobý hmotný majetok</w:t>
      </w:r>
    </w:p>
    <w:p w:rsidR="00A924C8" w:rsidP="001D3593">
      <w:pPr>
        <w:tabs>
          <w:tab w:val="num" w:pos="0"/>
        </w:tabs>
        <w:bidi w:val="0"/>
        <w:spacing w:after="120" w:line="336" w:lineRule="auto"/>
        <w:jc w:val="both"/>
        <w:rPr>
          <w:rFonts w:ascii="Times New Roman" w:hAnsi="Times New Roman"/>
          <w:szCs w:val="22"/>
          <w:lang w:eastAsia="sk-SK"/>
        </w:rPr>
      </w:pPr>
      <w:r w:rsidRPr="00BC17C4" w:rsidR="001D3593">
        <w:rPr>
          <w:rFonts w:ascii="Times New Roman" w:hAnsi="Times New Roman"/>
          <w:szCs w:val="22"/>
          <w:lang w:eastAsia="sk-SK"/>
        </w:rPr>
        <w:t>Dlhodobý hmotný majetok súhrnného celku dosiahol k 31.12.2014 hodnotu 40 321 856 tis. eur a oproti roku 2013 jeho účtovná hodnota vzrástla o 1 643 267 tis. eur. Najväčší podiel tvoria stavby v hodnote 23 614 512 tis. eur, pozemky 8 767 190 tis. eur a dlhodobý hmotný majetok v procese obstarávania 4 097 704 tis. eur. Medziročný prírastok bol spôsobený najmä prírastkom stavieb</w:t>
        <w:br/>
        <w:t xml:space="preserve">o 528 046 tis. eur, prírastkom obstarávaného majetku o 474 952 tis. eur a prírastkom hodnoty pozemkov o 405 343 tis. eur. </w:t>
      </w:r>
    </w:p>
    <w:p w:rsidR="00A924C8">
      <w:pPr>
        <w:bidi w:val="0"/>
        <w:rPr>
          <w:rFonts w:ascii="Times New Roman" w:hAnsi="Times New Roman"/>
          <w:szCs w:val="22"/>
          <w:lang w:eastAsia="sk-SK"/>
        </w:rPr>
      </w:pPr>
      <w:r>
        <w:rPr>
          <w:rFonts w:ascii="Times New Roman" w:hAnsi="Times New Roman"/>
          <w:szCs w:val="22"/>
          <w:lang w:eastAsia="sk-SK"/>
        </w:rPr>
        <w:br w:type="page"/>
      </w:r>
    </w:p>
    <w:tbl>
      <w:tblPr>
        <w:tblStyle w:val="TableNormal"/>
        <w:tblW w:w="4925" w:type="pct"/>
        <w:tblInd w:w="70" w:type="dxa"/>
        <w:tblLayout w:type="fixed"/>
        <w:tblCellMar>
          <w:left w:w="70" w:type="dxa"/>
          <w:right w:w="70" w:type="dxa"/>
        </w:tblCellMar>
        <w:tblLook w:val="04A0"/>
      </w:tblPr>
      <w:tblGrid>
        <w:gridCol w:w="6522"/>
        <w:gridCol w:w="1415"/>
        <w:gridCol w:w="285"/>
        <w:gridCol w:w="851"/>
      </w:tblGrid>
      <w:tr>
        <w:tblPrEx>
          <w:tblW w:w="4925" w:type="pct"/>
          <w:tblInd w:w="70" w:type="dxa"/>
          <w:tblLayout w:type="fixed"/>
          <w:tblCellMar>
            <w:left w:w="70" w:type="dxa"/>
            <w:right w:w="70" w:type="dxa"/>
          </w:tblCellMar>
          <w:tblLook w:val="04A0"/>
        </w:tblPrEx>
        <w:trPr>
          <w:trHeight w:val="330"/>
        </w:trPr>
        <w:tc>
          <w:tcPr>
            <w:tcW w:w="5000" w:type="pct"/>
            <w:gridSpan w:val="4"/>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rPr>
                <w:rFonts w:ascii="Times New Roman" w:hAnsi="Times New Roman"/>
                <w:b/>
                <w:bCs/>
                <w:color w:val="FFFFFF"/>
                <w:sz w:val="20"/>
                <w:szCs w:val="20"/>
                <w:lang w:eastAsia="sk-SK"/>
              </w:rPr>
            </w:pPr>
            <w:r>
              <w:rPr>
                <w:rFonts w:ascii="Times New Roman" w:hAnsi="Times New Roman"/>
                <w:b/>
                <w:bCs/>
                <w:color w:val="FFFFFF"/>
                <w:sz w:val="20"/>
                <w:szCs w:val="20"/>
                <w:lang w:eastAsia="sk-SK"/>
              </w:rPr>
              <w:t>Hodnota stavieb</w:t>
            </w:r>
            <w:r w:rsidRPr="00BC17C4">
              <w:rPr>
                <w:rFonts w:ascii="Times New Roman" w:hAnsi="Times New Roman"/>
                <w:b/>
                <w:bCs/>
                <w:color w:val="FFFFFF"/>
                <w:sz w:val="20"/>
                <w:szCs w:val="20"/>
                <w:lang w:eastAsia="sk-SK"/>
              </w:rPr>
              <w:t xml:space="preserve"> </w:t>
            </w:r>
            <w:r>
              <w:rPr>
                <w:rFonts w:ascii="Times New Roman" w:hAnsi="Times New Roman"/>
                <w:b/>
                <w:bCs/>
                <w:color w:val="FFFFFF"/>
                <w:sz w:val="20"/>
                <w:szCs w:val="20"/>
                <w:lang w:eastAsia="sk-SK"/>
              </w:rPr>
              <w:t xml:space="preserve">podľa </w:t>
            </w:r>
            <w:r w:rsidRPr="00BC17C4">
              <w:rPr>
                <w:rFonts w:ascii="Times New Roman" w:hAnsi="Times New Roman"/>
                <w:b/>
                <w:bCs/>
                <w:color w:val="FFFFFF"/>
                <w:sz w:val="20"/>
                <w:szCs w:val="20"/>
                <w:lang w:eastAsia="sk-SK"/>
              </w:rPr>
              <w:t>jednotlivých skupín subjektov súhrnného celku (v tis. eur) </w:t>
            </w:r>
          </w:p>
        </w:tc>
      </w:tr>
      <w:tr>
        <w:tblPrEx>
          <w:tblW w:w="4925" w:type="pct"/>
          <w:tblInd w:w="70" w:type="dxa"/>
          <w:tblLayout w:type="fixed"/>
          <w:tblCellMar>
            <w:left w:w="70" w:type="dxa"/>
            <w:right w:w="70" w:type="dxa"/>
          </w:tblCellMar>
          <w:tblLook w:val="04A0"/>
        </w:tblPrEx>
        <w:trPr>
          <w:trHeight w:val="330"/>
        </w:trPr>
        <w:tc>
          <w:tcPr>
            <w:tcW w:w="3594"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p>
        </w:tc>
        <w:tc>
          <w:tcPr>
            <w:tcW w:w="937" w:type="pct"/>
            <w:gridSpan w:val="2"/>
            <w:tcBorders>
              <w:top w:val="nil"/>
              <w:left w:val="nil"/>
              <w:bottom w:val="single" w:sz="4" w:space="0" w:color="auto"/>
              <w:right w:val="nil"/>
            </w:tcBorders>
            <w:noWrap/>
            <w:textDirection w:val="lrTb"/>
            <w:vAlign w:val="bottom"/>
          </w:tcPr>
          <w:p w:rsidR="001D3593" w:rsidRPr="00BC17C4" w:rsidP="004B7DC7">
            <w:pPr>
              <w:bidi w:val="0"/>
              <w:spacing w:after="0" w:line="240" w:lineRule="auto"/>
              <w:ind w:left="354"/>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2014       </w:t>
            </w:r>
          </w:p>
        </w:tc>
        <w:tc>
          <w:tcPr>
            <w:tcW w:w="469"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4925" w:type="pct"/>
          <w:tblInd w:w="70" w:type="dxa"/>
          <w:tblLayout w:type="fixed"/>
          <w:tblCellMar>
            <w:left w:w="70" w:type="dxa"/>
            <w:right w:w="70" w:type="dxa"/>
          </w:tblCellMar>
          <w:tblLook w:val="04A0"/>
        </w:tblPrEx>
        <w:trPr>
          <w:trHeight w:val="330"/>
        </w:trPr>
        <w:tc>
          <w:tcPr>
            <w:tcW w:w="3594" w:type="pct"/>
            <w:tcBorders>
              <w:top w:val="nil"/>
              <w:left w:val="nil"/>
              <w:bottom w:val="nil"/>
              <w:right w:val="nil"/>
            </w:tcBorders>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Ústredná štátna správa</w:t>
            </w:r>
          </w:p>
        </w:tc>
        <w:tc>
          <w:tcPr>
            <w:tcW w:w="780"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10 050 967</w:t>
            </w:r>
          </w:p>
        </w:tc>
        <w:tc>
          <w:tcPr>
            <w:tcW w:w="626"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 xml:space="preserve">   9 900 693</w:t>
            </w:r>
          </w:p>
        </w:tc>
      </w:tr>
      <w:tr>
        <w:tblPrEx>
          <w:tblW w:w="4925" w:type="pct"/>
          <w:tblInd w:w="70" w:type="dxa"/>
          <w:tblLayout w:type="fixed"/>
          <w:tblCellMar>
            <w:left w:w="70" w:type="dxa"/>
            <w:right w:w="70" w:type="dxa"/>
          </w:tblCellMar>
          <w:tblLook w:val="04A0"/>
        </w:tblPrEx>
        <w:trPr>
          <w:trHeight w:val="393"/>
        </w:trPr>
        <w:tc>
          <w:tcPr>
            <w:tcW w:w="3594"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Územná samospráva</w:t>
            </w:r>
          </w:p>
        </w:tc>
        <w:tc>
          <w:tcPr>
            <w:tcW w:w="780"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8 734 003</w:t>
            </w:r>
          </w:p>
        </w:tc>
        <w:tc>
          <w:tcPr>
            <w:tcW w:w="626"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 xml:space="preserve">   8 397 864</w:t>
            </w:r>
          </w:p>
        </w:tc>
      </w:tr>
      <w:tr>
        <w:tblPrEx>
          <w:tblW w:w="4925" w:type="pct"/>
          <w:tblInd w:w="70" w:type="dxa"/>
          <w:tblLayout w:type="fixed"/>
          <w:tblCellMar>
            <w:left w:w="70" w:type="dxa"/>
            <w:right w:w="70" w:type="dxa"/>
          </w:tblCellMar>
          <w:tblLook w:val="04A0"/>
        </w:tblPrEx>
        <w:trPr>
          <w:trHeight w:val="213"/>
        </w:trPr>
        <w:tc>
          <w:tcPr>
            <w:tcW w:w="3594"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 xml:space="preserve">Štátne podniky </w:t>
            </w:r>
          </w:p>
        </w:tc>
        <w:tc>
          <w:tcPr>
            <w:tcW w:w="780"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4 093 522</w:t>
            </w:r>
          </w:p>
        </w:tc>
        <w:tc>
          <w:tcPr>
            <w:tcW w:w="626"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4 047 538</w:t>
            </w:r>
          </w:p>
        </w:tc>
      </w:tr>
      <w:tr>
        <w:tblPrEx>
          <w:tblW w:w="4925" w:type="pct"/>
          <w:tblInd w:w="70" w:type="dxa"/>
          <w:tblLayout w:type="fixed"/>
          <w:tblCellMar>
            <w:left w:w="70" w:type="dxa"/>
            <w:right w:w="70" w:type="dxa"/>
          </w:tblCellMar>
          <w:tblLook w:val="04A0"/>
        </w:tblPrEx>
        <w:trPr>
          <w:trHeight w:val="213"/>
        </w:trPr>
        <w:tc>
          <w:tcPr>
            <w:tcW w:w="3594"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Ostatné subjekty</w:t>
            </w:r>
          </w:p>
        </w:tc>
        <w:tc>
          <w:tcPr>
            <w:tcW w:w="780"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736 020</w:t>
            </w:r>
          </w:p>
        </w:tc>
        <w:tc>
          <w:tcPr>
            <w:tcW w:w="626"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740 371</w:t>
            </w:r>
          </w:p>
        </w:tc>
      </w:tr>
      <w:tr>
        <w:tblPrEx>
          <w:tblW w:w="4925" w:type="pct"/>
          <w:tblInd w:w="70" w:type="dxa"/>
          <w:tblLayout w:type="fixed"/>
          <w:tblCellMar>
            <w:left w:w="70" w:type="dxa"/>
            <w:right w:w="70" w:type="dxa"/>
          </w:tblCellMar>
          <w:tblLook w:val="04A0"/>
        </w:tblPrEx>
        <w:trPr>
          <w:trHeight w:val="213"/>
        </w:trPr>
        <w:tc>
          <w:tcPr>
            <w:tcW w:w="3594" w:type="pct"/>
            <w:tcBorders>
              <w:top w:val="nil"/>
              <w:left w:val="nil"/>
              <w:bottom w:val="single" w:sz="4" w:space="0" w:color="auto"/>
              <w:right w:val="nil"/>
            </w:tcBorders>
            <w:noWrap/>
            <w:textDirection w:val="lrTb"/>
            <w:vAlign w:val="center"/>
          </w:tcPr>
          <w:p w:rsidR="001D3593" w:rsidRPr="00BC17C4" w:rsidP="004B7DC7">
            <w:pPr>
              <w:bidi w:val="0"/>
              <w:spacing w:after="0" w:line="360" w:lineRule="auto"/>
              <w:rPr>
                <w:rFonts w:ascii="Times New Roman" w:hAnsi="Times New Roman"/>
                <w:b/>
                <w:sz w:val="20"/>
                <w:szCs w:val="20"/>
                <w:lang w:eastAsia="sk-SK"/>
              </w:rPr>
            </w:pPr>
            <w:r w:rsidRPr="00BC17C4">
              <w:rPr>
                <w:rFonts w:ascii="Times New Roman" w:hAnsi="Times New Roman"/>
                <w:b/>
                <w:sz w:val="20"/>
                <w:szCs w:val="20"/>
                <w:lang w:eastAsia="sk-SK"/>
              </w:rPr>
              <w:t>Spolu</w:t>
            </w:r>
          </w:p>
        </w:tc>
        <w:tc>
          <w:tcPr>
            <w:tcW w:w="780"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23 614 512</w:t>
            </w:r>
          </w:p>
        </w:tc>
        <w:tc>
          <w:tcPr>
            <w:tcW w:w="626" w:type="pct"/>
            <w:gridSpan w:val="2"/>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23 086 466</w:t>
            </w:r>
          </w:p>
        </w:tc>
      </w:tr>
    </w:tbl>
    <w:p w:rsidR="001D3593" w:rsidRPr="00BC17C4" w:rsidP="00A924C8">
      <w:pPr>
        <w:tabs>
          <w:tab w:val="num" w:pos="0"/>
        </w:tabs>
        <w:bidi w:val="0"/>
        <w:spacing w:after="120" w:line="336" w:lineRule="auto"/>
        <w:jc w:val="both"/>
        <w:rPr>
          <w:rFonts w:ascii="Times New Roman" w:hAnsi="Times New Roman"/>
          <w:szCs w:val="22"/>
          <w:lang w:eastAsia="sk-SK"/>
        </w:rPr>
      </w:pPr>
      <w:r w:rsidRPr="00BC17C4">
        <w:rPr>
          <w:rFonts w:ascii="Times New Roman" w:hAnsi="Times New Roman"/>
          <w:szCs w:val="22"/>
          <w:lang w:eastAsia="sk-SK"/>
        </w:rPr>
        <w:t>Významná hodnota stavieb súhrnného celku z pohľadu počtu subjektov je vo vlastníctve štátnych podnikov a obchodných spoločností štátu, a to 10 581 565 tis. eur. Ide hlavne o cestnú a železničnú infraštruktúru, letiská, špecifické stavby v oblasti vodného hospodárstva a priemyslu. Medziročný prírastok stavieb bol však hlavne v rámci územnej samosprávy, a to u obcí o 309 966 tis. eur a vyšších územných celkov o 26 173 tis. eur. Ústredná správa dosiahla prírastok stavieb 150 273 tis. eur. V rámci tejto skupiny vykázalo prírastok napríklad Letisko M.R. Štefánika Bratislava,</w:t>
      </w:r>
      <w:r>
        <w:rPr>
          <w:rFonts w:ascii="Times New Roman" w:hAnsi="Times New Roman"/>
          <w:szCs w:val="22"/>
          <w:lang w:eastAsia="sk-SK"/>
        </w:rPr>
        <w:t xml:space="preserve"> a.s.,</w:t>
      </w:r>
      <w:r w:rsidRPr="00BC17C4">
        <w:rPr>
          <w:rFonts w:ascii="Times New Roman" w:hAnsi="Times New Roman"/>
          <w:szCs w:val="22"/>
          <w:lang w:eastAsia="sk-SK"/>
        </w:rPr>
        <w:t xml:space="preserve"> ktoré sa stalo v roku 2014 dcérskou spoločnosťou Ministerstva dopravy, výstavby a regionálneho rozvoja SR. Ďalší významný prírastok tvorili zaradené nové alebo opravené cestné úseky </w:t>
      </w:r>
      <w:r>
        <w:rPr>
          <w:rFonts w:ascii="Times New Roman" w:hAnsi="Times New Roman"/>
          <w:szCs w:val="22"/>
          <w:lang w:eastAsia="sk-SK"/>
        </w:rPr>
        <w:t>v</w:t>
      </w:r>
      <w:r w:rsidRPr="00BC17C4">
        <w:rPr>
          <w:rFonts w:ascii="Times New Roman" w:hAnsi="Times New Roman"/>
          <w:szCs w:val="22"/>
          <w:lang w:eastAsia="sk-SK"/>
        </w:rPr>
        <w:t xml:space="preserve"> spr</w:t>
      </w:r>
      <w:r>
        <w:rPr>
          <w:rFonts w:ascii="Times New Roman" w:hAnsi="Times New Roman"/>
          <w:szCs w:val="22"/>
          <w:lang w:eastAsia="sk-SK"/>
        </w:rPr>
        <w:t>áve</w:t>
      </w:r>
      <w:r w:rsidRPr="00BC17C4">
        <w:rPr>
          <w:rFonts w:ascii="Times New Roman" w:hAnsi="Times New Roman"/>
          <w:szCs w:val="22"/>
          <w:lang w:eastAsia="sk-SK"/>
        </w:rPr>
        <w:t xml:space="preserve"> Slovenskej správy ciest a budovy a stavby, ktoré patria Slovenskému plynárenskému priemyslu, a.s.</w:t>
      </w:r>
    </w:p>
    <w:p w:rsidR="001D3593" w:rsidRPr="00BC17C4" w:rsidP="00A924C8">
      <w:pPr>
        <w:tabs>
          <w:tab w:val="num" w:pos="0"/>
        </w:tabs>
        <w:bidi w:val="0"/>
        <w:spacing w:after="120" w:line="336" w:lineRule="auto"/>
        <w:jc w:val="both"/>
        <w:rPr>
          <w:rFonts w:ascii="Times New Roman" w:hAnsi="Times New Roman"/>
          <w:szCs w:val="22"/>
          <w:lang w:eastAsia="sk-SK"/>
        </w:rPr>
      </w:pPr>
      <w:r w:rsidRPr="00BC17C4">
        <w:rPr>
          <w:rFonts w:ascii="Times New Roman" w:hAnsi="Times New Roman"/>
          <w:szCs w:val="22"/>
          <w:u w:val="single"/>
          <w:lang w:eastAsia="sk-SK"/>
        </w:rPr>
        <w:t>Najvyššiu hodnotu stavieb v rámci súhrnného celku</w:t>
      </w:r>
      <w:r w:rsidRPr="00BC17C4">
        <w:rPr>
          <w:rFonts w:ascii="Times New Roman" w:hAnsi="Times New Roman"/>
          <w:szCs w:val="22"/>
          <w:lang w:eastAsia="sk-SK"/>
        </w:rPr>
        <w:t xml:space="preserve"> vykázala štátna obchodná spoločnosť Národná diaľničná spoločnosť, a.s. (5 125 566 tis. eur), čo súvisí s predmetom jej činnosti, t.j. budovaním diaľnic, tunelov, diaľničných obchvatov a rýchlostných ciest na Slovensku. V rámci ústrednej správy ďalej nasleduje z hľadiska významnosti Ministerstvo dopravy, výstavby a regionálneho rozvoja SR (1 136 579 tis. eur), ktoré </w:t>
      </w:r>
      <w:r>
        <w:rPr>
          <w:rFonts w:ascii="Times New Roman" w:hAnsi="Times New Roman"/>
          <w:szCs w:val="22"/>
          <w:lang w:eastAsia="sk-SK"/>
        </w:rPr>
        <w:t>ako</w:t>
      </w:r>
      <w:r w:rsidRPr="00BC17C4">
        <w:rPr>
          <w:rFonts w:ascii="Times New Roman" w:hAnsi="Times New Roman"/>
          <w:szCs w:val="22"/>
          <w:lang w:eastAsia="sk-SK"/>
        </w:rPr>
        <w:t xml:space="preserve"> stavb</w:t>
      </w:r>
      <w:r>
        <w:rPr>
          <w:rFonts w:ascii="Times New Roman" w:hAnsi="Times New Roman"/>
          <w:szCs w:val="22"/>
          <w:lang w:eastAsia="sk-SK"/>
        </w:rPr>
        <w:t>y</w:t>
      </w:r>
      <w:r w:rsidRPr="00BC17C4">
        <w:rPr>
          <w:rFonts w:ascii="Times New Roman" w:hAnsi="Times New Roman"/>
          <w:szCs w:val="22"/>
          <w:lang w:eastAsia="sk-SK"/>
        </w:rPr>
        <w:t xml:space="preserve"> vyk</w:t>
      </w:r>
      <w:r>
        <w:rPr>
          <w:rFonts w:ascii="Times New Roman" w:hAnsi="Times New Roman"/>
          <w:szCs w:val="22"/>
          <w:lang w:eastAsia="sk-SK"/>
        </w:rPr>
        <w:t>a</w:t>
      </w:r>
      <w:r w:rsidRPr="00BC17C4">
        <w:rPr>
          <w:rFonts w:ascii="Times New Roman" w:hAnsi="Times New Roman"/>
          <w:szCs w:val="22"/>
          <w:lang w:eastAsia="sk-SK"/>
        </w:rPr>
        <w:t>z</w:t>
      </w:r>
      <w:r>
        <w:rPr>
          <w:rFonts w:ascii="Times New Roman" w:hAnsi="Times New Roman"/>
          <w:szCs w:val="22"/>
          <w:lang w:eastAsia="sk-SK"/>
        </w:rPr>
        <w:t>uje</w:t>
      </w:r>
      <w:r w:rsidRPr="00BC17C4">
        <w:rPr>
          <w:rFonts w:ascii="Times New Roman" w:hAnsi="Times New Roman"/>
          <w:szCs w:val="22"/>
          <w:lang w:eastAsia="sk-SK"/>
        </w:rPr>
        <w:t xml:space="preserve"> </w:t>
      </w:r>
      <w:r>
        <w:rPr>
          <w:rFonts w:ascii="Times New Roman" w:hAnsi="Times New Roman"/>
          <w:szCs w:val="22"/>
          <w:lang w:eastAsia="sk-SK"/>
        </w:rPr>
        <w:t xml:space="preserve">hlavne </w:t>
      </w:r>
      <w:r w:rsidRPr="00BC17C4">
        <w:rPr>
          <w:rFonts w:ascii="Times New Roman" w:hAnsi="Times New Roman"/>
          <w:szCs w:val="22"/>
          <w:lang w:eastAsia="sk-SK"/>
        </w:rPr>
        <w:t>hodnotu rýchlostnej cesty R1. Slovenská správa ciest (543 744 tis. eur) spravuje a udržuje v mene štátu cesty I. triedy, Slovenská elektrizačná prenosová sústava, a.s. (441 060 tis. eur) prevádzkuje elektrickú sieť, transformátory a ostatné objekty v rámci zabezpečovania prevádzkyschopnej elektrickej sústavy so stabilnou do</w:t>
      </w:r>
      <w:r>
        <w:rPr>
          <w:rFonts w:ascii="Times New Roman" w:hAnsi="Times New Roman"/>
          <w:szCs w:val="22"/>
          <w:lang w:eastAsia="sk-SK"/>
        </w:rPr>
        <w:t>dávkou energie, Transpetrol, a.</w:t>
      </w:r>
      <w:r w:rsidRPr="00BC17C4">
        <w:rPr>
          <w:rFonts w:ascii="Times New Roman" w:hAnsi="Times New Roman"/>
          <w:szCs w:val="22"/>
          <w:lang w:eastAsia="sk-SK"/>
        </w:rPr>
        <w:t>s. (286 754 tis. eur), ktorý zase buduje a prevádzkuje systémy potrubnej d</w:t>
      </w:r>
      <w:r>
        <w:rPr>
          <w:rFonts w:ascii="Times New Roman" w:hAnsi="Times New Roman"/>
          <w:szCs w:val="22"/>
          <w:lang w:eastAsia="sk-SK"/>
        </w:rPr>
        <w:t>opravy na prepravu a skladovanie</w:t>
      </w:r>
      <w:r w:rsidRPr="00BC17C4">
        <w:rPr>
          <w:rFonts w:ascii="Times New Roman" w:hAnsi="Times New Roman"/>
          <w:szCs w:val="22"/>
          <w:lang w:eastAsia="sk-SK"/>
        </w:rPr>
        <w:t xml:space="preserve"> ropy. </w:t>
      </w:r>
    </w:p>
    <w:p w:rsidR="001D3593" w:rsidRPr="00BC17C4" w:rsidP="00A924C8">
      <w:pPr>
        <w:tabs>
          <w:tab w:val="num" w:pos="0"/>
        </w:tabs>
        <w:bidi w:val="0"/>
        <w:spacing w:after="120" w:line="336" w:lineRule="auto"/>
        <w:jc w:val="both"/>
        <w:rPr>
          <w:rFonts w:ascii="Times New Roman" w:hAnsi="Times New Roman"/>
          <w:szCs w:val="22"/>
          <w:lang w:eastAsia="sk-SK"/>
        </w:rPr>
      </w:pPr>
      <w:r w:rsidRPr="00BC17C4">
        <w:rPr>
          <w:rFonts w:ascii="Times New Roman" w:hAnsi="Times New Roman"/>
          <w:szCs w:val="22"/>
          <w:lang w:eastAsia="sk-SK"/>
        </w:rPr>
        <w:t xml:space="preserve">Zo štátnych podnikov vykazujú najvyšší podiel stavieb Železnice SR (1 917 782 tis. eur) so železničnými dráhami a stanicami vo svojom dlhodobom majetku, Slovenský vodohospodársky podnik, š.p. (1 002 185 tis. eur), v ktorého súvahe sú vodohospodárske diela a iné stavby súvisiace so správou vodných tokov a povodí a Vodohospodárska výstavba, š.p. (822 636 tis. eur). Spomedzi štátnych podnikov dosiahli medziročný prírastok </w:t>
      </w:r>
      <w:r>
        <w:rPr>
          <w:rFonts w:ascii="Times New Roman" w:hAnsi="Times New Roman"/>
          <w:szCs w:val="22"/>
          <w:lang w:eastAsia="sk-SK"/>
        </w:rPr>
        <w:t>hodnoty stavieb hlavne Železnice SR, a to</w:t>
        <w:br/>
      </w:r>
      <w:r w:rsidRPr="00BC17C4">
        <w:rPr>
          <w:rFonts w:ascii="Times New Roman" w:hAnsi="Times New Roman"/>
          <w:szCs w:val="22"/>
          <w:lang w:eastAsia="sk-SK"/>
        </w:rPr>
        <w:t>46 442 tis. eur z dôvodu postupnej rekonštrukcie železničnej trate a železničných staníc na Slovensku.</w:t>
      </w:r>
    </w:p>
    <w:p w:rsidR="001D3593" w:rsidRPr="00BC17C4" w:rsidP="001D3593">
      <w:pPr>
        <w:tabs>
          <w:tab w:val="num" w:pos="0"/>
        </w:tabs>
        <w:bidi w:val="0"/>
        <w:spacing w:before="180" w:after="120" w:line="336" w:lineRule="auto"/>
        <w:jc w:val="both"/>
        <w:rPr>
          <w:rFonts w:ascii="Times New Roman" w:hAnsi="Times New Roman"/>
          <w:szCs w:val="22"/>
          <w:lang w:eastAsia="sk-SK"/>
        </w:rPr>
      </w:pPr>
      <w:r w:rsidRPr="00BC17C4">
        <w:rPr>
          <w:rFonts w:ascii="Times New Roman" w:hAnsi="Times New Roman"/>
          <w:szCs w:val="22"/>
          <w:lang w:eastAsia="sk-SK"/>
        </w:rPr>
        <w:t xml:space="preserve">Stavby sú vykazované v historických obstarávacích cenách a ich hodnota je postupne znižovaná prostredníctvom odpisov. Výška ich odpísania zvyčajne indikuje potrebu budúcich investícií, pričom tieto môžu byť hlavne v prípade starších a dlhodobo zanedbávaných stavieb významnou výdavkovou položkou v budúcich rozpočtoch organizácií verejnej správy. Aj </w:t>
      </w:r>
      <w:r w:rsidRPr="00BC17C4">
        <w:rPr>
          <w:rFonts w:ascii="Times New Roman" w:hAnsi="Times New Roman"/>
          <w:szCs w:val="22"/>
          <w:u w:val="single"/>
          <w:lang w:eastAsia="sk-SK"/>
        </w:rPr>
        <w:t>obstaranie majetku</w:t>
      </w:r>
      <w:r w:rsidRPr="00BC17C4">
        <w:rPr>
          <w:rFonts w:ascii="Times New Roman" w:hAnsi="Times New Roman"/>
          <w:szCs w:val="22"/>
          <w:lang w:eastAsia="sk-SK"/>
        </w:rPr>
        <w:t xml:space="preserve"> (t.j. majetok v procese obstarávania, nezaradený do používania do 31.12.2014) tvorila najmä budúca </w:t>
      </w:r>
      <w:r>
        <w:rPr>
          <w:rFonts w:ascii="Times New Roman" w:hAnsi="Times New Roman"/>
          <w:szCs w:val="22"/>
          <w:lang w:eastAsia="sk-SK"/>
        </w:rPr>
        <w:t xml:space="preserve">dopravná </w:t>
      </w:r>
      <w:r w:rsidRPr="00BC17C4">
        <w:rPr>
          <w:rFonts w:ascii="Times New Roman" w:hAnsi="Times New Roman"/>
          <w:szCs w:val="22"/>
          <w:lang w:eastAsia="sk-SK"/>
        </w:rPr>
        <w:t>infraštruktúra v podobe ciest, stavieb a</w:t>
      </w:r>
      <w:r>
        <w:rPr>
          <w:rFonts w:ascii="Times New Roman" w:hAnsi="Times New Roman"/>
          <w:szCs w:val="22"/>
          <w:lang w:eastAsia="sk-SK"/>
        </w:rPr>
        <w:t xml:space="preserve"> obstarania </w:t>
      </w:r>
      <w:r w:rsidRPr="00BC17C4">
        <w:rPr>
          <w:rFonts w:ascii="Times New Roman" w:hAnsi="Times New Roman"/>
          <w:szCs w:val="22"/>
          <w:lang w:eastAsia="sk-SK"/>
        </w:rPr>
        <w:t>pozemkov.</w:t>
      </w:r>
    </w:p>
    <w:p w:rsidR="001D3593" w:rsidRPr="00BC17C4" w:rsidP="001D3593">
      <w:pPr>
        <w:tabs>
          <w:tab w:val="num" w:pos="0"/>
        </w:tabs>
        <w:bidi w:val="0"/>
        <w:spacing w:before="120" w:after="120" w:line="336" w:lineRule="auto"/>
        <w:jc w:val="both"/>
        <w:rPr>
          <w:rFonts w:ascii="Times New Roman" w:hAnsi="Times New Roman"/>
          <w:szCs w:val="22"/>
          <w:lang w:eastAsia="sk-SK"/>
        </w:rPr>
      </w:pPr>
      <w:r w:rsidRPr="00BC17C4">
        <w:rPr>
          <w:rFonts w:ascii="Times New Roman" w:hAnsi="Times New Roman"/>
          <w:szCs w:val="22"/>
          <w:u w:val="single"/>
          <w:lang w:eastAsia="sk-SK"/>
        </w:rPr>
        <w:t>Z hodnoty pozemkov, ktorá k 31.12.2014 dosiahla 8 767 190 tis. eur</w:t>
      </w:r>
      <w:r w:rsidRPr="00BC17C4">
        <w:rPr>
          <w:rFonts w:ascii="Times New Roman" w:hAnsi="Times New Roman"/>
          <w:szCs w:val="22"/>
          <w:lang w:eastAsia="sk-SK"/>
        </w:rPr>
        <w:t xml:space="preserve"> sú vo vlastníctve územnej samosprávy pozemky v hodnote 4 590 136 tis. eur, z </w:t>
      </w:r>
      <w:r>
        <w:rPr>
          <w:rFonts w:ascii="Times New Roman" w:hAnsi="Times New Roman"/>
          <w:szCs w:val="22"/>
          <w:lang w:eastAsia="sk-SK"/>
        </w:rPr>
        <w:t>toho hlavne vo vlastníctve obcí</w:t>
        <w:br/>
      </w:r>
      <w:r w:rsidRPr="00BC17C4">
        <w:rPr>
          <w:rFonts w:ascii="Times New Roman" w:hAnsi="Times New Roman"/>
          <w:szCs w:val="22"/>
          <w:lang w:eastAsia="sk-SK"/>
        </w:rPr>
        <w:t>4 332 927 tis. eur. Vo vlastníctve štátu sú pozemky v účtovnej hodnote 4 052 135 tis. eur, z toho najviac v správe štátnych podnikov a obchodných spoločností (2 912 731 tis. eur). Medziročný prírastok zaznamenala hlavne ústredná správa, a to 234 131 tis. eur, pričom išlo hlavne o pozemky Letiska M.R. Štefánika,</w:t>
      </w:r>
      <w:r>
        <w:rPr>
          <w:rFonts w:ascii="Times New Roman" w:hAnsi="Times New Roman"/>
          <w:szCs w:val="22"/>
          <w:lang w:eastAsia="sk-SK"/>
        </w:rPr>
        <w:t>a.s.,</w:t>
      </w:r>
      <w:r w:rsidRPr="00BC17C4">
        <w:rPr>
          <w:rFonts w:ascii="Times New Roman" w:hAnsi="Times New Roman"/>
          <w:szCs w:val="22"/>
          <w:lang w:eastAsia="sk-SK"/>
        </w:rPr>
        <w:t xml:space="preserve"> ktoré v minulosti neboli súčasťou agregovaných dát z dôvodu, že ústredná správa nevlastnila 100 % na majetku spoločnosti. Štátne podniky a ostatné subjekty zaznamenali celkovo prírastok o 139 939 tis. eur, pričom </w:t>
      </w:r>
      <w:r>
        <w:rPr>
          <w:rFonts w:ascii="Times New Roman" w:hAnsi="Times New Roman"/>
          <w:szCs w:val="22"/>
          <w:lang w:eastAsia="sk-SK"/>
        </w:rPr>
        <w:t>najväčší</w:t>
      </w:r>
      <w:r w:rsidRPr="00BC17C4">
        <w:rPr>
          <w:rFonts w:ascii="Times New Roman" w:hAnsi="Times New Roman"/>
          <w:szCs w:val="22"/>
          <w:lang w:eastAsia="sk-SK"/>
        </w:rPr>
        <w:t xml:space="preserve"> prírastok zaznamenal Slovenský vodohospodársky podnik, š.p. (104 720 tis. eur)</w:t>
      </w:r>
      <w:r>
        <w:rPr>
          <w:rFonts w:ascii="Times New Roman" w:hAnsi="Times New Roman"/>
          <w:szCs w:val="22"/>
          <w:lang w:eastAsia="sk-SK"/>
        </w:rPr>
        <w:t xml:space="preserve"> z dôvodu zaradenia pozemkov, ktoré boli do roku 2014 evidované len v podsúvahovej evidencii (pozemky typu E s neurčenými hranicami).</w:t>
      </w:r>
    </w:p>
    <w:p w:rsidR="001D3593" w:rsidRPr="00BC17C4" w:rsidP="001D3593">
      <w:pPr>
        <w:tabs>
          <w:tab w:val="num" w:pos="0"/>
        </w:tabs>
        <w:bidi w:val="0"/>
        <w:spacing w:before="120" w:after="120" w:line="336" w:lineRule="auto"/>
        <w:jc w:val="both"/>
        <w:rPr>
          <w:rFonts w:ascii="Times New Roman" w:hAnsi="Times New Roman"/>
          <w:szCs w:val="22"/>
          <w:lang w:eastAsia="sk-SK"/>
        </w:rPr>
      </w:pPr>
      <w:r w:rsidRPr="00BC17C4">
        <w:rPr>
          <w:rFonts w:ascii="Times New Roman" w:hAnsi="Times New Roman"/>
          <w:szCs w:val="22"/>
          <w:lang w:eastAsia="sk-SK"/>
        </w:rPr>
        <w:t xml:space="preserve">Z pohľadu veľkosti účtovnej hodnoty pozemkov sú najvýznamnejšími Národná diaľničná spoločnosť, a.s. (684 060 tis. eur), Verejné prístavy, a.s. (587 975 tis. eur), Lesy SR, š.p. (521 541 tis. eur) a Železnice SR (473 130 tis. eur). V predchádzajúcom období vykázali </w:t>
      </w:r>
      <w:r>
        <w:rPr>
          <w:rFonts w:ascii="Times New Roman" w:hAnsi="Times New Roman"/>
          <w:szCs w:val="22"/>
          <w:lang w:eastAsia="sk-SK"/>
        </w:rPr>
        <w:t xml:space="preserve">najvyššiu hodnotu Lesy SR, š.p., </w:t>
      </w:r>
      <w:r w:rsidRPr="00BC17C4">
        <w:rPr>
          <w:rFonts w:ascii="Times New Roman" w:hAnsi="Times New Roman"/>
          <w:szCs w:val="22"/>
          <w:lang w:eastAsia="sk-SK"/>
        </w:rPr>
        <w:t>avšak možnosť dosahova</w:t>
      </w:r>
      <w:r>
        <w:rPr>
          <w:rFonts w:ascii="Times New Roman" w:hAnsi="Times New Roman"/>
          <w:szCs w:val="22"/>
          <w:lang w:eastAsia="sk-SK"/>
        </w:rPr>
        <w:t>ť</w:t>
      </w:r>
      <w:r w:rsidRPr="00BC17C4">
        <w:rPr>
          <w:rFonts w:ascii="Times New Roman" w:hAnsi="Times New Roman"/>
          <w:szCs w:val="22"/>
          <w:lang w:eastAsia="sk-SK"/>
        </w:rPr>
        <w:t xml:space="preserve"> medziročne tak</w:t>
      </w:r>
      <w:r>
        <w:rPr>
          <w:rFonts w:ascii="Times New Roman" w:hAnsi="Times New Roman"/>
          <w:szCs w:val="22"/>
          <w:lang w:eastAsia="sk-SK"/>
        </w:rPr>
        <w:t>é</w:t>
      </w:r>
      <w:r w:rsidRPr="00BC17C4">
        <w:rPr>
          <w:rFonts w:ascii="Times New Roman" w:hAnsi="Times New Roman"/>
          <w:szCs w:val="22"/>
          <w:lang w:eastAsia="sk-SK"/>
        </w:rPr>
        <w:t xml:space="preserve"> významn</w:t>
      </w:r>
      <w:r>
        <w:rPr>
          <w:rFonts w:ascii="Times New Roman" w:hAnsi="Times New Roman"/>
          <w:szCs w:val="22"/>
          <w:lang w:eastAsia="sk-SK"/>
        </w:rPr>
        <w:t>é</w:t>
      </w:r>
      <w:r w:rsidRPr="00BC17C4">
        <w:rPr>
          <w:rFonts w:ascii="Times New Roman" w:hAnsi="Times New Roman"/>
          <w:szCs w:val="22"/>
          <w:lang w:eastAsia="sk-SK"/>
        </w:rPr>
        <w:t xml:space="preserve"> prírastk</w:t>
      </w:r>
      <w:r>
        <w:rPr>
          <w:rFonts w:ascii="Times New Roman" w:hAnsi="Times New Roman"/>
          <w:szCs w:val="22"/>
          <w:lang w:eastAsia="sk-SK"/>
        </w:rPr>
        <w:t>y</w:t>
      </w:r>
      <w:r w:rsidRPr="00BC17C4">
        <w:rPr>
          <w:rFonts w:ascii="Times New Roman" w:hAnsi="Times New Roman"/>
          <w:szCs w:val="22"/>
          <w:lang w:eastAsia="sk-SK"/>
        </w:rPr>
        <w:t xml:space="preserve"> ako u iných podnikateľských spoločností j</w:t>
      </w:r>
      <w:r>
        <w:rPr>
          <w:rFonts w:ascii="Times New Roman" w:hAnsi="Times New Roman"/>
          <w:szCs w:val="22"/>
          <w:lang w:eastAsia="sk-SK"/>
        </w:rPr>
        <w:t>e obmedzená vlastnou činnosťou L</w:t>
      </w:r>
      <w:r w:rsidRPr="00BC17C4">
        <w:rPr>
          <w:rFonts w:ascii="Times New Roman" w:hAnsi="Times New Roman"/>
          <w:szCs w:val="22"/>
          <w:lang w:eastAsia="sk-SK"/>
        </w:rPr>
        <w:t>esov</w:t>
      </w:r>
      <w:r>
        <w:rPr>
          <w:rFonts w:ascii="Times New Roman" w:hAnsi="Times New Roman"/>
          <w:szCs w:val="22"/>
          <w:lang w:eastAsia="sk-SK"/>
        </w:rPr>
        <w:t xml:space="preserve"> SR, š.p.</w:t>
      </w:r>
      <w:r w:rsidRPr="00BC17C4">
        <w:rPr>
          <w:rFonts w:ascii="Times New Roman" w:hAnsi="Times New Roman"/>
          <w:szCs w:val="22"/>
          <w:lang w:eastAsia="sk-SK"/>
        </w:rPr>
        <w:t xml:space="preserve"> (správa lesného majetku, zakladanie, obnova a pestovanie lesných porastov a podobne).</w:t>
      </w:r>
      <w:r>
        <w:rPr>
          <w:rFonts w:ascii="Times New Roman" w:hAnsi="Times New Roman"/>
          <w:szCs w:val="22"/>
          <w:lang w:eastAsia="sk-SK"/>
        </w:rPr>
        <w:t xml:space="preserve"> Na druhej strane Národná diaľničná spoločnosť, a.s. vykupuje pozemky pod budúcu cestnú infraštruktúru, čo zodpovedá medziročnému prírastku. </w:t>
      </w:r>
    </w:p>
    <w:p w:rsidR="001D3593" w:rsidRPr="00BC17C4" w:rsidP="001D3593">
      <w:pPr>
        <w:tabs>
          <w:tab w:val="num" w:pos="0"/>
        </w:tabs>
        <w:bidi w:val="0"/>
        <w:spacing w:before="120" w:after="120" w:line="336" w:lineRule="auto"/>
        <w:jc w:val="both"/>
        <w:rPr>
          <w:rFonts w:ascii="Times New Roman" w:hAnsi="Times New Roman"/>
          <w:szCs w:val="22"/>
          <w:lang w:eastAsia="sk-SK"/>
        </w:rPr>
      </w:pPr>
      <w:r w:rsidRPr="00BC17C4">
        <w:rPr>
          <w:rFonts w:ascii="Times New Roman" w:hAnsi="Times New Roman"/>
          <w:szCs w:val="22"/>
          <w:lang w:eastAsia="sk-SK"/>
        </w:rPr>
        <w:t>Keďže pozemky sú väčšinou ocenené historickou obstarávacou cenou, ich hodnota v súhrnnej závierke môže byť v niektorých prípadoch výrazne nižšia ako ich skutočná (trhová, reálna) hodnota, a preto pozemky môžu predstavovať časť „skrytých“ rezerv našej krajiny.</w:t>
      </w:r>
    </w:p>
    <w:tbl>
      <w:tblPr>
        <w:tblStyle w:val="TableNormal"/>
        <w:tblW w:w="4925" w:type="pct"/>
        <w:tblInd w:w="70" w:type="dxa"/>
        <w:tblLayout w:type="fixed"/>
        <w:tblCellMar>
          <w:left w:w="70" w:type="dxa"/>
          <w:right w:w="70" w:type="dxa"/>
        </w:tblCellMar>
        <w:tblLook w:val="04A0"/>
      </w:tblPr>
      <w:tblGrid>
        <w:gridCol w:w="6522"/>
        <w:gridCol w:w="1415"/>
        <w:gridCol w:w="285"/>
        <w:gridCol w:w="851"/>
      </w:tblGrid>
      <w:tr>
        <w:tblPrEx>
          <w:tblW w:w="4925" w:type="pct"/>
          <w:tblInd w:w="70" w:type="dxa"/>
          <w:tblLayout w:type="fixed"/>
          <w:tblCellMar>
            <w:left w:w="70" w:type="dxa"/>
            <w:right w:w="70" w:type="dxa"/>
          </w:tblCellMar>
          <w:tblLook w:val="04A0"/>
        </w:tblPrEx>
        <w:trPr>
          <w:trHeight w:val="330"/>
        </w:trPr>
        <w:tc>
          <w:tcPr>
            <w:tcW w:w="5000" w:type="pct"/>
            <w:gridSpan w:val="4"/>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rPr>
                <w:rFonts w:ascii="Times New Roman" w:hAnsi="Times New Roman"/>
                <w:b/>
                <w:bCs/>
                <w:color w:val="FFFFFF"/>
                <w:sz w:val="20"/>
                <w:szCs w:val="20"/>
                <w:lang w:eastAsia="sk-SK"/>
              </w:rPr>
            </w:pPr>
            <w:r>
              <w:rPr>
                <w:rFonts w:ascii="Times New Roman" w:hAnsi="Times New Roman"/>
                <w:b/>
                <w:bCs/>
                <w:color w:val="FFFFFF"/>
                <w:sz w:val="20"/>
                <w:szCs w:val="20"/>
                <w:lang w:eastAsia="sk-SK"/>
              </w:rPr>
              <w:t>Hodnota pozemkov podľa</w:t>
            </w:r>
            <w:r w:rsidRPr="00BC17C4">
              <w:rPr>
                <w:rFonts w:ascii="Times New Roman" w:hAnsi="Times New Roman"/>
                <w:b/>
                <w:bCs/>
                <w:color w:val="FFFFFF"/>
                <w:sz w:val="20"/>
                <w:szCs w:val="20"/>
                <w:lang w:eastAsia="sk-SK"/>
              </w:rPr>
              <w:t xml:space="preserve"> jednotlivých skupín subjektov súhrnného celku (v tis. eur) </w:t>
            </w:r>
          </w:p>
        </w:tc>
      </w:tr>
      <w:tr>
        <w:tblPrEx>
          <w:tblW w:w="4925" w:type="pct"/>
          <w:tblInd w:w="70" w:type="dxa"/>
          <w:tblLayout w:type="fixed"/>
          <w:tblCellMar>
            <w:left w:w="70" w:type="dxa"/>
            <w:right w:w="70" w:type="dxa"/>
          </w:tblCellMar>
          <w:tblLook w:val="04A0"/>
        </w:tblPrEx>
        <w:trPr>
          <w:trHeight w:val="330"/>
        </w:trPr>
        <w:tc>
          <w:tcPr>
            <w:tcW w:w="3594"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p>
        </w:tc>
        <w:tc>
          <w:tcPr>
            <w:tcW w:w="937" w:type="pct"/>
            <w:gridSpan w:val="2"/>
            <w:tcBorders>
              <w:top w:val="nil"/>
              <w:left w:val="nil"/>
              <w:bottom w:val="single" w:sz="4" w:space="0" w:color="auto"/>
              <w:right w:val="nil"/>
            </w:tcBorders>
            <w:noWrap/>
            <w:textDirection w:val="lrTb"/>
            <w:vAlign w:val="bottom"/>
          </w:tcPr>
          <w:p w:rsidR="001D3593" w:rsidRPr="00BC17C4" w:rsidP="004B7DC7">
            <w:pPr>
              <w:bidi w:val="0"/>
              <w:spacing w:after="0" w:line="240" w:lineRule="auto"/>
              <w:ind w:left="354"/>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2014       </w:t>
            </w:r>
          </w:p>
        </w:tc>
        <w:tc>
          <w:tcPr>
            <w:tcW w:w="469"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4925" w:type="pct"/>
          <w:tblInd w:w="70" w:type="dxa"/>
          <w:tblLayout w:type="fixed"/>
          <w:tblCellMar>
            <w:left w:w="70" w:type="dxa"/>
            <w:right w:w="70" w:type="dxa"/>
          </w:tblCellMar>
          <w:tblLook w:val="04A0"/>
        </w:tblPrEx>
        <w:trPr>
          <w:trHeight w:val="330"/>
        </w:trPr>
        <w:tc>
          <w:tcPr>
            <w:tcW w:w="3594" w:type="pct"/>
            <w:tcBorders>
              <w:top w:val="nil"/>
              <w:left w:val="nil"/>
              <w:bottom w:val="nil"/>
              <w:right w:val="nil"/>
            </w:tcBorders>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Ústredná štátna správa</w:t>
            </w:r>
          </w:p>
        </w:tc>
        <w:tc>
          <w:tcPr>
            <w:tcW w:w="780"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2 418 532</w:t>
            </w:r>
          </w:p>
        </w:tc>
        <w:tc>
          <w:tcPr>
            <w:tcW w:w="626"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2 184 401</w:t>
            </w:r>
          </w:p>
        </w:tc>
      </w:tr>
      <w:tr>
        <w:tblPrEx>
          <w:tblW w:w="4925" w:type="pct"/>
          <w:tblInd w:w="70" w:type="dxa"/>
          <w:tblLayout w:type="fixed"/>
          <w:tblCellMar>
            <w:left w:w="70" w:type="dxa"/>
            <w:right w:w="70" w:type="dxa"/>
          </w:tblCellMar>
          <w:tblLook w:val="04A0"/>
        </w:tblPrEx>
        <w:trPr>
          <w:trHeight w:val="393"/>
        </w:trPr>
        <w:tc>
          <w:tcPr>
            <w:tcW w:w="3594"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Územná samospráva</w:t>
            </w:r>
          </w:p>
        </w:tc>
        <w:tc>
          <w:tcPr>
            <w:tcW w:w="780"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4 590 136</w:t>
            </w:r>
          </w:p>
        </w:tc>
        <w:tc>
          <w:tcPr>
            <w:tcW w:w="626"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4 558 864</w:t>
            </w:r>
          </w:p>
        </w:tc>
      </w:tr>
      <w:tr>
        <w:tblPrEx>
          <w:tblW w:w="4925" w:type="pct"/>
          <w:tblInd w:w="70" w:type="dxa"/>
          <w:tblLayout w:type="fixed"/>
          <w:tblCellMar>
            <w:left w:w="70" w:type="dxa"/>
            <w:right w:w="70" w:type="dxa"/>
          </w:tblCellMar>
          <w:tblLook w:val="04A0"/>
        </w:tblPrEx>
        <w:trPr>
          <w:trHeight w:val="213"/>
        </w:trPr>
        <w:tc>
          <w:tcPr>
            <w:tcW w:w="3594"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 xml:space="preserve">Štátne podniky </w:t>
            </w:r>
          </w:p>
        </w:tc>
        <w:tc>
          <w:tcPr>
            <w:tcW w:w="780"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1 329 115</w:t>
            </w:r>
          </w:p>
        </w:tc>
        <w:tc>
          <w:tcPr>
            <w:tcW w:w="626"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1 206 449</w:t>
            </w:r>
          </w:p>
        </w:tc>
      </w:tr>
      <w:tr>
        <w:tblPrEx>
          <w:tblW w:w="4925" w:type="pct"/>
          <w:tblInd w:w="70" w:type="dxa"/>
          <w:tblLayout w:type="fixed"/>
          <w:tblCellMar>
            <w:left w:w="70" w:type="dxa"/>
            <w:right w:w="70" w:type="dxa"/>
          </w:tblCellMar>
          <w:tblLook w:val="04A0"/>
        </w:tblPrEx>
        <w:trPr>
          <w:trHeight w:val="213"/>
        </w:trPr>
        <w:tc>
          <w:tcPr>
            <w:tcW w:w="3594"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Ostatné subjekty</w:t>
            </w:r>
          </w:p>
        </w:tc>
        <w:tc>
          <w:tcPr>
            <w:tcW w:w="780"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429 407</w:t>
            </w:r>
          </w:p>
        </w:tc>
        <w:tc>
          <w:tcPr>
            <w:tcW w:w="626"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412 133</w:t>
            </w:r>
          </w:p>
        </w:tc>
      </w:tr>
      <w:tr>
        <w:tblPrEx>
          <w:tblW w:w="4925" w:type="pct"/>
          <w:tblInd w:w="70" w:type="dxa"/>
          <w:tblLayout w:type="fixed"/>
          <w:tblCellMar>
            <w:left w:w="70" w:type="dxa"/>
            <w:right w:w="70" w:type="dxa"/>
          </w:tblCellMar>
          <w:tblLook w:val="04A0"/>
        </w:tblPrEx>
        <w:trPr>
          <w:trHeight w:val="213"/>
        </w:trPr>
        <w:tc>
          <w:tcPr>
            <w:tcW w:w="3594" w:type="pct"/>
            <w:tcBorders>
              <w:top w:val="nil"/>
              <w:left w:val="nil"/>
              <w:bottom w:val="single" w:sz="4" w:space="0" w:color="auto"/>
              <w:right w:val="nil"/>
            </w:tcBorders>
            <w:noWrap/>
            <w:textDirection w:val="lrTb"/>
            <w:vAlign w:val="center"/>
          </w:tcPr>
          <w:p w:rsidR="001D3593" w:rsidRPr="00BC17C4" w:rsidP="004B7DC7">
            <w:pPr>
              <w:bidi w:val="0"/>
              <w:spacing w:after="0" w:line="360" w:lineRule="auto"/>
              <w:rPr>
                <w:rFonts w:ascii="Times New Roman" w:hAnsi="Times New Roman"/>
                <w:b/>
                <w:sz w:val="20"/>
                <w:szCs w:val="20"/>
                <w:lang w:eastAsia="sk-SK"/>
              </w:rPr>
            </w:pPr>
            <w:r w:rsidRPr="00BC17C4">
              <w:rPr>
                <w:rFonts w:ascii="Times New Roman" w:hAnsi="Times New Roman"/>
                <w:b/>
                <w:sz w:val="20"/>
                <w:szCs w:val="20"/>
                <w:lang w:eastAsia="sk-SK"/>
              </w:rPr>
              <w:t>Spolu</w:t>
            </w:r>
          </w:p>
        </w:tc>
        <w:tc>
          <w:tcPr>
            <w:tcW w:w="780"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8 767 190</w:t>
            </w:r>
          </w:p>
        </w:tc>
        <w:tc>
          <w:tcPr>
            <w:tcW w:w="626" w:type="pct"/>
            <w:gridSpan w:val="2"/>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8 361 847</w:t>
            </w:r>
          </w:p>
        </w:tc>
      </w:tr>
    </w:tbl>
    <w:p w:rsidR="001D3593" w:rsidRPr="00BC17C4" w:rsidP="001D3593">
      <w:pPr>
        <w:bidi w:val="0"/>
        <w:spacing w:before="200" w:after="120" w:line="336" w:lineRule="auto"/>
        <w:ind w:left="6"/>
        <w:jc w:val="both"/>
        <w:rPr>
          <w:rFonts w:ascii="Times New Roman" w:hAnsi="Times New Roman"/>
          <w:i/>
          <w:szCs w:val="22"/>
          <w:u w:val="single"/>
          <w:lang w:eastAsia="sk-SK"/>
        </w:rPr>
      </w:pPr>
      <w:r w:rsidRPr="00BC17C4">
        <w:rPr>
          <w:rFonts w:ascii="Times New Roman" w:hAnsi="Times New Roman"/>
          <w:i/>
          <w:szCs w:val="22"/>
          <w:u w:val="single"/>
          <w:lang w:eastAsia="sk-SK"/>
        </w:rPr>
        <w:t>Dlhodobý finančný majetok</w:t>
      </w:r>
    </w:p>
    <w:p w:rsidR="001D3593" w:rsidRPr="00BC17C4" w:rsidP="001D3593">
      <w:pPr>
        <w:bidi w:val="0"/>
        <w:spacing w:after="120" w:line="336" w:lineRule="auto"/>
        <w:jc w:val="both"/>
        <w:rPr>
          <w:rFonts w:ascii="Times New Roman" w:hAnsi="Times New Roman"/>
          <w:szCs w:val="22"/>
          <w:lang w:eastAsia="sk-SK"/>
        </w:rPr>
      </w:pPr>
      <w:r w:rsidRPr="00BC17C4">
        <w:rPr>
          <w:rFonts w:ascii="Times New Roman" w:hAnsi="Times New Roman"/>
          <w:szCs w:val="22"/>
          <w:lang w:eastAsia="sk-SK"/>
        </w:rPr>
        <w:t xml:space="preserve">V rámci dlhodobého finančného majetku sa vykazujú podielové cenné papiere a podiely v obchodných spoločnostiach, ktoré nepatria do súhrnného celku. </w:t>
      </w:r>
      <w:r>
        <w:rPr>
          <w:rFonts w:ascii="Times New Roman" w:hAnsi="Times New Roman"/>
          <w:szCs w:val="22"/>
          <w:lang w:eastAsia="sk-SK"/>
        </w:rPr>
        <w:t xml:space="preserve">Ide o menšinové podiely štátu alebo územnej samosprávy, ako aj o majetkové účasti podnikov štátu v iných obchodných spoločnostiach. </w:t>
      </w:r>
      <w:r w:rsidRPr="00BC17C4">
        <w:rPr>
          <w:rFonts w:ascii="Times New Roman" w:hAnsi="Times New Roman"/>
          <w:szCs w:val="22"/>
          <w:lang w:eastAsia="sk-SK"/>
        </w:rPr>
        <w:t>Ďalej sa tu vykazujú kapitálové účasti Slovenskej republiky v medzinárodných finančných inštitúciách, pôžičky Štátneho fondu rozvoja bývania a ďalší finančný majetok.</w:t>
      </w:r>
    </w:p>
    <w:p w:rsidR="00A924C8" w:rsidP="001D3593">
      <w:pPr>
        <w:bidi w:val="0"/>
        <w:spacing w:after="120" w:line="336" w:lineRule="auto"/>
        <w:jc w:val="both"/>
        <w:rPr>
          <w:rFonts w:ascii="Times New Roman" w:hAnsi="Times New Roman"/>
          <w:szCs w:val="22"/>
          <w:lang w:eastAsia="sk-SK"/>
        </w:rPr>
      </w:pPr>
      <w:r w:rsidRPr="00BC17C4" w:rsidR="001D3593">
        <w:rPr>
          <w:rFonts w:ascii="Times New Roman" w:hAnsi="Times New Roman"/>
          <w:szCs w:val="22"/>
          <w:lang w:eastAsia="sk-SK"/>
        </w:rPr>
        <w:t>Celkovo dlhodobý finančný majetok dosiahol k 31.12.2014 hodnotu 8 190 678 tis. eur a medziročne je vyšší o 2 136 124 tis. eur.</w:t>
      </w:r>
    </w:p>
    <w:p w:rsidR="00A924C8">
      <w:pPr>
        <w:bidi w:val="0"/>
        <w:rPr>
          <w:rFonts w:ascii="Times New Roman" w:hAnsi="Times New Roman"/>
          <w:szCs w:val="22"/>
          <w:lang w:eastAsia="sk-SK"/>
        </w:rPr>
      </w:pPr>
      <w:r>
        <w:rPr>
          <w:rFonts w:ascii="Times New Roman" w:hAnsi="Times New Roman"/>
          <w:szCs w:val="22"/>
          <w:lang w:eastAsia="sk-SK"/>
        </w:rPr>
        <w:br w:type="page"/>
      </w:r>
    </w:p>
    <w:tbl>
      <w:tblPr>
        <w:tblStyle w:val="TableNormal"/>
        <w:tblW w:w="4925" w:type="pct"/>
        <w:tblInd w:w="70" w:type="dxa"/>
        <w:tblLayout w:type="fixed"/>
        <w:tblCellMar>
          <w:left w:w="70" w:type="dxa"/>
          <w:right w:w="70" w:type="dxa"/>
        </w:tblCellMar>
        <w:tblLook w:val="04A0"/>
      </w:tblPr>
      <w:tblGrid>
        <w:gridCol w:w="6380"/>
        <w:gridCol w:w="1419"/>
        <w:gridCol w:w="283"/>
        <w:gridCol w:w="991"/>
      </w:tblGrid>
      <w:tr>
        <w:tblPrEx>
          <w:tblW w:w="4925" w:type="pct"/>
          <w:tblInd w:w="70" w:type="dxa"/>
          <w:tblLayout w:type="fixed"/>
          <w:tblCellMar>
            <w:left w:w="70" w:type="dxa"/>
            <w:right w:w="70" w:type="dxa"/>
          </w:tblCellMar>
          <w:tblLook w:val="04A0"/>
        </w:tblPrEx>
        <w:trPr>
          <w:trHeight w:val="330"/>
        </w:trPr>
        <w:tc>
          <w:tcPr>
            <w:tcW w:w="5000" w:type="pct"/>
            <w:gridSpan w:val="4"/>
            <w:tcBorders>
              <w:top w:val="single" w:sz="4" w:space="0" w:color="auto"/>
              <w:left w:val="nil"/>
              <w:bottom w:val="single" w:sz="4" w:space="0" w:color="auto"/>
              <w:right w:val="nil"/>
            </w:tcBorders>
            <w:noWrap/>
            <w:textDirection w:val="lrTb"/>
            <w:vAlign w:val="center"/>
          </w:tcPr>
          <w:p w:rsidR="001D3593" w:rsidP="004B7DC7">
            <w:pPr>
              <w:bidi w:val="0"/>
              <w:spacing w:after="0" w:line="240" w:lineRule="auto"/>
              <w:rPr>
                <w:rFonts w:ascii="Times New Roman" w:hAnsi="Times New Roman"/>
                <w:b/>
                <w:bCs/>
                <w:color w:val="FFFFFF"/>
                <w:sz w:val="20"/>
                <w:szCs w:val="20"/>
                <w:lang w:eastAsia="sk-SK"/>
              </w:rPr>
            </w:pPr>
            <w:r w:rsidRPr="00BC17C4">
              <w:rPr>
                <w:rFonts w:ascii="Times New Roman" w:hAnsi="Times New Roman"/>
                <w:szCs w:val="22"/>
                <w:lang w:eastAsia="sk-SK"/>
              </w:rPr>
              <w:br w:type="page"/>
            </w:r>
            <w:r>
              <w:rPr>
                <w:rFonts w:ascii="Times New Roman" w:hAnsi="Times New Roman"/>
                <w:b/>
                <w:bCs/>
                <w:color w:val="FFFFFF"/>
                <w:sz w:val="20"/>
                <w:szCs w:val="20"/>
                <w:lang w:eastAsia="sk-SK"/>
              </w:rPr>
              <w:t>Hodnota</w:t>
            </w:r>
            <w:r w:rsidRPr="00BC17C4">
              <w:rPr>
                <w:rFonts w:ascii="Times New Roman" w:hAnsi="Times New Roman"/>
                <w:b/>
                <w:bCs/>
                <w:color w:val="FFFFFF"/>
                <w:sz w:val="20"/>
                <w:szCs w:val="20"/>
                <w:lang w:eastAsia="sk-SK"/>
              </w:rPr>
              <w:t xml:space="preserve"> </w:t>
            </w:r>
            <w:r>
              <w:rPr>
                <w:rFonts w:ascii="Times New Roman" w:hAnsi="Times New Roman"/>
                <w:b/>
                <w:bCs/>
                <w:color w:val="FFFFFF"/>
                <w:sz w:val="20"/>
                <w:szCs w:val="20"/>
                <w:lang w:eastAsia="sk-SK"/>
              </w:rPr>
              <w:t xml:space="preserve">dlhodobého finančného majetku podľa </w:t>
            </w:r>
            <w:r w:rsidRPr="00BC17C4">
              <w:rPr>
                <w:rFonts w:ascii="Times New Roman" w:hAnsi="Times New Roman"/>
                <w:b/>
                <w:bCs/>
                <w:color w:val="FFFFFF"/>
                <w:sz w:val="20"/>
                <w:szCs w:val="20"/>
                <w:lang w:eastAsia="sk-SK"/>
              </w:rPr>
              <w:t>jednotlivých skupín subjektov súhrnného celku</w:t>
            </w:r>
          </w:p>
          <w:p w:rsidR="001D3593" w:rsidRPr="00BC17C4" w:rsidP="004B7DC7">
            <w:pPr>
              <w:bidi w:val="0"/>
              <w:spacing w:after="0" w:line="240" w:lineRule="auto"/>
              <w:rPr>
                <w:rFonts w:ascii="Times New Roman" w:hAnsi="Times New Roman"/>
                <w:b/>
                <w:bCs/>
                <w:color w:val="FFFFFF"/>
                <w:sz w:val="20"/>
                <w:szCs w:val="20"/>
                <w:lang w:eastAsia="sk-SK"/>
              </w:rPr>
            </w:pPr>
            <w:r w:rsidRPr="00BC17C4">
              <w:rPr>
                <w:rFonts w:ascii="Times New Roman" w:hAnsi="Times New Roman"/>
                <w:b/>
                <w:bCs/>
                <w:color w:val="FFFFFF"/>
                <w:sz w:val="20"/>
                <w:szCs w:val="20"/>
                <w:lang w:eastAsia="sk-SK"/>
              </w:rPr>
              <w:t>(v tis. eur) </w:t>
            </w:r>
          </w:p>
        </w:tc>
      </w:tr>
      <w:tr>
        <w:tblPrEx>
          <w:tblW w:w="4925" w:type="pct"/>
          <w:tblInd w:w="70" w:type="dxa"/>
          <w:tblLayout w:type="fixed"/>
          <w:tblCellMar>
            <w:left w:w="70" w:type="dxa"/>
            <w:right w:w="70" w:type="dxa"/>
          </w:tblCellMar>
          <w:tblLook w:val="04A0"/>
        </w:tblPrEx>
        <w:trPr>
          <w:trHeight w:val="330"/>
        </w:trPr>
        <w:tc>
          <w:tcPr>
            <w:tcW w:w="3516"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p>
        </w:tc>
        <w:tc>
          <w:tcPr>
            <w:tcW w:w="938" w:type="pct"/>
            <w:gridSpan w:val="2"/>
            <w:tcBorders>
              <w:top w:val="nil"/>
              <w:left w:val="nil"/>
              <w:bottom w:val="single" w:sz="4" w:space="0" w:color="auto"/>
              <w:right w:val="nil"/>
            </w:tcBorders>
            <w:noWrap/>
            <w:textDirection w:val="lrTb"/>
            <w:vAlign w:val="bottom"/>
          </w:tcPr>
          <w:p w:rsidR="001D3593" w:rsidRPr="00BC17C4" w:rsidP="004B7DC7">
            <w:pPr>
              <w:bidi w:val="0"/>
              <w:spacing w:after="0" w:line="240" w:lineRule="auto"/>
              <w:ind w:left="354"/>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2014       </w:t>
            </w:r>
          </w:p>
        </w:tc>
        <w:tc>
          <w:tcPr>
            <w:tcW w:w="546"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4925" w:type="pct"/>
          <w:tblInd w:w="70" w:type="dxa"/>
          <w:tblLayout w:type="fixed"/>
          <w:tblCellMar>
            <w:left w:w="70" w:type="dxa"/>
            <w:right w:w="70" w:type="dxa"/>
          </w:tblCellMar>
          <w:tblLook w:val="04A0"/>
        </w:tblPrEx>
        <w:trPr>
          <w:trHeight w:val="330"/>
        </w:trPr>
        <w:tc>
          <w:tcPr>
            <w:tcW w:w="3516" w:type="pct"/>
            <w:tcBorders>
              <w:top w:val="nil"/>
              <w:left w:val="nil"/>
              <w:bottom w:val="nil"/>
              <w:right w:val="nil"/>
            </w:tcBorders>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Ústredná štátna správa</w:t>
            </w:r>
          </w:p>
        </w:tc>
        <w:tc>
          <w:tcPr>
            <w:tcW w:w="782"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5 949 119</w:t>
            </w:r>
          </w:p>
        </w:tc>
        <w:tc>
          <w:tcPr>
            <w:tcW w:w="702"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2 546 313</w:t>
            </w:r>
          </w:p>
        </w:tc>
      </w:tr>
      <w:tr>
        <w:tblPrEx>
          <w:tblW w:w="4925" w:type="pct"/>
          <w:tblInd w:w="70" w:type="dxa"/>
          <w:tblLayout w:type="fixed"/>
          <w:tblCellMar>
            <w:left w:w="70" w:type="dxa"/>
            <w:right w:w="70" w:type="dxa"/>
          </w:tblCellMar>
          <w:tblLook w:val="04A0"/>
        </w:tblPrEx>
        <w:trPr>
          <w:trHeight w:val="393"/>
        </w:trPr>
        <w:tc>
          <w:tcPr>
            <w:tcW w:w="3516"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Územná samospráva</w:t>
            </w:r>
          </w:p>
        </w:tc>
        <w:tc>
          <w:tcPr>
            <w:tcW w:w="782"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1 084 739</w:t>
            </w:r>
          </w:p>
        </w:tc>
        <w:tc>
          <w:tcPr>
            <w:tcW w:w="702"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1 110 285</w:t>
            </w:r>
          </w:p>
        </w:tc>
      </w:tr>
      <w:tr>
        <w:tblPrEx>
          <w:tblW w:w="4925" w:type="pct"/>
          <w:tblInd w:w="70" w:type="dxa"/>
          <w:tblLayout w:type="fixed"/>
          <w:tblCellMar>
            <w:left w:w="70" w:type="dxa"/>
            <w:right w:w="70" w:type="dxa"/>
          </w:tblCellMar>
          <w:tblLook w:val="04A0"/>
        </w:tblPrEx>
        <w:trPr>
          <w:trHeight w:val="213"/>
        </w:trPr>
        <w:tc>
          <w:tcPr>
            <w:tcW w:w="3516"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 xml:space="preserve">Štátne podniky </w:t>
            </w:r>
          </w:p>
        </w:tc>
        <w:tc>
          <w:tcPr>
            <w:tcW w:w="782"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4 588</w:t>
            </w:r>
          </w:p>
        </w:tc>
        <w:tc>
          <w:tcPr>
            <w:tcW w:w="702"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4 672</w:t>
            </w:r>
          </w:p>
        </w:tc>
      </w:tr>
      <w:tr>
        <w:tblPrEx>
          <w:tblW w:w="4925" w:type="pct"/>
          <w:tblInd w:w="70" w:type="dxa"/>
          <w:tblLayout w:type="fixed"/>
          <w:tblCellMar>
            <w:left w:w="70" w:type="dxa"/>
            <w:right w:w="70" w:type="dxa"/>
          </w:tblCellMar>
          <w:tblLook w:val="04A0"/>
        </w:tblPrEx>
        <w:trPr>
          <w:trHeight w:val="213"/>
        </w:trPr>
        <w:tc>
          <w:tcPr>
            <w:tcW w:w="3516"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Ostatné subjekty</w:t>
            </w:r>
          </w:p>
        </w:tc>
        <w:tc>
          <w:tcPr>
            <w:tcW w:w="782"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1 152 232</w:t>
            </w:r>
          </w:p>
        </w:tc>
        <w:tc>
          <w:tcPr>
            <w:tcW w:w="702"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2 393 284</w:t>
            </w:r>
          </w:p>
        </w:tc>
      </w:tr>
      <w:tr>
        <w:tblPrEx>
          <w:tblW w:w="4925" w:type="pct"/>
          <w:tblInd w:w="70" w:type="dxa"/>
          <w:tblLayout w:type="fixed"/>
          <w:tblCellMar>
            <w:left w:w="70" w:type="dxa"/>
            <w:right w:w="70" w:type="dxa"/>
          </w:tblCellMar>
          <w:tblLook w:val="04A0"/>
        </w:tblPrEx>
        <w:trPr>
          <w:trHeight w:val="213"/>
        </w:trPr>
        <w:tc>
          <w:tcPr>
            <w:tcW w:w="3516" w:type="pct"/>
            <w:tcBorders>
              <w:top w:val="nil"/>
              <w:left w:val="nil"/>
              <w:bottom w:val="single" w:sz="4" w:space="0" w:color="auto"/>
              <w:right w:val="nil"/>
            </w:tcBorders>
            <w:noWrap/>
            <w:textDirection w:val="lrTb"/>
            <w:vAlign w:val="center"/>
          </w:tcPr>
          <w:p w:rsidR="001D3593" w:rsidRPr="00BC17C4" w:rsidP="004B7DC7">
            <w:pPr>
              <w:bidi w:val="0"/>
              <w:spacing w:after="0" w:line="360" w:lineRule="auto"/>
              <w:rPr>
                <w:rFonts w:ascii="Times New Roman" w:hAnsi="Times New Roman"/>
                <w:b/>
                <w:sz w:val="20"/>
                <w:szCs w:val="20"/>
                <w:lang w:eastAsia="sk-SK"/>
              </w:rPr>
            </w:pPr>
            <w:r w:rsidRPr="00BC17C4">
              <w:rPr>
                <w:rFonts w:ascii="Times New Roman" w:hAnsi="Times New Roman"/>
                <w:b/>
                <w:sz w:val="20"/>
                <w:szCs w:val="20"/>
                <w:lang w:eastAsia="sk-SK"/>
              </w:rPr>
              <w:t>Spolu</w:t>
            </w:r>
          </w:p>
        </w:tc>
        <w:tc>
          <w:tcPr>
            <w:tcW w:w="782"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8 190 678</w:t>
            </w:r>
          </w:p>
        </w:tc>
        <w:tc>
          <w:tcPr>
            <w:tcW w:w="702" w:type="pct"/>
            <w:gridSpan w:val="2"/>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6 054 554</w:t>
            </w:r>
          </w:p>
        </w:tc>
      </w:tr>
    </w:tbl>
    <w:p w:rsidR="001D3593" w:rsidRPr="00BC17C4" w:rsidP="001D3593">
      <w:pPr>
        <w:bidi w:val="0"/>
        <w:spacing w:before="240" w:after="120" w:line="336" w:lineRule="auto"/>
        <w:jc w:val="both"/>
        <w:rPr>
          <w:rFonts w:ascii="Times New Roman" w:hAnsi="Times New Roman"/>
          <w:szCs w:val="22"/>
          <w:u w:val="single"/>
          <w:lang w:eastAsia="sk-SK"/>
        </w:rPr>
      </w:pPr>
      <w:r w:rsidRPr="00BC17C4">
        <w:rPr>
          <w:rFonts w:ascii="Times New Roman" w:hAnsi="Times New Roman"/>
          <w:szCs w:val="22"/>
          <w:lang w:eastAsia="sk-SK"/>
        </w:rPr>
        <w:t xml:space="preserve">Celkový medziročný prírastok dlhodobého finančného majetku bol spôsobený hlavne vykázaním dlhodobého finančného majetku SPP, a.s. a vykázaním podielov v energetických spoločnostiach, pričom na základe konsolidácie došlo k ich preceneniu do výšky podielu na ich vlastnom imaní k 31.12.2014. Do roku 2014 boli tieto podiely pod správou Fondu národného majetku SR a boli </w:t>
      </w:r>
      <w:r>
        <w:rPr>
          <w:rFonts w:ascii="Times New Roman" w:hAnsi="Times New Roman"/>
          <w:szCs w:val="22"/>
          <w:lang w:eastAsia="sk-SK"/>
        </w:rPr>
        <w:t>vykazované</w:t>
      </w:r>
      <w:r w:rsidRPr="00BC17C4">
        <w:rPr>
          <w:rFonts w:ascii="Times New Roman" w:hAnsi="Times New Roman"/>
          <w:szCs w:val="22"/>
          <w:lang w:eastAsia="sk-SK"/>
        </w:rPr>
        <w:t xml:space="preserve"> v účtovnej hodnote a naviac bez </w:t>
      </w:r>
      <w:r>
        <w:rPr>
          <w:rFonts w:ascii="Times New Roman" w:hAnsi="Times New Roman"/>
          <w:szCs w:val="22"/>
          <w:lang w:eastAsia="sk-SK"/>
        </w:rPr>
        <w:t>majetkových účastí</w:t>
      </w:r>
      <w:r w:rsidRPr="00BC17C4">
        <w:rPr>
          <w:rFonts w:ascii="Times New Roman" w:hAnsi="Times New Roman"/>
          <w:szCs w:val="22"/>
          <w:lang w:eastAsia="sk-SK"/>
        </w:rPr>
        <w:t xml:space="preserve"> v iných podnikateľských subjektoch. Išlo teda o súbeh dvoch vplyvov, </w:t>
      </w:r>
      <w:r>
        <w:rPr>
          <w:rFonts w:ascii="Times New Roman" w:hAnsi="Times New Roman"/>
          <w:szCs w:val="22"/>
          <w:lang w:eastAsia="sk-SK"/>
        </w:rPr>
        <w:t xml:space="preserve">a to </w:t>
      </w:r>
      <w:r w:rsidRPr="00BC17C4">
        <w:rPr>
          <w:rFonts w:ascii="Times New Roman" w:hAnsi="Times New Roman"/>
          <w:szCs w:val="22"/>
          <w:lang w:eastAsia="sk-SK"/>
        </w:rPr>
        <w:t>prevod</w:t>
      </w:r>
      <w:r>
        <w:rPr>
          <w:rFonts w:ascii="Times New Roman" w:hAnsi="Times New Roman"/>
          <w:szCs w:val="22"/>
          <w:lang w:eastAsia="sk-SK"/>
        </w:rPr>
        <w:t>u</w:t>
      </w:r>
      <w:r w:rsidRPr="00BC17C4">
        <w:rPr>
          <w:rFonts w:ascii="Times New Roman" w:hAnsi="Times New Roman"/>
          <w:szCs w:val="22"/>
          <w:lang w:eastAsia="sk-SK"/>
        </w:rPr>
        <w:t xml:space="preserve"> podielov</w:t>
      </w:r>
      <w:r>
        <w:rPr>
          <w:rFonts w:ascii="Times New Roman" w:hAnsi="Times New Roman"/>
          <w:szCs w:val="22"/>
          <w:lang w:eastAsia="sk-SK"/>
        </w:rPr>
        <w:t xml:space="preserve">, </w:t>
      </w:r>
      <w:r w:rsidRPr="00BC17C4">
        <w:rPr>
          <w:rFonts w:ascii="Times New Roman" w:hAnsi="Times New Roman"/>
          <w:szCs w:val="22"/>
          <w:lang w:eastAsia="sk-SK"/>
        </w:rPr>
        <w:t>ich precenenie a</w:t>
      </w:r>
      <w:r>
        <w:rPr>
          <w:rFonts w:ascii="Times New Roman" w:hAnsi="Times New Roman"/>
          <w:szCs w:val="22"/>
          <w:lang w:eastAsia="sk-SK"/>
        </w:rPr>
        <w:t> </w:t>
      </w:r>
      <w:r w:rsidRPr="00BC17C4">
        <w:rPr>
          <w:rFonts w:ascii="Times New Roman" w:hAnsi="Times New Roman"/>
          <w:szCs w:val="22"/>
          <w:lang w:eastAsia="sk-SK"/>
        </w:rPr>
        <w:t>konsolidácia</w:t>
      </w:r>
      <w:r>
        <w:rPr>
          <w:rFonts w:ascii="Times New Roman" w:hAnsi="Times New Roman"/>
          <w:szCs w:val="22"/>
          <w:lang w:eastAsia="sk-SK"/>
        </w:rPr>
        <w:t>,</w:t>
      </w:r>
      <w:r w:rsidRPr="00BC17C4">
        <w:rPr>
          <w:rFonts w:ascii="Times New Roman" w:hAnsi="Times New Roman"/>
          <w:szCs w:val="22"/>
          <w:lang w:eastAsia="sk-SK"/>
        </w:rPr>
        <w:t xml:space="preserve"> a na druhej strane vykázanie dlhodobého finančného majetku </w:t>
      </w:r>
      <w:r>
        <w:rPr>
          <w:rFonts w:ascii="Times New Roman" w:hAnsi="Times New Roman"/>
          <w:szCs w:val="22"/>
          <w:lang w:eastAsia="sk-SK"/>
        </w:rPr>
        <w:t>vo vlastníctve</w:t>
      </w:r>
      <w:r w:rsidRPr="00BC17C4">
        <w:rPr>
          <w:rFonts w:ascii="Times New Roman" w:hAnsi="Times New Roman"/>
          <w:szCs w:val="22"/>
          <w:lang w:eastAsia="sk-SK"/>
        </w:rPr>
        <w:t xml:space="preserve"> spoločnost</w:t>
      </w:r>
      <w:r>
        <w:rPr>
          <w:rFonts w:ascii="Times New Roman" w:hAnsi="Times New Roman"/>
          <w:szCs w:val="22"/>
          <w:lang w:eastAsia="sk-SK"/>
        </w:rPr>
        <w:t>i</w:t>
      </w:r>
      <w:r w:rsidRPr="00BC17C4">
        <w:rPr>
          <w:rFonts w:ascii="Times New Roman" w:hAnsi="Times New Roman"/>
          <w:szCs w:val="22"/>
          <w:lang w:eastAsia="sk-SK"/>
        </w:rPr>
        <w:t xml:space="preserve"> SPP, a.s. Medziročný prírastok podielových cenných papierov je preto vykázaný </w:t>
      </w:r>
      <w:r>
        <w:rPr>
          <w:rFonts w:ascii="Times New Roman" w:hAnsi="Times New Roman"/>
          <w:szCs w:val="22"/>
          <w:lang w:eastAsia="sk-SK"/>
        </w:rPr>
        <w:t>hlavne v ústrednej správe, a</w:t>
      </w:r>
      <w:r w:rsidR="00A924C8">
        <w:rPr>
          <w:rFonts w:ascii="Times New Roman" w:hAnsi="Times New Roman"/>
          <w:szCs w:val="22"/>
          <w:lang w:eastAsia="sk-SK"/>
        </w:rPr>
        <w:t> </w:t>
      </w:r>
      <w:r>
        <w:rPr>
          <w:rFonts w:ascii="Times New Roman" w:hAnsi="Times New Roman"/>
          <w:szCs w:val="22"/>
          <w:lang w:eastAsia="sk-SK"/>
        </w:rPr>
        <w:t>to</w:t>
      </w:r>
      <w:r w:rsidR="00A924C8">
        <w:rPr>
          <w:rFonts w:ascii="Times New Roman" w:hAnsi="Times New Roman"/>
          <w:szCs w:val="22"/>
          <w:lang w:eastAsia="sk-SK"/>
        </w:rPr>
        <w:t xml:space="preserve"> </w:t>
      </w:r>
      <w:r w:rsidRPr="00BC17C4">
        <w:rPr>
          <w:rFonts w:ascii="Times New Roman" w:hAnsi="Times New Roman"/>
          <w:szCs w:val="22"/>
          <w:lang w:eastAsia="sk-SK"/>
        </w:rPr>
        <w:t>3</w:t>
      </w:r>
      <w:r w:rsidR="00A924C8">
        <w:rPr>
          <w:rFonts w:ascii="Times New Roman" w:hAnsi="Times New Roman"/>
          <w:szCs w:val="22"/>
          <w:lang w:eastAsia="sk-SK"/>
        </w:rPr>
        <w:t> </w:t>
      </w:r>
      <w:r w:rsidRPr="00BC17C4">
        <w:rPr>
          <w:rFonts w:ascii="Times New Roman" w:hAnsi="Times New Roman"/>
          <w:szCs w:val="22"/>
          <w:lang w:eastAsia="sk-SK"/>
        </w:rPr>
        <w:t>176</w:t>
      </w:r>
      <w:r w:rsidR="00A924C8">
        <w:rPr>
          <w:rFonts w:ascii="Times New Roman" w:hAnsi="Times New Roman"/>
          <w:szCs w:val="22"/>
          <w:lang w:eastAsia="sk-SK"/>
        </w:rPr>
        <w:t> </w:t>
      </w:r>
      <w:r w:rsidRPr="00BC17C4">
        <w:rPr>
          <w:rFonts w:ascii="Times New Roman" w:hAnsi="Times New Roman"/>
          <w:szCs w:val="22"/>
          <w:lang w:eastAsia="sk-SK"/>
        </w:rPr>
        <w:t>845</w:t>
      </w:r>
      <w:r w:rsidR="00A924C8">
        <w:rPr>
          <w:rFonts w:ascii="Times New Roman" w:hAnsi="Times New Roman"/>
          <w:szCs w:val="22"/>
          <w:lang w:eastAsia="sk-SK"/>
        </w:rPr>
        <w:t> </w:t>
      </w:r>
      <w:r w:rsidRPr="00BC17C4">
        <w:rPr>
          <w:rFonts w:ascii="Times New Roman" w:hAnsi="Times New Roman"/>
          <w:szCs w:val="22"/>
          <w:lang w:eastAsia="sk-SK"/>
        </w:rPr>
        <w:t xml:space="preserve">tis. eur. </w:t>
      </w:r>
    </w:p>
    <w:p w:rsidR="001D3593" w:rsidRPr="00BC17C4" w:rsidP="001D3593">
      <w:pPr>
        <w:bidi w:val="0"/>
        <w:spacing w:before="120" w:after="120" w:line="336" w:lineRule="auto"/>
        <w:jc w:val="both"/>
        <w:rPr>
          <w:rFonts w:ascii="Times New Roman" w:hAnsi="Times New Roman"/>
          <w:szCs w:val="22"/>
        </w:rPr>
      </w:pPr>
      <w:r w:rsidRPr="00BC17C4">
        <w:rPr>
          <w:rFonts w:ascii="Times New Roman" w:hAnsi="Times New Roman"/>
          <w:szCs w:val="22"/>
          <w:u w:val="single"/>
          <w:lang w:eastAsia="sk-SK"/>
        </w:rPr>
        <w:t>Ďalej v rámci ústrednej správy ide o majetkovú účasť SR v medzinárodných finančných inštitúciách</w:t>
      </w:r>
      <w:r w:rsidRPr="00BC17C4">
        <w:rPr>
          <w:rFonts w:ascii="Times New Roman" w:hAnsi="Times New Roman"/>
          <w:szCs w:val="22"/>
          <w:lang w:eastAsia="sk-SK"/>
        </w:rPr>
        <w:t>, pričom celkovo sa výška týchto účastí medziročne zvýšila o 149 096 t</w:t>
      </w:r>
      <w:r w:rsidRPr="00BC17C4">
        <w:rPr>
          <w:rFonts w:ascii="Times New Roman" w:hAnsi="Times New Roman"/>
          <w:szCs w:val="22"/>
        </w:rPr>
        <w:t>is. eur, a to najmä z titulu podielu SR na základnom imaní Európskeho stabilizačného mechanizmu (ESM) a medzinárodných b</w:t>
      </w:r>
      <w:r>
        <w:rPr>
          <w:rFonts w:ascii="Times New Roman" w:hAnsi="Times New Roman"/>
          <w:szCs w:val="22"/>
        </w:rPr>
        <w:t>á</w:t>
      </w:r>
      <w:r w:rsidRPr="00BC17C4">
        <w:rPr>
          <w:rFonts w:ascii="Times New Roman" w:hAnsi="Times New Roman"/>
          <w:szCs w:val="22"/>
        </w:rPr>
        <w:t xml:space="preserve">nk. </w:t>
      </w:r>
      <w:r>
        <w:rPr>
          <w:rFonts w:ascii="Times New Roman" w:hAnsi="Times New Roman"/>
          <w:szCs w:val="22"/>
        </w:rPr>
        <w:t xml:space="preserve">Tento kapitál je povinná SR platiť v súlade s medzinárodnými zmluvami o založení a fungovaní týchto inštitúcií. </w:t>
      </w:r>
      <w:r w:rsidRPr="00BC17C4">
        <w:rPr>
          <w:rFonts w:ascii="Times New Roman" w:hAnsi="Times New Roman"/>
          <w:szCs w:val="22"/>
        </w:rPr>
        <w:t xml:space="preserve">Všetky uvedené podiely a obstaranie podielov sú v správe Ministerstva financií SR. Zvýšenie </w:t>
      </w:r>
      <w:r>
        <w:rPr>
          <w:rFonts w:ascii="Times New Roman" w:hAnsi="Times New Roman"/>
          <w:szCs w:val="22"/>
        </w:rPr>
        <w:t>finančného majetku</w:t>
      </w:r>
      <w:r w:rsidRPr="00BC17C4">
        <w:rPr>
          <w:rFonts w:ascii="Times New Roman" w:hAnsi="Times New Roman"/>
          <w:szCs w:val="22"/>
        </w:rPr>
        <w:t xml:space="preserve"> bolo realizované </w:t>
      </w:r>
      <w:r>
        <w:rPr>
          <w:rFonts w:ascii="Times New Roman" w:hAnsi="Times New Roman"/>
          <w:szCs w:val="22"/>
        </w:rPr>
        <w:t>splatením už</w:t>
      </w:r>
      <w:r w:rsidRPr="00BC17C4">
        <w:rPr>
          <w:rFonts w:ascii="Times New Roman" w:hAnsi="Times New Roman"/>
          <w:szCs w:val="22"/>
        </w:rPr>
        <w:t> obstaraných podielov v minulom účtovnom období.</w:t>
      </w:r>
    </w:p>
    <w:tbl>
      <w:tblPr>
        <w:tblStyle w:val="TableNormal"/>
        <w:tblW w:w="5000" w:type="pct"/>
        <w:tblCellMar>
          <w:left w:w="70" w:type="dxa"/>
          <w:right w:w="70" w:type="dxa"/>
        </w:tblCellMar>
        <w:tblLook w:val="04A0"/>
      </w:tblPr>
      <w:tblGrid>
        <w:gridCol w:w="6251"/>
        <w:gridCol w:w="1518"/>
        <w:gridCol w:w="1442"/>
      </w:tblGrid>
      <w:tr>
        <w:tblPrEx>
          <w:tblW w:w="5000" w:type="pct"/>
          <w:tblCellMar>
            <w:left w:w="70" w:type="dxa"/>
            <w:right w:w="70" w:type="dxa"/>
          </w:tblCellMar>
          <w:tblLook w:val="04A0"/>
        </w:tblPrEx>
        <w:trPr>
          <w:trHeight w:val="330"/>
        </w:trPr>
        <w:tc>
          <w:tcPr>
            <w:tcW w:w="4217" w:type="pct"/>
            <w:gridSpan w:val="2"/>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rPr>
                <w:rFonts w:ascii="Times New Roman" w:hAnsi="Times New Roman"/>
                <w:b/>
                <w:bCs/>
                <w:color w:val="FFFFFF"/>
                <w:sz w:val="20"/>
                <w:szCs w:val="20"/>
                <w:lang w:eastAsia="sk-SK"/>
              </w:rPr>
            </w:pPr>
            <w:r w:rsidRPr="00BC17C4">
              <w:rPr>
                <w:rFonts w:ascii="Times New Roman" w:hAnsi="Times New Roman"/>
                <w:b/>
                <w:bCs/>
                <w:color w:val="FFFFFF"/>
                <w:sz w:val="20"/>
                <w:szCs w:val="20"/>
                <w:lang w:eastAsia="sk-SK"/>
              </w:rPr>
              <w:t>Prehľad majetkovej účasti SR v medzinárodných inštitúciách (v tis. eur)</w:t>
            </w:r>
          </w:p>
        </w:tc>
        <w:tc>
          <w:tcPr>
            <w:tcW w:w="783" w:type="pct"/>
            <w:tcBorders>
              <w:top w:val="single" w:sz="4" w:space="0" w:color="auto"/>
              <w:left w:val="nil"/>
              <w:bottom w:val="single" w:sz="4" w:space="0" w:color="auto"/>
              <w:right w:val="nil"/>
            </w:tcBorders>
            <w:textDirection w:val="lrTb"/>
            <w:vAlign w:val="center"/>
          </w:tcPr>
          <w:p w:rsidR="001D3593" w:rsidRPr="00BC17C4" w:rsidP="004B7DC7">
            <w:pPr>
              <w:bidi w:val="0"/>
              <w:spacing w:after="0" w:line="240" w:lineRule="auto"/>
              <w:jc w:val="center"/>
              <w:rPr>
                <w:rFonts w:ascii="Times New Roman" w:hAnsi="Times New Roman"/>
                <w:b/>
                <w:bCs/>
                <w:color w:val="FFFFFF"/>
                <w:sz w:val="20"/>
                <w:szCs w:val="20"/>
                <w:lang w:eastAsia="sk-SK"/>
              </w:rPr>
            </w:pPr>
            <w:r w:rsidRPr="00BC17C4">
              <w:rPr>
                <w:rFonts w:ascii="Times New Roman" w:hAnsi="Times New Roman"/>
                <w:b/>
                <w:bCs/>
                <w:color w:val="FFFFFF"/>
                <w:sz w:val="20"/>
                <w:szCs w:val="20"/>
                <w:lang w:eastAsia="sk-SK"/>
              </w:rPr>
              <w:t> </w:t>
            </w:r>
          </w:p>
        </w:tc>
      </w:tr>
      <w:tr>
        <w:tblPrEx>
          <w:tblW w:w="5000" w:type="pct"/>
          <w:tblCellMar>
            <w:left w:w="70" w:type="dxa"/>
            <w:right w:w="70" w:type="dxa"/>
          </w:tblCellMar>
          <w:tblLook w:val="04A0"/>
        </w:tblPrEx>
        <w:trPr>
          <w:trHeight w:val="330"/>
        </w:trPr>
        <w:tc>
          <w:tcPr>
            <w:tcW w:w="3393"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r w:rsidRPr="00BC17C4">
              <w:rPr>
                <w:rFonts w:ascii="Times New Roman" w:hAnsi="Times New Roman"/>
                <w:b/>
                <w:bCs/>
                <w:sz w:val="20"/>
                <w:szCs w:val="20"/>
                <w:lang w:eastAsia="sk-SK"/>
              </w:rPr>
              <w:t>Medzinárodná inštitúcia</w:t>
            </w:r>
          </w:p>
        </w:tc>
        <w:tc>
          <w:tcPr>
            <w:tcW w:w="824"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2014</w:t>
            </w:r>
          </w:p>
        </w:tc>
        <w:tc>
          <w:tcPr>
            <w:tcW w:w="783"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5000" w:type="pct"/>
          <w:tblCellMar>
            <w:left w:w="70" w:type="dxa"/>
            <w:right w:w="70" w:type="dxa"/>
          </w:tblCellMar>
          <w:tblLook w:val="04A0"/>
        </w:tblPrEx>
        <w:trPr>
          <w:trHeight w:hRule="exact" w:val="330"/>
        </w:trPr>
        <w:tc>
          <w:tcPr>
            <w:tcW w:w="3393" w:type="pct"/>
            <w:tcBorders>
              <w:top w:val="nil"/>
              <w:left w:val="nil"/>
              <w:bottom w:val="nil"/>
              <w:right w:val="nil"/>
            </w:tcBorders>
            <w:textDirection w:val="lrTb"/>
            <w:vAlign w:val="center"/>
          </w:tcPr>
          <w:p w:rsidR="001D3593" w:rsidRPr="00BC17C4" w:rsidP="00FF16B0">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Európsk</w:t>
            </w:r>
            <w:r w:rsidR="00FF16B0">
              <w:rPr>
                <w:rFonts w:ascii="Times New Roman" w:hAnsi="Times New Roman"/>
                <w:color w:val="000000"/>
                <w:sz w:val="20"/>
                <w:szCs w:val="20"/>
                <w:lang w:eastAsia="sk-SK"/>
              </w:rPr>
              <w:t>y</w:t>
            </w:r>
            <w:r w:rsidRPr="00BC17C4">
              <w:rPr>
                <w:rFonts w:ascii="Times New Roman" w:hAnsi="Times New Roman"/>
                <w:color w:val="000000"/>
                <w:sz w:val="20"/>
                <w:szCs w:val="20"/>
                <w:lang w:eastAsia="sk-SK"/>
              </w:rPr>
              <w:t xml:space="preserve"> stabilizačn</w:t>
            </w:r>
            <w:r w:rsidR="00FF16B0">
              <w:rPr>
                <w:rFonts w:ascii="Times New Roman" w:hAnsi="Times New Roman"/>
                <w:color w:val="000000"/>
                <w:sz w:val="20"/>
                <w:szCs w:val="20"/>
                <w:lang w:eastAsia="sk-SK"/>
              </w:rPr>
              <w:t>ý</w:t>
            </w:r>
            <w:r w:rsidRPr="00BC17C4">
              <w:rPr>
                <w:rFonts w:ascii="Times New Roman" w:hAnsi="Times New Roman"/>
                <w:color w:val="000000"/>
                <w:sz w:val="20"/>
                <w:szCs w:val="20"/>
                <w:lang w:eastAsia="sk-SK"/>
              </w:rPr>
              <w:t xml:space="preserve"> mechanizmu</w:t>
            </w:r>
            <w:r w:rsidR="00FF16B0">
              <w:rPr>
                <w:rFonts w:ascii="Times New Roman" w:hAnsi="Times New Roman"/>
                <w:color w:val="000000"/>
                <w:sz w:val="20"/>
                <w:szCs w:val="20"/>
                <w:lang w:eastAsia="sk-SK"/>
              </w:rPr>
              <w:t>s</w:t>
            </w:r>
            <w:r w:rsidRPr="00BC17C4">
              <w:rPr>
                <w:rFonts w:ascii="Times New Roman" w:hAnsi="Times New Roman"/>
                <w:color w:val="000000"/>
                <w:sz w:val="20"/>
                <w:szCs w:val="20"/>
                <w:lang w:eastAsia="sk-SK"/>
              </w:rPr>
              <w:t xml:space="preserve"> (ESM)</w:t>
            </w:r>
          </w:p>
        </w:tc>
        <w:tc>
          <w:tcPr>
            <w:tcW w:w="82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659 200</w:t>
            </w:r>
          </w:p>
        </w:tc>
        <w:tc>
          <w:tcPr>
            <w:tcW w:w="783"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527 360</w:t>
            </w:r>
          </w:p>
        </w:tc>
      </w:tr>
      <w:tr>
        <w:tblPrEx>
          <w:tblW w:w="5000" w:type="pct"/>
          <w:tblCellMar>
            <w:left w:w="70" w:type="dxa"/>
            <w:right w:w="70" w:type="dxa"/>
          </w:tblCellMar>
          <w:tblLook w:val="04A0"/>
        </w:tblPrEx>
        <w:trPr>
          <w:trHeight w:hRule="exact" w:val="330"/>
        </w:trPr>
        <w:tc>
          <w:tcPr>
            <w:tcW w:w="33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Európska investičná banka</w:t>
            </w:r>
          </w:p>
        </w:tc>
        <w:tc>
          <w:tcPr>
            <w:tcW w:w="82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105 314</w:t>
            </w:r>
          </w:p>
        </w:tc>
        <w:tc>
          <w:tcPr>
            <w:tcW w:w="783"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98 337</w:t>
            </w:r>
          </w:p>
        </w:tc>
      </w:tr>
      <w:tr>
        <w:tblPrEx>
          <w:tblW w:w="5000" w:type="pct"/>
          <w:tblCellMar>
            <w:left w:w="70" w:type="dxa"/>
            <w:right w:w="70" w:type="dxa"/>
          </w:tblCellMar>
          <w:tblLook w:val="04A0"/>
        </w:tblPrEx>
        <w:trPr>
          <w:trHeight w:hRule="exact" w:val="330"/>
        </w:trPr>
        <w:tc>
          <w:tcPr>
            <w:tcW w:w="33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 xml:space="preserve">Skupina Svetovej banky </w:t>
            </w:r>
          </w:p>
        </w:tc>
        <w:tc>
          <w:tcPr>
            <w:tcW w:w="82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40 649</w:t>
            </w:r>
          </w:p>
        </w:tc>
        <w:tc>
          <w:tcPr>
            <w:tcW w:w="783"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38 134</w:t>
            </w:r>
          </w:p>
        </w:tc>
      </w:tr>
      <w:tr>
        <w:tblPrEx>
          <w:tblW w:w="5000" w:type="pct"/>
          <w:tblCellMar>
            <w:left w:w="70" w:type="dxa"/>
            <w:right w:w="70" w:type="dxa"/>
          </w:tblCellMar>
          <w:tblLook w:val="04A0"/>
        </w:tblPrEx>
        <w:trPr>
          <w:trHeight w:hRule="exact" w:val="330"/>
        </w:trPr>
        <w:tc>
          <w:tcPr>
            <w:tcW w:w="33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 xml:space="preserve">Európska banka pre obnovu a rozvoj  </w:t>
            </w:r>
          </w:p>
        </w:tc>
        <w:tc>
          <w:tcPr>
            <w:tcW w:w="82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26 215</w:t>
            </w:r>
          </w:p>
        </w:tc>
        <w:tc>
          <w:tcPr>
            <w:tcW w:w="783"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24 742</w:t>
            </w:r>
          </w:p>
        </w:tc>
      </w:tr>
      <w:tr>
        <w:tblPrEx>
          <w:tblW w:w="5000" w:type="pct"/>
          <w:tblCellMar>
            <w:left w:w="70" w:type="dxa"/>
            <w:right w:w="70" w:type="dxa"/>
          </w:tblCellMar>
          <w:tblLook w:val="04A0"/>
        </w:tblPrEx>
        <w:trPr>
          <w:trHeight w:hRule="exact" w:val="330"/>
        </w:trPr>
        <w:tc>
          <w:tcPr>
            <w:tcW w:w="33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 xml:space="preserve">Medzinárodná investičná banka </w:t>
            </w:r>
          </w:p>
        </w:tc>
        <w:tc>
          <w:tcPr>
            <w:tcW w:w="82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21 481</w:t>
            </w:r>
          </w:p>
        </w:tc>
        <w:tc>
          <w:tcPr>
            <w:tcW w:w="783"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15 188</w:t>
            </w:r>
          </w:p>
        </w:tc>
      </w:tr>
      <w:tr>
        <w:tblPrEx>
          <w:tblW w:w="5000" w:type="pct"/>
          <w:tblCellMar>
            <w:left w:w="70" w:type="dxa"/>
            <w:right w:w="70" w:type="dxa"/>
          </w:tblCellMar>
          <w:tblLook w:val="04A0"/>
        </w:tblPrEx>
        <w:trPr>
          <w:trHeight w:hRule="exact" w:val="330"/>
        </w:trPr>
        <w:tc>
          <w:tcPr>
            <w:tcW w:w="33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Medzinárodná banka pre hospodársku spoluprácu</w:t>
            </w:r>
          </w:p>
        </w:tc>
        <w:tc>
          <w:tcPr>
            <w:tcW w:w="82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12 473</w:t>
            </w:r>
          </w:p>
        </w:tc>
        <w:tc>
          <w:tcPr>
            <w:tcW w:w="783"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12 474</w:t>
            </w:r>
          </w:p>
        </w:tc>
      </w:tr>
      <w:tr>
        <w:tblPrEx>
          <w:tblW w:w="5000" w:type="pct"/>
          <w:tblCellMar>
            <w:left w:w="70" w:type="dxa"/>
            <w:right w:w="70" w:type="dxa"/>
          </w:tblCellMar>
          <w:tblLook w:val="04A0"/>
        </w:tblPrEx>
        <w:trPr>
          <w:trHeight w:hRule="exact" w:val="330"/>
        </w:trPr>
        <w:tc>
          <w:tcPr>
            <w:tcW w:w="33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Rozvojová banka Rady Európy</w:t>
            </w:r>
          </w:p>
        </w:tc>
        <w:tc>
          <w:tcPr>
            <w:tcW w:w="82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2 397</w:t>
            </w:r>
          </w:p>
        </w:tc>
        <w:tc>
          <w:tcPr>
            <w:tcW w:w="783"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2 397</w:t>
            </w:r>
          </w:p>
        </w:tc>
      </w:tr>
      <w:tr>
        <w:tblPrEx>
          <w:tblW w:w="5000" w:type="pct"/>
          <w:tblCellMar>
            <w:left w:w="70" w:type="dxa"/>
            <w:right w:w="70" w:type="dxa"/>
          </w:tblCellMar>
          <w:tblLook w:val="04A0"/>
        </w:tblPrEx>
        <w:trPr>
          <w:trHeight w:hRule="exact" w:val="330"/>
        </w:trPr>
        <w:tc>
          <w:tcPr>
            <w:tcW w:w="3393" w:type="pct"/>
            <w:tcBorders>
              <w:top w:val="nil"/>
              <w:left w:val="nil"/>
              <w:bottom w:val="nil"/>
              <w:right w:val="nil"/>
            </w:tcBorders>
            <w:textDirection w:val="lrTb"/>
            <w:vAlign w:val="center"/>
          </w:tcPr>
          <w:p w:rsidR="001D3593" w:rsidRPr="00BC17C4" w:rsidP="00FF16B0">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Európsk</w:t>
            </w:r>
            <w:r w:rsidR="00FF16B0">
              <w:rPr>
                <w:rFonts w:ascii="Times New Roman" w:hAnsi="Times New Roman"/>
                <w:color w:val="000000"/>
                <w:sz w:val="20"/>
                <w:szCs w:val="20"/>
                <w:lang w:eastAsia="sk-SK"/>
              </w:rPr>
              <w:t>y</w:t>
            </w:r>
            <w:r w:rsidRPr="00BC17C4">
              <w:rPr>
                <w:rFonts w:ascii="Times New Roman" w:hAnsi="Times New Roman"/>
                <w:color w:val="000000"/>
                <w:sz w:val="20"/>
                <w:szCs w:val="20"/>
                <w:lang w:eastAsia="sk-SK"/>
              </w:rPr>
              <w:t xml:space="preserve"> finančn</w:t>
            </w:r>
            <w:r w:rsidR="00FF16B0">
              <w:rPr>
                <w:rFonts w:ascii="Times New Roman" w:hAnsi="Times New Roman"/>
                <w:color w:val="000000"/>
                <w:sz w:val="20"/>
                <w:szCs w:val="20"/>
                <w:lang w:eastAsia="sk-SK"/>
              </w:rPr>
              <w:t>ý</w:t>
            </w:r>
            <w:r w:rsidRPr="00BC17C4">
              <w:rPr>
                <w:rFonts w:ascii="Times New Roman" w:hAnsi="Times New Roman"/>
                <w:color w:val="000000"/>
                <w:sz w:val="20"/>
                <w:szCs w:val="20"/>
                <w:lang w:eastAsia="sk-SK"/>
              </w:rPr>
              <w:t xml:space="preserve"> stabilizačn</w:t>
            </w:r>
            <w:r w:rsidR="00FF16B0">
              <w:rPr>
                <w:rFonts w:ascii="Times New Roman" w:hAnsi="Times New Roman"/>
                <w:color w:val="000000"/>
                <w:sz w:val="20"/>
                <w:szCs w:val="20"/>
                <w:lang w:eastAsia="sk-SK"/>
              </w:rPr>
              <w:t>ý</w:t>
            </w:r>
            <w:r w:rsidRPr="00BC17C4">
              <w:rPr>
                <w:rFonts w:ascii="Times New Roman" w:hAnsi="Times New Roman"/>
                <w:color w:val="000000"/>
                <w:sz w:val="20"/>
                <w:szCs w:val="20"/>
                <w:lang w:eastAsia="sk-SK"/>
              </w:rPr>
              <w:t xml:space="preserve"> nástroj (EFSF)</w:t>
            </w:r>
          </w:p>
        </w:tc>
        <w:tc>
          <w:tcPr>
            <w:tcW w:w="82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282</w:t>
            </w:r>
          </w:p>
        </w:tc>
        <w:tc>
          <w:tcPr>
            <w:tcW w:w="783"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282</w:t>
            </w:r>
          </w:p>
        </w:tc>
      </w:tr>
      <w:tr>
        <w:tblPrEx>
          <w:tblW w:w="5000" w:type="pct"/>
          <w:tblCellMar>
            <w:left w:w="70" w:type="dxa"/>
            <w:right w:w="70" w:type="dxa"/>
          </w:tblCellMar>
          <w:tblLook w:val="04A0"/>
        </w:tblPrEx>
        <w:trPr>
          <w:trHeight w:hRule="exact" w:val="330"/>
        </w:trPr>
        <w:tc>
          <w:tcPr>
            <w:tcW w:w="3393" w:type="pct"/>
            <w:tcBorders>
              <w:top w:val="nil"/>
              <w:left w:val="nil"/>
              <w:bottom w:val="single" w:sz="4" w:space="0" w:color="000000"/>
              <w:right w:val="nil"/>
            </w:tcBorders>
            <w:textDirection w:val="lrTb"/>
            <w:vAlign w:val="center"/>
          </w:tcPr>
          <w:p w:rsidR="001D3593" w:rsidRPr="00BC17C4" w:rsidP="004B7DC7">
            <w:pPr>
              <w:bidi w:val="0"/>
              <w:spacing w:after="0" w:line="240" w:lineRule="auto"/>
              <w:rPr>
                <w:rFonts w:ascii="Times New Roman" w:hAnsi="Times New Roman"/>
                <w:b/>
                <w:bCs/>
                <w:color w:val="000000"/>
                <w:sz w:val="20"/>
                <w:szCs w:val="20"/>
                <w:lang w:eastAsia="sk-SK"/>
              </w:rPr>
            </w:pPr>
            <w:r w:rsidRPr="00BC17C4">
              <w:rPr>
                <w:rFonts w:ascii="Times New Roman" w:hAnsi="Times New Roman"/>
                <w:b/>
                <w:bCs/>
                <w:color w:val="000000"/>
                <w:sz w:val="20"/>
                <w:szCs w:val="20"/>
                <w:lang w:eastAsia="sk-SK"/>
              </w:rPr>
              <w:t>Spolu</w:t>
            </w:r>
          </w:p>
        </w:tc>
        <w:tc>
          <w:tcPr>
            <w:tcW w:w="824" w:type="pct"/>
            <w:tcBorders>
              <w:top w:val="nil"/>
              <w:left w:val="nil"/>
              <w:bottom w:val="single" w:sz="4" w:space="0" w:color="000000"/>
              <w:right w:val="nil"/>
            </w:tcBorders>
            <w:textDirection w:val="lrTb"/>
            <w:vAlign w:val="center"/>
          </w:tcPr>
          <w:p w:rsidR="001D3593" w:rsidRPr="00BC17C4" w:rsidP="004B7DC7">
            <w:pPr>
              <w:bidi w:val="0"/>
              <w:spacing w:after="0" w:line="240" w:lineRule="auto"/>
              <w:jc w:val="right"/>
              <w:rPr>
                <w:rFonts w:ascii="Times New Roman" w:hAnsi="Times New Roman"/>
                <w:b/>
                <w:bCs/>
                <w:color w:val="000000"/>
                <w:sz w:val="20"/>
                <w:szCs w:val="20"/>
                <w:lang w:eastAsia="sk-SK"/>
              </w:rPr>
            </w:pPr>
            <w:r w:rsidRPr="00BC17C4">
              <w:rPr>
                <w:rFonts w:ascii="Times New Roman" w:hAnsi="Times New Roman"/>
                <w:b/>
                <w:bCs/>
                <w:color w:val="000000"/>
                <w:sz w:val="20"/>
                <w:szCs w:val="20"/>
                <w:lang w:eastAsia="sk-SK"/>
              </w:rPr>
              <w:t>868 011</w:t>
            </w:r>
          </w:p>
        </w:tc>
        <w:tc>
          <w:tcPr>
            <w:tcW w:w="783" w:type="pct"/>
            <w:tcBorders>
              <w:top w:val="nil"/>
              <w:left w:val="nil"/>
              <w:bottom w:val="single" w:sz="4" w:space="0" w:color="000000"/>
              <w:right w:val="nil"/>
            </w:tcBorders>
            <w:textDirection w:val="lrTb"/>
            <w:vAlign w:val="center"/>
          </w:tcPr>
          <w:p w:rsidR="001D3593" w:rsidRPr="00BC17C4" w:rsidP="004B7DC7">
            <w:pPr>
              <w:bidi w:val="0"/>
              <w:spacing w:after="0" w:line="240" w:lineRule="auto"/>
              <w:jc w:val="right"/>
              <w:rPr>
                <w:rFonts w:ascii="Times New Roman" w:hAnsi="Times New Roman"/>
                <w:b/>
                <w:bCs/>
                <w:color w:val="000000"/>
                <w:sz w:val="20"/>
                <w:szCs w:val="20"/>
                <w:lang w:eastAsia="sk-SK"/>
              </w:rPr>
            </w:pPr>
            <w:r w:rsidRPr="00BC17C4">
              <w:rPr>
                <w:rFonts w:ascii="Times New Roman" w:hAnsi="Times New Roman"/>
                <w:b/>
                <w:bCs/>
                <w:color w:val="000000"/>
                <w:sz w:val="20"/>
                <w:szCs w:val="20"/>
                <w:lang w:eastAsia="sk-SK"/>
              </w:rPr>
              <w:t>718 914</w:t>
            </w:r>
          </w:p>
        </w:tc>
      </w:tr>
    </w:tbl>
    <w:p w:rsidR="001D3593" w:rsidRPr="00BC17C4" w:rsidP="001D3593">
      <w:pPr>
        <w:bidi w:val="0"/>
        <w:spacing w:before="180" w:after="120" w:line="336" w:lineRule="auto"/>
        <w:jc w:val="both"/>
        <w:rPr>
          <w:rFonts w:ascii="Times New Roman" w:hAnsi="Times New Roman"/>
          <w:szCs w:val="22"/>
          <w:lang w:eastAsia="sk-SK"/>
        </w:rPr>
      </w:pPr>
      <w:r w:rsidRPr="00BC17C4">
        <w:rPr>
          <w:rFonts w:ascii="Times New Roman" w:hAnsi="Times New Roman"/>
          <w:szCs w:val="22"/>
          <w:lang w:eastAsia="sk-SK"/>
        </w:rPr>
        <w:t xml:space="preserve">Ďalej Ministerstvo financií SR vykazuje v rámci dlhodobého finančného majetku </w:t>
      </w:r>
      <w:r w:rsidRPr="00BC17C4">
        <w:rPr>
          <w:rFonts w:ascii="Times New Roman" w:hAnsi="Times New Roman"/>
          <w:szCs w:val="22"/>
          <w:u w:val="single"/>
          <w:lang w:eastAsia="sk-SK"/>
        </w:rPr>
        <w:t xml:space="preserve">upísané, ale </w:t>
      </w:r>
      <w:r>
        <w:rPr>
          <w:rFonts w:ascii="Times New Roman" w:hAnsi="Times New Roman"/>
          <w:szCs w:val="22"/>
          <w:u w:val="single"/>
          <w:lang w:eastAsia="sk-SK"/>
        </w:rPr>
        <w:t xml:space="preserve">zatiaľ </w:t>
      </w:r>
      <w:r w:rsidRPr="00BC17C4">
        <w:rPr>
          <w:rFonts w:ascii="Times New Roman" w:hAnsi="Times New Roman"/>
          <w:szCs w:val="22"/>
          <w:u w:val="single"/>
          <w:lang w:eastAsia="sk-SK"/>
        </w:rPr>
        <w:t>nesplatné podiely</w:t>
      </w:r>
      <w:r w:rsidRPr="00BC17C4">
        <w:rPr>
          <w:rFonts w:ascii="Times New Roman" w:hAnsi="Times New Roman"/>
          <w:szCs w:val="22"/>
          <w:lang w:eastAsia="sk-SK"/>
        </w:rPr>
        <w:t xml:space="preserve"> SR na základnom imaní medzinár</w:t>
      </w:r>
      <w:r>
        <w:rPr>
          <w:rFonts w:ascii="Times New Roman" w:hAnsi="Times New Roman"/>
          <w:szCs w:val="22"/>
          <w:lang w:eastAsia="sk-SK"/>
        </w:rPr>
        <w:t xml:space="preserve">odných finančných inštitúcií, v </w:t>
      </w:r>
      <w:r w:rsidRPr="00BC17C4">
        <w:rPr>
          <w:rFonts w:ascii="Times New Roman" w:hAnsi="Times New Roman"/>
          <w:szCs w:val="22"/>
          <w:lang w:eastAsia="sk-SK"/>
        </w:rPr>
        <w:t>celkovej výške</w:t>
      </w:r>
      <w:r>
        <w:rPr>
          <w:rFonts w:ascii="Times New Roman" w:hAnsi="Times New Roman"/>
          <w:szCs w:val="22"/>
          <w:lang w:eastAsia="sk-SK"/>
        </w:rPr>
        <w:br/>
      </w:r>
      <w:r w:rsidRPr="00BC17C4">
        <w:rPr>
          <w:rFonts w:ascii="Times New Roman" w:hAnsi="Times New Roman"/>
          <w:szCs w:val="22"/>
          <w:lang w:eastAsia="sk-SK"/>
        </w:rPr>
        <w:t xml:space="preserve">966 480 tis. eur. </w:t>
      </w:r>
    </w:p>
    <w:tbl>
      <w:tblPr>
        <w:tblStyle w:val="TableNormal"/>
        <w:tblW w:w="4912" w:type="pct"/>
        <w:tblInd w:w="70" w:type="dxa"/>
        <w:tblLayout w:type="fixed"/>
        <w:tblCellMar>
          <w:left w:w="70" w:type="dxa"/>
          <w:right w:w="70" w:type="dxa"/>
        </w:tblCellMar>
        <w:tblLook w:val="04A0"/>
      </w:tblPr>
      <w:tblGrid>
        <w:gridCol w:w="6236"/>
        <w:gridCol w:w="1419"/>
        <w:gridCol w:w="1394"/>
      </w:tblGrid>
      <w:tr>
        <w:tblPrEx>
          <w:tblW w:w="4912" w:type="pct"/>
          <w:tblInd w:w="70" w:type="dxa"/>
          <w:tblLayout w:type="fixed"/>
          <w:tblCellMar>
            <w:left w:w="70" w:type="dxa"/>
            <w:right w:w="70" w:type="dxa"/>
          </w:tblCellMar>
          <w:tblLook w:val="04A0"/>
        </w:tblPrEx>
        <w:trPr>
          <w:trHeight w:val="330"/>
        </w:trPr>
        <w:tc>
          <w:tcPr>
            <w:tcW w:w="4230" w:type="pct"/>
            <w:gridSpan w:val="2"/>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rPr>
                <w:rFonts w:ascii="Times New Roman" w:hAnsi="Times New Roman"/>
                <w:b/>
                <w:bCs/>
                <w:color w:val="FFFFFF"/>
                <w:sz w:val="20"/>
                <w:szCs w:val="20"/>
                <w:lang w:eastAsia="sk-SK"/>
              </w:rPr>
            </w:pPr>
            <w:r w:rsidRPr="00BC17C4">
              <w:rPr>
                <w:rFonts w:ascii="Times New Roman" w:hAnsi="Times New Roman"/>
                <w:b/>
                <w:bCs/>
                <w:color w:val="FFFFFF"/>
                <w:sz w:val="20"/>
                <w:szCs w:val="20"/>
                <w:lang w:eastAsia="sk-SK"/>
              </w:rPr>
              <w:t>Obstaranie finančného majetku v medzinárodných inštitúciách (v tis. eur)</w:t>
            </w:r>
          </w:p>
        </w:tc>
        <w:tc>
          <w:tcPr>
            <w:tcW w:w="770" w:type="pct"/>
            <w:tcBorders>
              <w:top w:val="single" w:sz="4" w:space="0" w:color="auto"/>
              <w:left w:val="nil"/>
              <w:bottom w:val="single" w:sz="4" w:space="0" w:color="auto"/>
              <w:right w:val="nil"/>
            </w:tcBorders>
            <w:textDirection w:val="lrTb"/>
            <w:vAlign w:val="center"/>
          </w:tcPr>
          <w:p w:rsidR="001D3593" w:rsidRPr="00BC17C4" w:rsidP="004B7DC7">
            <w:pPr>
              <w:bidi w:val="0"/>
              <w:spacing w:after="0" w:line="240" w:lineRule="auto"/>
              <w:jc w:val="center"/>
              <w:rPr>
                <w:rFonts w:ascii="Times New Roman" w:hAnsi="Times New Roman"/>
                <w:b/>
                <w:bCs/>
                <w:color w:val="FFFFFF"/>
                <w:sz w:val="20"/>
                <w:szCs w:val="20"/>
                <w:lang w:eastAsia="sk-SK"/>
              </w:rPr>
            </w:pPr>
            <w:r w:rsidRPr="00BC17C4">
              <w:rPr>
                <w:rFonts w:ascii="Times New Roman" w:hAnsi="Times New Roman"/>
                <w:b/>
                <w:bCs/>
                <w:color w:val="FFFFFF"/>
                <w:sz w:val="20"/>
                <w:szCs w:val="20"/>
                <w:lang w:eastAsia="sk-SK"/>
              </w:rPr>
              <w:t> </w:t>
            </w:r>
          </w:p>
        </w:tc>
      </w:tr>
      <w:tr>
        <w:tblPrEx>
          <w:tblW w:w="4912" w:type="pct"/>
          <w:tblInd w:w="70" w:type="dxa"/>
          <w:tblLayout w:type="fixed"/>
          <w:tblCellMar>
            <w:left w:w="70" w:type="dxa"/>
            <w:right w:w="70" w:type="dxa"/>
          </w:tblCellMar>
          <w:tblLook w:val="04A0"/>
        </w:tblPrEx>
        <w:trPr>
          <w:trHeight w:val="330"/>
        </w:trPr>
        <w:tc>
          <w:tcPr>
            <w:tcW w:w="3446"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r w:rsidRPr="00BC17C4">
              <w:rPr>
                <w:rFonts w:ascii="Times New Roman" w:hAnsi="Times New Roman"/>
                <w:b/>
                <w:bCs/>
                <w:sz w:val="20"/>
                <w:szCs w:val="20"/>
                <w:lang w:eastAsia="sk-SK"/>
              </w:rPr>
              <w:t>Medzinárodná inštitúcia</w:t>
            </w:r>
          </w:p>
        </w:tc>
        <w:tc>
          <w:tcPr>
            <w:tcW w:w="784"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2014</w:t>
            </w:r>
          </w:p>
        </w:tc>
        <w:tc>
          <w:tcPr>
            <w:tcW w:w="770"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4912" w:type="pct"/>
          <w:tblInd w:w="70" w:type="dxa"/>
          <w:tblLayout w:type="fixed"/>
          <w:tblCellMar>
            <w:left w:w="70" w:type="dxa"/>
            <w:right w:w="70" w:type="dxa"/>
          </w:tblCellMar>
          <w:tblLook w:val="04A0"/>
        </w:tblPrEx>
        <w:trPr>
          <w:trHeight w:hRule="exact" w:val="524"/>
        </w:trPr>
        <w:tc>
          <w:tcPr>
            <w:tcW w:w="3446"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Upísaný a nesplatený podiel na zvýšení základného imania Európskej investičnej banky</w:t>
            </w:r>
          </w:p>
        </w:tc>
        <w:tc>
          <w:tcPr>
            <w:tcW w:w="78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580 496</w:t>
            </w:r>
          </w:p>
        </w:tc>
        <w:tc>
          <w:tcPr>
            <w:tcW w:w="770"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586 996</w:t>
            </w:r>
          </w:p>
        </w:tc>
      </w:tr>
      <w:tr>
        <w:tblPrEx>
          <w:tblW w:w="4912" w:type="pct"/>
          <w:tblInd w:w="70" w:type="dxa"/>
          <w:tblLayout w:type="fixed"/>
          <w:tblCellMar>
            <w:left w:w="70" w:type="dxa"/>
            <w:right w:w="70" w:type="dxa"/>
          </w:tblCellMar>
          <w:tblLook w:val="04A0"/>
        </w:tblPrEx>
        <w:trPr>
          <w:trHeight w:hRule="exact" w:val="578"/>
        </w:trPr>
        <w:tc>
          <w:tcPr>
            <w:tcW w:w="3446"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Upísaný a nesplatený podiel na základnom imaní Medzinárodnej banky pre obnovu a rozvoj</w:t>
            </w:r>
          </w:p>
        </w:tc>
        <w:tc>
          <w:tcPr>
            <w:tcW w:w="784"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385 984</w:t>
            </w:r>
          </w:p>
        </w:tc>
        <w:tc>
          <w:tcPr>
            <w:tcW w:w="770"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339 803</w:t>
            </w:r>
          </w:p>
        </w:tc>
      </w:tr>
      <w:tr>
        <w:tblPrEx>
          <w:tblW w:w="4912" w:type="pct"/>
          <w:tblInd w:w="70" w:type="dxa"/>
          <w:tblLayout w:type="fixed"/>
          <w:tblCellMar>
            <w:left w:w="70" w:type="dxa"/>
            <w:right w:w="70" w:type="dxa"/>
          </w:tblCellMar>
          <w:tblLook w:val="04A0"/>
        </w:tblPrEx>
        <w:trPr>
          <w:trHeight w:hRule="exact" w:val="330"/>
        </w:trPr>
        <w:tc>
          <w:tcPr>
            <w:tcW w:w="3446" w:type="pct"/>
            <w:tcBorders>
              <w:top w:val="nil"/>
              <w:left w:val="nil"/>
              <w:bottom w:val="none" w:sz="0" w:space="0" w:color="auto"/>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Upísaný a nesplatený podiel na základnom imaní ESM</w:t>
            </w:r>
            <w:r w:rsidRPr="00BC17C4">
              <w:rPr>
                <w:rFonts w:eastAsia="Times New Roman"/>
                <w:color w:val="000000"/>
                <w:sz w:val="20"/>
                <w:szCs w:val="20"/>
                <w:lang w:eastAsia="sk-SK"/>
              </w:rPr>
              <w:t> </w:t>
            </w:r>
          </w:p>
        </w:tc>
        <w:tc>
          <w:tcPr>
            <w:tcW w:w="784" w:type="pct"/>
            <w:tcBorders>
              <w:top w:val="nil"/>
              <w:left w:val="nil"/>
              <w:bottom w:val="none" w:sz="0" w:space="0" w:color="auto"/>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0</w:t>
            </w:r>
          </w:p>
        </w:tc>
        <w:tc>
          <w:tcPr>
            <w:tcW w:w="770" w:type="pct"/>
            <w:tcBorders>
              <w:top w:val="nil"/>
              <w:left w:val="nil"/>
              <w:bottom w:val="none" w:sz="0" w:space="0" w:color="auto"/>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131 840</w:t>
            </w:r>
          </w:p>
        </w:tc>
      </w:tr>
      <w:tr>
        <w:tblPrEx>
          <w:tblW w:w="4912" w:type="pct"/>
          <w:tblInd w:w="70" w:type="dxa"/>
          <w:tblLayout w:type="fixed"/>
          <w:tblCellMar>
            <w:left w:w="70" w:type="dxa"/>
            <w:right w:w="70" w:type="dxa"/>
          </w:tblCellMar>
          <w:tblLook w:val="04A0"/>
        </w:tblPrEx>
        <w:trPr>
          <w:trHeight w:hRule="exact" w:val="330"/>
        </w:trPr>
        <w:tc>
          <w:tcPr>
            <w:tcW w:w="3446" w:type="pct"/>
            <w:tcBorders>
              <w:top w:val="nil"/>
              <w:left w:val="nil"/>
              <w:bottom w:val="single" w:sz="4" w:space="0" w:color="000000"/>
              <w:right w:val="nil"/>
            </w:tcBorders>
            <w:textDirection w:val="lrTb"/>
            <w:vAlign w:val="center"/>
          </w:tcPr>
          <w:p w:rsidR="001D3593" w:rsidRPr="00BC17C4" w:rsidP="001767F0">
            <w:pPr>
              <w:bidi w:val="0"/>
              <w:spacing w:after="120" w:line="336" w:lineRule="auto"/>
              <w:rPr>
                <w:rFonts w:ascii="Times New Roman" w:hAnsi="Times New Roman"/>
                <w:b/>
                <w:bCs/>
                <w:color w:val="000000"/>
                <w:sz w:val="20"/>
                <w:szCs w:val="20"/>
                <w:lang w:eastAsia="sk-SK"/>
              </w:rPr>
            </w:pPr>
            <w:r w:rsidRPr="00BC17C4">
              <w:rPr>
                <w:rFonts w:ascii="Times New Roman" w:hAnsi="Times New Roman"/>
                <w:b/>
                <w:bCs/>
                <w:color w:val="000000"/>
                <w:sz w:val="20"/>
                <w:szCs w:val="20"/>
                <w:lang w:eastAsia="sk-SK"/>
              </w:rPr>
              <w:t>Spolu</w:t>
            </w:r>
          </w:p>
        </w:tc>
        <w:tc>
          <w:tcPr>
            <w:tcW w:w="784" w:type="pct"/>
            <w:tcBorders>
              <w:top w:val="nil"/>
              <w:left w:val="nil"/>
              <w:bottom w:val="single" w:sz="4" w:space="0" w:color="000000"/>
              <w:right w:val="nil"/>
            </w:tcBorders>
            <w:textDirection w:val="lrTb"/>
            <w:vAlign w:val="center"/>
          </w:tcPr>
          <w:p w:rsidR="001D3593" w:rsidRPr="00BC17C4" w:rsidP="001767F0">
            <w:pPr>
              <w:bidi w:val="0"/>
              <w:spacing w:after="120" w:line="336" w:lineRule="auto"/>
              <w:jc w:val="right"/>
              <w:rPr>
                <w:rFonts w:ascii="Times New Roman" w:hAnsi="Times New Roman"/>
                <w:b/>
                <w:bCs/>
                <w:color w:val="000000"/>
                <w:sz w:val="20"/>
                <w:szCs w:val="20"/>
                <w:lang w:eastAsia="sk-SK"/>
              </w:rPr>
            </w:pPr>
            <w:r w:rsidRPr="00BC17C4">
              <w:rPr>
                <w:rFonts w:ascii="Times New Roman" w:hAnsi="Times New Roman"/>
                <w:b/>
                <w:bCs/>
                <w:color w:val="000000"/>
                <w:sz w:val="20"/>
                <w:szCs w:val="20"/>
                <w:lang w:eastAsia="sk-SK"/>
              </w:rPr>
              <w:t>966 480</w:t>
            </w:r>
          </w:p>
        </w:tc>
        <w:tc>
          <w:tcPr>
            <w:tcW w:w="770" w:type="pct"/>
            <w:tcBorders>
              <w:top w:val="nil"/>
              <w:left w:val="nil"/>
              <w:bottom w:val="single" w:sz="4" w:space="0" w:color="000000"/>
              <w:right w:val="nil"/>
            </w:tcBorders>
            <w:textDirection w:val="lrTb"/>
            <w:vAlign w:val="center"/>
          </w:tcPr>
          <w:p w:rsidR="001D3593" w:rsidRPr="00BC17C4" w:rsidP="001767F0">
            <w:pPr>
              <w:bidi w:val="0"/>
              <w:spacing w:after="120" w:line="336" w:lineRule="auto"/>
              <w:jc w:val="right"/>
              <w:rPr>
                <w:rFonts w:ascii="Times New Roman" w:hAnsi="Times New Roman"/>
                <w:b/>
                <w:bCs/>
                <w:color w:val="000000"/>
                <w:sz w:val="20"/>
                <w:szCs w:val="20"/>
                <w:lang w:eastAsia="sk-SK"/>
              </w:rPr>
            </w:pPr>
            <w:r w:rsidRPr="00BC17C4">
              <w:rPr>
                <w:rFonts w:ascii="Times New Roman" w:hAnsi="Times New Roman"/>
                <w:b/>
                <w:bCs/>
                <w:color w:val="000000"/>
                <w:sz w:val="20"/>
                <w:szCs w:val="20"/>
                <w:lang w:eastAsia="sk-SK"/>
              </w:rPr>
              <w:t>1 058 639</w:t>
            </w:r>
          </w:p>
        </w:tc>
      </w:tr>
    </w:tbl>
    <w:p w:rsidR="001D3593" w:rsidRPr="00BC17C4" w:rsidP="001767F0">
      <w:pPr>
        <w:tabs>
          <w:tab w:val="num" w:pos="0"/>
        </w:tabs>
        <w:bidi w:val="0"/>
        <w:spacing w:before="120" w:after="120" w:line="336" w:lineRule="auto"/>
        <w:jc w:val="both"/>
        <w:rPr>
          <w:rFonts w:ascii="Times New Roman" w:hAnsi="Times New Roman"/>
          <w:szCs w:val="22"/>
          <w:lang w:eastAsia="sk-SK"/>
        </w:rPr>
      </w:pPr>
      <w:r w:rsidRPr="00BC17C4">
        <w:rPr>
          <w:rFonts w:ascii="Times New Roman" w:hAnsi="Times New Roman"/>
          <w:szCs w:val="22"/>
          <w:lang w:eastAsia="sk-SK"/>
        </w:rPr>
        <w:t xml:space="preserve">Úbytok bol vykázaný najmä z dôvodu </w:t>
      </w:r>
      <w:r>
        <w:rPr>
          <w:rFonts w:ascii="Times New Roman" w:hAnsi="Times New Roman"/>
          <w:szCs w:val="22"/>
          <w:lang w:eastAsia="sk-SK"/>
        </w:rPr>
        <w:t>splatenia</w:t>
      </w:r>
      <w:r w:rsidRPr="00BC17C4">
        <w:rPr>
          <w:rFonts w:ascii="Times New Roman" w:hAnsi="Times New Roman"/>
          <w:szCs w:val="22"/>
          <w:lang w:eastAsia="sk-SK"/>
        </w:rPr>
        <w:t xml:space="preserve"> podiel</w:t>
      </w:r>
      <w:r>
        <w:rPr>
          <w:rFonts w:ascii="Times New Roman" w:hAnsi="Times New Roman"/>
          <w:szCs w:val="22"/>
          <w:lang w:eastAsia="sk-SK"/>
        </w:rPr>
        <w:t>u</w:t>
      </w:r>
      <w:r w:rsidRPr="00BC17C4">
        <w:rPr>
          <w:rFonts w:ascii="Times New Roman" w:hAnsi="Times New Roman"/>
          <w:szCs w:val="22"/>
          <w:lang w:eastAsia="sk-SK"/>
        </w:rPr>
        <w:t xml:space="preserve"> v ESM v hodnote 131 840 tis. eur </w:t>
      </w:r>
      <w:r>
        <w:rPr>
          <w:rFonts w:ascii="Times New Roman" w:hAnsi="Times New Roman"/>
          <w:szCs w:val="22"/>
          <w:lang w:eastAsia="sk-SK"/>
        </w:rPr>
        <w:t>v roku 2014</w:t>
      </w:r>
      <w:r w:rsidRPr="00BC17C4">
        <w:rPr>
          <w:rFonts w:ascii="Times New Roman" w:hAnsi="Times New Roman"/>
          <w:szCs w:val="22"/>
          <w:lang w:eastAsia="sk-SK"/>
        </w:rPr>
        <w:t>,</w:t>
      </w:r>
      <w:r>
        <w:rPr>
          <w:rFonts w:ascii="Times New Roman" w:hAnsi="Times New Roman"/>
          <w:szCs w:val="22"/>
          <w:lang w:eastAsia="sk-SK"/>
        </w:rPr>
        <w:t xml:space="preserve"> ďalej</w:t>
      </w:r>
      <w:r w:rsidRPr="00BC17C4">
        <w:rPr>
          <w:rFonts w:ascii="Times New Roman" w:hAnsi="Times New Roman"/>
          <w:szCs w:val="22"/>
          <w:lang w:eastAsia="sk-SK"/>
        </w:rPr>
        <w:t> z dôvodu splatenia časti upísaného základného imania Európskej investičnej banky a podiel v MBOR sa zvýšil z dôvodu precenenia cudzej meny.</w:t>
      </w:r>
    </w:p>
    <w:p w:rsidR="001D3593" w:rsidRPr="00BC17C4" w:rsidP="001767F0">
      <w:pPr>
        <w:bidi w:val="0"/>
        <w:spacing w:after="120" w:line="336" w:lineRule="auto"/>
        <w:jc w:val="both"/>
        <w:rPr>
          <w:rFonts w:ascii="Times New Roman" w:hAnsi="Times New Roman"/>
          <w:szCs w:val="22"/>
          <w:lang w:eastAsia="sk-SK"/>
        </w:rPr>
      </w:pPr>
      <w:r w:rsidRPr="00BC17C4">
        <w:rPr>
          <w:rFonts w:ascii="Times New Roman" w:hAnsi="Times New Roman"/>
          <w:szCs w:val="22"/>
          <w:u w:val="single"/>
          <w:lang w:eastAsia="sk-SK"/>
        </w:rPr>
        <w:t>V rámci územnej samosprávy</w:t>
      </w:r>
      <w:r w:rsidRPr="00BC17C4">
        <w:rPr>
          <w:rFonts w:ascii="Times New Roman" w:hAnsi="Times New Roman"/>
          <w:szCs w:val="22"/>
          <w:lang w:eastAsia="sk-SK"/>
        </w:rPr>
        <w:t xml:space="preserve"> ide hlavne o finančný majetok vo vlastníctve obcí v podobe realizovateľných cenných papierov (737 353 tis. eur), kde účtujú minoritné podiely v obchodných spoločnostiach, najmä v teplárenských, vodárenských a dopravných spoločnostiach. Ostatné cenné papiere územnej samosprávy dosiahli hodnotu 110 428 tis. eur.</w:t>
      </w:r>
    </w:p>
    <w:p w:rsidR="001D3593" w:rsidRPr="00BC17C4" w:rsidP="001767F0">
      <w:pPr>
        <w:bidi w:val="0"/>
        <w:spacing w:after="120" w:line="336" w:lineRule="auto"/>
        <w:jc w:val="both"/>
        <w:rPr>
          <w:rFonts w:ascii="Times New Roman" w:hAnsi="Times New Roman"/>
          <w:szCs w:val="22"/>
          <w:lang w:eastAsia="sk-SK"/>
        </w:rPr>
      </w:pPr>
      <w:r w:rsidRPr="00BC17C4">
        <w:rPr>
          <w:rFonts w:ascii="Times New Roman" w:hAnsi="Times New Roman"/>
          <w:szCs w:val="22"/>
          <w:u w:val="single"/>
          <w:lang w:eastAsia="sk-SK"/>
        </w:rPr>
        <w:t>V rámci ostatných subjektov</w:t>
      </w:r>
      <w:r w:rsidRPr="00BC17C4">
        <w:rPr>
          <w:rFonts w:ascii="Times New Roman" w:hAnsi="Times New Roman"/>
          <w:szCs w:val="22"/>
          <w:lang w:eastAsia="sk-SK"/>
        </w:rPr>
        <w:t xml:space="preserve"> vykazuje najvyššiu sumu Štátny fond rozvoja bývania z titulu poskytnutých pôžičiek na obnovu a výstavbu bytového fondu. Hodnota týchto pôžičiek</w:t>
      </w:r>
      <w:r>
        <w:rPr>
          <w:rFonts w:ascii="Times New Roman" w:hAnsi="Times New Roman"/>
          <w:szCs w:val="22"/>
          <w:lang w:eastAsia="sk-SK"/>
        </w:rPr>
        <w:t>,</w:t>
      </w:r>
      <w:r w:rsidRPr="00BC17C4">
        <w:rPr>
          <w:rFonts w:ascii="Times New Roman" w:hAnsi="Times New Roman"/>
          <w:szCs w:val="22"/>
          <w:lang w:eastAsia="sk-SK"/>
        </w:rPr>
        <w:t xml:space="preserve"> po konsolidácii pôžičiek poskytnutých subjektom územnej samosprávy</w:t>
      </w:r>
      <w:r>
        <w:rPr>
          <w:rFonts w:ascii="Times New Roman" w:hAnsi="Times New Roman"/>
          <w:szCs w:val="22"/>
          <w:lang w:eastAsia="sk-SK"/>
        </w:rPr>
        <w:t>,</w:t>
      </w:r>
      <w:r w:rsidRPr="00BC17C4">
        <w:rPr>
          <w:rFonts w:ascii="Times New Roman" w:hAnsi="Times New Roman"/>
          <w:szCs w:val="22"/>
          <w:lang w:eastAsia="sk-SK"/>
        </w:rPr>
        <w:t xml:space="preserve"> činila 984 124 tis. eur. Medziročný úbytok 1 302 537 tis. eur, ktorý zaznamenal Fond národného majetku SR, bol spôsobený prevodom podielov v niektorých obchodných spoločnostiach (SPP, a.s., Slovenské elektrárne, a.s., Letisko M.R. Štefánika, a.s. a ďalšie) pod príslušné kapitoly štátneho rozpočtu. Tým došlo k vnútornej zmene súhrnného celku, pričom 100% dcérske spoločnosti boli konsolidované v rámci ústrednej správy.</w:t>
      </w:r>
    </w:p>
    <w:p w:rsidR="001D3593" w:rsidRPr="00BC17C4" w:rsidP="001767F0">
      <w:pPr>
        <w:tabs>
          <w:tab w:val="num" w:pos="0"/>
        </w:tabs>
        <w:bidi w:val="0"/>
        <w:spacing w:after="120" w:line="336" w:lineRule="auto"/>
        <w:jc w:val="both"/>
        <w:rPr>
          <w:rFonts w:ascii="Times New Roman" w:hAnsi="Times New Roman"/>
          <w:b/>
          <w:szCs w:val="22"/>
          <w:lang w:eastAsia="sk-SK"/>
        </w:rPr>
      </w:pPr>
      <w:r w:rsidRPr="00BC17C4">
        <w:rPr>
          <w:rFonts w:ascii="Times New Roman" w:hAnsi="Times New Roman"/>
          <w:b/>
          <w:szCs w:val="22"/>
          <w:lang w:eastAsia="sk-SK"/>
        </w:rPr>
        <w:t>Obežný majetok</w:t>
      </w:r>
    </w:p>
    <w:p w:rsidR="001D3593" w:rsidRPr="00BC17C4" w:rsidP="001767F0">
      <w:pPr>
        <w:tabs>
          <w:tab w:val="num" w:pos="0"/>
        </w:tabs>
        <w:bidi w:val="0"/>
        <w:spacing w:after="120" w:line="336" w:lineRule="auto"/>
        <w:jc w:val="both"/>
        <w:rPr>
          <w:rFonts w:ascii="Times New Roman" w:hAnsi="Times New Roman"/>
          <w:b/>
          <w:szCs w:val="22"/>
          <w:lang w:eastAsia="sk-SK"/>
        </w:rPr>
      </w:pPr>
      <w:r w:rsidRPr="00BC17C4">
        <w:rPr>
          <w:rFonts w:ascii="Times New Roman" w:hAnsi="Times New Roman"/>
          <w:szCs w:val="22"/>
          <w:lang w:eastAsia="sk-SK"/>
        </w:rPr>
        <w:t xml:space="preserve">Obežný majetok je tvorený zásobami, zúčtovaním medzi subjektmi verejnej správy, pohľadávkami a finančnými účtami. </w:t>
      </w:r>
      <w:r w:rsidRPr="00BC17C4">
        <w:rPr>
          <w:rFonts w:ascii="Times New Roman" w:hAnsi="Times New Roman"/>
          <w:b/>
          <w:szCs w:val="22"/>
          <w:lang w:eastAsia="sk-SK"/>
        </w:rPr>
        <w:t>Podrobné finančné informácie ku každej z týchto položiek sú uvedené v poznámkach súhrnnej účtovnej závierky verejnej správy SR za rok 2014 (časť III. aktíva, položky B.I. až B.V.).</w:t>
      </w:r>
      <w:r w:rsidRPr="00BC17C4">
        <w:rPr>
          <w:rFonts w:ascii="Times New Roman" w:hAnsi="Times New Roman"/>
          <w:szCs w:val="22"/>
          <w:lang w:eastAsia="sk-SK"/>
        </w:rPr>
        <w:t xml:space="preserve"> Nižšie uvedený text sa venuje len jeho najvýznamnejším položkám z hľadiska hodnoty alebo ich významu pre krajinu.</w:t>
      </w:r>
    </w:p>
    <w:p w:rsidR="001D3593" w:rsidRPr="00BC17C4" w:rsidP="001767F0">
      <w:pPr>
        <w:bidi w:val="0"/>
        <w:spacing w:after="120" w:line="336" w:lineRule="auto"/>
        <w:jc w:val="both"/>
        <w:rPr>
          <w:rFonts w:ascii="Times New Roman" w:hAnsi="Times New Roman"/>
          <w:i/>
          <w:szCs w:val="22"/>
          <w:u w:val="single"/>
          <w:lang w:eastAsia="sk-SK"/>
        </w:rPr>
      </w:pPr>
      <w:r w:rsidRPr="00BC17C4">
        <w:rPr>
          <w:rFonts w:ascii="Times New Roman" w:hAnsi="Times New Roman"/>
          <w:i/>
          <w:szCs w:val="22"/>
          <w:u w:val="single"/>
          <w:lang w:eastAsia="sk-SK"/>
        </w:rPr>
        <w:t>Zásoby</w:t>
      </w:r>
    </w:p>
    <w:p w:rsidR="001D3593" w:rsidRPr="00BC17C4" w:rsidP="001767F0">
      <w:pPr>
        <w:tabs>
          <w:tab w:val="num" w:pos="0"/>
        </w:tabs>
        <w:bidi w:val="0"/>
        <w:spacing w:after="120" w:line="336" w:lineRule="auto"/>
        <w:jc w:val="both"/>
        <w:rPr>
          <w:b/>
          <w:noProof/>
          <w:szCs w:val="22"/>
        </w:rPr>
      </w:pPr>
      <w:r w:rsidRPr="00BC17C4">
        <w:rPr>
          <w:rFonts w:ascii="Times New Roman" w:hAnsi="Times New Roman"/>
          <w:szCs w:val="22"/>
          <w:lang w:eastAsia="sk-SK"/>
        </w:rPr>
        <w:t>Celková hodnota zásob súhrnného celku k 31.12.2014 dosiahla 2 109 524 tis. eur a medziročne bola hodnota zásob vyššia o 713 707 tis. eur.</w:t>
      </w:r>
    </w:p>
    <w:p w:rsidR="001D3593" w:rsidRPr="00BC17C4" w:rsidP="001767F0">
      <w:pPr>
        <w:bidi w:val="0"/>
        <w:spacing w:after="120" w:line="336" w:lineRule="auto"/>
        <w:jc w:val="both"/>
        <w:rPr>
          <w:rFonts w:ascii="Times New Roman" w:hAnsi="Times New Roman"/>
          <w:bCs/>
          <w:szCs w:val="22"/>
          <w:lang w:eastAsia="sk-SK"/>
        </w:rPr>
      </w:pPr>
      <w:r w:rsidRPr="00BC17C4">
        <w:rPr>
          <w:rFonts w:ascii="Times New Roman" w:hAnsi="Times New Roman"/>
          <w:bCs/>
          <w:szCs w:val="22"/>
          <w:lang w:eastAsia="sk-SK"/>
        </w:rPr>
        <w:t>Medziročný prírastok bol spôsobený zaradením Agentúry pre núdzové zásoby ropy a ropných produktov do súhrnného celku (500</w:t>
      </w:r>
      <w:r>
        <w:rPr>
          <w:rFonts w:ascii="Times New Roman" w:hAnsi="Times New Roman"/>
          <w:bCs/>
          <w:szCs w:val="22"/>
          <w:lang w:eastAsia="sk-SK"/>
        </w:rPr>
        <w:t> </w:t>
      </w:r>
      <w:r w:rsidRPr="00BC17C4">
        <w:rPr>
          <w:rFonts w:ascii="Times New Roman" w:hAnsi="Times New Roman"/>
          <w:bCs/>
          <w:szCs w:val="22"/>
          <w:lang w:eastAsia="sk-SK"/>
        </w:rPr>
        <w:t>863</w:t>
      </w:r>
      <w:r>
        <w:rPr>
          <w:rFonts w:ascii="Times New Roman" w:hAnsi="Times New Roman"/>
          <w:bCs/>
          <w:szCs w:val="22"/>
          <w:lang w:eastAsia="sk-SK"/>
        </w:rPr>
        <w:t xml:space="preserve"> tis. eur</w:t>
      </w:r>
      <w:r w:rsidRPr="00BC17C4">
        <w:rPr>
          <w:rFonts w:ascii="Times New Roman" w:hAnsi="Times New Roman"/>
          <w:bCs/>
          <w:szCs w:val="22"/>
          <w:lang w:eastAsia="sk-SK"/>
        </w:rPr>
        <w:t xml:space="preserve">) a takisto </w:t>
      </w:r>
      <w:r>
        <w:rPr>
          <w:rFonts w:ascii="Times New Roman" w:hAnsi="Times New Roman"/>
          <w:bCs/>
          <w:szCs w:val="22"/>
          <w:lang w:eastAsia="sk-SK"/>
        </w:rPr>
        <w:t>vykázaním zásob SPP, a.s.</w:t>
      </w:r>
      <w:r w:rsidR="00A924C8">
        <w:rPr>
          <w:rFonts w:ascii="Times New Roman" w:hAnsi="Times New Roman"/>
          <w:bCs/>
          <w:szCs w:val="22"/>
          <w:lang w:eastAsia="sk-SK"/>
        </w:rPr>
        <w:t xml:space="preserve"> (272 891 tis. </w:t>
      </w:r>
      <w:r w:rsidRPr="00BC17C4">
        <w:rPr>
          <w:rFonts w:ascii="Times New Roman" w:hAnsi="Times New Roman"/>
          <w:bCs/>
          <w:szCs w:val="22"/>
          <w:lang w:eastAsia="sk-SK"/>
        </w:rPr>
        <w:t>eur). Najvyšší medziročný úbytok zásob dosiahla ústredná správa, a to 61 390 tis. eur.</w:t>
      </w:r>
    </w:p>
    <w:p w:rsidR="001D3593" w:rsidRPr="00BC17C4" w:rsidP="001767F0">
      <w:pPr>
        <w:bidi w:val="0"/>
        <w:spacing w:after="120" w:line="336" w:lineRule="auto"/>
        <w:jc w:val="both"/>
        <w:rPr>
          <w:rFonts w:ascii="Times New Roman" w:hAnsi="Times New Roman"/>
          <w:bCs/>
          <w:szCs w:val="22"/>
          <w:lang w:eastAsia="sk-SK"/>
        </w:rPr>
      </w:pPr>
      <w:r w:rsidRPr="00BC17C4">
        <w:rPr>
          <w:rFonts w:ascii="Times New Roman" w:hAnsi="Times New Roman"/>
          <w:bCs/>
          <w:szCs w:val="22"/>
          <w:lang w:eastAsia="sk-SK"/>
        </w:rPr>
        <w:t xml:space="preserve">Na </w:t>
      </w:r>
      <w:r w:rsidRPr="00BC17C4">
        <w:rPr>
          <w:rFonts w:ascii="Times New Roman" w:hAnsi="Times New Roman"/>
          <w:szCs w:val="22"/>
          <w:lang w:eastAsia="sk-SK"/>
        </w:rPr>
        <w:t>celkovej</w:t>
      </w:r>
      <w:r w:rsidRPr="00BC17C4">
        <w:rPr>
          <w:rFonts w:ascii="Times New Roman" w:hAnsi="Times New Roman"/>
          <w:bCs/>
          <w:szCs w:val="22"/>
          <w:lang w:eastAsia="sk-SK"/>
        </w:rPr>
        <w:t xml:space="preserve"> hodnote zásob sa podieľa najviac ústredná štátna správa a v rámci nej Ministerstvo</w:t>
      </w:r>
      <w:r w:rsidR="00A924C8">
        <w:rPr>
          <w:rFonts w:ascii="Times New Roman" w:hAnsi="Times New Roman"/>
          <w:bCs/>
          <w:szCs w:val="22"/>
          <w:lang w:eastAsia="sk-SK"/>
        </w:rPr>
        <w:t xml:space="preserve"> </w:t>
      </w:r>
      <w:r w:rsidRPr="00BC17C4">
        <w:rPr>
          <w:rFonts w:ascii="Times New Roman" w:hAnsi="Times New Roman"/>
          <w:bCs/>
          <w:szCs w:val="22"/>
          <w:lang w:eastAsia="sk-SK"/>
        </w:rPr>
        <w:t>obrany SR (945 103 tis. eur), SPP, a.s. (272 891 tis. eur), Správa štátnych hmotných rezerv SR</w:t>
      </w:r>
      <w:r>
        <w:rPr>
          <w:rFonts w:ascii="Times New Roman" w:hAnsi="Times New Roman"/>
          <w:bCs/>
          <w:szCs w:val="22"/>
          <w:lang w:eastAsia="sk-SK"/>
        </w:rPr>
        <w:br/>
      </w:r>
      <w:r w:rsidRPr="00BC17C4">
        <w:rPr>
          <w:rFonts w:ascii="Times New Roman" w:hAnsi="Times New Roman"/>
          <w:bCs/>
          <w:szCs w:val="22"/>
          <w:lang w:eastAsia="sk-SK"/>
        </w:rPr>
        <w:t>(111 619 tis. eur) a Ministerstvo vnútra SR (62 598 tis. eur). Ide najmä o materiál v silových rezortoch v podobe náhradných dielov, pohonných hmôt, drobná výpočtová technika,</w:t>
      </w:r>
      <w:r>
        <w:rPr>
          <w:rFonts w:ascii="Times New Roman" w:hAnsi="Times New Roman"/>
          <w:bCs/>
          <w:szCs w:val="22"/>
          <w:lang w:eastAsia="sk-SK"/>
        </w:rPr>
        <w:t xml:space="preserve"> ďalej</w:t>
      </w:r>
      <w:r w:rsidRPr="00BC17C4">
        <w:rPr>
          <w:rFonts w:ascii="Times New Roman" w:hAnsi="Times New Roman"/>
          <w:bCs/>
          <w:szCs w:val="22"/>
          <w:lang w:eastAsia="sk-SK"/>
        </w:rPr>
        <w:t xml:space="preserve"> zdravotnícky materiál, kancelárske vybavenie a podobne. V prípade Správy štátnych hmotných rezerv SR </w:t>
      </w:r>
      <w:r>
        <w:rPr>
          <w:rFonts w:ascii="Times New Roman" w:hAnsi="Times New Roman"/>
          <w:bCs/>
          <w:szCs w:val="22"/>
          <w:lang w:eastAsia="sk-SK"/>
        </w:rPr>
        <w:t>ide</w:t>
      </w:r>
      <w:r w:rsidR="00A924C8">
        <w:rPr>
          <w:rFonts w:ascii="Times New Roman" w:hAnsi="Times New Roman"/>
          <w:bCs/>
          <w:szCs w:val="22"/>
          <w:lang w:eastAsia="sk-SK"/>
        </w:rPr>
        <w:t xml:space="preserve"> </w:t>
      </w:r>
      <w:r w:rsidRPr="00BC17C4">
        <w:rPr>
          <w:rFonts w:ascii="Times New Roman" w:hAnsi="Times New Roman"/>
          <w:bCs/>
          <w:szCs w:val="22"/>
          <w:lang w:eastAsia="sk-SK"/>
        </w:rPr>
        <w:t>o</w:t>
      </w:r>
      <w:r>
        <w:rPr>
          <w:rFonts w:ascii="Times New Roman" w:hAnsi="Times New Roman"/>
          <w:bCs/>
          <w:szCs w:val="22"/>
          <w:lang w:eastAsia="sk-SK"/>
        </w:rPr>
        <w:t xml:space="preserve"> </w:t>
      </w:r>
      <w:r w:rsidRPr="00BC17C4">
        <w:rPr>
          <w:rFonts w:ascii="Times New Roman" w:hAnsi="Times New Roman"/>
          <w:bCs/>
          <w:szCs w:val="22"/>
          <w:lang w:eastAsia="sk-SK"/>
        </w:rPr>
        <w:t xml:space="preserve">tzv. strategické zásoby </w:t>
      </w:r>
      <w:r>
        <w:rPr>
          <w:rFonts w:ascii="Times New Roman" w:hAnsi="Times New Roman"/>
          <w:bCs/>
          <w:szCs w:val="22"/>
          <w:lang w:eastAsia="sk-SK"/>
        </w:rPr>
        <w:t xml:space="preserve">krajiny </w:t>
      </w:r>
      <w:r w:rsidRPr="00BC17C4">
        <w:rPr>
          <w:rFonts w:ascii="Times New Roman" w:hAnsi="Times New Roman"/>
          <w:bCs/>
          <w:szCs w:val="22"/>
          <w:lang w:eastAsia="sk-SK"/>
        </w:rPr>
        <w:t xml:space="preserve">(napr. cukru, obilia). </w:t>
      </w:r>
    </w:p>
    <w:p w:rsidR="001D3593" w:rsidRPr="00BC17C4" w:rsidP="001767F0">
      <w:pPr>
        <w:bidi w:val="0"/>
        <w:spacing w:after="120" w:line="336" w:lineRule="auto"/>
        <w:rPr>
          <w:rFonts w:ascii="Times New Roman" w:hAnsi="Times New Roman"/>
          <w:i/>
          <w:szCs w:val="22"/>
          <w:u w:val="single"/>
          <w:lang w:eastAsia="sk-SK"/>
        </w:rPr>
      </w:pPr>
      <w:r w:rsidRPr="00BC17C4">
        <w:rPr>
          <w:rFonts w:ascii="Times New Roman" w:hAnsi="Times New Roman"/>
          <w:i/>
          <w:szCs w:val="22"/>
          <w:u w:val="single"/>
          <w:lang w:eastAsia="sk-SK"/>
        </w:rPr>
        <w:t xml:space="preserve">Zúčtovanie medzi subjektmi verejnej správy </w:t>
      </w:r>
    </w:p>
    <w:p w:rsidR="001D3593" w:rsidRPr="00BC17C4" w:rsidP="001767F0">
      <w:pPr>
        <w:bidi w:val="0"/>
        <w:spacing w:after="120" w:line="336" w:lineRule="auto"/>
        <w:jc w:val="both"/>
        <w:rPr>
          <w:rFonts w:ascii="Times New Roman" w:hAnsi="Times New Roman"/>
          <w:szCs w:val="22"/>
          <w:lang w:eastAsia="sk-SK"/>
        </w:rPr>
      </w:pPr>
      <w:r w:rsidRPr="00BC17C4">
        <w:rPr>
          <w:rFonts w:ascii="Times New Roman" w:hAnsi="Times New Roman"/>
          <w:szCs w:val="22"/>
          <w:lang w:eastAsia="sk-SK"/>
        </w:rPr>
        <w:t>Zostatok transferov na strane aktív predstavujú poskytnuté bežné a kapitálové transfery nezúčtované do nákladov v danom roku. Na strane aktív vykazujú zúčtovacie vzťahy subjekty, ktoré poskytli tieto prostriedky iným subjektom verejnej správy alebo subjektom súhrnného celku. Hodnota transferov k 31.12.2014 bola 954 414 tis. eur a medziročne sa znížili o 273 97</w:t>
      </w:r>
      <w:r>
        <w:rPr>
          <w:rFonts w:ascii="Times New Roman" w:hAnsi="Times New Roman"/>
          <w:szCs w:val="22"/>
          <w:lang w:eastAsia="sk-SK"/>
        </w:rPr>
        <w:t>1</w:t>
      </w:r>
      <w:r w:rsidRPr="00BC17C4">
        <w:rPr>
          <w:rFonts w:ascii="Times New Roman" w:hAnsi="Times New Roman"/>
          <w:szCs w:val="22"/>
          <w:lang w:eastAsia="sk-SK"/>
        </w:rPr>
        <w:t xml:space="preserve"> tis. eur. Z celkového objemu vykazuje ústredná správa 898 764 tis. eur, čo je medzi</w:t>
      </w:r>
      <w:r w:rsidR="008746F2">
        <w:rPr>
          <w:rFonts w:ascii="Times New Roman" w:hAnsi="Times New Roman"/>
          <w:szCs w:val="22"/>
          <w:lang w:eastAsia="sk-SK"/>
        </w:rPr>
        <w:t>ročne menej o 297 003 tis. eur.</w:t>
        <w:br/>
      </w:r>
      <w:r w:rsidRPr="00BC17C4">
        <w:rPr>
          <w:rFonts w:ascii="Times New Roman" w:hAnsi="Times New Roman"/>
          <w:szCs w:val="22"/>
          <w:lang w:eastAsia="sk-SK"/>
        </w:rPr>
        <w:t>V rámci ústrednej správy vykazuje Jadrová a vyraďovacia spoločnosť, a.s. hodnotu 892 091 tis. eur, ktorá vykazuje pohľadávky z vyraďovania jadrových zariadení a nákladov spojených s odstraňovaním jadrového odpadu.</w:t>
      </w:r>
    </w:p>
    <w:p w:rsidR="001D3593" w:rsidRPr="00BC17C4" w:rsidP="001767F0">
      <w:pPr>
        <w:pStyle w:val="Pismenka"/>
        <w:tabs>
          <w:tab w:val="clear" w:pos="426"/>
        </w:tabs>
        <w:bidi w:val="0"/>
        <w:spacing w:after="120" w:line="336" w:lineRule="auto"/>
        <w:ind w:left="0" w:firstLine="0"/>
        <w:rPr>
          <w:rFonts w:ascii="Times New Roman" w:hAnsi="Times New Roman"/>
          <w:b w:val="0"/>
          <w:bCs w:val="0"/>
          <w:i/>
          <w:sz w:val="22"/>
          <w:szCs w:val="22"/>
          <w:u w:val="single"/>
        </w:rPr>
      </w:pPr>
      <w:r w:rsidRPr="00BC17C4">
        <w:rPr>
          <w:rFonts w:ascii="Times New Roman" w:hAnsi="Times New Roman"/>
          <w:b w:val="0"/>
          <w:bCs w:val="0"/>
          <w:i/>
          <w:sz w:val="22"/>
          <w:szCs w:val="22"/>
          <w:u w:val="single"/>
        </w:rPr>
        <w:t>Pohľadávky</w:t>
      </w:r>
    </w:p>
    <w:p w:rsidR="001D3593" w:rsidRPr="00BC17C4" w:rsidP="001767F0">
      <w:pPr>
        <w:pStyle w:val="Pismenka"/>
        <w:tabs>
          <w:tab w:val="num" w:pos="0"/>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Pohľadávky súhrnného celku sú vykazované spol</w:t>
      </w:r>
      <w:r w:rsidRPr="00BC17C4">
        <w:rPr>
          <w:rFonts w:ascii="Times New Roman" w:hAnsi="Times New Roman"/>
          <w:b w:val="0"/>
          <w:bCs w:val="0"/>
          <w:sz w:val="22"/>
          <w:szCs w:val="22"/>
          <w:lang w:val="sk-SK"/>
        </w:rPr>
        <w:t>u</w:t>
      </w:r>
      <w:r w:rsidRPr="00BC17C4">
        <w:rPr>
          <w:rFonts w:ascii="Times New Roman" w:hAnsi="Times New Roman"/>
          <w:b w:val="0"/>
          <w:bCs w:val="0"/>
          <w:sz w:val="22"/>
          <w:szCs w:val="22"/>
        </w:rPr>
        <w:t xml:space="preserve">, dlhodobé aj krátkodobé. Úhrnom dosiahli sumu </w:t>
      </w:r>
      <w:r w:rsidRPr="00BC17C4">
        <w:rPr>
          <w:rFonts w:ascii="Times New Roman" w:hAnsi="Times New Roman"/>
          <w:b w:val="0"/>
          <w:bCs w:val="0"/>
          <w:sz w:val="22"/>
          <w:szCs w:val="22"/>
          <w:lang w:val="sk-SK"/>
        </w:rPr>
        <w:t>4</w:t>
      </w:r>
      <w:r>
        <w:rPr>
          <w:rFonts w:ascii="Times New Roman" w:hAnsi="Times New Roman"/>
          <w:b w:val="0"/>
          <w:bCs w:val="0"/>
          <w:sz w:val="22"/>
          <w:szCs w:val="22"/>
          <w:lang w:val="sk-SK"/>
        </w:rPr>
        <w:t> 719 214</w:t>
      </w:r>
      <w:r w:rsidRPr="00BC17C4">
        <w:rPr>
          <w:rFonts w:ascii="Times New Roman" w:hAnsi="Times New Roman"/>
          <w:b w:val="0"/>
          <w:bCs w:val="0"/>
          <w:sz w:val="22"/>
          <w:szCs w:val="22"/>
          <w:lang w:val="sk-SK"/>
        </w:rPr>
        <w:t xml:space="preserve"> tis. eur</w:t>
      </w:r>
      <w:r w:rsidRPr="00BC17C4">
        <w:rPr>
          <w:rFonts w:ascii="Times New Roman" w:hAnsi="Times New Roman"/>
          <w:b w:val="0"/>
          <w:bCs w:val="0"/>
          <w:sz w:val="22"/>
          <w:szCs w:val="22"/>
        </w:rPr>
        <w:t xml:space="preserve">, z toho dlhodobé </w:t>
      </w:r>
      <w:r w:rsidRPr="00BC17C4">
        <w:rPr>
          <w:rFonts w:ascii="Times New Roman" w:hAnsi="Times New Roman"/>
          <w:b w:val="0"/>
          <w:bCs w:val="0"/>
          <w:sz w:val="22"/>
          <w:szCs w:val="22"/>
          <w:lang w:val="sk-SK"/>
        </w:rPr>
        <w:t>620 114</w:t>
      </w:r>
      <w:r w:rsidRPr="00BC17C4">
        <w:rPr>
          <w:rFonts w:ascii="Times New Roman" w:hAnsi="Times New Roman"/>
          <w:b w:val="0"/>
          <w:bCs w:val="0"/>
          <w:sz w:val="22"/>
          <w:szCs w:val="22"/>
        </w:rPr>
        <w:t xml:space="preserve"> tis. eur a krátkodobé </w:t>
      </w:r>
      <w:r>
        <w:rPr>
          <w:rFonts w:ascii="Times New Roman" w:hAnsi="Times New Roman"/>
          <w:b w:val="0"/>
          <w:bCs w:val="0"/>
          <w:sz w:val="22"/>
          <w:szCs w:val="22"/>
          <w:lang w:val="sk-SK"/>
        </w:rPr>
        <w:t xml:space="preserve">4 099 100 </w:t>
      </w:r>
      <w:r w:rsidRPr="00BC17C4">
        <w:rPr>
          <w:rFonts w:ascii="Times New Roman" w:hAnsi="Times New Roman"/>
          <w:b w:val="0"/>
          <w:bCs w:val="0"/>
          <w:sz w:val="22"/>
          <w:szCs w:val="22"/>
        </w:rPr>
        <w:t>tis. eur.</w:t>
      </w:r>
      <w:r w:rsidRPr="00BC17C4">
        <w:rPr>
          <w:rFonts w:ascii="Times New Roman" w:hAnsi="Times New Roman"/>
          <w:b w:val="0"/>
          <w:bCs w:val="0"/>
          <w:sz w:val="22"/>
          <w:szCs w:val="22"/>
          <w:lang w:val="sk-SK"/>
        </w:rPr>
        <w:t xml:space="preserve"> Medziročne vzrástla </w:t>
      </w:r>
      <w:r>
        <w:rPr>
          <w:rFonts w:ascii="Times New Roman" w:hAnsi="Times New Roman"/>
          <w:b w:val="0"/>
          <w:bCs w:val="0"/>
          <w:sz w:val="22"/>
          <w:szCs w:val="22"/>
          <w:lang w:val="sk-SK"/>
        </w:rPr>
        <w:t xml:space="preserve">netto </w:t>
      </w:r>
      <w:r w:rsidRPr="00BC17C4">
        <w:rPr>
          <w:rFonts w:ascii="Times New Roman" w:hAnsi="Times New Roman"/>
          <w:b w:val="0"/>
          <w:bCs w:val="0"/>
          <w:sz w:val="22"/>
          <w:szCs w:val="22"/>
          <w:lang w:val="sk-SK"/>
        </w:rPr>
        <w:t>hodnota pohľadávok o</w:t>
      </w:r>
      <w:r>
        <w:rPr>
          <w:rFonts w:ascii="Times New Roman" w:hAnsi="Times New Roman"/>
          <w:b w:val="0"/>
          <w:bCs w:val="0"/>
          <w:sz w:val="22"/>
          <w:szCs w:val="22"/>
          <w:lang w:val="sk-SK"/>
        </w:rPr>
        <w:t> 132 228</w:t>
      </w:r>
      <w:r w:rsidRPr="00BC17C4">
        <w:rPr>
          <w:rFonts w:ascii="Times New Roman" w:hAnsi="Times New Roman"/>
          <w:b w:val="0"/>
          <w:bCs w:val="0"/>
          <w:sz w:val="22"/>
          <w:szCs w:val="22"/>
          <w:lang w:val="sk-SK"/>
        </w:rPr>
        <w:t xml:space="preserve"> tis. eur. </w:t>
      </w:r>
    </w:p>
    <w:p w:rsidR="001D3593" w:rsidRPr="00BC17C4" w:rsidP="001767F0">
      <w:pPr>
        <w:pStyle w:val="Pismenka"/>
        <w:tabs>
          <w:tab w:val="num" w:pos="0"/>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 xml:space="preserve">Z pohľadu činnosti jednotlivých subjektov súhrnného celku môžeme konštatovať, že za rozpočtové a príspevkové organizácie, obce a vyššie územné celky sú najdôležitejšie pohľadávky z daní, poplatkov a nedaňové pohľadávky. Štátne podniky a obchodné spoločnosti vykazujú najväčší podiel na pohľadávkach z obchodných vzťahov, voči odberateľom, zamestnancom a podobne. Do skupiny špecifických pohľadávok môžeme zaradiť operácie štátu na finančných trhoch a pohľadávky voči zahraničiu. </w:t>
      </w:r>
    </w:p>
    <w:p w:rsidR="001767F0" w:rsidP="001767F0">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sidR="001D3593">
        <w:rPr>
          <w:rFonts w:ascii="Times New Roman" w:hAnsi="Times New Roman"/>
          <w:b w:val="0"/>
          <w:bCs w:val="0"/>
          <w:sz w:val="22"/>
          <w:szCs w:val="22"/>
          <w:u w:val="single"/>
        </w:rPr>
        <w:t xml:space="preserve">Najvýznamnejšími pohľadávkami verejnej správy sú pohľadávky v správe Ministerstva financií </w:t>
      </w:r>
      <w:r w:rsidRPr="00BC17C4" w:rsidR="001D3593">
        <w:rPr>
          <w:rFonts w:ascii="Times New Roman" w:hAnsi="Times New Roman"/>
          <w:b w:val="0"/>
          <w:bCs w:val="0"/>
          <w:sz w:val="22"/>
          <w:szCs w:val="22"/>
          <w:u w:val="single"/>
          <w:lang w:val="sk-SK"/>
        </w:rPr>
        <w:t>SR</w:t>
      </w:r>
      <w:r w:rsidRPr="00BC17C4" w:rsidR="001D3593">
        <w:rPr>
          <w:rFonts w:ascii="Times New Roman" w:hAnsi="Times New Roman"/>
          <w:b w:val="0"/>
          <w:bCs w:val="0"/>
          <w:sz w:val="22"/>
          <w:szCs w:val="22"/>
          <w:lang w:val="sk-SK"/>
        </w:rPr>
        <w:t xml:space="preserve"> </w:t>
      </w:r>
      <w:r w:rsidRPr="00BC17C4" w:rsidR="001D3593">
        <w:rPr>
          <w:rFonts w:ascii="Times New Roman" w:hAnsi="Times New Roman"/>
          <w:b w:val="0"/>
          <w:bCs w:val="0"/>
          <w:sz w:val="22"/>
          <w:szCs w:val="22"/>
        </w:rPr>
        <w:t>(1 </w:t>
      </w:r>
      <w:r w:rsidR="001D3593">
        <w:rPr>
          <w:rFonts w:ascii="Times New Roman" w:hAnsi="Times New Roman"/>
          <w:b w:val="0"/>
          <w:bCs w:val="0"/>
          <w:sz w:val="22"/>
          <w:szCs w:val="22"/>
          <w:lang w:val="sk-SK"/>
        </w:rPr>
        <w:t>7</w:t>
      </w:r>
      <w:r w:rsidRPr="00BC17C4" w:rsidR="001D3593">
        <w:rPr>
          <w:rFonts w:ascii="Times New Roman" w:hAnsi="Times New Roman"/>
          <w:b w:val="0"/>
          <w:bCs w:val="0"/>
          <w:sz w:val="22"/>
          <w:szCs w:val="22"/>
          <w:lang w:val="sk-SK"/>
        </w:rPr>
        <w:t>6</w:t>
      </w:r>
      <w:r w:rsidR="001D3593">
        <w:rPr>
          <w:rFonts w:ascii="Times New Roman" w:hAnsi="Times New Roman"/>
          <w:b w:val="0"/>
          <w:bCs w:val="0"/>
          <w:sz w:val="22"/>
          <w:szCs w:val="22"/>
          <w:lang w:val="sk-SK"/>
        </w:rPr>
        <w:t>7</w:t>
      </w:r>
      <w:r w:rsidRPr="00BC17C4" w:rsidR="001D3593">
        <w:rPr>
          <w:rFonts w:ascii="Times New Roman" w:hAnsi="Times New Roman"/>
          <w:b w:val="0"/>
          <w:bCs w:val="0"/>
          <w:sz w:val="22"/>
          <w:szCs w:val="22"/>
          <w:lang w:val="sk-SK"/>
        </w:rPr>
        <w:t xml:space="preserve"> </w:t>
      </w:r>
      <w:r w:rsidR="001D3593">
        <w:rPr>
          <w:rFonts w:ascii="Times New Roman" w:hAnsi="Times New Roman"/>
          <w:b w:val="0"/>
          <w:bCs w:val="0"/>
          <w:sz w:val="22"/>
          <w:szCs w:val="22"/>
          <w:lang w:val="sk-SK"/>
        </w:rPr>
        <w:t>087</w:t>
      </w:r>
      <w:r w:rsidRPr="00BC17C4" w:rsidR="001D3593">
        <w:rPr>
          <w:rFonts w:ascii="Times New Roman" w:hAnsi="Times New Roman"/>
          <w:b w:val="0"/>
          <w:bCs w:val="0"/>
          <w:sz w:val="22"/>
          <w:szCs w:val="22"/>
        </w:rPr>
        <w:t xml:space="preserve"> tis. eur). Ide najmä o pohľadávky z daní </w:t>
      </w:r>
      <w:r w:rsidRPr="00BC17C4" w:rsidR="001D3593">
        <w:rPr>
          <w:rFonts w:ascii="Times New Roman" w:hAnsi="Times New Roman"/>
          <w:b w:val="0"/>
          <w:bCs w:val="0"/>
          <w:sz w:val="22"/>
          <w:szCs w:val="22"/>
          <w:lang w:val="sk-SK"/>
        </w:rPr>
        <w:t xml:space="preserve">a </w:t>
      </w:r>
      <w:r w:rsidRPr="00BC17C4" w:rsidR="001D3593">
        <w:rPr>
          <w:rFonts w:ascii="Times New Roman" w:hAnsi="Times New Roman"/>
          <w:b w:val="0"/>
          <w:bCs w:val="0"/>
          <w:sz w:val="22"/>
          <w:szCs w:val="22"/>
        </w:rPr>
        <w:t>cla</w:t>
      </w:r>
      <w:r w:rsidRPr="00BC17C4" w:rsidR="001D3593">
        <w:rPr>
          <w:rFonts w:ascii="Times New Roman" w:hAnsi="Times New Roman"/>
          <w:b w:val="0"/>
          <w:bCs w:val="0"/>
          <w:sz w:val="22"/>
          <w:szCs w:val="22"/>
          <w:lang w:val="sk-SK"/>
        </w:rPr>
        <w:t xml:space="preserve"> v hodnote 708 131 tis. eur,</w:t>
      </w:r>
      <w:r w:rsidRPr="00BC17C4" w:rsidR="001D3593">
        <w:rPr>
          <w:rFonts w:ascii="Times New Roman" w:hAnsi="Times New Roman"/>
          <w:b w:val="0"/>
          <w:bCs w:val="0"/>
          <w:sz w:val="22"/>
          <w:szCs w:val="22"/>
        </w:rPr>
        <w:t> pohľadávky Slovenskej republiky voči zahraničiu</w:t>
      </w:r>
      <w:r w:rsidRPr="00BC17C4" w:rsidR="001D3593">
        <w:rPr>
          <w:rFonts w:ascii="Times New Roman" w:hAnsi="Times New Roman"/>
          <w:b w:val="0"/>
          <w:bCs w:val="0"/>
          <w:sz w:val="22"/>
          <w:szCs w:val="22"/>
          <w:lang w:val="sk-SK"/>
        </w:rPr>
        <w:t xml:space="preserve"> vo výške 232 633 tis. eur a zo špecifických operácií štátu na finančných trhoch </w:t>
      </w:r>
      <w:r w:rsidR="001D3593">
        <w:rPr>
          <w:rFonts w:ascii="Times New Roman" w:hAnsi="Times New Roman"/>
          <w:b w:val="0"/>
          <w:bCs w:val="0"/>
          <w:sz w:val="22"/>
          <w:szCs w:val="22"/>
          <w:lang w:val="sk-SK"/>
        </w:rPr>
        <w:t xml:space="preserve">vo </w:t>
      </w:r>
      <w:r w:rsidRPr="00BC17C4" w:rsidR="001D3593">
        <w:rPr>
          <w:rFonts w:ascii="Times New Roman" w:hAnsi="Times New Roman"/>
          <w:b w:val="0"/>
          <w:bCs w:val="0"/>
          <w:sz w:val="22"/>
          <w:szCs w:val="22"/>
          <w:lang w:val="sk-SK"/>
        </w:rPr>
        <w:t>výške 766 259 tis. eur</w:t>
      </w:r>
      <w:r w:rsidRPr="00BC17C4" w:rsidR="001D3593">
        <w:rPr>
          <w:rFonts w:ascii="Times New Roman" w:hAnsi="Times New Roman"/>
          <w:b w:val="0"/>
          <w:bCs w:val="0"/>
          <w:sz w:val="22"/>
          <w:szCs w:val="22"/>
        </w:rPr>
        <w:t>.</w:t>
      </w:r>
      <w:r w:rsidRPr="00BC17C4" w:rsidR="001D3593">
        <w:rPr>
          <w:rFonts w:ascii="Times New Roman" w:hAnsi="Times New Roman"/>
          <w:b w:val="0"/>
          <w:bCs w:val="0"/>
          <w:sz w:val="22"/>
          <w:szCs w:val="22"/>
          <w:lang w:val="sk-SK"/>
        </w:rPr>
        <w:t xml:space="preserve"> </w:t>
      </w:r>
    </w:p>
    <w:p w:rsidR="001767F0">
      <w:pPr>
        <w:bidi w:val="0"/>
        <w:rPr>
          <w:rFonts w:ascii="Times New Roman" w:hAnsi="Times New Roman" w:cs="Times New Roman"/>
          <w:szCs w:val="22"/>
          <w:lang w:eastAsia="sk-SK"/>
        </w:rPr>
      </w:pPr>
      <w:r>
        <w:rPr>
          <w:b/>
          <w:bCs/>
          <w:szCs w:val="22"/>
        </w:rPr>
        <w:br w:type="page"/>
      </w:r>
    </w:p>
    <w:tbl>
      <w:tblPr>
        <w:tblStyle w:val="TableNormal"/>
        <w:tblW w:w="5000" w:type="pct"/>
        <w:tblCellMar>
          <w:left w:w="70" w:type="dxa"/>
          <w:right w:w="70" w:type="dxa"/>
        </w:tblCellMar>
        <w:tblLook w:val="04A0"/>
      </w:tblPr>
      <w:tblGrid>
        <w:gridCol w:w="5882"/>
        <w:gridCol w:w="1807"/>
        <w:gridCol w:w="1522"/>
      </w:tblGrid>
      <w:tr>
        <w:tblPrEx>
          <w:tblW w:w="5000" w:type="pct"/>
          <w:tblCellMar>
            <w:left w:w="70" w:type="dxa"/>
            <w:right w:w="70" w:type="dxa"/>
          </w:tblCellMar>
          <w:tblLook w:val="04A0"/>
        </w:tblPrEx>
        <w:trPr>
          <w:trHeight w:val="330"/>
        </w:trPr>
        <w:tc>
          <w:tcPr>
            <w:tcW w:w="4174" w:type="pct"/>
            <w:gridSpan w:val="2"/>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rPr>
                <w:rFonts w:ascii="Times New Roman" w:hAnsi="Times New Roman"/>
                <w:b/>
                <w:bCs/>
                <w:color w:val="FFFFFF"/>
                <w:sz w:val="20"/>
                <w:szCs w:val="20"/>
                <w:lang w:eastAsia="sk-SK"/>
              </w:rPr>
            </w:pPr>
            <w:r>
              <w:rPr>
                <w:rFonts w:ascii="Times New Roman" w:hAnsi="Times New Roman"/>
                <w:b/>
                <w:bCs/>
                <w:color w:val="FFFFFF"/>
                <w:sz w:val="20"/>
                <w:szCs w:val="20"/>
                <w:lang w:eastAsia="sk-SK"/>
              </w:rPr>
              <w:t>Vybrané p</w:t>
            </w:r>
            <w:r w:rsidRPr="00BC17C4">
              <w:rPr>
                <w:rFonts w:ascii="Times New Roman" w:hAnsi="Times New Roman"/>
                <w:b/>
                <w:bCs/>
                <w:color w:val="FFFFFF"/>
                <w:sz w:val="20"/>
                <w:szCs w:val="20"/>
                <w:lang w:eastAsia="sk-SK"/>
              </w:rPr>
              <w:t>ohľadávky SR voči zahraničiu v rámci štátnych finančných aktív (v tis. eur)</w:t>
            </w:r>
          </w:p>
        </w:tc>
        <w:tc>
          <w:tcPr>
            <w:tcW w:w="826" w:type="pct"/>
            <w:tcBorders>
              <w:top w:val="single" w:sz="4" w:space="0" w:color="auto"/>
              <w:left w:val="nil"/>
              <w:bottom w:val="single" w:sz="4" w:space="0" w:color="auto"/>
              <w:right w:val="nil"/>
            </w:tcBorders>
            <w:textDirection w:val="lrTb"/>
            <w:vAlign w:val="center"/>
          </w:tcPr>
          <w:p w:rsidR="001D3593" w:rsidRPr="00BC17C4" w:rsidP="004B7DC7">
            <w:pPr>
              <w:bidi w:val="0"/>
              <w:spacing w:after="0" w:line="240" w:lineRule="auto"/>
              <w:jc w:val="center"/>
              <w:rPr>
                <w:rFonts w:ascii="Times New Roman" w:hAnsi="Times New Roman"/>
                <w:b/>
                <w:bCs/>
                <w:color w:val="FFFFFF"/>
                <w:sz w:val="20"/>
                <w:szCs w:val="20"/>
                <w:lang w:eastAsia="sk-SK"/>
              </w:rPr>
            </w:pPr>
            <w:r w:rsidRPr="00BC17C4">
              <w:rPr>
                <w:rFonts w:ascii="Times New Roman" w:hAnsi="Times New Roman"/>
                <w:b/>
                <w:bCs/>
                <w:color w:val="FFFFFF"/>
                <w:sz w:val="20"/>
                <w:szCs w:val="20"/>
                <w:lang w:eastAsia="sk-SK"/>
              </w:rPr>
              <w:t> </w:t>
            </w:r>
          </w:p>
        </w:tc>
      </w:tr>
      <w:tr>
        <w:tblPrEx>
          <w:tblW w:w="5000" w:type="pct"/>
          <w:tblCellMar>
            <w:left w:w="70" w:type="dxa"/>
            <w:right w:w="70" w:type="dxa"/>
          </w:tblCellMar>
          <w:tblLook w:val="04A0"/>
        </w:tblPrEx>
        <w:trPr>
          <w:trHeight w:val="330"/>
        </w:trPr>
        <w:tc>
          <w:tcPr>
            <w:tcW w:w="3193"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r w:rsidRPr="00BC17C4">
              <w:rPr>
                <w:rFonts w:ascii="Times New Roman" w:hAnsi="Times New Roman"/>
                <w:b/>
                <w:bCs/>
                <w:sz w:val="20"/>
                <w:szCs w:val="20"/>
                <w:lang w:eastAsia="sk-SK"/>
              </w:rPr>
              <w:t>Dlžnícka krajina</w:t>
            </w:r>
          </w:p>
        </w:tc>
        <w:tc>
          <w:tcPr>
            <w:tcW w:w="981"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right"/>
              <w:rPr>
                <w:rFonts w:ascii="Times New Roman" w:hAnsi="Times New Roman"/>
                <w:b/>
                <w:bCs/>
                <w:sz w:val="20"/>
                <w:szCs w:val="20"/>
                <w:lang w:eastAsia="sk-SK"/>
              </w:rPr>
            </w:pPr>
            <w:r w:rsidRPr="00BC17C4">
              <w:rPr>
                <w:rFonts w:ascii="Times New Roman" w:hAnsi="Times New Roman"/>
                <w:b/>
                <w:bCs/>
                <w:sz w:val="20"/>
                <w:szCs w:val="20"/>
                <w:lang w:eastAsia="sk-SK"/>
              </w:rPr>
              <w:t>2014</w:t>
            </w:r>
          </w:p>
        </w:tc>
        <w:tc>
          <w:tcPr>
            <w:tcW w:w="826"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5000" w:type="pct"/>
          <w:tblCellMar>
            <w:left w:w="70" w:type="dxa"/>
            <w:right w:w="70" w:type="dxa"/>
          </w:tblCellMar>
          <w:tblLook w:val="04A0"/>
        </w:tblPrEx>
        <w:trPr>
          <w:trHeight w:val="330"/>
        </w:trPr>
        <w:tc>
          <w:tcPr>
            <w:tcW w:w="31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Kubánska republika</w:t>
            </w:r>
          </w:p>
        </w:tc>
        <w:tc>
          <w:tcPr>
            <w:tcW w:w="981"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115 134</w:t>
            </w:r>
          </w:p>
        </w:tc>
        <w:tc>
          <w:tcPr>
            <w:tcW w:w="826"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113 676</w:t>
            </w:r>
          </w:p>
        </w:tc>
      </w:tr>
      <w:tr>
        <w:tblPrEx>
          <w:tblW w:w="5000" w:type="pct"/>
          <w:tblCellMar>
            <w:left w:w="70" w:type="dxa"/>
            <w:right w:w="70" w:type="dxa"/>
          </w:tblCellMar>
          <w:tblLook w:val="04A0"/>
        </w:tblPrEx>
        <w:trPr>
          <w:trHeight w:val="330"/>
        </w:trPr>
        <w:tc>
          <w:tcPr>
            <w:tcW w:w="31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bývalá Zväzová republika Juhoslávia</w:t>
            </w:r>
          </w:p>
        </w:tc>
        <w:tc>
          <w:tcPr>
            <w:tcW w:w="981"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85 343</w:t>
            </w:r>
          </w:p>
        </w:tc>
        <w:tc>
          <w:tcPr>
            <w:tcW w:w="826"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71 216</w:t>
            </w:r>
          </w:p>
        </w:tc>
      </w:tr>
      <w:tr>
        <w:tblPrEx>
          <w:tblW w:w="5000" w:type="pct"/>
          <w:tblCellMar>
            <w:left w:w="70" w:type="dxa"/>
            <w:right w:w="70" w:type="dxa"/>
          </w:tblCellMar>
          <w:tblLook w:val="04A0"/>
        </w:tblPrEx>
        <w:trPr>
          <w:trHeight w:val="330"/>
        </w:trPr>
        <w:tc>
          <w:tcPr>
            <w:tcW w:w="31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Alžírska demokratická ľudová republika</w:t>
            </w:r>
          </w:p>
        </w:tc>
        <w:tc>
          <w:tcPr>
            <w:tcW w:w="981"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12 058</w:t>
            </w:r>
          </w:p>
        </w:tc>
        <w:tc>
          <w:tcPr>
            <w:tcW w:w="826"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10 418</w:t>
            </w:r>
          </w:p>
        </w:tc>
      </w:tr>
      <w:tr>
        <w:tblPrEx>
          <w:tblW w:w="5000" w:type="pct"/>
          <w:tblCellMar>
            <w:left w:w="70" w:type="dxa"/>
            <w:right w:w="70" w:type="dxa"/>
          </w:tblCellMar>
          <w:tblLook w:val="04A0"/>
        </w:tblPrEx>
        <w:trPr>
          <w:trHeight w:val="330"/>
        </w:trPr>
        <w:tc>
          <w:tcPr>
            <w:tcW w:w="31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Čínska ľudová republika</w:t>
            </w:r>
          </w:p>
        </w:tc>
        <w:tc>
          <w:tcPr>
            <w:tcW w:w="981"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9 547</w:t>
            </w:r>
          </w:p>
        </w:tc>
        <w:tc>
          <w:tcPr>
            <w:tcW w:w="826"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9 351</w:t>
            </w:r>
          </w:p>
        </w:tc>
      </w:tr>
      <w:tr>
        <w:tblPrEx>
          <w:tblW w:w="5000" w:type="pct"/>
          <w:tblCellMar>
            <w:left w:w="70" w:type="dxa"/>
            <w:right w:w="70" w:type="dxa"/>
          </w:tblCellMar>
          <w:tblLook w:val="04A0"/>
        </w:tblPrEx>
        <w:trPr>
          <w:trHeight w:val="330"/>
        </w:trPr>
        <w:tc>
          <w:tcPr>
            <w:tcW w:w="31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Ruská federácia - Krivoj Rog</w:t>
            </w:r>
          </w:p>
        </w:tc>
        <w:tc>
          <w:tcPr>
            <w:tcW w:w="981"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4 212</w:t>
            </w:r>
          </w:p>
        </w:tc>
        <w:tc>
          <w:tcPr>
            <w:tcW w:w="826"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4 139</w:t>
            </w:r>
          </w:p>
        </w:tc>
      </w:tr>
      <w:tr>
        <w:tblPrEx>
          <w:tblW w:w="5000" w:type="pct"/>
          <w:tblCellMar>
            <w:left w:w="70" w:type="dxa"/>
            <w:right w:w="70" w:type="dxa"/>
          </w:tblCellMar>
          <w:tblLook w:val="04A0"/>
        </w:tblPrEx>
        <w:trPr>
          <w:trHeight w:val="330"/>
        </w:trPr>
        <w:tc>
          <w:tcPr>
            <w:tcW w:w="31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Kórejská ľudovodemokratická republika</w:t>
            </w:r>
          </w:p>
        </w:tc>
        <w:tc>
          <w:tcPr>
            <w:tcW w:w="981"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1 552</w:t>
            </w:r>
          </w:p>
        </w:tc>
        <w:tc>
          <w:tcPr>
            <w:tcW w:w="826"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1 366</w:t>
            </w:r>
          </w:p>
        </w:tc>
      </w:tr>
      <w:tr>
        <w:tblPrEx>
          <w:tblW w:w="5000" w:type="pct"/>
          <w:tblCellMar>
            <w:left w:w="70" w:type="dxa"/>
            <w:right w:w="70" w:type="dxa"/>
          </w:tblCellMar>
          <w:tblLook w:val="04A0"/>
        </w:tblPrEx>
        <w:trPr>
          <w:trHeight w:val="330"/>
        </w:trPr>
        <w:tc>
          <w:tcPr>
            <w:tcW w:w="3193" w:type="pct"/>
            <w:tcBorders>
              <w:top w:val="nil"/>
              <w:left w:val="nil"/>
              <w:bottom w:val="nil"/>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Albánska republika</w:t>
            </w:r>
          </w:p>
        </w:tc>
        <w:tc>
          <w:tcPr>
            <w:tcW w:w="981"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0</w:t>
            </w:r>
          </w:p>
        </w:tc>
        <w:tc>
          <w:tcPr>
            <w:tcW w:w="826" w:type="pct"/>
            <w:tcBorders>
              <w:top w:val="nil"/>
              <w:left w:val="nil"/>
              <w:bottom w:val="nil"/>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367</w:t>
            </w:r>
          </w:p>
        </w:tc>
      </w:tr>
      <w:tr>
        <w:tblPrEx>
          <w:tblW w:w="5000" w:type="pct"/>
          <w:tblCellMar>
            <w:left w:w="70" w:type="dxa"/>
            <w:right w:w="70" w:type="dxa"/>
          </w:tblCellMar>
          <w:tblLook w:val="04A0"/>
        </w:tblPrEx>
        <w:trPr>
          <w:trHeight w:val="330"/>
        </w:trPr>
        <w:tc>
          <w:tcPr>
            <w:tcW w:w="3193" w:type="pct"/>
            <w:tcBorders>
              <w:top w:val="nil"/>
              <w:left w:val="nil"/>
              <w:bottom w:val="none" w:sz="0" w:space="0" w:color="auto"/>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color w:val="000000"/>
                <w:sz w:val="20"/>
                <w:szCs w:val="20"/>
                <w:lang w:eastAsia="sk-SK"/>
              </w:rPr>
              <w:t>India</w:t>
            </w:r>
          </w:p>
        </w:tc>
        <w:tc>
          <w:tcPr>
            <w:tcW w:w="981" w:type="pct"/>
            <w:tcBorders>
              <w:top w:val="nil"/>
              <w:left w:val="nil"/>
              <w:bottom w:val="none" w:sz="0" w:space="0" w:color="auto"/>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24</w:t>
            </w:r>
          </w:p>
        </w:tc>
        <w:tc>
          <w:tcPr>
            <w:tcW w:w="826" w:type="pct"/>
            <w:tcBorders>
              <w:top w:val="nil"/>
              <w:left w:val="nil"/>
              <w:bottom w:val="none" w:sz="0" w:space="0" w:color="auto"/>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BC17C4">
              <w:rPr>
                <w:rFonts w:ascii="Times New Roman" w:hAnsi="Times New Roman"/>
                <w:color w:val="000000"/>
                <w:sz w:val="20"/>
                <w:szCs w:val="20"/>
                <w:lang w:eastAsia="sk-SK"/>
              </w:rPr>
              <w:t>22</w:t>
            </w:r>
          </w:p>
        </w:tc>
      </w:tr>
      <w:tr>
        <w:tblPrEx>
          <w:tblW w:w="5000" w:type="pct"/>
          <w:tblCellMar>
            <w:left w:w="70" w:type="dxa"/>
            <w:right w:w="70" w:type="dxa"/>
          </w:tblCellMar>
          <w:tblLook w:val="04A0"/>
        </w:tblPrEx>
        <w:trPr>
          <w:trHeight w:val="330"/>
        </w:trPr>
        <w:tc>
          <w:tcPr>
            <w:tcW w:w="3193" w:type="pct"/>
            <w:tcBorders>
              <w:top w:val="nil"/>
              <w:left w:val="nil"/>
              <w:bottom w:val="single" w:sz="4" w:space="0" w:color="auto"/>
              <w:right w:val="nil"/>
            </w:tcBorders>
            <w:textDirection w:val="lrTb"/>
            <w:vAlign w:val="center"/>
          </w:tcPr>
          <w:p w:rsidR="001D3593" w:rsidRPr="00BC17C4" w:rsidP="004B7DC7">
            <w:pPr>
              <w:bidi w:val="0"/>
              <w:spacing w:after="0" w:line="240" w:lineRule="auto"/>
              <w:rPr>
                <w:rFonts w:ascii="Times New Roman" w:hAnsi="Times New Roman"/>
                <w:color w:val="000000"/>
                <w:sz w:val="20"/>
                <w:szCs w:val="20"/>
                <w:lang w:eastAsia="sk-SK"/>
              </w:rPr>
            </w:pPr>
            <w:r w:rsidRPr="00BC17C4">
              <w:rPr>
                <w:rFonts w:ascii="Times New Roman" w:hAnsi="Times New Roman"/>
                <w:b/>
                <w:bCs/>
                <w:color w:val="000000"/>
                <w:sz w:val="20"/>
                <w:szCs w:val="20"/>
                <w:lang w:eastAsia="sk-SK"/>
              </w:rPr>
              <w:t>Spolu</w:t>
            </w:r>
          </w:p>
        </w:tc>
        <w:tc>
          <w:tcPr>
            <w:tcW w:w="981" w:type="pct"/>
            <w:tcBorders>
              <w:top w:val="nil"/>
              <w:left w:val="nil"/>
              <w:bottom w:val="single" w:sz="4" w:space="0" w:color="auto"/>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0B6619">
              <w:rPr>
                <w:rFonts w:ascii="Times New Roman" w:hAnsi="Times New Roman" w:cs="Times New Roman"/>
                <w:b/>
                <w:bCs/>
                <w:color w:val="000000"/>
                <w:sz w:val="20"/>
                <w:szCs w:val="20"/>
              </w:rPr>
              <w:t>227 870</w:t>
            </w:r>
          </w:p>
        </w:tc>
        <w:tc>
          <w:tcPr>
            <w:tcW w:w="826" w:type="pct"/>
            <w:tcBorders>
              <w:top w:val="nil"/>
              <w:left w:val="nil"/>
              <w:bottom w:val="single" w:sz="4" w:space="0" w:color="auto"/>
              <w:right w:val="nil"/>
            </w:tcBorders>
            <w:textDirection w:val="lrTb"/>
            <w:vAlign w:val="center"/>
          </w:tcPr>
          <w:p w:rsidR="001D3593" w:rsidRPr="00BC17C4" w:rsidP="004B7DC7">
            <w:pPr>
              <w:bidi w:val="0"/>
              <w:spacing w:after="0" w:line="240" w:lineRule="auto"/>
              <w:jc w:val="right"/>
              <w:rPr>
                <w:rFonts w:ascii="Times New Roman" w:hAnsi="Times New Roman"/>
                <w:color w:val="000000"/>
                <w:sz w:val="20"/>
                <w:szCs w:val="20"/>
                <w:lang w:eastAsia="sk-SK"/>
              </w:rPr>
            </w:pPr>
            <w:r w:rsidRPr="000B6619">
              <w:rPr>
                <w:rFonts w:ascii="Times New Roman" w:hAnsi="Times New Roman" w:cs="Times New Roman"/>
                <w:b/>
                <w:bCs/>
                <w:color w:val="000000"/>
                <w:sz w:val="20"/>
                <w:szCs w:val="20"/>
              </w:rPr>
              <w:t>210 555</w:t>
            </w:r>
          </w:p>
        </w:tc>
      </w:tr>
    </w:tbl>
    <w:p w:rsidR="001D3593" w:rsidRPr="00BC17C4" w:rsidP="001D3593">
      <w:pPr>
        <w:pStyle w:val="Pismenka"/>
        <w:tabs>
          <w:tab w:val="clear" w:pos="426"/>
        </w:tabs>
        <w:bidi w:val="0"/>
        <w:spacing w:before="12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Pohľadávky z nedaňových rozpočtových príjmov subjektov ústrednej správy dosiahli hodnotu</w:t>
        <w:br/>
        <w:t>138 809 tis. eur a</w:t>
      </w:r>
      <w:r>
        <w:rPr>
          <w:rFonts w:ascii="Times New Roman" w:hAnsi="Times New Roman"/>
          <w:b w:val="0"/>
          <w:bCs w:val="0"/>
          <w:sz w:val="22"/>
          <w:szCs w:val="22"/>
          <w:lang w:val="sk-SK"/>
        </w:rPr>
        <w:t xml:space="preserve"> pohľadávky </w:t>
      </w:r>
      <w:r w:rsidRPr="00BC17C4">
        <w:rPr>
          <w:rFonts w:ascii="Times New Roman" w:hAnsi="Times New Roman"/>
          <w:b w:val="0"/>
          <w:bCs w:val="0"/>
          <w:sz w:val="22"/>
          <w:szCs w:val="22"/>
          <w:lang w:val="sk-SK"/>
        </w:rPr>
        <w:t xml:space="preserve">subjektov územnej samosprávy dosiahli 105 678 tis. eur. </w:t>
      </w:r>
    </w:p>
    <w:p w:rsidR="007C73EE"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sidR="001D3593">
        <w:rPr>
          <w:rFonts w:ascii="Times New Roman" w:hAnsi="Times New Roman"/>
          <w:b w:val="0"/>
          <w:bCs w:val="0"/>
          <w:sz w:val="22"/>
          <w:szCs w:val="22"/>
          <w:lang w:val="sk-SK"/>
        </w:rPr>
        <w:t>Pohľadávky súhrnného celku voči odberateľom dosiahli úhrnom 679 325 tis. eur, medziročne boli vyššie o 171 737 tis. eur najmä o krátkodobé pohľadávk</w:t>
      </w:r>
      <w:r w:rsidR="001D3593">
        <w:rPr>
          <w:rFonts w:ascii="Times New Roman" w:hAnsi="Times New Roman"/>
          <w:b w:val="0"/>
          <w:bCs w:val="0"/>
          <w:sz w:val="22"/>
          <w:szCs w:val="22"/>
          <w:lang w:val="sk-SK"/>
        </w:rPr>
        <w:t>y SPP, a.s. voči odberateľom</w:t>
        <w:br/>
      </w:r>
      <w:r w:rsidRPr="00BC17C4" w:rsidR="001D3593">
        <w:rPr>
          <w:rFonts w:ascii="Times New Roman" w:hAnsi="Times New Roman"/>
          <w:b w:val="0"/>
          <w:bCs w:val="0"/>
          <w:sz w:val="22"/>
          <w:szCs w:val="22"/>
          <w:lang w:val="sk-SK"/>
        </w:rPr>
        <w:t>(275 828 tis. eur)</w:t>
      </w:r>
      <w:r w:rsidR="001D3593">
        <w:rPr>
          <w:rFonts w:ascii="Times New Roman" w:hAnsi="Times New Roman"/>
          <w:b w:val="0"/>
          <w:bCs w:val="0"/>
          <w:sz w:val="22"/>
          <w:szCs w:val="22"/>
          <w:lang w:val="sk-SK"/>
        </w:rPr>
        <w:t>.</w:t>
      </w:r>
      <w:r w:rsidRPr="00BC17C4" w:rsidR="001D3593">
        <w:rPr>
          <w:rFonts w:ascii="Times New Roman" w:hAnsi="Times New Roman"/>
          <w:b w:val="0"/>
          <w:bCs w:val="0"/>
          <w:sz w:val="22"/>
          <w:szCs w:val="22"/>
          <w:lang w:val="sk-SK"/>
        </w:rPr>
        <w:t xml:space="preserve"> </w:t>
      </w:r>
      <w:r w:rsidR="001D3593">
        <w:rPr>
          <w:rFonts w:ascii="Times New Roman" w:hAnsi="Times New Roman"/>
          <w:b w:val="0"/>
          <w:bCs w:val="0"/>
          <w:sz w:val="22"/>
          <w:szCs w:val="22"/>
          <w:lang w:val="sk-SK"/>
        </w:rPr>
        <w:t>Naopak, z</w:t>
      </w:r>
      <w:r w:rsidRPr="00BC17C4" w:rsidR="001D3593">
        <w:rPr>
          <w:rFonts w:ascii="Times New Roman" w:hAnsi="Times New Roman"/>
          <w:b w:val="0"/>
          <w:bCs w:val="0"/>
          <w:sz w:val="22"/>
          <w:szCs w:val="22"/>
          <w:lang w:val="sk-SK"/>
        </w:rPr>
        <w:t>níženie pohľadávok voči odberateľom zaznamenali najmä Železnice SR (44 830 tis. eur)</w:t>
      </w:r>
      <w:r w:rsidR="001D3593">
        <w:rPr>
          <w:rFonts w:ascii="Times New Roman" w:hAnsi="Times New Roman"/>
          <w:b w:val="0"/>
          <w:bCs w:val="0"/>
          <w:sz w:val="22"/>
          <w:szCs w:val="22"/>
          <w:lang w:val="sk-SK"/>
        </w:rPr>
        <w:t xml:space="preserve">. </w:t>
      </w:r>
      <w:r w:rsidRPr="00BC17C4" w:rsidR="001D3593">
        <w:rPr>
          <w:rFonts w:ascii="Times New Roman" w:hAnsi="Times New Roman"/>
          <w:b w:val="0"/>
          <w:bCs w:val="0"/>
          <w:sz w:val="22"/>
          <w:szCs w:val="22"/>
          <w:lang w:val="sk-SK"/>
        </w:rPr>
        <w:t>Z ostatných pohľadávok boli významné pohľadávky Sociálnej poisťovne a Všeobecnej zdravotnej poisťovne a.s., ktoré po použití účtovného prevodového mostíka dosiahli hodnotu</w:t>
      </w:r>
      <w:r w:rsidR="001D3593">
        <w:rPr>
          <w:rFonts w:ascii="Times New Roman" w:hAnsi="Times New Roman"/>
          <w:b w:val="0"/>
          <w:bCs w:val="0"/>
          <w:sz w:val="22"/>
          <w:szCs w:val="22"/>
          <w:lang w:val="sk-SK"/>
        </w:rPr>
        <w:t xml:space="preserve"> </w:t>
      </w:r>
      <w:r w:rsidRPr="00BC17C4" w:rsidR="001D3593">
        <w:rPr>
          <w:rFonts w:ascii="Times New Roman" w:hAnsi="Times New Roman"/>
          <w:b w:val="0"/>
          <w:bCs w:val="0"/>
          <w:sz w:val="22"/>
          <w:szCs w:val="22"/>
          <w:lang w:val="sk-SK"/>
        </w:rPr>
        <w:t>spolu</w:t>
      </w:r>
      <w:r w:rsidR="001D3593">
        <w:rPr>
          <w:rFonts w:ascii="Times New Roman" w:hAnsi="Times New Roman"/>
          <w:b w:val="0"/>
          <w:bCs w:val="0"/>
          <w:sz w:val="22"/>
          <w:szCs w:val="22"/>
          <w:lang w:val="sk-SK"/>
        </w:rPr>
        <w:t xml:space="preserve"> </w:t>
      </w:r>
      <w:r w:rsidRPr="00BC17C4" w:rsidR="001D3593">
        <w:rPr>
          <w:rFonts w:ascii="Times New Roman" w:hAnsi="Times New Roman"/>
          <w:b w:val="0"/>
          <w:bCs w:val="0"/>
          <w:sz w:val="22"/>
          <w:szCs w:val="22"/>
          <w:lang w:val="sk-SK"/>
        </w:rPr>
        <w:t>677 442 tis. eur.</w:t>
      </w:r>
    </w:p>
    <w:p w:rsidR="001D3593" w:rsidRPr="000A7EA1" w:rsidP="001D3593">
      <w:pPr>
        <w:pStyle w:val="Pismenka"/>
        <w:tabs>
          <w:tab w:val="clear" w:pos="426"/>
        </w:tabs>
        <w:bidi w:val="0"/>
        <w:spacing w:after="120" w:line="336" w:lineRule="auto"/>
        <w:ind w:left="0" w:firstLine="0"/>
        <w:rPr>
          <w:rFonts w:ascii="Times New Roman" w:hAnsi="Times New Roman"/>
          <w:b w:val="0"/>
          <w:i/>
          <w:iCs/>
          <w:sz w:val="22"/>
          <w:szCs w:val="22"/>
        </w:rPr>
      </w:pPr>
      <w:r w:rsidRPr="000A7EA1">
        <w:rPr>
          <w:rFonts w:ascii="Times New Roman" w:hAnsi="Times New Roman"/>
          <w:i/>
          <w:iCs/>
          <w:sz w:val="22"/>
          <w:szCs w:val="22"/>
        </w:rPr>
        <w:t>Bližší komentár k zahraničným pohľadávkam Slovenskej republiky v rámci štátnych finančných aktív je zverejnený v súhrnnej účtovnej závierky, ktorá je prílohou č. 2 tohto dokumentu.</w:t>
      </w:r>
    </w:p>
    <w:p w:rsidR="001D3593" w:rsidRPr="00BC17C4" w:rsidP="001D3593">
      <w:pPr>
        <w:pStyle w:val="Pismenka"/>
        <w:tabs>
          <w:tab w:val="clear" w:pos="426"/>
        </w:tabs>
        <w:bidi w:val="0"/>
        <w:spacing w:before="180" w:after="120" w:line="336" w:lineRule="auto"/>
        <w:ind w:left="0" w:firstLine="0"/>
        <w:rPr>
          <w:rFonts w:ascii="Times New Roman" w:hAnsi="Times New Roman"/>
          <w:b w:val="0"/>
          <w:bCs w:val="0"/>
          <w:i/>
          <w:sz w:val="22"/>
          <w:szCs w:val="22"/>
          <w:u w:val="single"/>
          <w:lang w:val="sk-SK"/>
        </w:rPr>
      </w:pPr>
      <w:r w:rsidRPr="00BC17C4">
        <w:rPr>
          <w:rFonts w:ascii="Times New Roman" w:hAnsi="Times New Roman"/>
          <w:b w:val="0"/>
          <w:bCs w:val="0"/>
          <w:i/>
          <w:sz w:val="22"/>
          <w:szCs w:val="22"/>
          <w:u w:val="single"/>
        </w:rPr>
        <w:t>Finančné účty</w:t>
      </w:r>
      <w:r w:rsidRPr="00BC17C4">
        <w:rPr>
          <w:rFonts w:ascii="Times New Roman" w:hAnsi="Times New Roman"/>
          <w:b w:val="0"/>
          <w:bCs w:val="0"/>
          <w:i/>
          <w:sz w:val="22"/>
          <w:szCs w:val="22"/>
          <w:u w:val="single"/>
          <w:lang w:val="sk-SK"/>
        </w:rPr>
        <w:t xml:space="preserve"> a krátkodobý finančný majetok</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Ako finančné účty resp. krátkodobý finančný majetok sa vykazujú peniaze na bankových účtoch</w:t>
      </w:r>
      <w:r w:rsidRPr="00BC17C4">
        <w:rPr>
          <w:rFonts w:ascii="Times New Roman" w:hAnsi="Times New Roman"/>
          <w:b w:val="0"/>
          <w:bCs w:val="0"/>
          <w:sz w:val="22"/>
          <w:szCs w:val="22"/>
          <w:lang w:val="sk-SK"/>
        </w:rPr>
        <w:t xml:space="preserve"> a</w:t>
      </w:r>
      <w:r w:rsidRPr="00BC17C4">
        <w:rPr>
          <w:rFonts w:ascii="Times New Roman" w:hAnsi="Times New Roman"/>
          <w:b w:val="0"/>
          <w:bCs w:val="0"/>
          <w:sz w:val="22"/>
          <w:szCs w:val="22"/>
        </w:rPr>
        <w:t xml:space="preserve"> účtoch v </w:t>
      </w:r>
      <w:r w:rsidRPr="00BC17C4">
        <w:rPr>
          <w:rFonts w:ascii="Times New Roman" w:hAnsi="Times New Roman"/>
          <w:b w:val="0"/>
          <w:bCs w:val="0"/>
          <w:sz w:val="22"/>
          <w:szCs w:val="22"/>
          <w:lang w:val="sk-SK"/>
        </w:rPr>
        <w:t>Š</w:t>
      </w:r>
      <w:r w:rsidRPr="00BC17C4">
        <w:rPr>
          <w:rFonts w:ascii="Times New Roman" w:hAnsi="Times New Roman"/>
          <w:b w:val="0"/>
          <w:bCs w:val="0"/>
          <w:sz w:val="22"/>
          <w:szCs w:val="22"/>
        </w:rPr>
        <w:t>tátnej pokladnici, ceniny (napr. kolky, poštové zn</w:t>
      </w:r>
      <w:r>
        <w:rPr>
          <w:rFonts w:ascii="Times New Roman" w:hAnsi="Times New Roman"/>
          <w:b w:val="0"/>
          <w:bCs w:val="0"/>
          <w:sz w:val="22"/>
          <w:szCs w:val="22"/>
        </w:rPr>
        <w:t>ámky, stravné lístky a podobne)</w:t>
      </w:r>
      <w:r>
        <w:rPr>
          <w:rFonts w:ascii="Times New Roman" w:hAnsi="Times New Roman"/>
          <w:b w:val="0"/>
          <w:bCs w:val="0"/>
          <w:sz w:val="22"/>
          <w:szCs w:val="22"/>
          <w:lang w:val="sk-SK"/>
        </w:rPr>
        <w:t xml:space="preserve">, </w:t>
      </w:r>
      <w:r w:rsidRPr="00BC17C4">
        <w:rPr>
          <w:rFonts w:ascii="Times New Roman" w:hAnsi="Times New Roman"/>
          <w:b w:val="0"/>
          <w:bCs w:val="0"/>
          <w:sz w:val="22"/>
          <w:szCs w:val="22"/>
        </w:rPr>
        <w:t>krátkodobé majetkové a dlhové cenné papiere.</w:t>
      </w:r>
      <w:r w:rsidRPr="00BC17C4">
        <w:rPr>
          <w:rFonts w:ascii="Times New Roman" w:hAnsi="Times New Roman"/>
          <w:b w:val="0"/>
          <w:bCs w:val="0"/>
          <w:sz w:val="22"/>
          <w:szCs w:val="22"/>
          <w:lang w:val="sk-SK"/>
        </w:rPr>
        <w:t xml:space="preserve"> V rámci účtovnej konsolidácie dochádza k eliminácii hodnoty bankových účtov tých organizácií, ktoré sú zároveň aj klientmi Štátnej pokladnice. Po konsolidácii sa vykazujú účty Štátnej pokladnice, ktoré sú vedené v Národnej banke Slovenska. </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 xml:space="preserve">Hodnota </w:t>
      </w:r>
      <w:r w:rsidRPr="00BC17C4">
        <w:rPr>
          <w:rFonts w:ascii="Times New Roman" w:hAnsi="Times New Roman"/>
          <w:b w:val="0"/>
          <w:sz w:val="22"/>
          <w:szCs w:val="22"/>
        </w:rPr>
        <w:t>krátkodobého finančného majetku k 31.12.201</w:t>
      </w:r>
      <w:r w:rsidRPr="00BC17C4">
        <w:rPr>
          <w:rFonts w:ascii="Times New Roman" w:hAnsi="Times New Roman"/>
          <w:b w:val="0"/>
          <w:sz w:val="22"/>
          <w:szCs w:val="22"/>
          <w:lang w:val="sk-SK"/>
        </w:rPr>
        <w:t>4</w:t>
      </w:r>
      <w:r w:rsidRPr="00BC17C4">
        <w:rPr>
          <w:rFonts w:ascii="Times New Roman" w:hAnsi="Times New Roman"/>
          <w:b w:val="0"/>
          <w:sz w:val="22"/>
          <w:szCs w:val="22"/>
        </w:rPr>
        <w:t xml:space="preserve"> bola</w:t>
      </w:r>
      <w:r w:rsidRPr="00BC17C4">
        <w:rPr>
          <w:rFonts w:ascii="Times New Roman" w:hAnsi="Times New Roman"/>
          <w:b w:val="0"/>
          <w:sz w:val="22"/>
          <w:szCs w:val="22"/>
          <w:lang w:val="sk-SK"/>
        </w:rPr>
        <w:t xml:space="preserve"> 3 208 316 tis. eur, </w:t>
      </w:r>
      <w:r w:rsidRPr="00BC17C4">
        <w:rPr>
          <w:rFonts w:ascii="Times New Roman" w:hAnsi="Times New Roman"/>
          <w:b w:val="0"/>
          <w:bCs w:val="0"/>
          <w:sz w:val="22"/>
          <w:szCs w:val="22"/>
        </w:rPr>
        <w:t xml:space="preserve">z toho najvyššiu sumu tvorili </w:t>
      </w:r>
      <w:r w:rsidRPr="00E60908">
        <w:rPr>
          <w:rFonts w:ascii="Times New Roman" w:hAnsi="Times New Roman"/>
          <w:b w:val="0"/>
          <w:bCs w:val="0"/>
          <w:sz w:val="22"/>
          <w:szCs w:val="22"/>
          <w:u w:val="single"/>
        </w:rPr>
        <w:t>bankové účty</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v hodnote 1</w:t>
      </w:r>
      <w:r>
        <w:rPr>
          <w:rFonts w:ascii="Times New Roman" w:hAnsi="Times New Roman"/>
          <w:b w:val="0"/>
          <w:bCs w:val="0"/>
          <w:sz w:val="22"/>
          <w:szCs w:val="22"/>
          <w:lang w:val="sk-SK"/>
        </w:rPr>
        <w:t> </w:t>
      </w:r>
      <w:r w:rsidRPr="00BC17C4">
        <w:rPr>
          <w:rFonts w:ascii="Times New Roman" w:hAnsi="Times New Roman"/>
          <w:b w:val="0"/>
          <w:bCs w:val="0"/>
          <w:sz w:val="22"/>
          <w:szCs w:val="22"/>
          <w:lang w:val="sk-SK"/>
        </w:rPr>
        <w:t>7</w:t>
      </w:r>
      <w:r>
        <w:rPr>
          <w:rFonts w:ascii="Times New Roman" w:hAnsi="Times New Roman"/>
          <w:b w:val="0"/>
          <w:bCs w:val="0"/>
          <w:sz w:val="22"/>
          <w:szCs w:val="22"/>
          <w:lang w:val="sk-SK"/>
        </w:rPr>
        <w:t>95 595</w:t>
      </w:r>
      <w:r w:rsidRPr="00BC17C4">
        <w:rPr>
          <w:rFonts w:ascii="Times New Roman" w:hAnsi="Times New Roman"/>
          <w:b w:val="0"/>
          <w:bCs w:val="0"/>
          <w:sz w:val="22"/>
          <w:szCs w:val="22"/>
          <w:lang w:val="sk-SK"/>
        </w:rPr>
        <w:t xml:space="preserve"> tis. eur a </w:t>
      </w:r>
      <w:r w:rsidRPr="00E60908">
        <w:rPr>
          <w:rFonts w:ascii="Times New Roman" w:hAnsi="Times New Roman"/>
          <w:b w:val="0"/>
          <w:bCs w:val="0"/>
          <w:sz w:val="22"/>
          <w:szCs w:val="22"/>
          <w:u w:val="single"/>
        </w:rPr>
        <w:t>účty Štátnej pokladnice</w:t>
      </w:r>
      <w:r w:rsidRPr="00BC17C4">
        <w:rPr>
          <w:rFonts w:ascii="Times New Roman" w:hAnsi="Times New Roman"/>
          <w:b w:val="0"/>
          <w:bCs w:val="0"/>
          <w:sz w:val="22"/>
          <w:szCs w:val="22"/>
        </w:rPr>
        <w:t xml:space="preserve"> v sume</w:t>
      </w:r>
      <w:r w:rsidRPr="00BC17C4">
        <w:rPr>
          <w:rFonts w:ascii="Times New Roman" w:hAnsi="Times New Roman"/>
          <w:b w:val="0"/>
          <w:bCs w:val="0"/>
          <w:sz w:val="22"/>
          <w:szCs w:val="22"/>
          <w:lang w:val="sk-SK"/>
        </w:rPr>
        <w:br/>
        <w:t>1 039 754</w:t>
      </w:r>
      <w:r w:rsidRPr="00BC17C4">
        <w:rPr>
          <w:rFonts w:ascii="Times New Roman" w:hAnsi="Times New Roman"/>
          <w:b w:val="0"/>
          <w:bCs w:val="0"/>
          <w:sz w:val="22"/>
          <w:szCs w:val="22"/>
        </w:rPr>
        <w:t xml:space="preserve"> tis. eur.</w:t>
      </w:r>
      <w:r w:rsidRPr="00BC17C4">
        <w:rPr>
          <w:rFonts w:ascii="Times New Roman" w:hAnsi="Times New Roman"/>
          <w:b w:val="0"/>
          <w:bCs w:val="0"/>
          <w:sz w:val="22"/>
          <w:szCs w:val="22"/>
          <w:lang w:val="sk-SK"/>
        </w:rPr>
        <w:t xml:space="preserve"> Obce </w:t>
      </w:r>
      <w:r>
        <w:rPr>
          <w:rFonts w:ascii="Times New Roman" w:hAnsi="Times New Roman"/>
          <w:b w:val="0"/>
          <w:bCs w:val="0"/>
          <w:sz w:val="22"/>
          <w:szCs w:val="22"/>
          <w:lang w:val="sk-SK"/>
        </w:rPr>
        <w:t xml:space="preserve">a organizácie patriace do územnej samosprávy </w:t>
      </w:r>
      <w:r w:rsidRPr="00BC17C4">
        <w:rPr>
          <w:rFonts w:ascii="Times New Roman" w:hAnsi="Times New Roman"/>
          <w:b w:val="0"/>
          <w:bCs w:val="0"/>
          <w:sz w:val="22"/>
          <w:szCs w:val="22"/>
          <w:lang w:val="sk-SK"/>
        </w:rPr>
        <w:t xml:space="preserve">vykázali na svojich bankových účtoch hodnotu 693 631 tis. eur. </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Z krátkodobých cenných papierov vykazuje najvyššiu hodnotu Fond národného majetku SR, a to</w:t>
        <w:br/>
        <w:t>255 307 tis. eur a</w:t>
      </w:r>
      <w:r>
        <w:rPr>
          <w:rFonts w:ascii="Times New Roman" w:hAnsi="Times New Roman"/>
          <w:b w:val="0"/>
          <w:bCs w:val="0"/>
          <w:sz w:val="22"/>
          <w:szCs w:val="22"/>
          <w:lang w:val="sk-SK"/>
        </w:rPr>
        <w:t>ko realizovateľné cenné papiere predstavujúce menšinové podiely v obchodných spoločnostiach.</w:t>
      </w:r>
    </w:p>
    <w:p w:rsidR="001D3593" w:rsidRPr="00BC17C4" w:rsidP="001767F0">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 xml:space="preserve">Medziročný úbytok na finančných účtoch v hodnote </w:t>
      </w:r>
      <w:r>
        <w:rPr>
          <w:rFonts w:ascii="Times New Roman" w:hAnsi="Times New Roman"/>
          <w:b w:val="0"/>
          <w:bCs w:val="0"/>
          <w:sz w:val="22"/>
          <w:szCs w:val="22"/>
          <w:lang w:val="sk-SK"/>
        </w:rPr>
        <w:t>1 922 824</w:t>
      </w:r>
      <w:r w:rsidRPr="00BC17C4">
        <w:rPr>
          <w:rFonts w:ascii="Times New Roman" w:hAnsi="Times New Roman"/>
          <w:b w:val="0"/>
          <w:bCs w:val="0"/>
          <w:sz w:val="22"/>
          <w:szCs w:val="22"/>
          <w:lang w:val="sk-SK"/>
        </w:rPr>
        <w:t xml:space="preserve"> </w:t>
      </w:r>
      <w:r>
        <w:rPr>
          <w:rFonts w:ascii="Times New Roman" w:hAnsi="Times New Roman"/>
          <w:b w:val="0"/>
          <w:bCs w:val="0"/>
          <w:sz w:val="22"/>
          <w:szCs w:val="22"/>
          <w:lang w:val="sk-SK"/>
        </w:rPr>
        <w:t xml:space="preserve">tis. eur </w:t>
      </w:r>
      <w:r w:rsidRPr="00BC17C4">
        <w:rPr>
          <w:rFonts w:ascii="Times New Roman" w:hAnsi="Times New Roman"/>
          <w:b w:val="0"/>
          <w:bCs w:val="0"/>
          <w:sz w:val="22"/>
          <w:szCs w:val="22"/>
          <w:lang w:val="sk-SK"/>
        </w:rPr>
        <w:t xml:space="preserve">bol spôsobený najmä znížením vkladových a bežných účtov Štátnej pokladnice (1 734 394 tis. eur) a znížením krátkodobých cenných papierov Fondu národného majetku </w:t>
      </w:r>
      <w:r>
        <w:rPr>
          <w:rFonts w:ascii="Times New Roman" w:hAnsi="Times New Roman"/>
          <w:b w:val="0"/>
          <w:bCs w:val="0"/>
          <w:sz w:val="22"/>
          <w:szCs w:val="22"/>
          <w:lang w:val="sk-SK"/>
        </w:rPr>
        <w:t xml:space="preserve">SR </w:t>
      </w:r>
      <w:r w:rsidRPr="00BC17C4">
        <w:rPr>
          <w:rFonts w:ascii="Times New Roman" w:hAnsi="Times New Roman"/>
          <w:b w:val="0"/>
          <w:bCs w:val="0"/>
          <w:sz w:val="22"/>
          <w:szCs w:val="22"/>
          <w:lang w:val="sk-SK"/>
        </w:rPr>
        <w:t>o 356 501 tis. eur.</w:t>
      </w:r>
    </w:p>
    <w:p w:rsidR="001D3593" w:rsidRPr="00BC17C4" w:rsidP="001767F0">
      <w:pPr>
        <w:pStyle w:val="Pismenka"/>
        <w:tabs>
          <w:tab w:val="clear" w:pos="426"/>
        </w:tabs>
        <w:bidi w:val="0"/>
        <w:spacing w:after="120" w:line="336" w:lineRule="auto"/>
        <w:ind w:left="0" w:firstLine="0"/>
        <w:rPr>
          <w:rFonts w:ascii="Times New Roman" w:hAnsi="Times New Roman"/>
          <w:bCs w:val="0"/>
          <w:sz w:val="22"/>
          <w:szCs w:val="22"/>
        </w:rPr>
      </w:pPr>
      <w:r w:rsidRPr="00BC17C4">
        <w:rPr>
          <w:rFonts w:ascii="Times New Roman" w:hAnsi="Times New Roman"/>
          <w:bCs w:val="0"/>
          <w:sz w:val="22"/>
          <w:szCs w:val="22"/>
        </w:rPr>
        <w:t>P</w:t>
      </w:r>
      <w:r w:rsidRPr="00BC17C4">
        <w:rPr>
          <w:rFonts w:ascii="Times New Roman" w:hAnsi="Times New Roman"/>
          <w:bCs w:val="0"/>
          <w:sz w:val="22"/>
          <w:szCs w:val="22"/>
          <w:lang w:val="sk-SK"/>
        </w:rPr>
        <w:t>asíva</w:t>
      </w:r>
    </w:p>
    <w:p w:rsidR="001D3593" w:rsidRPr="00BC17C4" w:rsidP="001767F0">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Pri dodržaní súvahovej rovnosti aktív a pasív, c</w:t>
      </w:r>
      <w:r w:rsidRPr="00BC17C4">
        <w:rPr>
          <w:rFonts w:ascii="Times New Roman" w:hAnsi="Times New Roman"/>
          <w:b w:val="0"/>
          <w:bCs w:val="0"/>
          <w:sz w:val="22"/>
          <w:szCs w:val="22"/>
        </w:rPr>
        <w:t>elkové pasíva dosiahli k 31.12.201</w:t>
      </w:r>
      <w:r w:rsidRPr="00BC17C4">
        <w:rPr>
          <w:rFonts w:ascii="Times New Roman" w:hAnsi="Times New Roman"/>
          <w:b w:val="0"/>
          <w:bCs w:val="0"/>
          <w:sz w:val="22"/>
          <w:szCs w:val="22"/>
          <w:lang w:val="sk-SK"/>
        </w:rPr>
        <w:t>4</w:t>
      </w:r>
      <w:r>
        <w:rPr>
          <w:rFonts w:ascii="Times New Roman" w:hAnsi="Times New Roman"/>
          <w:b w:val="0"/>
          <w:bCs w:val="0"/>
          <w:sz w:val="22"/>
          <w:szCs w:val="22"/>
        </w:rPr>
        <w:t xml:space="preserve"> hodnotu</w:t>
      </w:r>
      <w:r>
        <w:rPr>
          <w:rFonts w:ascii="Times New Roman" w:hAnsi="Times New Roman"/>
          <w:b w:val="0"/>
          <w:bCs w:val="0"/>
          <w:sz w:val="22"/>
          <w:szCs w:val="22"/>
          <w:lang w:val="sk-SK"/>
        </w:rPr>
        <w:br/>
        <w:t>60 836 159</w:t>
      </w:r>
      <w:r w:rsidRPr="00BC17C4">
        <w:rPr>
          <w:rFonts w:ascii="Times New Roman" w:hAnsi="Times New Roman"/>
          <w:b w:val="0"/>
          <w:bCs w:val="0"/>
          <w:sz w:val="22"/>
          <w:szCs w:val="22"/>
          <w:lang w:val="sk-SK"/>
        </w:rPr>
        <w:t xml:space="preserve"> tis. eur</w:t>
      </w:r>
      <w:r w:rsidRPr="00BC17C4">
        <w:rPr>
          <w:rFonts w:ascii="Times New Roman" w:hAnsi="Times New Roman"/>
          <w:b w:val="0"/>
          <w:bCs w:val="0"/>
          <w:sz w:val="22"/>
          <w:szCs w:val="22"/>
        </w:rPr>
        <w:t>, čo je v porovnaní s rokom 201</w:t>
      </w:r>
      <w:r w:rsidRPr="00BC17C4">
        <w:rPr>
          <w:rFonts w:ascii="Times New Roman" w:hAnsi="Times New Roman"/>
          <w:b w:val="0"/>
          <w:bCs w:val="0"/>
          <w:sz w:val="22"/>
          <w:szCs w:val="22"/>
          <w:lang w:val="sk-SK"/>
        </w:rPr>
        <w:t>3</w:t>
      </w:r>
      <w:r w:rsidRPr="00BC17C4">
        <w:rPr>
          <w:rFonts w:ascii="Times New Roman" w:hAnsi="Times New Roman"/>
          <w:b w:val="0"/>
          <w:bCs w:val="0"/>
          <w:sz w:val="22"/>
          <w:szCs w:val="22"/>
        </w:rPr>
        <w:t xml:space="preserve"> viac</w:t>
      </w:r>
      <w:r w:rsidRPr="00BC17C4">
        <w:rPr>
          <w:rFonts w:ascii="Times New Roman" w:hAnsi="Times New Roman"/>
          <w:b w:val="0"/>
          <w:bCs w:val="0"/>
          <w:sz w:val="22"/>
          <w:szCs w:val="22"/>
          <w:lang w:val="sk-SK"/>
        </w:rPr>
        <w:t xml:space="preserve"> o 2</w:t>
      </w:r>
      <w:r>
        <w:rPr>
          <w:rFonts w:ascii="Times New Roman" w:hAnsi="Times New Roman"/>
          <w:b w:val="0"/>
          <w:bCs w:val="0"/>
          <w:sz w:val="22"/>
          <w:szCs w:val="22"/>
          <w:lang w:val="sk-SK"/>
        </w:rPr>
        <w:t> 184 100</w:t>
      </w:r>
      <w:r w:rsidRPr="00BC17C4">
        <w:rPr>
          <w:rFonts w:ascii="Times New Roman" w:hAnsi="Times New Roman"/>
          <w:b w:val="0"/>
          <w:sz w:val="22"/>
          <w:szCs w:val="22"/>
        </w:rPr>
        <w:t xml:space="preserve"> tis. eur.</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u w:val="single"/>
        </w:rPr>
        <w:t xml:space="preserve">Celkové pasíva sú tvorené </w:t>
      </w:r>
      <w:r w:rsidRPr="00BC17C4">
        <w:rPr>
          <w:rFonts w:ascii="Times New Roman" w:hAnsi="Times New Roman"/>
          <w:b w:val="0"/>
          <w:bCs w:val="0"/>
          <w:sz w:val="22"/>
          <w:szCs w:val="22"/>
          <w:u w:val="single"/>
          <w:lang w:val="sk-SK"/>
        </w:rPr>
        <w:t>hlavne záväzkami, rezervami a bankovými úvermi</w:t>
      </w:r>
      <w:r w:rsidRPr="00F6741E">
        <w:rPr>
          <w:rFonts w:ascii="Times New Roman" w:hAnsi="Times New Roman"/>
          <w:b w:val="0"/>
          <w:bCs w:val="0"/>
          <w:sz w:val="22"/>
          <w:szCs w:val="22"/>
          <w:lang w:val="sk-SK"/>
        </w:rPr>
        <w:t xml:space="preserve"> </w:t>
      </w:r>
      <w:r w:rsidRPr="00BC17C4">
        <w:rPr>
          <w:rFonts w:ascii="Times New Roman" w:hAnsi="Times New Roman"/>
          <w:b w:val="0"/>
          <w:bCs w:val="0"/>
          <w:sz w:val="22"/>
          <w:szCs w:val="22"/>
          <w:lang w:val="sk-SK"/>
        </w:rPr>
        <w:t>(10</w:t>
      </w:r>
      <w:r>
        <w:rPr>
          <w:rFonts w:ascii="Times New Roman" w:hAnsi="Times New Roman"/>
          <w:b w:val="0"/>
          <w:bCs w:val="0"/>
          <w:sz w:val="22"/>
          <w:szCs w:val="22"/>
          <w:lang w:val="sk-SK"/>
        </w:rPr>
        <w:t>9</w:t>
      </w:r>
      <w:r w:rsidRPr="00BC17C4">
        <w:rPr>
          <w:rFonts w:ascii="Times New Roman" w:hAnsi="Times New Roman"/>
          <w:b w:val="0"/>
          <w:bCs w:val="0"/>
          <w:sz w:val="22"/>
          <w:szCs w:val="22"/>
          <w:lang w:val="sk-SK"/>
        </w:rPr>
        <w:t xml:space="preserve"> %), </w:t>
      </w:r>
      <w:r w:rsidRPr="00BC17C4">
        <w:rPr>
          <w:rFonts w:ascii="Times New Roman" w:hAnsi="Times New Roman"/>
          <w:b w:val="0"/>
          <w:bCs w:val="0"/>
          <w:sz w:val="22"/>
          <w:szCs w:val="22"/>
          <w:u w:val="single"/>
          <w:lang w:val="sk-SK"/>
        </w:rPr>
        <w:t>záporným vlastným imaním</w:t>
      </w:r>
      <w:r>
        <w:rPr>
          <w:rFonts w:ascii="Times New Roman" w:hAnsi="Times New Roman"/>
          <w:b w:val="0"/>
          <w:bCs w:val="0"/>
          <w:sz w:val="22"/>
          <w:szCs w:val="22"/>
          <w:lang w:val="sk-SK"/>
        </w:rPr>
        <w:br/>
        <w:t>(-23</w:t>
      </w:r>
      <w:r w:rsidRPr="00BC17C4">
        <w:rPr>
          <w:rFonts w:ascii="Times New Roman" w:hAnsi="Times New Roman"/>
          <w:b w:val="0"/>
          <w:bCs w:val="0"/>
          <w:sz w:val="22"/>
          <w:szCs w:val="22"/>
          <w:lang w:val="sk-SK"/>
        </w:rPr>
        <w:t xml:space="preserve"> %) a </w:t>
      </w:r>
      <w:r w:rsidRPr="00BC17C4">
        <w:rPr>
          <w:rFonts w:ascii="Times New Roman" w:hAnsi="Times New Roman"/>
          <w:b w:val="0"/>
          <w:bCs w:val="0"/>
          <w:sz w:val="22"/>
          <w:szCs w:val="22"/>
          <w:u w:val="single"/>
        </w:rPr>
        <w:t>časovým rozlíšením</w:t>
      </w:r>
      <w:r w:rsidRPr="00BC17C4">
        <w:rPr>
          <w:rFonts w:ascii="Times New Roman" w:hAnsi="Times New Roman"/>
          <w:b w:val="0"/>
          <w:bCs w:val="0"/>
          <w:sz w:val="22"/>
          <w:szCs w:val="22"/>
        </w:rPr>
        <w:t xml:space="preserve"> (1</w:t>
      </w:r>
      <w:r w:rsidRPr="00BC17C4">
        <w:rPr>
          <w:rFonts w:ascii="Times New Roman" w:hAnsi="Times New Roman"/>
          <w:b w:val="0"/>
          <w:bCs w:val="0"/>
          <w:sz w:val="22"/>
          <w:szCs w:val="22"/>
          <w:lang w:val="sk-SK"/>
        </w:rPr>
        <w:t>4</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w:t>
      </w:r>
    </w:p>
    <w:p w:rsidR="001D3593"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 xml:space="preserve">Dôvodom </w:t>
      </w:r>
      <w:r w:rsidRPr="00C20960">
        <w:rPr>
          <w:rFonts w:ascii="Times New Roman" w:hAnsi="Times New Roman"/>
          <w:b w:val="0"/>
          <w:bCs w:val="0"/>
          <w:sz w:val="22"/>
          <w:szCs w:val="22"/>
          <w:lang w:val="sk-SK"/>
        </w:rPr>
        <w:t>medziročného zvýšenia pasív bolo zvýšenie záväzkov o 16 447 046 tis. eur a zároveň zvýšenie záporného vlastného imania o 14 711 879 tis. eur. Najvýznamnejší vplyv na túto zmenu malo vykázanie rezerv na zamestnanecké požitky v ústrednej správe. K 31.12.2014 vykázali kapitoly štátneho rozpočtu dlhodobé rezervy na zamestnanecké požitky, ktoré prináležia zamestnancom ústrednej správy na základe príslušnej legislatívy, kolektívnych zmlúv a podobne. Ide o rôzne typy požitkov (benefitov) napríklad odmeny pri pracovnom a životnom jubileu</w:t>
      </w:r>
      <w:r w:rsidRPr="00BC17C4">
        <w:rPr>
          <w:rFonts w:ascii="Times New Roman" w:hAnsi="Times New Roman"/>
          <w:b w:val="0"/>
          <w:bCs w:val="0"/>
          <w:sz w:val="22"/>
          <w:szCs w:val="22"/>
          <w:lang w:val="sk-SK"/>
        </w:rPr>
        <w:t xml:space="preserve">, odstupné a odchodné, výsluhové dôchodky v silových rezortoch, pozostalecké dôchodky a ďalšie. Ministerstvo financií SR na základe expertného odhadu založeného na aktuárskych modeloch revidovalo výšku týchto rezerv z roku 2013, kedy sa prvý krát </w:t>
      </w:r>
      <w:r>
        <w:rPr>
          <w:rFonts w:ascii="Times New Roman" w:hAnsi="Times New Roman"/>
          <w:b w:val="0"/>
          <w:bCs w:val="0"/>
          <w:sz w:val="22"/>
          <w:szCs w:val="22"/>
          <w:lang w:val="sk-SK"/>
        </w:rPr>
        <w:t>vykázali</w:t>
      </w:r>
      <w:r w:rsidRPr="00BC17C4">
        <w:rPr>
          <w:rFonts w:ascii="Times New Roman" w:hAnsi="Times New Roman"/>
          <w:b w:val="0"/>
          <w:bCs w:val="0"/>
          <w:sz w:val="22"/>
          <w:szCs w:val="22"/>
          <w:lang w:val="sk-SK"/>
        </w:rPr>
        <w:t xml:space="preserve"> rezervy len za kapitolu Ministerstva financií SR. </w:t>
      </w:r>
    </w:p>
    <w:p w:rsidR="001D3593" w:rsidRPr="00BC17C4" w:rsidP="001767F0">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 xml:space="preserve">V roku 2014 predložili štátne rozpočtové a štátne príspevkové organizácie podklady </w:t>
      </w:r>
      <w:r>
        <w:rPr>
          <w:rFonts w:ascii="Times New Roman" w:hAnsi="Times New Roman"/>
          <w:b w:val="0"/>
          <w:bCs w:val="0"/>
          <w:sz w:val="22"/>
          <w:szCs w:val="22"/>
          <w:lang w:val="sk-SK"/>
        </w:rPr>
        <w:t>na</w:t>
      </w:r>
      <w:r w:rsidRPr="00BC17C4">
        <w:rPr>
          <w:rFonts w:ascii="Times New Roman" w:hAnsi="Times New Roman"/>
          <w:b w:val="0"/>
          <w:bCs w:val="0"/>
          <w:sz w:val="22"/>
          <w:szCs w:val="22"/>
          <w:lang w:val="sk-SK"/>
        </w:rPr>
        <w:t xml:space="preserve"> výpoč</w:t>
      </w:r>
      <w:r>
        <w:rPr>
          <w:rFonts w:ascii="Times New Roman" w:hAnsi="Times New Roman"/>
          <w:b w:val="0"/>
          <w:bCs w:val="0"/>
          <w:sz w:val="22"/>
          <w:szCs w:val="22"/>
          <w:lang w:val="sk-SK"/>
        </w:rPr>
        <w:t>e</w:t>
      </w:r>
      <w:r w:rsidRPr="00BC17C4">
        <w:rPr>
          <w:rFonts w:ascii="Times New Roman" w:hAnsi="Times New Roman"/>
          <w:b w:val="0"/>
          <w:bCs w:val="0"/>
          <w:sz w:val="22"/>
          <w:szCs w:val="22"/>
          <w:lang w:val="sk-SK"/>
        </w:rPr>
        <w:t>t rezerv, a tie boli následne vykázané za každú kapitolu samostatne. Z pohľadu metodiky účtovníctva tak</w:t>
      </w:r>
      <w:r>
        <w:rPr>
          <w:rFonts w:ascii="Times New Roman" w:hAnsi="Times New Roman"/>
          <w:b w:val="0"/>
          <w:bCs w:val="0"/>
          <w:sz w:val="22"/>
          <w:szCs w:val="22"/>
          <w:lang w:val="sk-SK"/>
        </w:rPr>
        <w:t xml:space="preserve"> </w:t>
      </w:r>
      <w:r w:rsidRPr="00BC17C4">
        <w:rPr>
          <w:rFonts w:ascii="Times New Roman" w:hAnsi="Times New Roman"/>
          <w:b w:val="0"/>
          <w:bCs w:val="0"/>
          <w:sz w:val="22"/>
          <w:szCs w:val="22"/>
          <w:lang w:val="sk-SK"/>
        </w:rPr>
        <w:t xml:space="preserve">ide o snahu konzistentne uplatňovať jeden z ďalších medzinárodných účtovných štandardov pre verejný sektor (IPSAS) a zdokonaľovať tým informácie o záväzkoch štátu </w:t>
      </w:r>
      <w:r>
        <w:rPr>
          <w:rFonts w:ascii="Times New Roman" w:hAnsi="Times New Roman"/>
          <w:b w:val="0"/>
          <w:bCs w:val="0"/>
          <w:sz w:val="22"/>
          <w:szCs w:val="22"/>
          <w:lang w:val="sk-SK"/>
        </w:rPr>
        <w:t xml:space="preserve">z tzv. sociálnych benefitov </w:t>
      </w:r>
      <w:r w:rsidRPr="00BC17C4">
        <w:rPr>
          <w:rFonts w:ascii="Times New Roman" w:hAnsi="Times New Roman"/>
          <w:b w:val="0"/>
          <w:bCs w:val="0"/>
          <w:sz w:val="22"/>
          <w:szCs w:val="22"/>
          <w:lang w:val="sk-SK"/>
        </w:rPr>
        <w:t>voči zamestnancom, na ktoré majú nárok na základe platnej legislatívy a rozhodnutia organizácie (resp. vlády</w:t>
      </w:r>
      <w:r>
        <w:rPr>
          <w:rFonts w:ascii="Times New Roman" w:hAnsi="Times New Roman"/>
          <w:b w:val="0"/>
          <w:bCs w:val="0"/>
          <w:sz w:val="22"/>
          <w:szCs w:val="22"/>
          <w:lang w:val="sk-SK"/>
        </w:rPr>
        <w:t>,</w:t>
      </w:r>
      <w:r w:rsidRPr="00BC17C4">
        <w:rPr>
          <w:rFonts w:ascii="Times New Roman" w:hAnsi="Times New Roman"/>
          <w:b w:val="0"/>
          <w:bCs w:val="0"/>
          <w:sz w:val="22"/>
          <w:szCs w:val="22"/>
          <w:lang w:val="sk-SK"/>
        </w:rPr>
        <w:t xml:space="preserve"> napríklad </w:t>
      </w:r>
      <w:r>
        <w:rPr>
          <w:rFonts w:ascii="Times New Roman" w:hAnsi="Times New Roman"/>
          <w:b w:val="0"/>
          <w:bCs w:val="0"/>
          <w:sz w:val="22"/>
          <w:szCs w:val="22"/>
          <w:lang w:val="sk-SK"/>
        </w:rPr>
        <w:t>na základe</w:t>
      </w:r>
      <w:r w:rsidRPr="00BC17C4">
        <w:rPr>
          <w:rFonts w:ascii="Times New Roman" w:hAnsi="Times New Roman"/>
          <w:b w:val="0"/>
          <w:bCs w:val="0"/>
          <w:sz w:val="22"/>
          <w:szCs w:val="22"/>
          <w:lang w:val="sk-SK"/>
        </w:rPr>
        <w:t xml:space="preserve"> kolektívn</w:t>
      </w:r>
      <w:r>
        <w:rPr>
          <w:rFonts w:ascii="Times New Roman" w:hAnsi="Times New Roman"/>
          <w:b w:val="0"/>
          <w:bCs w:val="0"/>
          <w:sz w:val="22"/>
          <w:szCs w:val="22"/>
          <w:lang w:val="sk-SK"/>
        </w:rPr>
        <w:t>ej</w:t>
      </w:r>
      <w:r w:rsidRPr="00BC17C4">
        <w:rPr>
          <w:rFonts w:ascii="Times New Roman" w:hAnsi="Times New Roman"/>
          <w:b w:val="0"/>
          <w:bCs w:val="0"/>
          <w:sz w:val="22"/>
          <w:szCs w:val="22"/>
          <w:lang w:val="sk-SK"/>
        </w:rPr>
        <w:t xml:space="preserve"> </w:t>
      </w:r>
      <w:r>
        <w:rPr>
          <w:rFonts w:ascii="Times New Roman" w:hAnsi="Times New Roman"/>
          <w:b w:val="0"/>
          <w:bCs w:val="0"/>
          <w:sz w:val="22"/>
          <w:szCs w:val="22"/>
          <w:lang w:val="sk-SK"/>
        </w:rPr>
        <w:t>dohody</w:t>
      </w:r>
      <w:r w:rsidRPr="00BC17C4">
        <w:rPr>
          <w:rFonts w:ascii="Times New Roman" w:hAnsi="Times New Roman"/>
          <w:b w:val="0"/>
          <w:bCs w:val="0"/>
          <w:sz w:val="22"/>
          <w:szCs w:val="22"/>
          <w:lang w:val="sk-SK"/>
        </w:rPr>
        <w:t>). Vplyv týchto rezervy je bližšie popísaný v časti vlastného imania a rezerv.</w:t>
      </w:r>
    </w:p>
    <w:p w:rsidR="001D3593" w:rsidRPr="00BC17C4" w:rsidP="001767F0">
      <w:pPr>
        <w:pStyle w:val="Pismenka"/>
        <w:tabs>
          <w:tab w:val="clear" w:pos="426"/>
        </w:tabs>
        <w:bidi w:val="0"/>
        <w:spacing w:after="120" w:line="336" w:lineRule="auto"/>
        <w:ind w:left="0" w:firstLine="0"/>
        <w:rPr>
          <w:rFonts w:ascii="Times New Roman" w:hAnsi="Times New Roman"/>
          <w:bCs w:val="0"/>
          <w:sz w:val="22"/>
          <w:szCs w:val="22"/>
        </w:rPr>
      </w:pPr>
      <w:r w:rsidRPr="00BC17C4">
        <w:rPr>
          <w:rFonts w:ascii="Times New Roman" w:hAnsi="Times New Roman"/>
          <w:bCs w:val="0"/>
          <w:sz w:val="22"/>
          <w:szCs w:val="22"/>
        </w:rPr>
        <w:t>Vlastné imanie</w:t>
      </w:r>
    </w:p>
    <w:p w:rsidR="001D3593" w:rsidRPr="00BC17C4" w:rsidP="001767F0">
      <w:pPr>
        <w:pStyle w:val="Pismenka"/>
        <w:tabs>
          <w:tab w:val="clear" w:pos="426"/>
        </w:tabs>
        <w:bidi w:val="0"/>
        <w:spacing w:after="120" w:line="336" w:lineRule="auto"/>
        <w:ind w:left="0" w:firstLine="0"/>
        <w:rPr>
          <w:rFonts w:ascii="Times New Roman" w:hAnsi="Times New Roman"/>
          <w:b w:val="0"/>
          <w:bCs w:val="0"/>
          <w:sz w:val="22"/>
          <w:szCs w:val="22"/>
        </w:rPr>
      </w:pPr>
      <w:r w:rsidRPr="00BC17C4">
        <w:rPr>
          <w:rFonts w:ascii="Times New Roman" w:hAnsi="Times New Roman"/>
          <w:b w:val="0"/>
          <w:bCs w:val="0"/>
          <w:sz w:val="22"/>
          <w:szCs w:val="22"/>
        </w:rPr>
        <w:t>Vlastné imanie súhrnného celku je tvorené oceňovacími rozdielmi, výsledkom hospodárenia</w:t>
      </w:r>
      <w:r>
        <w:rPr>
          <w:rFonts w:ascii="Times New Roman" w:hAnsi="Times New Roman"/>
          <w:b w:val="0"/>
          <w:bCs w:val="0"/>
          <w:sz w:val="22"/>
          <w:szCs w:val="22"/>
          <w:lang w:val="sk-SK"/>
        </w:rPr>
        <w:t xml:space="preserve"> </w:t>
      </w:r>
      <w:r w:rsidRPr="00BC17C4">
        <w:rPr>
          <w:rFonts w:ascii="Times New Roman" w:hAnsi="Times New Roman"/>
          <w:b w:val="0"/>
          <w:bCs w:val="0"/>
          <w:sz w:val="22"/>
          <w:szCs w:val="22"/>
        </w:rPr>
        <w:t xml:space="preserve">a podielmi iných účtovných jednotiek. </w:t>
      </w:r>
      <w:r w:rsidRPr="00BC17C4">
        <w:rPr>
          <w:rFonts w:ascii="Times New Roman" w:hAnsi="Times New Roman"/>
          <w:bCs w:val="0"/>
          <w:sz w:val="22"/>
          <w:szCs w:val="22"/>
        </w:rPr>
        <w:t>Podrobné finančné informácie ku každej z týchto položiek sú uvedené v poznámkach súhrnnej účtovnej závierky verejnej správy SR za rok 201</w:t>
      </w:r>
      <w:r w:rsidRPr="00BC17C4">
        <w:rPr>
          <w:rFonts w:ascii="Times New Roman" w:hAnsi="Times New Roman"/>
          <w:bCs w:val="0"/>
          <w:sz w:val="22"/>
          <w:szCs w:val="22"/>
          <w:lang w:val="sk-SK"/>
        </w:rPr>
        <w:t>4</w:t>
      </w:r>
      <w:r w:rsidRPr="00BC17C4">
        <w:rPr>
          <w:rFonts w:ascii="Times New Roman" w:hAnsi="Times New Roman"/>
          <w:bCs w:val="0"/>
          <w:sz w:val="22"/>
          <w:szCs w:val="22"/>
        </w:rPr>
        <w:t xml:space="preserve"> (časť pasíva, položky A.I. až A.III.).</w:t>
      </w:r>
    </w:p>
    <w:p w:rsidR="001D3593" w:rsidRPr="00BC17C4" w:rsidP="001D3593">
      <w:pPr>
        <w:pStyle w:val="Pismenka"/>
        <w:tabs>
          <w:tab w:val="clear" w:pos="426"/>
        </w:tabs>
        <w:bidi w:val="0"/>
        <w:spacing w:before="180" w:after="120" w:line="336" w:lineRule="auto"/>
        <w:ind w:left="0" w:firstLine="0"/>
        <w:rPr>
          <w:rFonts w:ascii="Times New Roman" w:hAnsi="Times New Roman"/>
          <w:bCs w:val="0"/>
          <w:sz w:val="22"/>
          <w:szCs w:val="22"/>
          <w:lang w:val="sk-SK"/>
        </w:rPr>
      </w:pPr>
      <w:r w:rsidRPr="00BC17C4">
        <w:rPr>
          <w:rFonts w:ascii="Times New Roman" w:hAnsi="Times New Roman"/>
          <w:b w:val="0"/>
          <w:bCs w:val="0"/>
          <w:sz w:val="22"/>
          <w:szCs w:val="22"/>
        </w:rPr>
        <w:t>Vlastné imanie súhrnného celku k 31.12.201</w:t>
      </w:r>
      <w:r w:rsidRPr="00BC17C4">
        <w:rPr>
          <w:rFonts w:ascii="Times New Roman" w:hAnsi="Times New Roman"/>
          <w:b w:val="0"/>
          <w:bCs w:val="0"/>
          <w:sz w:val="22"/>
          <w:szCs w:val="22"/>
          <w:lang w:val="sk-SK"/>
        </w:rPr>
        <w:t>4</w:t>
      </w:r>
      <w:r w:rsidRPr="00BC17C4">
        <w:rPr>
          <w:rFonts w:ascii="Times New Roman" w:hAnsi="Times New Roman"/>
          <w:b w:val="0"/>
          <w:bCs w:val="0"/>
          <w:sz w:val="22"/>
          <w:szCs w:val="22"/>
        </w:rPr>
        <w:t xml:space="preserve"> dosiahlo </w:t>
      </w:r>
      <w:r w:rsidRPr="00BC17C4">
        <w:rPr>
          <w:rFonts w:ascii="Times New Roman" w:hAnsi="Times New Roman"/>
          <w:b w:val="0"/>
          <w:bCs w:val="0"/>
          <w:sz w:val="22"/>
          <w:szCs w:val="22"/>
          <w:lang w:val="sk-SK"/>
        </w:rPr>
        <w:t>-14 039 73</w:t>
      </w:r>
      <w:r>
        <w:rPr>
          <w:rFonts w:ascii="Times New Roman" w:hAnsi="Times New Roman"/>
          <w:b w:val="0"/>
          <w:bCs w:val="0"/>
          <w:sz w:val="22"/>
          <w:szCs w:val="22"/>
          <w:lang w:val="sk-SK"/>
        </w:rPr>
        <w:t>8</w:t>
      </w:r>
      <w:r w:rsidRPr="00BC17C4">
        <w:rPr>
          <w:rFonts w:ascii="Times New Roman" w:hAnsi="Times New Roman"/>
          <w:b w:val="0"/>
          <w:bCs w:val="0"/>
          <w:sz w:val="22"/>
          <w:szCs w:val="22"/>
          <w:lang w:val="sk-SK"/>
        </w:rPr>
        <w:t xml:space="preserve"> tis. eur,</w:t>
      </w:r>
      <w:r w:rsidRPr="00BC17C4">
        <w:rPr>
          <w:rFonts w:ascii="Times New Roman" w:hAnsi="Times New Roman"/>
          <w:b w:val="0"/>
          <w:bCs w:val="0"/>
          <w:sz w:val="22"/>
          <w:szCs w:val="22"/>
        </w:rPr>
        <w:t xml:space="preserve"> z toho výsledok hospodárenia </w:t>
      </w:r>
      <w:r>
        <w:rPr>
          <w:rFonts w:ascii="Times New Roman" w:hAnsi="Times New Roman"/>
          <w:b w:val="0"/>
          <w:bCs w:val="0"/>
          <w:sz w:val="22"/>
          <w:szCs w:val="22"/>
          <w:lang w:val="sk-SK"/>
        </w:rPr>
        <w:t xml:space="preserve">bol </w:t>
      </w:r>
      <w:r w:rsidRPr="00BC17C4">
        <w:rPr>
          <w:rFonts w:ascii="Times New Roman" w:hAnsi="Times New Roman"/>
          <w:b w:val="0"/>
          <w:bCs w:val="0"/>
          <w:sz w:val="22"/>
          <w:szCs w:val="22"/>
          <w:lang w:val="sk-SK"/>
        </w:rPr>
        <w:t>-14 240 26</w:t>
      </w:r>
      <w:r>
        <w:rPr>
          <w:rFonts w:ascii="Times New Roman" w:hAnsi="Times New Roman"/>
          <w:b w:val="0"/>
          <w:bCs w:val="0"/>
          <w:sz w:val="22"/>
          <w:szCs w:val="22"/>
          <w:lang w:val="sk-SK"/>
        </w:rPr>
        <w:t>3</w:t>
      </w:r>
      <w:r w:rsidRPr="00BC17C4">
        <w:rPr>
          <w:rFonts w:ascii="Times New Roman" w:hAnsi="Times New Roman"/>
          <w:b w:val="0"/>
          <w:bCs w:val="0"/>
          <w:sz w:val="22"/>
          <w:szCs w:val="22"/>
          <w:lang w:val="sk-SK"/>
        </w:rPr>
        <w:t xml:space="preserve"> tis. eur</w:t>
      </w:r>
      <w:r>
        <w:rPr>
          <w:rFonts w:ascii="Times New Roman" w:hAnsi="Times New Roman"/>
          <w:b w:val="0"/>
          <w:bCs w:val="0"/>
          <w:sz w:val="22"/>
          <w:szCs w:val="22"/>
          <w:lang w:val="sk-SK"/>
        </w:rPr>
        <w:t>,</w:t>
      </w:r>
      <w:r w:rsidRPr="00946138">
        <w:rPr>
          <w:rFonts w:ascii="Times New Roman" w:hAnsi="Times New Roman"/>
          <w:b w:val="0"/>
          <w:bCs w:val="0"/>
          <w:sz w:val="22"/>
          <w:szCs w:val="22"/>
        </w:rPr>
        <w:t xml:space="preserve"> </w:t>
      </w:r>
      <w:r w:rsidRPr="00BC17C4">
        <w:rPr>
          <w:rFonts w:ascii="Times New Roman" w:hAnsi="Times New Roman"/>
          <w:b w:val="0"/>
          <w:bCs w:val="0"/>
          <w:sz w:val="22"/>
          <w:szCs w:val="22"/>
        </w:rPr>
        <w:t xml:space="preserve">podiely iných účtovných jednotiek </w:t>
      </w:r>
      <w:r w:rsidRPr="00BC17C4">
        <w:rPr>
          <w:rFonts w:ascii="Times New Roman" w:hAnsi="Times New Roman"/>
          <w:b w:val="0"/>
          <w:bCs w:val="0"/>
          <w:sz w:val="22"/>
          <w:szCs w:val="22"/>
          <w:lang w:val="sk-SK"/>
        </w:rPr>
        <w:t>198 427 tis. eur</w:t>
      </w:r>
      <w:r>
        <w:rPr>
          <w:rFonts w:ascii="Times New Roman" w:hAnsi="Times New Roman"/>
          <w:b w:val="0"/>
          <w:bCs w:val="0"/>
          <w:sz w:val="22"/>
          <w:szCs w:val="22"/>
          <w:lang w:val="sk-SK"/>
        </w:rPr>
        <w:t xml:space="preserve"> a</w:t>
      </w:r>
      <w:r w:rsidRPr="00BC17C4">
        <w:rPr>
          <w:rFonts w:ascii="Times New Roman" w:hAnsi="Times New Roman"/>
          <w:b w:val="0"/>
          <w:bCs w:val="0"/>
          <w:sz w:val="22"/>
          <w:szCs w:val="22"/>
          <w:lang w:val="sk-SK"/>
        </w:rPr>
        <w:t xml:space="preserve"> </w:t>
      </w:r>
      <w:r w:rsidRPr="00BC17C4">
        <w:rPr>
          <w:rFonts w:ascii="Times New Roman" w:hAnsi="Times New Roman"/>
          <w:b w:val="0"/>
          <w:bCs w:val="0"/>
          <w:sz w:val="22"/>
          <w:szCs w:val="22"/>
        </w:rPr>
        <w:t xml:space="preserve">oceňovacie rozdiely </w:t>
      </w:r>
      <w:r>
        <w:rPr>
          <w:rFonts w:ascii="Times New Roman" w:hAnsi="Times New Roman"/>
          <w:b w:val="0"/>
          <w:bCs w:val="0"/>
          <w:sz w:val="22"/>
          <w:szCs w:val="22"/>
          <w:lang w:val="sk-SK"/>
        </w:rPr>
        <w:t>dosiahli</w:t>
      </w:r>
      <w:r w:rsidRPr="00BC17C4">
        <w:rPr>
          <w:rFonts w:ascii="Times New Roman" w:hAnsi="Times New Roman"/>
          <w:b w:val="0"/>
          <w:bCs w:val="0"/>
          <w:sz w:val="22"/>
          <w:szCs w:val="22"/>
          <w:lang w:val="sk-SK"/>
        </w:rPr>
        <w:t xml:space="preserve"> 2 098 tis. eur</w:t>
      </w:r>
      <w:r>
        <w:rPr>
          <w:rFonts w:ascii="Times New Roman" w:hAnsi="Times New Roman"/>
          <w:b w:val="0"/>
          <w:bCs w:val="0"/>
          <w:sz w:val="22"/>
          <w:szCs w:val="22"/>
          <w:lang w:val="sk-SK"/>
        </w:rPr>
        <w:t>.</w:t>
      </w:r>
      <w:r w:rsidRPr="00BC17C4">
        <w:rPr>
          <w:rFonts w:ascii="Times New Roman" w:hAnsi="Times New Roman"/>
          <w:b w:val="0"/>
          <w:bCs w:val="0"/>
          <w:sz w:val="22"/>
          <w:szCs w:val="22"/>
        </w:rPr>
        <w:t> </w:t>
      </w:r>
      <w:r w:rsidRPr="00BC17C4">
        <w:rPr>
          <w:rFonts w:ascii="Times New Roman" w:hAnsi="Times New Roman"/>
          <w:b w:val="0"/>
          <w:bCs w:val="0"/>
          <w:sz w:val="22"/>
          <w:szCs w:val="22"/>
          <w:lang w:val="sk-SK"/>
        </w:rPr>
        <w:t>Do výsledku hospodárenia boli započítané aj iné položky vlastného im</w:t>
      </w:r>
      <w:r>
        <w:rPr>
          <w:rFonts w:ascii="Times New Roman" w:hAnsi="Times New Roman"/>
          <w:b w:val="0"/>
          <w:bCs w:val="0"/>
          <w:sz w:val="22"/>
          <w:szCs w:val="22"/>
          <w:lang w:val="sk-SK"/>
        </w:rPr>
        <w:t>ania (kapitálové fondy, rezervné</w:t>
      </w:r>
      <w:r w:rsidRPr="00BC17C4">
        <w:rPr>
          <w:rFonts w:ascii="Times New Roman" w:hAnsi="Times New Roman"/>
          <w:b w:val="0"/>
          <w:bCs w:val="0"/>
          <w:sz w:val="22"/>
          <w:szCs w:val="22"/>
          <w:lang w:val="sk-SK"/>
        </w:rPr>
        <w:t xml:space="preserve"> fond</w:t>
      </w:r>
      <w:r>
        <w:rPr>
          <w:rFonts w:ascii="Times New Roman" w:hAnsi="Times New Roman"/>
          <w:b w:val="0"/>
          <w:bCs w:val="0"/>
          <w:sz w:val="22"/>
          <w:szCs w:val="22"/>
          <w:lang w:val="sk-SK"/>
        </w:rPr>
        <w:t>y</w:t>
      </w:r>
      <w:r w:rsidRPr="00BC17C4">
        <w:rPr>
          <w:rFonts w:ascii="Times New Roman" w:hAnsi="Times New Roman"/>
          <w:b w:val="0"/>
          <w:bCs w:val="0"/>
          <w:sz w:val="22"/>
          <w:szCs w:val="22"/>
          <w:lang w:val="sk-SK"/>
        </w:rPr>
        <w:t xml:space="preserve">, fondy tvorené zo zisku), ktoré sú charakteristické pre obchodné spoločnosti a štátne podniky, ale v metodike pre rozpočtové a príspevkové organizácie sa vykazujú v rámci výsledku hospodárenia. </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Medziročne sa vla</w:t>
      </w:r>
      <w:r>
        <w:rPr>
          <w:rFonts w:ascii="Times New Roman" w:hAnsi="Times New Roman"/>
          <w:b w:val="0"/>
          <w:bCs w:val="0"/>
          <w:sz w:val="22"/>
          <w:szCs w:val="22"/>
          <w:lang w:val="sk-SK"/>
        </w:rPr>
        <w:t>stné imanie znížilo o 14 711 879</w:t>
      </w:r>
      <w:r w:rsidRPr="00BC17C4">
        <w:rPr>
          <w:rFonts w:ascii="Times New Roman" w:hAnsi="Times New Roman"/>
          <w:b w:val="0"/>
          <w:bCs w:val="0"/>
          <w:sz w:val="22"/>
          <w:szCs w:val="22"/>
          <w:lang w:val="sk-SK"/>
        </w:rPr>
        <w:t xml:space="preserve"> tis. eur. Najvýznamnejšou položkou je výsledok hospodárenia, ktorý je členený na výsledok hospodárenia minulých rokov a výsledok hospodárenia bežného obdobia 2014. </w:t>
      </w:r>
      <w:r w:rsidRPr="00BC17C4">
        <w:rPr>
          <w:rFonts w:ascii="Times New Roman" w:hAnsi="Times New Roman"/>
          <w:b w:val="0"/>
          <w:bCs w:val="0"/>
          <w:sz w:val="22"/>
          <w:szCs w:val="22"/>
          <w:u w:val="single"/>
          <w:lang w:val="sk-SK"/>
        </w:rPr>
        <w:t>Výsledok hospodárenia minulých rokov</w:t>
      </w:r>
      <w:r w:rsidRPr="00BC17C4">
        <w:rPr>
          <w:rFonts w:ascii="Times New Roman" w:hAnsi="Times New Roman"/>
          <w:b w:val="0"/>
          <w:bCs w:val="0"/>
          <w:sz w:val="22"/>
          <w:szCs w:val="22"/>
          <w:lang w:val="sk-SK"/>
        </w:rPr>
        <w:t xml:space="preserve"> </w:t>
      </w:r>
      <w:r>
        <w:rPr>
          <w:rFonts w:ascii="Times New Roman" w:hAnsi="Times New Roman"/>
          <w:b w:val="0"/>
          <w:bCs w:val="0"/>
          <w:sz w:val="22"/>
          <w:szCs w:val="22"/>
          <w:lang w:val="sk-SK"/>
        </w:rPr>
        <w:t xml:space="preserve">pred započítaním fondov </w:t>
      </w:r>
      <w:r w:rsidRPr="00BC17C4">
        <w:rPr>
          <w:rFonts w:ascii="Times New Roman" w:hAnsi="Times New Roman"/>
          <w:b w:val="0"/>
          <w:bCs w:val="0"/>
          <w:sz w:val="22"/>
          <w:szCs w:val="22"/>
          <w:lang w:val="sk-SK"/>
        </w:rPr>
        <w:t xml:space="preserve">dosiahol hodnotu </w:t>
      </w:r>
      <w:r>
        <w:rPr>
          <w:rFonts w:ascii="Times New Roman" w:hAnsi="Times New Roman"/>
          <w:b w:val="0"/>
          <w:bCs w:val="0"/>
          <w:sz w:val="22"/>
          <w:szCs w:val="22"/>
          <w:lang w:val="sk-SK"/>
        </w:rPr>
        <w:t>-12 535 364</w:t>
      </w:r>
      <w:r w:rsidRPr="00BC17C4">
        <w:rPr>
          <w:rFonts w:ascii="Times New Roman" w:hAnsi="Times New Roman"/>
          <w:b w:val="0"/>
          <w:bCs w:val="0"/>
          <w:sz w:val="22"/>
          <w:szCs w:val="22"/>
          <w:lang w:val="sk-SK"/>
        </w:rPr>
        <w:t xml:space="preserve"> tis. eur a medziročne sa znížil o</w:t>
      </w:r>
      <w:r>
        <w:rPr>
          <w:rFonts w:ascii="Times New Roman" w:hAnsi="Times New Roman"/>
          <w:b w:val="0"/>
          <w:bCs w:val="0"/>
          <w:sz w:val="22"/>
          <w:szCs w:val="22"/>
          <w:lang w:val="sk-SK"/>
        </w:rPr>
        <w:t> 9 528 224</w:t>
      </w:r>
      <w:r w:rsidRPr="00BC17C4">
        <w:rPr>
          <w:rFonts w:ascii="Times New Roman" w:hAnsi="Times New Roman"/>
          <w:b w:val="0"/>
          <w:bCs w:val="0"/>
          <w:sz w:val="22"/>
          <w:szCs w:val="22"/>
          <w:lang w:val="sk-SK"/>
        </w:rPr>
        <w:t xml:space="preserve"> tis. eur najmä vplyvom </w:t>
      </w:r>
      <w:r>
        <w:rPr>
          <w:rFonts w:ascii="Times New Roman" w:hAnsi="Times New Roman"/>
          <w:b w:val="0"/>
          <w:bCs w:val="0"/>
          <w:sz w:val="22"/>
          <w:szCs w:val="22"/>
          <w:lang w:val="sk-SK"/>
        </w:rPr>
        <w:t xml:space="preserve">výsledku hospodárenia ústrednej správy, ktorý bol medziročne </w:t>
      </w:r>
      <w:r w:rsidRPr="00100409">
        <w:rPr>
          <w:rFonts w:ascii="Times New Roman" w:hAnsi="Times New Roman"/>
          <w:b w:val="0"/>
          <w:bCs w:val="0"/>
          <w:sz w:val="22"/>
          <w:szCs w:val="22"/>
          <w:lang w:val="sk-SK"/>
        </w:rPr>
        <w:t>nižší o 8 069 305</w:t>
      </w:r>
      <w:r>
        <w:rPr>
          <w:rFonts w:ascii="Times New Roman" w:hAnsi="Times New Roman"/>
          <w:b w:val="0"/>
          <w:bCs w:val="0"/>
          <w:sz w:val="22"/>
          <w:szCs w:val="22"/>
          <w:lang w:val="sk-SK"/>
        </w:rPr>
        <w:t xml:space="preserve"> tis. eur. To bolo spôsobené hlavne </w:t>
      </w:r>
      <w:r w:rsidRPr="00BC17C4">
        <w:rPr>
          <w:rFonts w:ascii="Times New Roman" w:hAnsi="Times New Roman"/>
          <w:b w:val="0"/>
          <w:bCs w:val="0"/>
          <w:sz w:val="22"/>
          <w:szCs w:val="22"/>
          <w:lang w:val="sk-SK"/>
        </w:rPr>
        <w:t>zaúčtovan</w:t>
      </w:r>
      <w:r>
        <w:rPr>
          <w:rFonts w:ascii="Times New Roman" w:hAnsi="Times New Roman"/>
          <w:b w:val="0"/>
          <w:bCs w:val="0"/>
          <w:sz w:val="22"/>
          <w:szCs w:val="22"/>
          <w:lang w:val="sk-SK"/>
        </w:rPr>
        <w:t>ím</w:t>
      </w:r>
      <w:r w:rsidRPr="00BC17C4">
        <w:rPr>
          <w:rFonts w:ascii="Times New Roman" w:hAnsi="Times New Roman"/>
          <w:b w:val="0"/>
          <w:bCs w:val="0"/>
          <w:sz w:val="22"/>
          <w:szCs w:val="22"/>
          <w:lang w:val="sk-SK"/>
        </w:rPr>
        <w:t xml:space="preserve"> </w:t>
      </w:r>
      <w:r>
        <w:rPr>
          <w:rFonts w:ascii="Times New Roman" w:hAnsi="Times New Roman"/>
          <w:b w:val="0"/>
          <w:bCs w:val="0"/>
          <w:sz w:val="22"/>
          <w:szCs w:val="22"/>
          <w:lang w:val="sk-SK"/>
        </w:rPr>
        <w:t xml:space="preserve">dlhodobých </w:t>
      </w:r>
      <w:r w:rsidRPr="00BC17C4">
        <w:rPr>
          <w:rFonts w:ascii="Times New Roman" w:hAnsi="Times New Roman"/>
          <w:b w:val="0"/>
          <w:bCs w:val="0"/>
          <w:sz w:val="22"/>
          <w:szCs w:val="22"/>
          <w:lang w:val="sk-SK"/>
        </w:rPr>
        <w:t xml:space="preserve">rezerv na zamestnanecké benefity do konsolidovaných údajov kapitol štátneho rozpočtu </w:t>
      </w:r>
      <w:r>
        <w:rPr>
          <w:rFonts w:ascii="Times New Roman" w:hAnsi="Times New Roman"/>
          <w:b w:val="0"/>
          <w:bCs w:val="0"/>
          <w:sz w:val="22"/>
          <w:szCs w:val="22"/>
          <w:lang w:val="sk-SK"/>
        </w:rPr>
        <w:t xml:space="preserve">vo výške </w:t>
      </w:r>
      <w:r w:rsidR="00B02CFE">
        <w:rPr>
          <w:rFonts w:ascii="Times New Roman" w:hAnsi="Times New Roman"/>
          <w:b w:val="0"/>
          <w:bCs w:val="0"/>
          <w:sz w:val="22"/>
          <w:szCs w:val="22"/>
          <w:lang w:val="sk-SK"/>
        </w:rPr>
        <w:t>11 949 207</w:t>
      </w:r>
      <w:r w:rsidRPr="00BC17C4">
        <w:rPr>
          <w:rFonts w:ascii="Times New Roman" w:hAnsi="Times New Roman"/>
          <w:b w:val="0"/>
          <w:bCs w:val="0"/>
          <w:sz w:val="22"/>
          <w:szCs w:val="22"/>
          <w:lang w:val="sk-SK"/>
        </w:rPr>
        <w:t xml:space="preserve"> tis. eur. Kladný vplyv </w:t>
      </w:r>
      <w:r>
        <w:rPr>
          <w:rFonts w:ascii="Times New Roman" w:hAnsi="Times New Roman"/>
          <w:b w:val="0"/>
          <w:bCs w:val="0"/>
          <w:sz w:val="22"/>
          <w:szCs w:val="22"/>
          <w:lang w:val="sk-SK"/>
        </w:rPr>
        <w:t xml:space="preserve">na výsledok hospodárenia ústrednej správy malo vykázanie výsledku hospodárenia SPP, a.s. vo </w:t>
      </w:r>
      <w:r w:rsidRPr="0017344C">
        <w:rPr>
          <w:rFonts w:ascii="Times New Roman" w:hAnsi="Times New Roman"/>
          <w:b w:val="0"/>
          <w:bCs w:val="0"/>
          <w:sz w:val="22"/>
          <w:szCs w:val="22"/>
          <w:lang w:val="sk-SK"/>
        </w:rPr>
        <w:t>výške 2 014 056 tis. eur</w:t>
      </w:r>
      <w:r>
        <w:rPr>
          <w:rFonts w:ascii="Times New Roman" w:hAnsi="Times New Roman"/>
          <w:b w:val="0"/>
          <w:bCs w:val="0"/>
          <w:sz w:val="22"/>
          <w:szCs w:val="22"/>
          <w:lang w:val="sk-SK"/>
        </w:rPr>
        <w:t xml:space="preserve">, precenenie podielov v energetických spoločnostiach, ktoré prešli z FNM SR do ústrednej správy v hodnote 369 986 tis. eur ako aj lepším výsledkom hospodárenia minulých rokov ostatných obchodných spoločností ústrednej správy o 277 668 </w:t>
      </w:r>
      <w:r w:rsidRPr="007B38C9">
        <w:rPr>
          <w:rFonts w:ascii="Times New Roman" w:hAnsi="Times New Roman"/>
          <w:b w:val="0"/>
          <w:bCs w:val="0"/>
          <w:sz w:val="22"/>
          <w:szCs w:val="22"/>
          <w:lang w:val="sk-SK"/>
        </w:rPr>
        <w:t>tis. eur. Okrem</w:t>
      </w:r>
      <w:r w:rsidRPr="00BC17C4">
        <w:rPr>
          <w:rFonts w:ascii="Times New Roman" w:hAnsi="Times New Roman"/>
          <w:b w:val="0"/>
          <w:bCs w:val="0"/>
          <w:sz w:val="22"/>
          <w:szCs w:val="22"/>
          <w:lang w:val="sk-SK"/>
        </w:rPr>
        <w:t xml:space="preserve"> týchto významných zmien v roku 2014 je výsledok hospodárenia každý rok ovplyvnený aj presunom účtovného výsledku hospodárenia za predchádzajúci rok</w:t>
      </w:r>
      <w:r>
        <w:rPr>
          <w:rFonts w:ascii="Times New Roman" w:hAnsi="Times New Roman"/>
          <w:b w:val="0"/>
          <w:bCs w:val="0"/>
          <w:sz w:val="22"/>
          <w:szCs w:val="22"/>
          <w:lang w:val="sk-SK"/>
        </w:rPr>
        <w:t>,</w:t>
      </w:r>
      <w:r w:rsidRPr="00BC17C4">
        <w:rPr>
          <w:rFonts w:ascii="Times New Roman" w:hAnsi="Times New Roman"/>
          <w:b w:val="0"/>
          <w:bCs w:val="0"/>
          <w:sz w:val="22"/>
          <w:szCs w:val="22"/>
          <w:lang w:val="sk-SK"/>
        </w:rPr>
        <w:t xml:space="preserve"> opravami významných nákl</w:t>
      </w:r>
      <w:r>
        <w:rPr>
          <w:rFonts w:ascii="Times New Roman" w:hAnsi="Times New Roman"/>
          <w:b w:val="0"/>
          <w:bCs w:val="0"/>
          <w:sz w:val="22"/>
          <w:szCs w:val="22"/>
          <w:lang w:val="sk-SK"/>
        </w:rPr>
        <w:t>adov a výnosov minulých období a zúčtovaním ostatných fondov najmä obchodných spoločností.</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u w:val="single"/>
          <w:lang w:val="sk-SK"/>
        </w:rPr>
        <w:t>Výsledok hospodárenia bežného obdobia 2014</w:t>
      </w:r>
      <w:r w:rsidRPr="00BC17C4">
        <w:rPr>
          <w:rFonts w:ascii="Times New Roman" w:hAnsi="Times New Roman"/>
          <w:b w:val="0"/>
          <w:bCs w:val="0"/>
          <w:sz w:val="22"/>
          <w:szCs w:val="22"/>
          <w:lang w:val="sk-SK"/>
        </w:rPr>
        <w:t xml:space="preserve"> dosiahol zápornú hodnotu -</w:t>
      </w:r>
      <w:r>
        <w:rPr>
          <w:rFonts w:ascii="Times New Roman" w:hAnsi="Times New Roman"/>
          <w:b w:val="0"/>
          <w:bCs w:val="0"/>
          <w:sz w:val="22"/>
          <w:szCs w:val="22"/>
          <w:lang w:val="sk-SK"/>
        </w:rPr>
        <w:t>6 583 412</w:t>
      </w:r>
      <w:r w:rsidRPr="00BC17C4">
        <w:rPr>
          <w:rFonts w:ascii="Times New Roman" w:hAnsi="Times New Roman"/>
          <w:b w:val="0"/>
          <w:bCs w:val="0"/>
          <w:sz w:val="22"/>
          <w:szCs w:val="22"/>
          <w:lang w:val="sk-SK"/>
        </w:rPr>
        <w:t xml:space="preserve"> tis. eur a medziročne sa znížil o</w:t>
      </w:r>
      <w:r>
        <w:rPr>
          <w:rFonts w:ascii="Times New Roman" w:hAnsi="Times New Roman"/>
          <w:b w:val="0"/>
          <w:bCs w:val="0"/>
          <w:sz w:val="22"/>
          <w:szCs w:val="22"/>
          <w:lang w:val="sk-SK"/>
        </w:rPr>
        <w:t> 5 722 858</w:t>
      </w:r>
      <w:r w:rsidRPr="00BC17C4">
        <w:rPr>
          <w:rFonts w:ascii="Times New Roman" w:hAnsi="Times New Roman"/>
          <w:b w:val="0"/>
          <w:bCs w:val="0"/>
          <w:sz w:val="22"/>
          <w:szCs w:val="22"/>
          <w:lang w:val="sk-SK"/>
        </w:rPr>
        <w:t xml:space="preserve"> tis. eur zo zápornej hodnoty -860 55</w:t>
      </w:r>
      <w:r>
        <w:rPr>
          <w:rFonts w:ascii="Times New Roman" w:hAnsi="Times New Roman"/>
          <w:b w:val="0"/>
          <w:bCs w:val="0"/>
          <w:sz w:val="22"/>
          <w:szCs w:val="22"/>
          <w:lang w:val="sk-SK"/>
        </w:rPr>
        <w:t>4</w:t>
      </w:r>
      <w:r w:rsidRPr="00BC17C4">
        <w:rPr>
          <w:rFonts w:ascii="Times New Roman" w:hAnsi="Times New Roman"/>
          <w:b w:val="0"/>
          <w:bCs w:val="0"/>
          <w:sz w:val="22"/>
          <w:szCs w:val="22"/>
          <w:lang w:val="sk-SK"/>
        </w:rPr>
        <w:t xml:space="preserve"> tis. eur v roku 2013.</w:t>
      </w:r>
      <w:r>
        <w:rPr>
          <w:rFonts w:ascii="Times New Roman" w:hAnsi="Times New Roman"/>
          <w:b w:val="0"/>
          <w:bCs w:val="0"/>
          <w:sz w:val="22"/>
          <w:szCs w:val="22"/>
          <w:lang w:val="sk-SK"/>
        </w:rPr>
        <w:br/>
      </w:r>
      <w:r w:rsidRPr="00BC17C4">
        <w:rPr>
          <w:rFonts w:ascii="Times New Roman" w:hAnsi="Times New Roman"/>
          <w:b w:val="0"/>
          <w:bCs w:val="0"/>
          <w:sz w:val="22"/>
          <w:szCs w:val="22"/>
          <w:lang w:val="sk-SK"/>
        </w:rPr>
        <w:t>Na zmene výsledku hospodárenia sa opäť podieľali náklady na rezervy ústrednej správy na zamestnanecké benefity vo výške -4</w:t>
      </w:r>
      <w:r w:rsidR="00B02CFE">
        <w:rPr>
          <w:rFonts w:ascii="Times New Roman" w:hAnsi="Times New Roman"/>
          <w:b w:val="0"/>
          <w:bCs w:val="0"/>
          <w:sz w:val="22"/>
          <w:szCs w:val="22"/>
          <w:lang w:val="sk-SK"/>
        </w:rPr>
        <w:t> 547 837</w:t>
      </w:r>
      <w:r w:rsidRPr="00BC17C4">
        <w:rPr>
          <w:rFonts w:ascii="Times New Roman" w:hAnsi="Times New Roman"/>
          <w:b w:val="0"/>
          <w:bCs w:val="0"/>
          <w:sz w:val="22"/>
          <w:szCs w:val="22"/>
          <w:lang w:val="sk-SK"/>
        </w:rPr>
        <w:t xml:space="preserve"> tis. eur a medziročne záporný výsledok </w:t>
      </w:r>
      <w:r>
        <w:rPr>
          <w:rFonts w:ascii="Times New Roman" w:hAnsi="Times New Roman"/>
          <w:b w:val="0"/>
          <w:bCs w:val="0"/>
          <w:sz w:val="22"/>
          <w:szCs w:val="22"/>
          <w:lang w:val="sk-SK"/>
        </w:rPr>
        <w:t>FNM SR</w:t>
      </w:r>
      <w:r w:rsidRPr="006E028F">
        <w:rPr>
          <w:rFonts w:ascii="Times New Roman" w:hAnsi="Times New Roman"/>
          <w:b w:val="0"/>
          <w:bCs w:val="0"/>
          <w:sz w:val="22"/>
          <w:szCs w:val="22"/>
          <w:lang w:val="sk-SK"/>
        </w:rPr>
        <w:t xml:space="preserve"> vo výške 337 714 tis. eur</w:t>
      </w:r>
      <w:r w:rsidRPr="00BC17C4">
        <w:rPr>
          <w:rFonts w:ascii="Times New Roman" w:hAnsi="Times New Roman"/>
          <w:b w:val="0"/>
          <w:bCs w:val="0"/>
          <w:sz w:val="22"/>
          <w:szCs w:val="22"/>
          <w:lang w:val="sk-SK"/>
        </w:rPr>
        <w:t xml:space="preserve"> najmä z dôvodu nižších výnosov z dividend.</w:t>
      </w:r>
    </w:p>
    <w:p w:rsidR="001D3593" w:rsidRPr="00BC17C4" w:rsidP="001767F0">
      <w:pPr>
        <w:pStyle w:val="Pismenka"/>
        <w:tabs>
          <w:tab w:val="clear" w:pos="426"/>
        </w:tabs>
        <w:bidi w:val="0"/>
        <w:spacing w:before="120" w:after="120" w:line="336" w:lineRule="auto"/>
        <w:ind w:left="0" w:firstLine="0"/>
        <w:rPr>
          <w:rFonts w:ascii="Times New Roman" w:hAnsi="Times New Roman"/>
          <w:bCs w:val="0"/>
          <w:sz w:val="24"/>
          <w:szCs w:val="24"/>
        </w:rPr>
      </w:pPr>
      <w:r w:rsidRPr="00BC17C4">
        <w:rPr>
          <w:rFonts w:ascii="Times New Roman" w:hAnsi="Times New Roman"/>
          <w:bCs w:val="0"/>
          <w:sz w:val="24"/>
          <w:szCs w:val="24"/>
        </w:rPr>
        <w:t xml:space="preserve">Cudzie </w:t>
      </w:r>
      <w:r w:rsidRPr="00BC17C4">
        <w:rPr>
          <w:rFonts w:ascii="Times New Roman" w:hAnsi="Times New Roman"/>
          <w:bCs w:val="0"/>
          <w:sz w:val="22"/>
          <w:szCs w:val="22"/>
        </w:rPr>
        <w:t>zdroje</w:t>
      </w:r>
    </w:p>
    <w:p w:rsidR="001D3593" w:rsidRPr="00BC17C4" w:rsidP="001D3593">
      <w:pPr>
        <w:pStyle w:val="Pismenka"/>
        <w:tabs>
          <w:tab w:val="clear" w:pos="426"/>
        </w:tabs>
        <w:bidi w:val="0"/>
        <w:spacing w:before="120" w:after="120" w:line="336" w:lineRule="auto"/>
        <w:ind w:left="0" w:firstLine="0"/>
        <w:rPr>
          <w:rFonts w:ascii="Times New Roman" w:hAnsi="Times New Roman"/>
          <w:b w:val="0"/>
          <w:bCs w:val="0"/>
          <w:sz w:val="22"/>
          <w:szCs w:val="22"/>
        </w:rPr>
      </w:pPr>
      <w:r w:rsidRPr="00BC17C4">
        <w:rPr>
          <w:rFonts w:ascii="Times New Roman" w:hAnsi="Times New Roman"/>
          <w:b w:val="0"/>
          <w:bCs w:val="0"/>
          <w:sz w:val="22"/>
          <w:szCs w:val="22"/>
        </w:rPr>
        <w:t xml:space="preserve">Cudzie zdroje súhrnného celku sú tvorené </w:t>
      </w:r>
      <w:r w:rsidRPr="00BC17C4">
        <w:rPr>
          <w:rFonts w:ascii="Times New Roman" w:hAnsi="Times New Roman"/>
          <w:b w:val="0"/>
          <w:bCs w:val="0"/>
          <w:sz w:val="22"/>
          <w:szCs w:val="22"/>
          <w:lang w:val="sk-SK"/>
        </w:rPr>
        <w:t xml:space="preserve">záväzkami, bankovými úvermi, </w:t>
      </w:r>
      <w:r w:rsidRPr="00BC17C4">
        <w:rPr>
          <w:rFonts w:ascii="Times New Roman" w:hAnsi="Times New Roman"/>
          <w:b w:val="0"/>
          <w:bCs w:val="0"/>
          <w:sz w:val="22"/>
          <w:szCs w:val="22"/>
        </w:rPr>
        <w:t>rezervami</w:t>
      </w:r>
      <w:r w:rsidRPr="00BC17C4">
        <w:rPr>
          <w:rFonts w:ascii="Times New Roman" w:hAnsi="Times New Roman"/>
          <w:b w:val="0"/>
          <w:bCs w:val="0"/>
          <w:sz w:val="22"/>
          <w:szCs w:val="22"/>
          <w:lang w:val="sk-SK"/>
        </w:rPr>
        <w:t xml:space="preserve"> a</w:t>
      </w:r>
      <w:r w:rsidRPr="00BC17C4">
        <w:rPr>
          <w:rFonts w:ascii="Times New Roman" w:hAnsi="Times New Roman"/>
          <w:b w:val="0"/>
          <w:bCs w:val="0"/>
          <w:sz w:val="22"/>
          <w:szCs w:val="22"/>
        </w:rPr>
        <w:t xml:space="preserve"> zúčtovaním medzi subjektmi verejnej správy. </w:t>
      </w:r>
      <w:r w:rsidRPr="00BC17C4">
        <w:rPr>
          <w:rFonts w:ascii="Times New Roman" w:hAnsi="Times New Roman"/>
          <w:bCs w:val="0"/>
          <w:sz w:val="22"/>
          <w:szCs w:val="22"/>
        </w:rPr>
        <w:t>Podrobné finančné informácie ku každej z týchto položiek sú uvedené v poznámkach súhrnnej účtovnej závierky verejnej správy SR za rok 201</w:t>
      </w:r>
      <w:r w:rsidRPr="00BC17C4">
        <w:rPr>
          <w:rFonts w:ascii="Times New Roman" w:hAnsi="Times New Roman"/>
          <w:bCs w:val="0"/>
          <w:sz w:val="22"/>
          <w:szCs w:val="22"/>
          <w:lang w:val="sk-SK"/>
        </w:rPr>
        <w:t>4</w:t>
      </w:r>
      <w:r w:rsidRPr="00BC17C4">
        <w:rPr>
          <w:rFonts w:ascii="Times New Roman" w:hAnsi="Times New Roman"/>
          <w:bCs w:val="0"/>
          <w:sz w:val="22"/>
          <w:szCs w:val="22"/>
        </w:rPr>
        <w:t xml:space="preserve"> (časť pasíva, položky B.I. až B.IV.).</w:t>
      </w:r>
      <w:r w:rsidRPr="00BC17C4">
        <w:rPr>
          <w:rFonts w:ascii="Times New Roman" w:hAnsi="Times New Roman"/>
          <w:b w:val="0"/>
          <w:bCs w:val="0"/>
          <w:sz w:val="22"/>
          <w:szCs w:val="22"/>
        </w:rPr>
        <w:t xml:space="preserve"> Nižšie uvedený text sa venuje len najvýznamnejším položkám z hľadiska hodnoty alebo ich významu pre krajinu.</w:t>
      </w:r>
    </w:p>
    <w:p w:rsidR="001D3593" w:rsidRPr="00BC17C4" w:rsidP="001D3593">
      <w:pPr>
        <w:pStyle w:val="Pismenka"/>
        <w:tabs>
          <w:tab w:val="clear" w:pos="426"/>
        </w:tabs>
        <w:bidi w:val="0"/>
        <w:spacing w:before="12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Cudzie zdroje súhrnného celku k 31.12.2</w:t>
      </w:r>
      <w:r w:rsidRPr="00BC17C4">
        <w:rPr>
          <w:rFonts w:ascii="Times New Roman" w:hAnsi="Times New Roman"/>
          <w:b w:val="0"/>
          <w:bCs w:val="0"/>
          <w:sz w:val="22"/>
          <w:szCs w:val="22"/>
          <w:lang w:val="sk-SK"/>
        </w:rPr>
        <w:t>014</w:t>
      </w:r>
      <w:r w:rsidRPr="00BC17C4">
        <w:rPr>
          <w:rFonts w:ascii="Times New Roman" w:hAnsi="Times New Roman"/>
          <w:b w:val="0"/>
          <w:bCs w:val="0"/>
          <w:sz w:val="22"/>
          <w:szCs w:val="22"/>
        </w:rPr>
        <w:t xml:space="preserve"> dosiahli </w:t>
      </w:r>
      <w:r>
        <w:rPr>
          <w:rFonts w:ascii="Times New Roman" w:hAnsi="Times New Roman"/>
          <w:b w:val="0"/>
          <w:bCs w:val="0"/>
          <w:sz w:val="22"/>
          <w:szCs w:val="22"/>
          <w:lang w:val="sk-SK"/>
        </w:rPr>
        <w:t>66 179 289</w:t>
      </w:r>
      <w:r w:rsidRPr="00BC17C4">
        <w:rPr>
          <w:rFonts w:ascii="Times New Roman" w:hAnsi="Times New Roman"/>
          <w:b w:val="0"/>
          <w:bCs w:val="0"/>
          <w:sz w:val="22"/>
          <w:szCs w:val="22"/>
          <w:lang w:val="sk-SK"/>
        </w:rPr>
        <w:t xml:space="preserve"> tis. eur a medziročne sú vyššie</w:t>
        <w:br/>
        <w:t>o 16</w:t>
      </w:r>
      <w:r>
        <w:rPr>
          <w:rFonts w:ascii="Times New Roman" w:hAnsi="Times New Roman"/>
          <w:b w:val="0"/>
          <w:bCs w:val="0"/>
          <w:sz w:val="22"/>
          <w:szCs w:val="22"/>
          <w:lang w:val="sk-SK"/>
        </w:rPr>
        <w:t> 447 046</w:t>
      </w:r>
      <w:r w:rsidRPr="00BC17C4">
        <w:rPr>
          <w:rFonts w:ascii="Times New Roman" w:hAnsi="Times New Roman"/>
          <w:b w:val="0"/>
          <w:bCs w:val="0"/>
          <w:sz w:val="22"/>
          <w:szCs w:val="22"/>
          <w:lang w:val="sk-SK"/>
        </w:rPr>
        <w:t xml:space="preserve"> tis. eur.</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Zvýšenie cudzích zdrojov bolo spôsobené najmä rastom záväzkov z dlhodobých rezerv o 15 816 542 tis. eur, zvýšením dlhodobých záväzkov o 613 638 tis. eur</w:t>
      </w:r>
      <w:r>
        <w:rPr>
          <w:rFonts w:ascii="Times New Roman" w:hAnsi="Times New Roman"/>
          <w:b w:val="0"/>
          <w:bCs w:val="0"/>
          <w:sz w:val="22"/>
          <w:szCs w:val="22"/>
          <w:lang w:val="sk-SK"/>
        </w:rPr>
        <w:t xml:space="preserve"> a zúčtovacích vzťahov o 91 338 tis. eur. Naopak, k poklesu došlo pri</w:t>
      </w:r>
      <w:r w:rsidRPr="00BC17C4">
        <w:rPr>
          <w:rFonts w:ascii="Times New Roman" w:hAnsi="Times New Roman"/>
          <w:b w:val="0"/>
          <w:bCs w:val="0"/>
          <w:sz w:val="22"/>
          <w:szCs w:val="22"/>
          <w:lang w:val="sk-SK"/>
        </w:rPr>
        <w:t xml:space="preserve"> krátkodobých záväzko</w:t>
      </w:r>
      <w:r>
        <w:rPr>
          <w:rFonts w:ascii="Times New Roman" w:hAnsi="Times New Roman"/>
          <w:b w:val="0"/>
          <w:bCs w:val="0"/>
          <w:sz w:val="22"/>
          <w:szCs w:val="22"/>
          <w:lang w:val="sk-SK"/>
        </w:rPr>
        <w:t>ch</w:t>
      </w:r>
      <w:r w:rsidRPr="00BC17C4">
        <w:rPr>
          <w:rFonts w:ascii="Times New Roman" w:hAnsi="Times New Roman"/>
          <w:b w:val="0"/>
          <w:bCs w:val="0"/>
          <w:sz w:val="22"/>
          <w:szCs w:val="22"/>
          <w:lang w:val="sk-SK"/>
        </w:rPr>
        <w:t xml:space="preserve"> o</w:t>
      </w:r>
      <w:r>
        <w:rPr>
          <w:rFonts w:ascii="Times New Roman" w:hAnsi="Times New Roman"/>
          <w:b w:val="0"/>
          <w:bCs w:val="0"/>
          <w:sz w:val="22"/>
          <w:szCs w:val="22"/>
          <w:lang w:val="sk-SK"/>
        </w:rPr>
        <w:t> 63 922</w:t>
      </w:r>
      <w:r w:rsidRPr="00BC17C4">
        <w:rPr>
          <w:rFonts w:ascii="Times New Roman" w:hAnsi="Times New Roman"/>
          <w:b w:val="0"/>
          <w:bCs w:val="0"/>
          <w:sz w:val="22"/>
          <w:szCs w:val="22"/>
          <w:lang w:val="sk-SK"/>
        </w:rPr>
        <w:t xml:space="preserve"> tis. eur</w:t>
      </w:r>
      <w:r>
        <w:rPr>
          <w:rFonts w:ascii="Times New Roman" w:hAnsi="Times New Roman"/>
          <w:b w:val="0"/>
          <w:bCs w:val="0"/>
          <w:sz w:val="22"/>
          <w:szCs w:val="22"/>
          <w:lang w:val="sk-SK"/>
        </w:rPr>
        <w:t xml:space="preserve"> a bankových úveroch o 10 550 tis. eur.</w:t>
      </w:r>
      <w:r w:rsidRPr="00BC17C4">
        <w:rPr>
          <w:rFonts w:ascii="Times New Roman" w:hAnsi="Times New Roman"/>
          <w:b w:val="0"/>
          <w:bCs w:val="0"/>
          <w:sz w:val="22"/>
          <w:szCs w:val="22"/>
          <w:lang w:val="sk-SK"/>
        </w:rPr>
        <w:t xml:space="preserve"> </w:t>
      </w:r>
    </w:p>
    <w:p w:rsidR="001D3593" w:rsidRPr="00BC17C4" w:rsidP="001D3593">
      <w:pPr>
        <w:pStyle w:val="Pismenka"/>
        <w:tabs>
          <w:tab w:val="clear" w:pos="426"/>
        </w:tabs>
        <w:bidi w:val="0"/>
        <w:spacing w:before="18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Najvyšší podiel na cudzích zdrojoch vykazuje ústredná správa</w:t>
      </w:r>
      <w:r>
        <w:rPr>
          <w:rFonts w:ascii="Times New Roman" w:hAnsi="Times New Roman"/>
          <w:b w:val="0"/>
          <w:bCs w:val="0"/>
          <w:sz w:val="22"/>
          <w:szCs w:val="22"/>
          <w:lang w:val="sk-SK"/>
        </w:rPr>
        <w:t>,</w:t>
      </w:r>
      <w:r w:rsidRPr="00BC17C4">
        <w:rPr>
          <w:rFonts w:ascii="Times New Roman" w:hAnsi="Times New Roman"/>
          <w:b w:val="0"/>
          <w:bCs w:val="0"/>
          <w:sz w:val="22"/>
          <w:szCs w:val="22"/>
          <w:lang w:val="sk-SK"/>
        </w:rPr>
        <w:t xml:space="preserve"> a to z dôvodu záväzkov tvoriacich štátny dlh, ktorý je v správe Ministerstva financií SR. Záväzky z dlhových štátnych cenných papierov tvoria 54,2 % celkových cudzích zdrojov súhrnného celku a medziročne ich podiel klesol o 16 % z dôvodu významného nárastu záväzkov z rezerv. </w:t>
      </w:r>
    </w:p>
    <w:p w:rsidR="001D3593" w:rsidRPr="00BC17C4" w:rsidP="001D3593">
      <w:pPr>
        <w:pStyle w:val="Pismenka"/>
        <w:tabs>
          <w:tab w:val="clear" w:pos="426"/>
        </w:tabs>
        <w:bidi w:val="0"/>
        <w:spacing w:before="200" w:after="120" w:line="336" w:lineRule="auto"/>
        <w:ind w:left="0" w:firstLine="0"/>
        <w:rPr>
          <w:rFonts w:ascii="Times New Roman" w:hAnsi="Times New Roman"/>
          <w:b w:val="0"/>
          <w:bCs w:val="0"/>
          <w:i/>
          <w:sz w:val="22"/>
          <w:szCs w:val="22"/>
          <w:u w:val="single"/>
        </w:rPr>
      </w:pPr>
      <w:r w:rsidRPr="00BC17C4">
        <w:rPr>
          <w:rFonts w:ascii="Times New Roman" w:hAnsi="Times New Roman"/>
          <w:b w:val="0"/>
          <w:bCs w:val="0"/>
          <w:i/>
          <w:sz w:val="22"/>
          <w:szCs w:val="22"/>
          <w:u w:val="single"/>
        </w:rPr>
        <w:t>Záväzky</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Záväzky dosiahli k 31.12.201</w:t>
      </w:r>
      <w:r w:rsidRPr="00BC17C4">
        <w:rPr>
          <w:rFonts w:ascii="Times New Roman" w:hAnsi="Times New Roman"/>
          <w:b w:val="0"/>
          <w:bCs w:val="0"/>
          <w:sz w:val="22"/>
          <w:szCs w:val="22"/>
          <w:lang w:val="sk-SK"/>
        </w:rPr>
        <w:t>4</w:t>
      </w:r>
      <w:r w:rsidRPr="00BC17C4">
        <w:rPr>
          <w:rFonts w:ascii="Times New Roman" w:hAnsi="Times New Roman"/>
          <w:b w:val="0"/>
          <w:bCs w:val="0"/>
          <w:sz w:val="22"/>
          <w:szCs w:val="22"/>
        </w:rPr>
        <w:t xml:space="preserve"> hodnotu</w:t>
      </w:r>
      <w:r w:rsidRPr="00BC17C4">
        <w:rPr>
          <w:rFonts w:ascii="Times New Roman" w:hAnsi="Times New Roman"/>
          <w:b w:val="0"/>
          <w:bCs w:val="0"/>
          <w:sz w:val="22"/>
          <w:szCs w:val="22"/>
          <w:lang w:val="sk-SK"/>
        </w:rPr>
        <w:t xml:space="preserve"> 38</w:t>
      </w:r>
      <w:r>
        <w:rPr>
          <w:rFonts w:ascii="Times New Roman" w:hAnsi="Times New Roman"/>
          <w:b w:val="0"/>
          <w:bCs w:val="0"/>
          <w:sz w:val="22"/>
          <w:szCs w:val="22"/>
          <w:lang w:val="sk-SK"/>
        </w:rPr>
        <w:t> 136 467</w:t>
      </w:r>
      <w:r w:rsidRPr="00BC17C4">
        <w:rPr>
          <w:rFonts w:ascii="Times New Roman" w:hAnsi="Times New Roman"/>
          <w:b w:val="0"/>
          <w:bCs w:val="0"/>
          <w:sz w:val="22"/>
          <w:szCs w:val="22"/>
          <w:lang w:val="sk-SK"/>
        </w:rPr>
        <w:t xml:space="preserve"> tis. eur,</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čo je o</w:t>
      </w:r>
      <w:r>
        <w:rPr>
          <w:rFonts w:ascii="Times New Roman" w:hAnsi="Times New Roman"/>
          <w:b w:val="0"/>
          <w:bCs w:val="0"/>
          <w:sz w:val="22"/>
          <w:szCs w:val="22"/>
          <w:lang w:val="sk-SK"/>
        </w:rPr>
        <w:t> 549 716</w:t>
      </w:r>
      <w:r w:rsidRPr="00BC17C4">
        <w:rPr>
          <w:rFonts w:ascii="Times New Roman" w:hAnsi="Times New Roman"/>
          <w:b w:val="0"/>
          <w:bCs w:val="0"/>
          <w:sz w:val="22"/>
          <w:szCs w:val="22"/>
          <w:lang w:val="sk-SK"/>
        </w:rPr>
        <w:t xml:space="preserve"> tis. eur viac ako v roku 2013. V rámci záväzkov sa vykazujú záväzky voči dodávateľom, zamestnancom, zo zdravotného a sociálneho poistenia</w:t>
      </w:r>
      <w:r>
        <w:rPr>
          <w:rFonts w:ascii="Times New Roman" w:hAnsi="Times New Roman"/>
          <w:b w:val="0"/>
          <w:bCs w:val="0"/>
          <w:sz w:val="22"/>
          <w:szCs w:val="22"/>
          <w:lang w:val="sk-SK"/>
        </w:rPr>
        <w:t>,</w:t>
      </w:r>
      <w:r w:rsidRPr="00BC17C4">
        <w:rPr>
          <w:rFonts w:ascii="Times New Roman" w:hAnsi="Times New Roman"/>
          <w:b w:val="0"/>
          <w:bCs w:val="0"/>
          <w:sz w:val="22"/>
          <w:szCs w:val="22"/>
          <w:lang w:val="sk-SK"/>
        </w:rPr>
        <w:t xml:space="preserve"> ktoré nebol</w:t>
      </w:r>
      <w:r>
        <w:rPr>
          <w:rFonts w:ascii="Times New Roman" w:hAnsi="Times New Roman"/>
          <w:b w:val="0"/>
          <w:bCs w:val="0"/>
          <w:sz w:val="22"/>
          <w:szCs w:val="22"/>
          <w:lang w:val="sk-SK"/>
        </w:rPr>
        <w:t>i</w:t>
      </w:r>
      <w:r w:rsidRPr="00BC17C4">
        <w:rPr>
          <w:rFonts w:ascii="Times New Roman" w:hAnsi="Times New Roman"/>
          <w:b w:val="0"/>
          <w:bCs w:val="0"/>
          <w:sz w:val="22"/>
          <w:szCs w:val="22"/>
          <w:lang w:val="sk-SK"/>
        </w:rPr>
        <w:t xml:space="preserve"> predmetom konsolidácie, záväzky z termínových operácií, záväzky z upísaných a nesplatených vkladov štátu v medzinárodných finančných inštitúciách a ďalšie. </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 xml:space="preserve">Do hodnoty záväzkov vstupujú aj </w:t>
      </w:r>
      <w:r w:rsidRPr="00BC17C4">
        <w:rPr>
          <w:rFonts w:ascii="Times New Roman" w:hAnsi="Times New Roman"/>
          <w:b w:val="0"/>
          <w:bCs w:val="0"/>
          <w:sz w:val="22"/>
          <w:szCs w:val="22"/>
          <w:u w:val="single"/>
        </w:rPr>
        <w:t>záväzky štátu z vydaných štátnych cenných papierov</w:t>
      </w:r>
      <w:r w:rsidRPr="00BC17C4">
        <w:rPr>
          <w:rFonts w:ascii="Times New Roman" w:hAnsi="Times New Roman"/>
          <w:b w:val="0"/>
          <w:bCs w:val="0"/>
          <w:sz w:val="22"/>
          <w:szCs w:val="22"/>
          <w:lang w:val="sk-SK"/>
        </w:rPr>
        <w:t>, ktoré v zmysle platnej legislatívy</w:t>
      </w:r>
      <w:r>
        <w:rPr>
          <w:rStyle w:val="FootnoteReference"/>
          <w:rFonts w:ascii="Times New Roman" w:hAnsi="Times New Roman"/>
          <w:b w:val="0"/>
          <w:bCs w:val="0"/>
          <w:sz w:val="22"/>
          <w:szCs w:val="22"/>
          <w:rtl w:val="0"/>
          <w:lang w:val="sk-SK"/>
        </w:rPr>
        <w:footnoteReference w:id="17"/>
      </w:r>
      <w:r w:rsidRPr="00BC17C4">
        <w:rPr>
          <w:rFonts w:ascii="Times New Roman" w:hAnsi="Times New Roman"/>
          <w:b w:val="0"/>
          <w:bCs w:val="0"/>
          <w:sz w:val="22"/>
          <w:szCs w:val="22"/>
        </w:rPr>
        <w:t xml:space="preserve"> emit</w:t>
      </w:r>
      <w:r w:rsidRPr="00BC17C4">
        <w:rPr>
          <w:rFonts w:ascii="Times New Roman" w:hAnsi="Times New Roman"/>
          <w:b w:val="0"/>
          <w:bCs w:val="0"/>
          <w:sz w:val="22"/>
          <w:szCs w:val="22"/>
          <w:lang w:val="sk-SK"/>
        </w:rPr>
        <w:t>uje</w:t>
      </w:r>
      <w:r w:rsidRPr="00BC17C4">
        <w:rPr>
          <w:rFonts w:ascii="Times New Roman" w:hAnsi="Times New Roman"/>
          <w:b w:val="0"/>
          <w:bCs w:val="0"/>
          <w:sz w:val="22"/>
          <w:szCs w:val="22"/>
        </w:rPr>
        <w:t xml:space="preserve"> Agentúr</w:t>
      </w:r>
      <w:r w:rsidRPr="00BC17C4">
        <w:rPr>
          <w:rFonts w:ascii="Times New Roman" w:hAnsi="Times New Roman"/>
          <w:b w:val="0"/>
          <w:bCs w:val="0"/>
          <w:sz w:val="22"/>
          <w:szCs w:val="22"/>
          <w:lang w:val="sk-SK"/>
        </w:rPr>
        <w:t>a</w:t>
      </w:r>
      <w:r w:rsidRPr="00BC17C4">
        <w:rPr>
          <w:rFonts w:ascii="Times New Roman" w:hAnsi="Times New Roman"/>
          <w:b w:val="0"/>
          <w:bCs w:val="0"/>
          <w:sz w:val="22"/>
          <w:szCs w:val="22"/>
        </w:rPr>
        <w:t xml:space="preserve"> pre riadenie dlhu a likvidity v mene a na účet Ministerstva financií SR. Hodnota </w:t>
      </w:r>
      <w:r w:rsidRPr="00BC17C4">
        <w:rPr>
          <w:rFonts w:ascii="Times New Roman" w:hAnsi="Times New Roman"/>
          <w:b w:val="0"/>
          <w:bCs w:val="0"/>
          <w:sz w:val="22"/>
          <w:szCs w:val="22"/>
          <w:lang w:val="sk-SK"/>
        </w:rPr>
        <w:t xml:space="preserve">štátnych </w:t>
      </w:r>
      <w:r w:rsidRPr="00BC17C4">
        <w:rPr>
          <w:rFonts w:ascii="Times New Roman" w:hAnsi="Times New Roman"/>
          <w:b w:val="0"/>
          <w:bCs w:val="0"/>
          <w:sz w:val="22"/>
          <w:szCs w:val="22"/>
        </w:rPr>
        <w:t xml:space="preserve">dlhopisov po konsolidácii </w:t>
      </w:r>
      <w:r w:rsidRPr="00BC17C4">
        <w:rPr>
          <w:rFonts w:ascii="Times New Roman" w:hAnsi="Times New Roman"/>
          <w:b w:val="0"/>
          <w:bCs w:val="0"/>
          <w:sz w:val="22"/>
          <w:szCs w:val="22"/>
          <w:lang w:val="sk-SK"/>
        </w:rPr>
        <w:t>vrátane záväzkov z úrokov bola</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35 881 604 tis. eur (z toho so splatnosťou do jedného roka 3 257 182 tis. eur, vykazované v časti bankových úverov a výpomocí). Medziročne sa celkové záväzky z dlhopisov zvýšili o 973 858 tis. eur.</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u w:val="single"/>
          <w:lang w:val="sk-SK"/>
        </w:rPr>
        <w:t>Krátkodobé záväzky voči dodávateľom</w:t>
      </w:r>
      <w:r w:rsidRPr="00BC17C4">
        <w:rPr>
          <w:rFonts w:ascii="Times New Roman" w:hAnsi="Times New Roman"/>
          <w:b w:val="0"/>
          <w:bCs w:val="0"/>
          <w:sz w:val="22"/>
          <w:szCs w:val="22"/>
          <w:lang w:val="sk-SK"/>
        </w:rPr>
        <w:t xml:space="preserve"> dosiahli hodnotu 1 526 308 tis. eur, z toho ústredná správa vykázala 1 066 79</w:t>
      </w:r>
      <w:r>
        <w:rPr>
          <w:rFonts w:ascii="Times New Roman" w:hAnsi="Times New Roman"/>
          <w:b w:val="0"/>
          <w:bCs w:val="0"/>
          <w:sz w:val="22"/>
          <w:szCs w:val="22"/>
          <w:lang w:val="sk-SK"/>
        </w:rPr>
        <w:t>2</w:t>
      </w:r>
      <w:r w:rsidRPr="00BC17C4">
        <w:rPr>
          <w:rFonts w:ascii="Times New Roman" w:hAnsi="Times New Roman"/>
          <w:b w:val="0"/>
          <w:bCs w:val="0"/>
          <w:sz w:val="22"/>
          <w:szCs w:val="22"/>
          <w:lang w:val="sk-SK"/>
        </w:rPr>
        <w:t xml:space="preserve"> tis. eur. Ide najmä o záväzky obchodných spoločností z dodávateľsko-odberateľských vzťahov. Obchodné spoločnosti ústrednej správy vykázali tieto záväzky spolu v hodnote 599 750 tis. eur.</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u w:val="single"/>
          <w:lang w:val="sk-SK"/>
        </w:rPr>
        <w:t>Záväzky z upísaných a nesplatených cenných papierov</w:t>
      </w:r>
      <w:r w:rsidRPr="00BC17C4">
        <w:rPr>
          <w:rFonts w:ascii="Times New Roman" w:hAnsi="Times New Roman"/>
          <w:b w:val="0"/>
          <w:bCs w:val="0"/>
          <w:sz w:val="22"/>
          <w:szCs w:val="22"/>
          <w:lang w:val="sk-SK"/>
        </w:rPr>
        <w:t>, ktoré vykazuje Ministerstvo financií SR dosiahli hodnotu 966 479 tis. eur, ide pritom o upísané podiely v medzinárodných finančných inštitúciách, ktorých postupné splatenie sa očakáva v budúcich účtovných obdobiach. Ako protipoložka k týmto záväzkom je položka aktív vo forme obstarania dlhodobého finančného majetku.</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sz w:val="22"/>
          <w:szCs w:val="22"/>
          <w:u w:val="single"/>
        </w:rPr>
        <w:t>Bankové úvery a</w:t>
      </w:r>
      <w:r w:rsidRPr="00BC17C4">
        <w:rPr>
          <w:rFonts w:ascii="Times New Roman" w:hAnsi="Times New Roman"/>
          <w:b w:val="0"/>
          <w:bCs w:val="0"/>
          <w:sz w:val="22"/>
          <w:szCs w:val="22"/>
          <w:u w:val="single"/>
        </w:rPr>
        <w:t> </w:t>
      </w:r>
      <w:r w:rsidRPr="00BC17C4">
        <w:rPr>
          <w:rFonts w:ascii="Times New Roman" w:hAnsi="Times New Roman"/>
          <w:b w:val="0"/>
          <w:sz w:val="22"/>
          <w:szCs w:val="22"/>
          <w:u w:val="single"/>
        </w:rPr>
        <w:t>výpomoci</w:t>
      </w:r>
      <w:r w:rsidRPr="00BC17C4">
        <w:rPr>
          <w:rFonts w:ascii="Times New Roman" w:hAnsi="Times New Roman"/>
          <w:b w:val="0"/>
          <w:bCs w:val="0"/>
          <w:sz w:val="22"/>
          <w:szCs w:val="22"/>
        </w:rPr>
        <w:t xml:space="preserve"> </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sz w:val="22"/>
          <w:szCs w:val="22"/>
        </w:rPr>
        <w:t>Bankové úvery a</w:t>
      </w:r>
      <w:r w:rsidRPr="00BC17C4">
        <w:rPr>
          <w:rFonts w:ascii="Times New Roman" w:hAnsi="Times New Roman"/>
          <w:b w:val="0"/>
          <w:bCs w:val="0"/>
          <w:sz w:val="22"/>
          <w:szCs w:val="22"/>
        </w:rPr>
        <w:t> </w:t>
      </w:r>
      <w:r w:rsidRPr="00BC17C4">
        <w:rPr>
          <w:rFonts w:ascii="Times New Roman" w:hAnsi="Times New Roman"/>
          <w:b w:val="0"/>
          <w:sz w:val="22"/>
          <w:szCs w:val="22"/>
        </w:rPr>
        <w:t>výpomoci</w:t>
      </w:r>
      <w:r w:rsidRPr="00BC17C4">
        <w:rPr>
          <w:rFonts w:ascii="Times New Roman" w:hAnsi="Times New Roman"/>
          <w:b w:val="0"/>
          <w:bCs w:val="0"/>
          <w:sz w:val="22"/>
          <w:szCs w:val="22"/>
        </w:rPr>
        <w:t xml:space="preserve"> </w:t>
      </w:r>
      <w:r w:rsidRPr="00BC17C4">
        <w:rPr>
          <w:rFonts w:ascii="Times New Roman" w:hAnsi="Times New Roman"/>
          <w:b w:val="0"/>
          <w:sz w:val="22"/>
          <w:szCs w:val="22"/>
        </w:rPr>
        <w:t xml:space="preserve">dosiahli </w:t>
      </w:r>
      <w:r>
        <w:rPr>
          <w:rFonts w:ascii="Times New Roman" w:hAnsi="Times New Roman"/>
          <w:b w:val="0"/>
          <w:sz w:val="22"/>
          <w:szCs w:val="22"/>
          <w:lang w:val="sk-SK"/>
        </w:rPr>
        <w:t xml:space="preserve">spolu </w:t>
      </w:r>
      <w:r w:rsidRPr="00BC17C4">
        <w:rPr>
          <w:rFonts w:ascii="Times New Roman" w:hAnsi="Times New Roman"/>
          <w:b w:val="0"/>
          <w:sz w:val="22"/>
          <w:szCs w:val="22"/>
        </w:rPr>
        <w:t xml:space="preserve">hodnotu </w:t>
      </w:r>
      <w:r w:rsidRPr="00BC17C4">
        <w:rPr>
          <w:rFonts w:ascii="Times New Roman" w:hAnsi="Times New Roman"/>
          <w:b w:val="0"/>
          <w:sz w:val="22"/>
          <w:szCs w:val="22"/>
          <w:lang w:val="sk-SK"/>
        </w:rPr>
        <w:t>7 363 779 tis. eur,</w:t>
      </w:r>
      <w:r w:rsidRPr="00BC17C4">
        <w:rPr>
          <w:rFonts w:ascii="Times New Roman" w:hAnsi="Times New Roman"/>
          <w:b w:val="0"/>
          <w:sz w:val="22"/>
          <w:szCs w:val="22"/>
        </w:rPr>
        <w:t xml:space="preserve"> z toho </w:t>
      </w:r>
      <w:r w:rsidRPr="00BC17C4">
        <w:rPr>
          <w:rFonts w:ascii="Times New Roman" w:hAnsi="Times New Roman"/>
          <w:b w:val="0"/>
          <w:sz w:val="22"/>
          <w:szCs w:val="22"/>
          <w:lang w:val="sk-SK"/>
        </w:rPr>
        <w:t>4 089 982</w:t>
      </w:r>
      <w:r w:rsidRPr="00BC17C4">
        <w:rPr>
          <w:rFonts w:ascii="Times New Roman" w:hAnsi="Times New Roman"/>
          <w:b w:val="0"/>
          <w:sz w:val="22"/>
          <w:szCs w:val="22"/>
        </w:rPr>
        <w:t xml:space="preserve"> tis. eur boli </w:t>
      </w:r>
      <w:r w:rsidRPr="00BC17C4">
        <w:rPr>
          <w:rFonts w:ascii="Times New Roman" w:hAnsi="Times New Roman"/>
          <w:b w:val="0"/>
          <w:sz w:val="22"/>
          <w:szCs w:val="22"/>
          <w:lang w:val="sk-SK"/>
        </w:rPr>
        <w:t>úvery, 3 272 597 tis. eur dlhopisy a 1 200 tis. eur prijaté výpomoci</w:t>
      </w:r>
      <w:r w:rsidRPr="00BC17C4">
        <w:rPr>
          <w:rFonts w:ascii="Times New Roman" w:hAnsi="Times New Roman"/>
          <w:b w:val="0"/>
          <w:sz w:val="22"/>
          <w:szCs w:val="22"/>
        </w:rPr>
        <w:t>.</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 xml:space="preserve">Medziročne sa hodnota štátnych </w:t>
      </w:r>
      <w:r w:rsidRPr="00BC17C4">
        <w:rPr>
          <w:rFonts w:ascii="Times New Roman" w:hAnsi="Times New Roman"/>
          <w:b w:val="0"/>
          <w:sz w:val="22"/>
          <w:szCs w:val="22"/>
          <w:lang w:val="sk-SK"/>
        </w:rPr>
        <w:t xml:space="preserve">krátkodobých dlhopisov </w:t>
      </w:r>
      <w:r w:rsidRPr="00BC17C4">
        <w:rPr>
          <w:rFonts w:ascii="Times New Roman" w:hAnsi="Times New Roman"/>
          <w:b w:val="0"/>
          <w:bCs w:val="0"/>
          <w:sz w:val="22"/>
          <w:szCs w:val="22"/>
          <w:lang w:val="sk-SK"/>
        </w:rPr>
        <w:t xml:space="preserve">znížila o 348 552 tis. eur. V rámci krátkodobých dlhopisov vykazuje hodnotu 15 415 </w:t>
      </w:r>
      <w:r>
        <w:rPr>
          <w:rFonts w:ascii="Times New Roman" w:hAnsi="Times New Roman"/>
          <w:b w:val="0"/>
          <w:bCs w:val="0"/>
          <w:sz w:val="22"/>
          <w:szCs w:val="22"/>
          <w:lang w:val="sk-SK"/>
        </w:rPr>
        <w:t xml:space="preserve">tis. eur </w:t>
      </w:r>
      <w:r w:rsidRPr="00BC17C4">
        <w:rPr>
          <w:rFonts w:ascii="Times New Roman" w:hAnsi="Times New Roman"/>
          <w:b w:val="0"/>
          <w:bCs w:val="0"/>
          <w:sz w:val="22"/>
          <w:szCs w:val="22"/>
          <w:lang w:val="sk-SK"/>
        </w:rPr>
        <w:t xml:space="preserve">aj </w:t>
      </w:r>
      <w:r>
        <w:rPr>
          <w:rFonts w:ascii="Times New Roman" w:hAnsi="Times New Roman"/>
          <w:b w:val="0"/>
          <w:bCs w:val="0"/>
          <w:sz w:val="22"/>
          <w:szCs w:val="22"/>
          <w:lang w:val="sk-SK"/>
        </w:rPr>
        <w:t>FNM SR</w:t>
      </w:r>
      <w:r w:rsidRPr="00BC17C4">
        <w:rPr>
          <w:rFonts w:ascii="Times New Roman" w:hAnsi="Times New Roman"/>
          <w:b w:val="0"/>
          <w:bCs w:val="0"/>
          <w:sz w:val="22"/>
          <w:szCs w:val="22"/>
          <w:lang w:val="sk-SK"/>
        </w:rPr>
        <w:t>. Celkovo sa bankové úvery medziročne zvýšili o</w:t>
      </w:r>
      <w:r>
        <w:rPr>
          <w:rFonts w:ascii="Times New Roman" w:hAnsi="Times New Roman"/>
          <w:b w:val="0"/>
          <w:bCs w:val="0"/>
          <w:sz w:val="22"/>
          <w:szCs w:val="22"/>
          <w:lang w:val="sk-SK"/>
        </w:rPr>
        <w:t xml:space="preserve"> </w:t>
      </w:r>
      <w:r w:rsidRPr="00BC17C4">
        <w:rPr>
          <w:rFonts w:ascii="Times New Roman" w:hAnsi="Times New Roman"/>
          <w:b w:val="0"/>
          <w:bCs w:val="0"/>
          <w:sz w:val="22"/>
          <w:szCs w:val="22"/>
          <w:lang w:val="sk-SK"/>
        </w:rPr>
        <w:t>342 426 tis. eur.</w:t>
      </w:r>
    </w:p>
    <w:tbl>
      <w:tblPr>
        <w:tblStyle w:val="TableNormal"/>
        <w:tblW w:w="5000" w:type="pct"/>
        <w:tblInd w:w="70" w:type="dxa"/>
        <w:tblLayout w:type="fixed"/>
        <w:tblCellMar>
          <w:left w:w="70" w:type="dxa"/>
          <w:right w:w="70" w:type="dxa"/>
        </w:tblCellMar>
        <w:tblLook w:val="04A0"/>
      </w:tblPr>
      <w:tblGrid>
        <w:gridCol w:w="6519"/>
        <w:gridCol w:w="1417"/>
        <w:gridCol w:w="284"/>
        <w:gridCol w:w="991"/>
      </w:tblGrid>
      <w:tr>
        <w:tblPrEx>
          <w:tblW w:w="5000" w:type="pct"/>
          <w:tblInd w:w="70" w:type="dxa"/>
          <w:tblLayout w:type="fixed"/>
          <w:tblCellMar>
            <w:left w:w="70" w:type="dxa"/>
            <w:right w:w="70" w:type="dxa"/>
          </w:tblCellMar>
          <w:tblLook w:val="04A0"/>
        </w:tblPrEx>
        <w:trPr>
          <w:trHeight w:val="330"/>
        </w:trPr>
        <w:tc>
          <w:tcPr>
            <w:tcW w:w="5000" w:type="pct"/>
            <w:gridSpan w:val="4"/>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rPr>
                <w:rFonts w:ascii="Times New Roman" w:hAnsi="Times New Roman"/>
                <w:b/>
                <w:bCs/>
                <w:color w:val="FFFFFF"/>
                <w:sz w:val="20"/>
                <w:szCs w:val="20"/>
                <w:lang w:eastAsia="sk-SK"/>
              </w:rPr>
            </w:pPr>
            <w:r w:rsidRPr="00BC17C4">
              <w:rPr>
                <w:b/>
                <w:bCs/>
                <w:szCs w:val="22"/>
              </w:rPr>
              <w:br w:type="page"/>
            </w:r>
            <w:r>
              <w:rPr>
                <w:rFonts w:ascii="Times New Roman" w:hAnsi="Times New Roman"/>
                <w:b/>
                <w:bCs/>
                <w:color w:val="FFFFFF"/>
                <w:sz w:val="20"/>
                <w:szCs w:val="20"/>
                <w:lang w:eastAsia="sk-SK"/>
              </w:rPr>
              <w:t>Hodnota úverov podľa</w:t>
            </w:r>
            <w:r w:rsidRPr="00BC17C4">
              <w:rPr>
                <w:rFonts w:ascii="Times New Roman" w:hAnsi="Times New Roman"/>
                <w:b/>
                <w:bCs/>
                <w:color w:val="FFFFFF"/>
                <w:sz w:val="20"/>
                <w:szCs w:val="20"/>
                <w:lang w:eastAsia="sk-SK"/>
              </w:rPr>
              <w:t xml:space="preserve"> jednotlivých skupín subjektov súhrnného celku (v tis. eur) </w:t>
            </w:r>
          </w:p>
        </w:tc>
      </w:tr>
      <w:tr>
        <w:tblPrEx>
          <w:tblW w:w="5000" w:type="pct"/>
          <w:tblInd w:w="70" w:type="dxa"/>
          <w:tblLayout w:type="fixed"/>
          <w:tblCellMar>
            <w:left w:w="70" w:type="dxa"/>
            <w:right w:w="70" w:type="dxa"/>
          </w:tblCellMar>
          <w:tblLook w:val="04A0"/>
        </w:tblPrEx>
        <w:trPr>
          <w:trHeight w:val="330"/>
        </w:trPr>
        <w:tc>
          <w:tcPr>
            <w:tcW w:w="3539"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p>
        </w:tc>
        <w:tc>
          <w:tcPr>
            <w:tcW w:w="923" w:type="pct"/>
            <w:gridSpan w:val="2"/>
            <w:tcBorders>
              <w:top w:val="nil"/>
              <w:left w:val="nil"/>
              <w:bottom w:val="single" w:sz="4" w:space="0" w:color="auto"/>
              <w:right w:val="nil"/>
            </w:tcBorders>
            <w:noWrap/>
            <w:textDirection w:val="lrTb"/>
            <w:vAlign w:val="bottom"/>
          </w:tcPr>
          <w:p w:rsidR="001D3593" w:rsidRPr="00BC17C4" w:rsidP="004B7DC7">
            <w:pPr>
              <w:bidi w:val="0"/>
              <w:spacing w:after="0" w:line="240" w:lineRule="auto"/>
              <w:ind w:left="354"/>
              <w:jc w:val="center"/>
              <w:rPr>
                <w:rFonts w:ascii="Times New Roman" w:hAnsi="Times New Roman"/>
                <w:b/>
                <w:bCs/>
                <w:sz w:val="20"/>
                <w:szCs w:val="20"/>
                <w:lang w:eastAsia="sk-SK"/>
              </w:rPr>
            </w:pPr>
            <w:r w:rsidRPr="00BC17C4">
              <w:rPr>
                <w:rFonts w:ascii="Times New Roman" w:hAnsi="Times New Roman"/>
                <w:b/>
                <w:bCs/>
                <w:sz w:val="20"/>
                <w:szCs w:val="20"/>
                <w:lang w:eastAsia="sk-SK"/>
              </w:rPr>
              <w:t>2014</w:t>
            </w:r>
          </w:p>
        </w:tc>
        <w:tc>
          <w:tcPr>
            <w:tcW w:w="538"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2013</w:t>
            </w:r>
          </w:p>
        </w:tc>
      </w:tr>
      <w:tr>
        <w:tblPrEx>
          <w:tblW w:w="5000" w:type="pct"/>
          <w:tblInd w:w="70" w:type="dxa"/>
          <w:tblLayout w:type="fixed"/>
          <w:tblCellMar>
            <w:left w:w="70" w:type="dxa"/>
            <w:right w:w="70" w:type="dxa"/>
          </w:tblCellMar>
          <w:tblLook w:val="04A0"/>
        </w:tblPrEx>
        <w:trPr>
          <w:trHeight w:val="330"/>
        </w:trPr>
        <w:tc>
          <w:tcPr>
            <w:tcW w:w="3539" w:type="pct"/>
            <w:tcBorders>
              <w:top w:val="nil"/>
              <w:left w:val="nil"/>
              <w:bottom w:val="nil"/>
              <w:right w:val="nil"/>
            </w:tcBorders>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Ústredná štátna správa</w:t>
            </w:r>
          </w:p>
        </w:tc>
        <w:tc>
          <w:tcPr>
            <w:tcW w:w="769"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2 572 979</w:t>
            </w:r>
          </w:p>
        </w:tc>
        <w:tc>
          <w:tcPr>
            <w:tcW w:w="692"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2 497 098</w:t>
            </w:r>
          </w:p>
        </w:tc>
      </w:tr>
      <w:tr>
        <w:tblPrEx>
          <w:tblW w:w="5000" w:type="pct"/>
          <w:tblInd w:w="70" w:type="dxa"/>
          <w:tblLayout w:type="fixed"/>
          <w:tblCellMar>
            <w:left w:w="70" w:type="dxa"/>
            <w:right w:w="70" w:type="dxa"/>
          </w:tblCellMar>
          <w:tblLook w:val="04A0"/>
        </w:tblPrEx>
        <w:trPr>
          <w:trHeight w:val="393"/>
        </w:trPr>
        <w:tc>
          <w:tcPr>
            <w:tcW w:w="3539"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Územná samospráva</w:t>
            </w:r>
          </w:p>
        </w:tc>
        <w:tc>
          <w:tcPr>
            <w:tcW w:w="769"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1 165 300</w:t>
            </w:r>
          </w:p>
        </w:tc>
        <w:tc>
          <w:tcPr>
            <w:tcW w:w="692"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1 095 552</w:t>
            </w:r>
          </w:p>
        </w:tc>
      </w:tr>
      <w:tr>
        <w:tblPrEx>
          <w:tblW w:w="5000" w:type="pct"/>
          <w:tblInd w:w="70" w:type="dxa"/>
          <w:tblLayout w:type="fixed"/>
          <w:tblCellMar>
            <w:left w:w="70" w:type="dxa"/>
            <w:right w:w="70" w:type="dxa"/>
          </w:tblCellMar>
          <w:tblLook w:val="04A0"/>
        </w:tblPrEx>
        <w:trPr>
          <w:trHeight w:val="213"/>
        </w:trPr>
        <w:tc>
          <w:tcPr>
            <w:tcW w:w="3539"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 xml:space="preserve">Štátne podniky </w:t>
            </w:r>
          </w:p>
        </w:tc>
        <w:tc>
          <w:tcPr>
            <w:tcW w:w="769"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327 901</w:t>
            </w:r>
          </w:p>
        </w:tc>
        <w:tc>
          <w:tcPr>
            <w:tcW w:w="692"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130 255</w:t>
            </w:r>
          </w:p>
        </w:tc>
      </w:tr>
      <w:tr>
        <w:tblPrEx>
          <w:tblW w:w="5000" w:type="pct"/>
          <w:tblInd w:w="70" w:type="dxa"/>
          <w:tblLayout w:type="fixed"/>
          <w:tblCellMar>
            <w:left w:w="70" w:type="dxa"/>
            <w:right w:w="70" w:type="dxa"/>
          </w:tblCellMar>
          <w:tblLook w:val="04A0"/>
        </w:tblPrEx>
        <w:trPr>
          <w:trHeight w:val="213"/>
        </w:trPr>
        <w:tc>
          <w:tcPr>
            <w:tcW w:w="3539" w:type="pct"/>
            <w:tcBorders>
              <w:top w:val="nil"/>
              <w:left w:val="nil"/>
              <w:bottom w:val="nil"/>
              <w:right w:val="nil"/>
            </w:tcBorders>
            <w:noWrap/>
            <w:textDirection w:val="lrTb"/>
            <w:vAlign w:val="center"/>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Ostatné subjekty</w:t>
            </w:r>
          </w:p>
        </w:tc>
        <w:tc>
          <w:tcPr>
            <w:tcW w:w="769"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23 802</w:t>
            </w:r>
          </w:p>
        </w:tc>
        <w:tc>
          <w:tcPr>
            <w:tcW w:w="692"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24 651</w:t>
            </w:r>
          </w:p>
        </w:tc>
      </w:tr>
      <w:tr>
        <w:tblPrEx>
          <w:tblW w:w="5000" w:type="pct"/>
          <w:tblInd w:w="70" w:type="dxa"/>
          <w:tblLayout w:type="fixed"/>
          <w:tblCellMar>
            <w:left w:w="70" w:type="dxa"/>
            <w:right w:w="70" w:type="dxa"/>
          </w:tblCellMar>
          <w:tblLook w:val="04A0"/>
        </w:tblPrEx>
        <w:trPr>
          <w:trHeight w:val="213"/>
        </w:trPr>
        <w:tc>
          <w:tcPr>
            <w:tcW w:w="3539" w:type="pct"/>
            <w:tcBorders>
              <w:top w:val="nil"/>
              <w:left w:val="nil"/>
              <w:bottom w:val="single" w:sz="4" w:space="0" w:color="auto"/>
              <w:right w:val="nil"/>
            </w:tcBorders>
            <w:noWrap/>
            <w:textDirection w:val="lrTb"/>
            <w:vAlign w:val="center"/>
          </w:tcPr>
          <w:p w:rsidR="001D3593" w:rsidRPr="00BC17C4" w:rsidP="004B7DC7">
            <w:pPr>
              <w:bidi w:val="0"/>
              <w:spacing w:after="0" w:line="360" w:lineRule="auto"/>
              <w:rPr>
                <w:rFonts w:ascii="Times New Roman" w:hAnsi="Times New Roman"/>
                <w:b/>
                <w:sz w:val="20"/>
                <w:szCs w:val="20"/>
                <w:lang w:eastAsia="sk-SK"/>
              </w:rPr>
            </w:pPr>
            <w:r w:rsidRPr="00BC17C4">
              <w:rPr>
                <w:rFonts w:ascii="Times New Roman" w:hAnsi="Times New Roman"/>
                <w:b/>
                <w:sz w:val="20"/>
                <w:szCs w:val="20"/>
                <w:lang w:eastAsia="sk-SK"/>
              </w:rPr>
              <w:t>Spolu</w:t>
            </w:r>
          </w:p>
        </w:tc>
        <w:tc>
          <w:tcPr>
            <w:tcW w:w="769"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4 089 982</w:t>
            </w:r>
          </w:p>
        </w:tc>
        <w:tc>
          <w:tcPr>
            <w:tcW w:w="692" w:type="pct"/>
            <w:gridSpan w:val="2"/>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3 747 556</w:t>
            </w:r>
          </w:p>
        </w:tc>
      </w:tr>
    </w:tbl>
    <w:p w:rsidR="001D3593" w:rsidRPr="00BC17C4" w:rsidP="001D3593">
      <w:pPr>
        <w:pStyle w:val="Pismenka"/>
        <w:tabs>
          <w:tab w:val="num" w:pos="0"/>
          <w:tab w:val="clear" w:pos="426"/>
        </w:tabs>
        <w:bidi w:val="0"/>
        <w:spacing w:before="24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u w:val="single"/>
        </w:rPr>
        <w:t xml:space="preserve">Úvery od </w:t>
      </w:r>
      <w:r>
        <w:rPr>
          <w:rFonts w:ascii="Times New Roman" w:hAnsi="Times New Roman"/>
          <w:b w:val="0"/>
          <w:bCs w:val="0"/>
          <w:sz w:val="22"/>
          <w:szCs w:val="22"/>
          <w:u w:val="single"/>
          <w:lang w:val="sk-SK"/>
        </w:rPr>
        <w:t xml:space="preserve">medzinárodných </w:t>
      </w:r>
      <w:r w:rsidRPr="00BC17C4">
        <w:rPr>
          <w:rFonts w:ascii="Times New Roman" w:hAnsi="Times New Roman"/>
          <w:b w:val="0"/>
          <w:bCs w:val="0"/>
          <w:sz w:val="22"/>
          <w:szCs w:val="22"/>
          <w:u w:val="single"/>
        </w:rPr>
        <w:t>finančných inštitúcií</w:t>
      </w:r>
      <w:r w:rsidRPr="00BC17C4">
        <w:rPr>
          <w:rFonts w:ascii="Times New Roman" w:hAnsi="Times New Roman"/>
          <w:b w:val="0"/>
          <w:bCs w:val="0"/>
          <w:sz w:val="22"/>
          <w:szCs w:val="22"/>
        </w:rPr>
        <w:t xml:space="preserve"> je v ústrednej štátnej správe oprávnené v zmysle </w:t>
      </w:r>
      <w:r w:rsidRPr="00BC17C4">
        <w:rPr>
          <w:rFonts w:ascii="Times New Roman" w:hAnsi="Times New Roman"/>
          <w:b w:val="0"/>
          <w:bCs w:val="0"/>
          <w:sz w:val="22"/>
          <w:szCs w:val="22"/>
          <w:lang w:val="sk-SK"/>
        </w:rPr>
        <w:t>platnej legislatívy</w:t>
      </w:r>
      <w:r>
        <w:rPr>
          <w:rStyle w:val="FootnoteReference"/>
          <w:rFonts w:ascii="Times New Roman" w:eastAsia="Cambria" w:hAnsi="Times New Roman"/>
          <w:b w:val="0"/>
          <w:bCs w:val="0"/>
          <w:sz w:val="22"/>
          <w:rtl w:val="0"/>
        </w:rPr>
        <w:footnoteReference w:id="18"/>
      </w:r>
      <w:r w:rsidRPr="00BC17C4">
        <w:rPr>
          <w:rFonts w:ascii="Times New Roman" w:hAnsi="Times New Roman"/>
          <w:b w:val="0"/>
          <w:bCs w:val="0"/>
          <w:sz w:val="22"/>
          <w:szCs w:val="22"/>
        </w:rPr>
        <w:t xml:space="preserve"> čerpať len Ministerstvo financií SR. Vzhľadom na to, že čerpanie úveru priamo vplýva na zvyšovanie zadlženia našej krajiny, úvery sú využívané len v takých prípadoch, kedy sú podmienky financovania úverom </w:t>
      </w:r>
      <w:r w:rsidRPr="00BC17C4">
        <w:rPr>
          <w:rFonts w:ascii="Times New Roman" w:hAnsi="Times New Roman"/>
          <w:b w:val="0"/>
          <w:bCs w:val="0"/>
          <w:sz w:val="22"/>
          <w:szCs w:val="22"/>
          <w:lang w:val="sk-SK"/>
        </w:rPr>
        <w:t>(</w:t>
      </w:r>
      <w:r w:rsidRPr="00BC17C4">
        <w:rPr>
          <w:rFonts w:ascii="Times New Roman" w:hAnsi="Times New Roman"/>
          <w:b w:val="0"/>
          <w:bCs w:val="0"/>
          <w:sz w:val="22"/>
          <w:szCs w:val="22"/>
        </w:rPr>
        <w:t>úrok, ostatné finančné náklady, doba splácania)</w:t>
      </w:r>
      <w:r w:rsidRPr="00BC17C4">
        <w:rPr>
          <w:rFonts w:ascii="Times New Roman" w:hAnsi="Times New Roman"/>
          <w:b w:val="0"/>
          <w:bCs w:val="0"/>
          <w:sz w:val="22"/>
          <w:szCs w:val="22"/>
          <w:lang w:val="sk-SK"/>
        </w:rPr>
        <w:t xml:space="preserve"> </w:t>
      </w:r>
      <w:r w:rsidRPr="00BC17C4">
        <w:rPr>
          <w:rFonts w:ascii="Times New Roman" w:hAnsi="Times New Roman"/>
          <w:b w:val="0"/>
          <w:bCs w:val="0"/>
          <w:sz w:val="22"/>
          <w:szCs w:val="22"/>
        </w:rPr>
        <w:t>výhodnejšie ako emisia štátnych cenných papierov</w:t>
      </w:r>
      <w:r w:rsidRPr="00BC17C4">
        <w:rPr>
          <w:rFonts w:ascii="Times New Roman" w:hAnsi="Times New Roman"/>
          <w:b w:val="0"/>
          <w:bCs w:val="0"/>
          <w:sz w:val="22"/>
          <w:szCs w:val="22"/>
          <w:lang w:val="sk-SK"/>
        </w:rPr>
        <w:t>.</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Najvyššiu hodnotu z úverov SR voči zahraničným bankám tvorí zostatok úveru čerpaného od Európskej investičnej banky na spolu</w:t>
      </w:r>
      <w:r w:rsidRPr="00BC17C4">
        <w:rPr>
          <w:rFonts w:ascii="Times New Roman" w:hAnsi="Times New Roman"/>
          <w:b w:val="0"/>
          <w:bCs w:val="0"/>
          <w:sz w:val="22"/>
          <w:szCs w:val="22"/>
        </w:rPr>
        <w:t>financovanie prioritných projektov v rámci Národného strategického referenčného rámca SR na roky 2007-2013.</w:t>
      </w:r>
      <w:r w:rsidRPr="00BC17C4">
        <w:rPr>
          <w:rFonts w:ascii="Times New Roman" w:hAnsi="Times New Roman"/>
          <w:b w:val="0"/>
          <w:bCs w:val="0"/>
          <w:sz w:val="22"/>
          <w:szCs w:val="22"/>
          <w:lang w:val="sk-SK"/>
        </w:rPr>
        <w:t xml:space="preserve"> </w:t>
      </w:r>
      <w:r w:rsidRPr="00BC17C4">
        <w:rPr>
          <w:rFonts w:ascii="Times New Roman" w:hAnsi="Times New Roman"/>
          <w:b w:val="0"/>
          <w:bCs w:val="0"/>
          <w:sz w:val="22"/>
          <w:szCs w:val="22"/>
        </w:rPr>
        <w:t>Z týchto prostriedkov sa spolufinancujú jednotlivé operačné programy z oblasti dopravy, infraštruktúry, životného prostredia, informatizácie spoločnosti a podobne.</w:t>
      </w:r>
      <w:r w:rsidRPr="00BC17C4">
        <w:rPr>
          <w:rFonts w:ascii="Times New Roman" w:hAnsi="Times New Roman"/>
          <w:b w:val="0"/>
          <w:bCs w:val="0"/>
          <w:sz w:val="22"/>
          <w:szCs w:val="22"/>
          <w:lang w:val="sk-SK"/>
        </w:rPr>
        <w:t xml:space="preserve"> V roku 2014 nedošlo k čerpaniu ďalších úverov Ministerstvom financií SR a zostatok úverov k 31.12.2014 bol v hodnote 1 569 553 tis. eur.</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 xml:space="preserve">Subjekty územnej samosprávy </w:t>
      </w:r>
      <w:r w:rsidRPr="00BC17C4">
        <w:rPr>
          <w:rFonts w:ascii="Times New Roman" w:hAnsi="Times New Roman"/>
          <w:b w:val="0"/>
          <w:bCs w:val="0"/>
          <w:sz w:val="22"/>
          <w:szCs w:val="22"/>
        </w:rPr>
        <w:t>môžu vstupovať do úverových vzťahov podľa vlastných potrieb financovania, avšak súčasne rešpektujúc zákon o rozpočtových pravidlách</w:t>
      </w:r>
      <w:r w:rsidRPr="00BC17C4">
        <w:rPr>
          <w:rFonts w:ascii="Times New Roman" w:hAnsi="Times New Roman"/>
          <w:b w:val="0"/>
          <w:bCs w:val="0"/>
          <w:sz w:val="22"/>
          <w:szCs w:val="22"/>
          <w:lang w:val="sk-SK"/>
        </w:rPr>
        <w:t>,</w:t>
      </w:r>
      <w:r w:rsidRPr="00BC17C4">
        <w:rPr>
          <w:rFonts w:ascii="Times New Roman" w:hAnsi="Times New Roman"/>
          <w:b w:val="0"/>
          <w:bCs w:val="0"/>
          <w:sz w:val="22"/>
          <w:szCs w:val="22"/>
        </w:rPr>
        <w:t xml:space="preserve"> ktorý stanovuje hranice výšky celkového dlhu tak, aby nebolo ohrozené vyrovnané hospodárenie v rámci celkového rozpočtu samosprávy. V prípade prekročenia stanovených hraníc existujú zákonné mechanizmy ako zabrániť ďalšiemu zadlžovaniu samospráv. </w:t>
      </w:r>
      <w:r w:rsidRPr="00BC17C4">
        <w:rPr>
          <w:rFonts w:ascii="Times New Roman" w:hAnsi="Times New Roman"/>
          <w:b w:val="0"/>
          <w:bCs w:val="0"/>
          <w:sz w:val="22"/>
          <w:szCs w:val="22"/>
          <w:lang w:val="sk-SK"/>
        </w:rPr>
        <w:t xml:space="preserve">Územná samospráva vykázala k 31.12.2014 záväzky z bankových úverov vo výške 1 165 300 </w:t>
      </w:r>
      <w:r>
        <w:rPr>
          <w:rFonts w:ascii="Times New Roman" w:hAnsi="Times New Roman"/>
          <w:b w:val="0"/>
          <w:bCs w:val="0"/>
          <w:sz w:val="22"/>
          <w:szCs w:val="22"/>
          <w:lang w:val="sk-SK"/>
        </w:rPr>
        <w:t>tis. eur, čo je medziročne viac o 69 086 tis. eur.</w:t>
      </w:r>
      <w:r w:rsidRPr="00BC17C4">
        <w:rPr>
          <w:rFonts w:ascii="Times New Roman" w:hAnsi="Times New Roman"/>
          <w:b w:val="0"/>
          <w:bCs w:val="0"/>
          <w:sz w:val="22"/>
          <w:szCs w:val="22"/>
          <w:lang w:val="sk-SK"/>
        </w:rPr>
        <w:t xml:space="preserve"> </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 xml:space="preserve">Na ostatné subjekty verejnej správy (napríklad obchodné spoločnosti) platia rozpočtové pravidlá primerane, pričom môžu čerpať úvery len v súlade s platnou legislatívou. </w:t>
      </w:r>
    </w:p>
    <w:p w:rsidR="001D3593" w:rsidRPr="00BC17C4" w:rsidP="001D3593">
      <w:pPr>
        <w:pStyle w:val="Pismenka"/>
        <w:tabs>
          <w:tab w:val="clear" w:pos="426"/>
        </w:tabs>
        <w:bidi w:val="0"/>
        <w:spacing w:before="200" w:after="120" w:line="336" w:lineRule="auto"/>
        <w:ind w:left="0" w:firstLine="0"/>
        <w:rPr>
          <w:rFonts w:ascii="Times New Roman" w:hAnsi="Times New Roman"/>
          <w:b w:val="0"/>
          <w:bCs w:val="0"/>
          <w:i/>
          <w:sz w:val="22"/>
          <w:szCs w:val="22"/>
          <w:u w:val="single"/>
        </w:rPr>
      </w:pPr>
      <w:r w:rsidRPr="00BC17C4">
        <w:rPr>
          <w:rFonts w:ascii="Times New Roman" w:hAnsi="Times New Roman"/>
          <w:b w:val="0"/>
          <w:bCs w:val="0"/>
          <w:i/>
          <w:sz w:val="22"/>
          <w:szCs w:val="22"/>
          <w:u w:val="single"/>
        </w:rPr>
        <w:t xml:space="preserve">Rezervy </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Subjekty verejnej správy tvoria rezervy dlhodobé a krátkodobé, a to na základe príslušných predpisov (tzv. zákonné rezervy)</w:t>
      </w:r>
      <w:r w:rsidRPr="00BC17C4">
        <w:rPr>
          <w:rFonts w:ascii="Times New Roman" w:hAnsi="Times New Roman"/>
          <w:b w:val="0"/>
          <w:bCs w:val="0"/>
          <w:sz w:val="22"/>
          <w:szCs w:val="22"/>
          <w:lang w:val="sk-SK"/>
        </w:rPr>
        <w:t>,</w:t>
      </w:r>
      <w:r w:rsidRPr="00BC17C4">
        <w:rPr>
          <w:rFonts w:ascii="Times New Roman" w:hAnsi="Times New Roman"/>
          <w:b w:val="0"/>
          <w:bCs w:val="0"/>
          <w:sz w:val="22"/>
          <w:szCs w:val="22"/>
        </w:rPr>
        <w:t xml:space="preserve"> ako aj na základe svojich vnútorných predpisov (tzv. ostatné rezervy). </w:t>
      </w:r>
      <w:r w:rsidRPr="00BC17C4">
        <w:rPr>
          <w:rFonts w:ascii="Times New Roman" w:hAnsi="Times New Roman"/>
          <w:b w:val="0"/>
          <w:bCs w:val="0"/>
          <w:sz w:val="22"/>
          <w:szCs w:val="22"/>
          <w:lang w:val="sk-SK"/>
        </w:rPr>
        <w:t>Rezervy sa vykazujú vo výške odhadu, ktorý by mal spoľahlivo kryť záväzok v čase jeho plnenia. K</w:t>
      </w:r>
      <w:r w:rsidRPr="00BC17C4">
        <w:rPr>
          <w:rFonts w:ascii="Times New Roman" w:hAnsi="Times New Roman"/>
          <w:b w:val="0"/>
          <w:bCs w:val="0"/>
          <w:sz w:val="22"/>
          <w:szCs w:val="22"/>
        </w:rPr>
        <w:t> 31.12.201</w:t>
      </w:r>
      <w:r w:rsidRPr="00BC17C4">
        <w:rPr>
          <w:rFonts w:ascii="Times New Roman" w:hAnsi="Times New Roman"/>
          <w:b w:val="0"/>
          <w:bCs w:val="0"/>
          <w:sz w:val="22"/>
          <w:szCs w:val="22"/>
          <w:lang w:val="sk-SK"/>
        </w:rPr>
        <w:t>4</w:t>
      </w:r>
      <w:r w:rsidRPr="00BC17C4">
        <w:rPr>
          <w:rFonts w:ascii="Times New Roman" w:hAnsi="Times New Roman"/>
          <w:b w:val="0"/>
          <w:bCs w:val="0"/>
          <w:sz w:val="22"/>
          <w:szCs w:val="22"/>
        </w:rPr>
        <w:t xml:space="preserve"> dosiahli hodnotu </w:t>
      </w:r>
      <w:r w:rsidRPr="00BC17C4">
        <w:rPr>
          <w:rFonts w:ascii="Times New Roman" w:hAnsi="Times New Roman"/>
          <w:b w:val="0"/>
          <w:bCs w:val="0"/>
          <w:sz w:val="22"/>
          <w:szCs w:val="22"/>
          <w:lang w:val="sk-SK"/>
        </w:rPr>
        <w:t>20 060 963 tis. eur,</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 xml:space="preserve">čo je o 15 816 542 tis. eur viac ako v roku 2013. </w:t>
      </w:r>
    </w:p>
    <w:p w:rsidR="001D3593" w:rsidRPr="00BC17C4" w:rsidP="001D3593">
      <w:pPr>
        <w:pStyle w:val="Pismenka"/>
        <w:tabs>
          <w:tab w:val="clear" w:pos="426"/>
        </w:tabs>
        <w:bidi w:val="0"/>
        <w:spacing w:before="180" w:after="120" w:line="336" w:lineRule="auto"/>
        <w:ind w:left="0" w:firstLine="0"/>
        <w:rPr>
          <w:rFonts w:ascii="Times New Roman" w:hAnsi="Times New Roman"/>
          <w:b w:val="0"/>
          <w:sz w:val="22"/>
          <w:szCs w:val="22"/>
          <w:lang w:val="sk-SK"/>
        </w:rPr>
      </w:pPr>
      <w:r w:rsidRPr="00BC17C4">
        <w:rPr>
          <w:rFonts w:ascii="Times New Roman" w:hAnsi="Times New Roman"/>
          <w:b w:val="0"/>
          <w:bCs w:val="0"/>
          <w:sz w:val="22"/>
          <w:szCs w:val="22"/>
        </w:rPr>
        <w:t>T</w:t>
      </w:r>
      <w:r w:rsidRPr="00BC17C4">
        <w:rPr>
          <w:rFonts w:ascii="Times New Roman" w:hAnsi="Times New Roman"/>
          <w:b w:val="0"/>
          <w:sz w:val="22"/>
          <w:szCs w:val="22"/>
        </w:rPr>
        <w:t>ypickými rezervami sú rezervy na</w:t>
      </w:r>
      <w:r w:rsidRPr="00FD2994">
        <w:rPr>
          <w:rFonts w:ascii="Times New Roman" w:hAnsi="Times New Roman"/>
          <w:b w:val="0"/>
          <w:sz w:val="22"/>
          <w:szCs w:val="22"/>
        </w:rPr>
        <w:t xml:space="preserve"> </w:t>
      </w:r>
      <w:r w:rsidRPr="00BC17C4">
        <w:rPr>
          <w:rFonts w:ascii="Times New Roman" w:hAnsi="Times New Roman"/>
          <w:b w:val="0"/>
          <w:sz w:val="22"/>
          <w:szCs w:val="22"/>
        </w:rPr>
        <w:t>nevyfakturované dodávky a služby</w:t>
      </w:r>
      <w:r>
        <w:rPr>
          <w:rFonts w:ascii="Times New Roman" w:hAnsi="Times New Roman"/>
          <w:b w:val="0"/>
          <w:sz w:val="22"/>
          <w:szCs w:val="22"/>
          <w:lang w:val="sk-SK"/>
        </w:rPr>
        <w:t>,</w:t>
      </w:r>
      <w:r w:rsidRPr="00BC17C4">
        <w:rPr>
          <w:rFonts w:ascii="Times New Roman" w:hAnsi="Times New Roman"/>
          <w:b w:val="0"/>
          <w:sz w:val="22"/>
          <w:szCs w:val="22"/>
        </w:rPr>
        <w:t xml:space="preserve"> </w:t>
      </w:r>
      <w:r>
        <w:rPr>
          <w:rFonts w:ascii="Times New Roman" w:hAnsi="Times New Roman"/>
          <w:b w:val="0"/>
          <w:sz w:val="22"/>
          <w:szCs w:val="22"/>
          <w:lang w:val="sk-SK"/>
        </w:rPr>
        <w:t>zamestnanecké požitky</w:t>
      </w:r>
      <w:r w:rsidRPr="00BC17C4">
        <w:rPr>
          <w:rFonts w:ascii="Times New Roman" w:hAnsi="Times New Roman"/>
          <w:b w:val="0"/>
          <w:sz w:val="22"/>
          <w:szCs w:val="22"/>
        </w:rPr>
        <w:t>, ktoré tvoria a vykazujú prakticky všetky jednotky súhrnného celku.</w:t>
      </w:r>
      <w:r>
        <w:rPr>
          <w:rFonts w:ascii="Times New Roman" w:hAnsi="Times New Roman"/>
          <w:b w:val="0"/>
          <w:sz w:val="22"/>
          <w:szCs w:val="22"/>
          <w:lang w:val="sk-SK"/>
        </w:rPr>
        <w:t xml:space="preserve"> </w:t>
      </w:r>
      <w:r w:rsidRPr="00BC17C4">
        <w:rPr>
          <w:rFonts w:ascii="Times New Roman" w:hAnsi="Times New Roman"/>
          <w:b w:val="0"/>
          <w:sz w:val="22"/>
          <w:szCs w:val="22"/>
          <w:lang w:val="sk-SK"/>
        </w:rPr>
        <w:t xml:space="preserve">Ďalším významným dôvodom na tvorbu rezerv sú najmä súdne spory, finančné povinnosti vyplývajúce z ručenia a záruk a náklady súvisiace s odstránením znečistenia životného prostredia. Najvýznamnejšou položkou v ústrednej správe sú </w:t>
      </w:r>
      <w:r>
        <w:rPr>
          <w:rFonts w:ascii="Times New Roman" w:hAnsi="Times New Roman"/>
          <w:b w:val="0"/>
          <w:sz w:val="22"/>
          <w:szCs w:val="22"/>
          <w:lang w:val="sk-SK"/>
        </w:rPr>
        <w:t>rezervy na</w:t>
      </w:r>
      <w:r w:rsidRPr="00BC17C4">
        <w:rPr>
          <w:rFonts w:ascii="Times New Roman" w:hAnsi="Times New Roman"/>
          <w:b w:val="0"/>
          <w:sz w:val="22"/>
          <w:szCs w:val="22"/>
          <w:lang w:val="sk-SK"/>
        </w:rPr>
        <w:t xml:space="preserve"> zamestnanecké požitky. Tieto rezervy dosiahli hodnotu 17 341 055 tis. eur, pričom ide o rezervy na plnenie záväzkov voči všetkým zamestnancom v štátn</w:t>
      </w:r>
      <w:r>
        <w:rPr>
          <w:rFonts w:ascii="Times New Roman" w:hAnsi="Times New Roman"/>
          <w:b w:val="0"/>
          <w:sz w:val="22"/>
          <w:szCs w:val="22"/>
          <w:lang w:val="sk-SK"/>
        </w:rPr>
        <w:t>ych</w:t>
      </w:r>
      <w:r w:rsidRPr="00BC17C4">
        <w:rPr>
          <w:rFonts w:ascii="Times New Roman" w:hAnsi="Times New Roman"/>
          <w:b w:val="0"/>
          <w:sz w:val="22"/>
          <w:szCs w:val="22"/>
          <w:lang w:val="sk-SK"/>
        </w:rPr>
        <w:t xml:space="preserve"> </w:t>
      </w:r>
      <w:r>
        <w:rPr>
          <w:rFonts w:ascii="Times New Roman" w:hAnsi="Times New Roman"/>
          <w:b w:val="0"/>
          <w:sz w:val="22"/>
          <w:szCs w:val="22"/>
          <w:lang w:val="sk-SK"/>
        </w:rPr>
        <w:t xml:space="preserve">rozpočtových a štátnych príspevkových organizáciách </w:t>
      </w:r>
      <w:r w:rsidRPr="00BC17C4">
        <w:rPr>
          <w:rFonts w:ascii="Times New Roman" w:hAnsi="Times New Roman"/>
          <w:b w:val="0"/>
          <w:sz w:val="22"/>
          <w:szCs w:val="22"/>
          <w:lang w:val="sk-SK"/>
        </w:rPr>
        <w:t>(približne 134 tis.</w:t>
      </w:r>
      <w:r>
        <w:rPr>
          <w:rFonts w:ascii="Times New Roman" w:hAnsi="Times New Roman"/>
          <w:b w:val="0"/>
          <w:sz w:val="22"/>
          <w:szCs w:val="22"/>
          <w:lang w:val="sk-SK"/>
        </w:rPr>
        <w:t xml:space="preserve"> osôb</w:t>
      </w:r>
      <w:r w:rsidRPr="00BC17C4">
        <w:rPr>
          <w:rFonts w:ascii="Times New Roman" w:hAnsi="Times New Roman"/>
          <w:b w:val="0"/>
          <w:sz w:val="22"/>
          <w:szCs w:val="22"/>
          <w:lang w:val="sk-SK"/>
        </w:rPr>
        <w:t>).</w:t>
      </w:r>
    </w:p>
    <w:tbl>
      <w:tblPr>
        <w:tblStyle w:val="TableNormal"/>
        <w:tblW w:w="4923" w:type="pct"/>
        <w:tblInd w:w="70" w:type="dxa"/>
        <w:tblLayout w:type="fixed"/>
        <w:tblCellMar>
          <w:left w:w="70" w:type="dxa"/>
          <w:right w:w="70" w:type="dxa"/>
        </w:tblCellMar>
        <w:tblLook w:val="04A0"/>
      </w:tblPr>
      <w:tblGrid>
        <w:gridCol w:w="6379"/>
        <w:gridCol w:w="1418"/>
        <w:gridCol w:w="285"/>
        <w:gridCol w:w="987"/>
      </w:tblGrid>
      <w:tr>
        <w:tblPrEx>
          <w:tblW w:w="4923" w:type="pct"/>
          <w:tblInd w:w="70" w:type="dxa"/>
          <w:tblLayout w:type="fixed"/>
          <w:tblCellMar>
            <w:left w:w="70" w:type="dxa"/>
            <w:right w:w="70" w:type="dxa"/>
          </w:tblCellMar>
          <w:tblLook w:val="04A0"/>
        </w:tblPrEx>
        <w:trPr>
          <w:trHeight w:val="330"/>
        </w:trPr>
        <w:tc>
          <w:tcPr>
            <w:tcW w:w="5000" w:type="pct"/>
            <w:gridSpan w:val="4"/>
            <w:tcBorders>
              <w:top w:val="single" w:sz="4" w:space="0" w:color="auto"/>
              <w:left w:val="nil"/>
              <w:bottom w:val="single" w:sz="4" w:space="0" w:color="auto"/>
              <w:right w:val="nil"/>
            </w:tcBorders>
            <w:noWrap/>
            <w:textDirection w:val="lrTb"/>
            <w:vAlign w:val="center"/>
          </w:tcPr>
          <w:p w:rsidR="001D3593" w:rsidRPr="00BC17C4" w:rsidP="004B7DC7">
            <w:pPr>
              <w:bidi w:val="0"/>
              <w:spacing w:after="0" w:line="240" w:lineRule="auto"/>
              <w:rPr>
                <w:rFonts w:ascii="Times New Roman" w:hAnsi="Times New Roman"/>
                <w:b/>
                <w:bCs/>
                <w:color w:val="FFFFFF"/>
                <w:sz w:val="20"/>
                <w:szCs w:val="20"/>
                <w:lang w:eastAsia="sk-SK"/>
              </w:rPr>
            </w:pPr>
            <w:r>
              <w:rPr>
                <w:rFonts w:ascii="Times New Roman" w:hAnsi="Times New Roman"/>
                <w:b/>
                <w:bCs/>
                <w:color w:val="FFFFFF"/>
                <w:sz w:val="20"/>
                <w:szCs w:val="20"/>
                <w:lang w:eastAsia="sk-SK"/>
              </w:rPr>
              <w:t>Hodnota rezerv podľa</w:t>
            </w:r>
            <w:r w:rsidRPr="00BC17C4">
              <w:rPr>
                <w:rFonts w:ascii="Times New Roman" w:hAnsi="Times New Roman"/>
                <w:b/>
                <w:bCs/>
                <w:color w:val="FFFFFF"/>
                <w:sz w:val="20"/>
                <w:szCs w:val="20"/>
                <w:lang w:eastAsia="sk-SK"/>
              </w:rPr>
              <w:t xml:space="preserve"> jednotlivých skupín subjektov súhrnného celku (v tis. eur) </w:t>
            </w:r>
          </w:p>
        </w:tc>
      </w:tr>
      <w:tr>
        <w:tblPrEx>
          <w:tblW w:w="4923" w:type="pct"/>
          <w:tblInd w:w="70" w:type="dxa"/>
          <w:tblLayout w:type="fixed"/>
          <w:tblCellMar>
            <w:left w:w="70" w:type="dxa"/>
            <w:right w:w="70" w:type="dxa"/>
          </w:tblCellMar>
          <w:tblLook w:val="04A0"/>
        </w:tblPrEx>
        <w:trPr>
          <w:trHeight w:val="330"/>
        </w:trPr>
        <w:tc>
          <w:tcPr>
            <w:tcW w:w="3517"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rPr>
                <w:rFonts w:ascii="Times New Roman" w:hAnsi="Times New Roman"/>
                <w:b/>
                <w:bCs/>
                <w:sz w:val="20"/>
                <w:szCs w:val="20"/>
                <w:lang w:eastAsia="sk-SK"/>
              </w:rPr>
            </w:pPr>
          </w:p>
        </w:tc>
        <w:tc>
          <w:tcPr>
            <w:tcW w:w="939" w:type="pct"/>
            <w:gridSpan w:val="2"/>
            <w:tcBorders>
              <w:top w:val="nil"/>
              <w:left w:val="nil"/>
              <w:bottom w:val="single" w:sz="4" w:space="0" w:color="auto"/>
              <w:right w:val="nil"/>
            </w:tcBorders>
            <w:noWrap/>
            <w:textDirection w:val="lrTb"/>
            <w:vAlign w:val="bottom"/>
          </w:tcPr>
          <w:p w:rsidR="001D3593" w:rsidRPr="00BC17C4" w:rsidP="004B7DC7">
            <w:pPr>
              <w:bidi w:val="0"/>
              <w:spacing w:after="0" w:line="240" w:lineRule="auto"/>
              <w:ind w:left="354"/>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2014       </w:t>
            </w:r>
          </w:p>
        </w:tc>
        <w:tc>
          <w:tcPr>
            <w:tcW w:w="544" w:type="pct"/>
            <w:tcBorders>
              <w:top w:val="nil"/>
              <w:left w:val="nil"/>
              <w:bottom w:val="single" w:sz="4" w:space="0" w:color="auto"/>
              <w:right w:val="nil"/>
            </w:tcBorders>
            <w:noWrap/>
            <w:textDirection w:val="lrTb"/>
            <w:vAlign w:val="bottom"/>
          </w:tcPr>
          <w:p w:rsidR="001D3593" w:rsidRPr="00BC17C4" w:rsidP="004B7DC7">
            <w:pPr>
              <w:bidi w:val="0"/>
              <w:spacing w:after="0" w:line="240" w:lineRule="auto"/>
              <w:jc w:val="center"/>
              <w:rPr>
                <w:rFonts w:ascii="Times New Roman" w:hAnsi="Times New Roman"/>
                <w:b/>
                <w:bCs/>
                <w:sz w:val="20"/>
                <w:szCs w:val="20"/>
                <w:lang w:eastAsia="sk-SK"/>
              </w:rPr>
            </w:pPr>
            <w:r w:rsidRPr="00BC17C4">
              <w:rPr>
                <w:rFonts w:ascii="Times New Roman" w:hAnsi="Times New Roman"/>
                <w:b/>
                <w:bCs/>
                <w:sz w:val="20"/>
                <w:szCs w:val="20"/>
                <w:lang w:eastAsia="sk-SK"/>
              </w:rPr>
              <w:t xml:space="preserve"> 2013</w:t>
            </w:r>
          </w:p>
        </w:tc>
      </w:tr>
      <w:tr>
        <w:tblPrEx>
          <w:tblW w:w="4923" w:type="pct"/>
          <w:tblInd w:w="70" w:type="dxa"/>
          <w:tblLayout w:type="fixed"/>
          <w:tblCellMar>
            <w:left w:w="70" w:type="dxa"/>
            <w:right w:w="70" w:type="dxa"/>
          </w:tblCellMar>
          <w:tblLook w:val="04A0"/>
        </w:tblPrEx>
        <w:trPr>
          <w:trHeight w:val="330"/>
        </w:trPr>
        <w:tc>
          <w:tcPr>
            <w:tcW w:w="3517" w:type="pct"/>
            <w:tcBorders>
              <w:top w:val="nil"/>
              <w:left w:val="nil"/>
              <w:bottom w:val="nil"/>
              <w:right w:val="nil"/>
            </w:tcBorders>
            <w:textDirection w:val="lrTb"/>
            <w:vAlign w:val="bottom"/>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Ústredná štátna správa</w:t>
            </w:r>
          </w:p>
        </w:tc>
        <w:tc>
          <w:tcPr>
            <w:tcW w:w="782"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19 600 061</w:t>
            </w:r>
          </w:p>
        </w:tc>
        <w:tc>
          <w:tcPr>
            <w:tcW w:w="701"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3 784 325</w:t>
            </w:r>
          </w:p>
        </w:tc>
      </w:tr>
      <w:tr>
        <w:tblPrEx>
          <w:tblW w:w="4923" w:type="pct"/>
          <w:tblInd w:w="70" w:type="dxa"/>
          <w:tblLayout w:type="fixed"/>
          <w:tblCellMar>
            <w:left w:w="70" w:type="dxa"/>
            <w:right w:w="70" w:type="dxa"/>
          </w:tblCellMar>
          <w:tblLook w:val="04A0"/>
        </w:tblPrEx>
        <w:trPr>
          <w:trHeight w:val="393"/>
        </w:trPr>
        <w:tc>
          <w:tcPr>
            <w:tcW w:w="3517" w:type="pct"/>
            <w:tcBorders>
              <w:top w:val="nil"/>
              <w:left w:val="nil"/>
              <w:bottom w:val="nil"/>
              <w:right w:val="nil"/>
            </w:tcBorders>
            <w:noWrap/>
            <w:textDirection w:val="lrTb"/>
            <w:vAlign w:val="bottom"/>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Územná samospráva</w:t>
            </w:r>
          </w:p>
        </w:tc>
        <w:tc>
          <w:tcPr>
            <w:tcW w:w="782" w:type="pct"/>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203 933</w:t>
            </w:r>
          </w:p>
        </w:tc>
        <w:tc>
          <w:tcPr>
            <w:tcW w:w="701" w:type="pct"/>
            <w:gridSpan w:val="2"/>
            <w:tcBorders>
              <w:top w:val="nil"/>
              <w:left w:val="nil"/>
              <w:bottom w:val="nil"/>
              <w:right w:val="nil"/>
            </w:tcBorders>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203 092</w:t>
            </w:r>
          </w:p>
        </w:tc>
      </w:tr>
      <w:tr>
        <w:tblPrEx>
          <w:tblW w:w="4923" w:type="pct"/>
          <w:tblInd w:w="70" w:type="dxa"/>
          <w:tblLayout w:type="fixed"/>
          <w:tblCellMar>
            <w:left w:w="70" w:type="dxa"/>
            <w:right w:w="70" w:type="dxa"/>
          </w:tblCellMar>
          <w:tblLook w:val="04A0"/>
        </w:tblPrEx>
        <w:trPr>
          <w:trHeight w:val="213"/>
        </w:trPr>
        <w:tc>
          <w:tcPr>
            <w:tcW w:w="3517" w:type="pct"/>
            <w:tcBorders>
              <w:top w:val="nil"/>
              <w:left w:val="nil"/>
              <w:bottom w:val="nil"/>
              <w:right w:val="nil"/>
            </w:tcBorders>
            <w:noWrap/>
            <w:textDirection w:val="lrTb"/>
            <w:vAlign w:val="bottom"/>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 xml:space="preserve">Štátne podniky </w:t>
            </w:r>
          </w:p>
        </w:tc>
        <w:tc>
          <w:tcPr>
            <w:tcW w:w="782"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199 886</w:t>
            </w:r>
          </w:p>
        </w:tc>
        <w:tc>
          <w:tcPr>
            <w:tcW w:w="701"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192 352</w:t>
            </w:r>
          </w:p>
        </w:tc>
      </w:tr>
      <w:tr>
        <w:tblPrEx>
          <w:tblW w:w="4923" w:type="pct"/>
          <w:tblInd w:w="70" w:type="dxa"/>
          <w:tblLayout w:type="fixed"/>
          <w:tblCellMar>
            <w:left w:w="70" w:type="dxa"/>
            <w:right w:w="70" w:type="dxa"/>
          </w:tblCellMar>
          <w:tblLook w:val="04A0"/>
        </w:tblPrEx>
        <w:trPr>
          <w:trHeight w:val="213"/>
        </w:trPr>
        <w:tc>
          <w:tcPr>
            <w:tcW w:w="3517" w:type="pct"/>
            <w:tcBorders>
              <w:top w:val="nil"/>
              <w:left w:val="nil"/>
              <w:bottom w:val="nil"/>
              <w:right w:val="nil"/>
            </w:tcBorders>
            <w:noWrap/>
            <w:textDirection w:val="lrTb"/>
            <w:vAlign w:val="bottom"/>
          </w:tcPr>
          <w:p w:rsidR="001D3593" w:rsidRPr="00BC17C4" w:rsidP="004B7DC7">
            <w:pPr>
              <w:bidi w:val="0"/>
              <w:spacing w:after="0" w:line="360" w:lineRule="auto"/>
              <w:rPr>
                <w:rFonts w:ascii="Times New Roman" w:hAnsi="Times New Roman"/>
                <w:sz w:val="20"/>
                <w:szCs w:val="20"/>
                <w:lang w:eastAsia="sk-SK"/>
              </w:rPr>
            </w:pPr>
            <w:r w:rsidRPr="00BC17C4">
              <w:rPr>
                <w:rFonts w:ascii="Times New Roman" w:hAnsi="Times New Roman"/>
                <w:sz w:val="20"/>
                <w:szCs w:val="20"/>
                <w:lang w:eastAsia="sk-SK"/>
              </w:rPr>
              <w:t>Ostatné subjekty</w:t>
            </w:r>
          </w:p>
        </w:tc>
        <w:tc>
          <w:tcPr>
            <w:tcW w:w="782" w:type="pct"/>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57 083</w:t>
            </w:r>
          </w:p>
        </w:tc>
        <w:tc>
          <w:tcPr>
            <w:tcW w:w="701" w:type="pct"/>
            <w:gridSpan w:val="2"/>
            <w:tcBorders>
              <w:top w:val="nil"/>
              <w:left w:val="nil"/>
              <w:bottom w:val="nil"/>
              <w:right w:val="nil"/>
            </w:tcBorders>
            <w:noWrap/>
            <w:textDirection w:val="lrTb"/>
            <w:vAlign w:val="bottom"/>
          </w:tcPr>
          <w:p w:rsidR="001D3593" w:rsidRPr="00BC17C4" w:rsidP="004B7DC7">
            <w:pPr>
              <w:bidi w:val="0"/>
              <w:spacing w:after="0" w:line="360" w:lineRule="auto"/>
              <w:jc w:val="right"/>
              <w:rPr>
                <w:rFonts w:ascii="Times New Roman" w:hAnsi="Times New Roman"/>
                <w:sz w:val="20"/>
                <w:szCs w:val="20"/>
                <w:lang w:eastAsia="sk-SK"/>
              </w:rPr>
            </w:pPr>
            <w:r w:rsidRPr="00BC17C4">
              <w:rPr>
                <w:rFonts w:ascii="Times New Roman" w:hAnsi="Times New Roman"/>
                <w:sz w:val="20"/>
                <w:szCs w:val="20"/>
                <w:lang w:eastAsia="sk-SK"/>
              </w:rPr>
              <w:t>64 652</w:t>
            </w:r>
          </w:p>
        </w:tc>
      </w:tr>
      <w:tr>
        <w:tblPrEx>
          <w:tblW w:w="4923" w:type="pct"/>
          <w:tblInd w:w="70" w:type="dxa"/>
          <w:tblLayout w:type="fixed"/>
          <w:tblCellMar>
            <w:left w:w="70" w:type="dxa"/>
            <w:right w:w="70" w:type="dxa"/>
          </w:tblCellMar>
          <w:tblLook w:val="04A0"/>
        </w:tblPrEx>
        <w:trPr>
          <w:trHeight w:val="213"/>
        </w:trPr>
        <w:tc>
          <w:tcPr>
            <w:tcW w:w="3517"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rPr>
                <w:rFonts w:ascii="Times New Roman" w:hAnsi="Times New Roman"/>
                <w:b/>
                <w:sz w:val="20"/>
                <w:szCs w:val="20"/>
                <w:lang w:eastAsia="sk-SK"/>
              </w:rPr>
            </w:pPr>
            <w:r w:rsidRPr="00BC17C4">
              <w:rPr>
                <w:rFonts w:ascii="Times New Roman" w:hAnsi="Times New Roman"/>
                <w:b/>
                <w:sz w:val="20"/>
                <w:szCs w:val="20"/>
                <w:lang w:eastAsia="sk-SK"/>
              </w:rPr>
              <w:t>Spolu</w:t>
            </w:r>
          </w:p>
        </w:tc>
        <w:tc>
          <w:tcPr>
            <w:tcW w:w="782" w:type="pct"/>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20 060 963</w:t>
            </w:r>
          </w:p>
        </w:tc>
        <w:tc>
          <w:tcPr>
            <w:tcW w:w="701" w:type="pct"/>
            <w:gridSpan w:val="2"/>
            <w:tcBorders>
              <w:top w:val="nil"/>
              <w:left w:val="nil"/>
              <w:bottom w:val="single" w:sz="4" w:space="0" w:color="auto"/>
              <w:right w:val="nil"/>
            </w:tcBorders>
            <w:noWrap/>
            <w:textDirection w:val="lrTb"/>
            <w:vAlign w:val="bottom"/>
          </w:tcPr>
          <w:p w:rsidR="001D3593" w:rsidRPr="00BC17C4" w:rsidP="004B7DC7">
            <w:pPr>
              <w:bidi w:val="0"/>
              <w:spacing w:after="0" w:line="360" w:lineRule="auto"/>
              <w:jc w:val="right"/>
              <w:rPr>
                <w:rFonts w:ascii="Times New Roman" w:hAnsi="Times New Roman"/>
                <w:b/>
                <w:sz w:val="20"/>
                <w:szCs w:val="20"/>
                <w:lang w:eastAsia="sk-SK"/>
              </w:rPr>
            </w:pPr>
            <w:r w:rsidRPr="00BC17C4">
              <w:rPr>
                <w:rFonts w:ascii="Times New Roman" w:hAnsi="Times New Roman"/>
                <w:b/>
                <w:sz w:val="20"/>
                <w:szCs w:val="20"/>
                <w:lang w:eastAsia="sk-SK"/>
              </w:rPr>
              <w:t>4 244 421</w:t>
            </w:r>
          </w:p>
        </w:tc>
      </w:tr>
    </w:tbl>
    <w:p w:rsidR="001D3593" w:rsidRPr="00BC17C4" w:rsidP="001767F0">
      <w:pPr>
        <w:pStyle w:val="Heading3"/>
        <w:numPr>
          <w:ilvl w:val="0"/>
          <w:numId w:val="0"/>
        </w:numPr>
        <w:bidi w:val="0"/>
        <w:spacing w:before="240"/>
        <w:ind w:firstLine="0"/>
        <w:rPr>
          <w:rFonts w:hint="default"/>
        </w:rPr>
      </w:pPr>
      <w:bookmarkStart w:id="226" w:name="_Toc399324381"/>
      <w:bookmarkStart w:id="227" w:name="_Toc401920037"/>
      <w:bookmarkStart w:id="228" w:name="_Toc433099607"/>
      <w:r w:rsidRPr="00BC17C4">
        <w:t>4.2.2.</w:t>
        <w:tab/>
      </w:r>
      <w:r w:rsidRPr="00BC17C4">
        <w:rPr>
          <w:rFonts w:hint="default"/>
        </w:rPr>
        <w:t>Vý</w:t>
      </w:r>
      <w:r w:rsidRPr="00BC17C4">
        <w:rPr>
          <w:rFonts w:hint="default"/>
        </w:rPr>
        <w:t>kaz ziskov a strá</w:t>
      </w:r>
      <w:r w:rsidRPr="00BC17C4">
        <w:rPr>
          <w:rFonts w:hint="default"/>
        </w:rPr>
        <w:t>t</w:t>
      </w:r>
      <w:bookmarkEnd w:id="226"/>
      <w:bookmarkEnd w:id="227"/>
      <w:bookmarkEnd w:id="228"/>
    </w:p>
    <w:p w:rsidR="001D3593" w:rsidRPr="00BC17C4" w:rsidP="001767F0">
      <w:pPr>
        <w:pStyle w:val="Pismenka"/>
        <w:tabs>
          <w:tab w:val="clear" w:pos="426"/>
        </w:tabs>
        <w:bidi w:val="0"/>
        <w:spacing w:before="120" w:after="120" w:line="336" w:lineRule="auto"/>
        <w:ind w:left="0" w:firstLine="0"/>
        <w:rPr>
          <w:rFonts w:ascii="Times New Roman" w:hAnsi="Times New Roman"/>
          <w:bCs w:val="0"/>
          <w:sz w:val="22"/>
          <w:szCs w:val="22"/>
        </w:rPr>
      </w:pPr>
      <w:r w:rsidRPr="00BC17C4">
        <w:rPr>
          <w:rFonts w:ascii="Times New Roman" w:hAnsi="Times New Roman"/>
          <w:bCs w:val="0"/>
          <w:sz w:val="22"/>
          <w:szCs w:val="22"/>
        </w:rPr>
        <w:t>N</w:t>
      </w:r>
      <w:r w:rsidRPr="00BC17C4">
        <w:rPr>
          <w:rFonts w:ascii="Times New Roman" w:hAnsi="Times New Roman"/>
          <w:bCs w:val="0"/>
          <w:sz w:val="22"/>
          <w:szCs w:val="22"/>
          <w:lang w:val="sk-SK"/>
        </w:rPr>
        <w:t>áklady</w:t>
      </w:r>
    </w:p>
    <w:p w:rsidR="001D3593" w:rsidRPr="00BC17C4" w:rsidP="001D3593">
      <w:pPr>
        <w:pStyle w:val="Pismenka"/>
        <w:tabs>
          <w:tab w:val="clear" w:pos="426"/>
        </w:tabs>
        <w:bidi w:val="0"/>
        <w:spacing w:before="120" w:after="120" w:line="336" w:lineRule="auto"/>
        <w:ind w:left="0" w:firstLine="0"/>
        <w:rPr>
          <w:rFonts w:ascii="Times New Roman" w:hAnsi="Times New Roman"/>
          <w:b w:val="0"/>
          <w:bCs w:val="0"/>
          <w:sz w:val="22"/>
          <w:szCs w:val="22"/>
        </w:rPr>
      </w:pPr>
      <w:r w:rsidRPr="00BC17C4">
        <w:rPr>
          <w:rFonts w:ascii="Times New Roman" w:hAnsi="Times New Roman"/>
          <w:b w:val="0"/>
          <w:bCs w:val="0"/>
          <w:sz w:val="22"/>
          <w:szCs w:val="22"/>
        </w:rPr>
        <w:t xml:space="preserve">Náklady súhrnného celku </w:t>
      </w:r>
      <w:r w:rsidRPr="00BC17C4">
        <w:rPr>
          <w:rFonts w:ascii="Times New Roman" w:hAnsi="Times New Roman"/>
          <w:b w:val="0"/>
          <w:bCs w:val="0"/>
          <w:sz w:val="22"/>
          <w:szCs w:val="22"/>
          <w:lang w:val="sk-SK"/>
        </w:rPr>
        <w:t>sa členia</w:t>
      </w:r>
      <w:r w:rsidRPr="00BC17C4">
        <w:rPr>
          <w:rFonts w:ascii="Times New Roman" w:hAnsi="Times New Roman"/>
          <w:b w:val="0"/>
          <w:bCs w:val="0"/>
          <w:sz w:val="22"/>
          <w:szCs w:val="22"/>
        </w:rPr>
        <w:t xml:space="preserve"> na prevádzkové náklady, finančné náklady, mimoriadne náklady a náklady na transfery zo štátneho rozpočtu a rozpočtov obcí a vyšších územných celkov. </w:t>
      </w:r>
      <w:r w:rsidRPr="00BC17C4">
        <w:rPr>
          <w:rFonts w:ascii="Times New Roman" w:hAnsi="Times New Roman"/>
          <w:bCs w:val="0"/>
          <w:sz w:val="22"/>
          <w:szCs w:val="22"/>
        </w:rPr>
        <w:t>Podrobné finančné informácie ku každej z týchto položiek sú uvedené v poznámkach súhrnnej účtovnej závierky verejnej správy SR za rok 201</w:t>
      </w:r>
      <w:r w:rsidRPr="00BC17C4">
        <w:rPr>
          <w:rFonts w:ascii="Times New Roman" w:hAnsi="Times New Roman"/>
          <w:bCs w:val="0"/>
          <w:sz w:val="22"/>
          <w:szCs w:val="22"/>
          <w:lang w:val="sk-SK"/>
        </w:rPr>
        <w:t>4</w:t>
      </w:r>
      <w:r w:rsidRPr="00BC17C4">
        <w:rPr>
          <w:rFonts w:ascii="Times New Roman" w:hAnsi="Times New Roman"/>
          <w:bCs w:val="0"/>
          <w:sz w:val="22"/>
          <w:szCs w:val="22"/>
        </w:rPr>
        <w:t xml:space="preserve"> (časť IV. Informácie o nákladoch a výnosoch).</w:t>
      </w:r>
      <w:r w:rsidRPr="00BC17C4">
        <w:rPr>
          <w:rFonts w:ascii="Times New Roman" w:hAnsi="Times New Roman"/>
          <w:b w:val="0"/>
          <w:bCs w:val="0"/>
          <w:sz w:val="22"/>
          <w:szCs w:val="22"/>
        </w:rPr>
        <w:t xml:space="preserve"> Nižšie uvedený text sa venuje len najvýznamnejším položkám z hľadiska hodnoty alebo ich významu pre krajinu.</w:t>
      </w:r>
    </w:p>
    <w:p w:rsidR="001D3593" w:rsidRPr="00BC17C4" w:rsidP="001D3593">
      <w:pPr>
        <w:pStyle w:val="Pismenka"/>
        <w:tabs>
          <w:tab w:val="clear" w:pos="426"/>
        </w:tabs>
        <w:bidi w:val="0"/>
        <w:spacing w:before="120" w:after="120" w:line="336" w:lineRule="auto"/>
        <w:ind w:left="0" w:firstLine="0"/>
        <w:rPr>
          <w:rFonts w:ascii="Times New Roman" w:hAnsi="Times New Roman"/>
          <w:b w:val="0"/>
          <w:bCs w:val="0"/>
          <w:sz w:val="22"/>
          <w:szCs w:val="22"/>
        </w:rPr>
      </w:pPr>
      <w:r w:rsidRPr="00BC17C4">
        <w:rPr>
          <w:rFonts w:ascii="Times New Roman" w:hAnsi="Times New Roman"/>
          <w:b w:val="0"/>
          <w:bCs w:val="0"/>
          <w:sz w:val="22"/>
          <w:szCs w:val="22"/>
        </w:rPr>
        <w:t>Náklady súhrnného celku dosiahli k 31.12.201</w:t>
      </w:r>
      <w:r w:rsidRPr="00BC17C4">
        <w:rPr>
          <w:rFonts w:ascii="Times New Roman" w:hAnsi="Times New Roman"/>
          <w:b w:val="0"/>
          <w:bCs w:val="0"/>
          <w:sz w:val="22"/>
          <w:szCs w:val="22"/>
          <w:lang w:val="sk-SK"/>
        </w:rPr>
        <w:t>4</w:t>
      </w:r>
      <w:r w:rsidRPr="00BC17C4">
        <w:rPr>
          <w:rFonts w:ascii="Times New Roman" w:hAnsi="Times New Roman"/>
          <w:b w:val="0"/>
          <w:bCs w:val="0"/>
          <w:sz w:val="22"/>
          <w:szCs w:val="22"/>
        </w:rPr>
        <w:t xml:space="preserve"> hodnotu </w:t>
      </w:r>
      <w:r>
        <w:rPr>
          <w:rFonts w:ascii="Times New Roman" w:hAnsi="Times New Roman"/>
          <w:b w:val="0"/>
          <w:bCs w:val="0"/>
          <w:sz w:val="22"/>
          <w:szCs w:val="22"/>
          <w:lang w:val="sk-SK"/>
        </w:rPr>
        <w:t>56 224 703</w:t>
      </w:r>
      <w:r w:rsidRPr="00BC17C4">
        <w:rPr>
          <w:rFonts w:ascii="Times New Roman" w:hAnsi="Times New Roman"/>
          <w:b w:val="0"/>
          <w:bCs w:val="0"/>
          <w:sz w:val="22"/>
          <w:szCs w:val="22"/>
          <w:lang w:val="sk-SK"/>
        </w:rPr>
        <w:t xml:space="preserve"> tis. eur bez dane z príjmov, ktorá bola vykázaná za subjekty územnej samosprávy a ostatn</w:t>
      </w:r>
      <w:r>
        <w:rPr>
          <w:rFonts w:ascii="Times New Roman" w:hAnsi="Times New Roman"/>
          <w:b w:val="0"/>
          <w:bCs w:val="0"/>
          <w:sz w:val="22"/>
          <w:szCs w:val="22"/>
          <w:lang w:val="sk-SK"/>
        </w:rPr>
        <w:t>é</w:t>
      </w:r>
      <w:r w:rsidRPr="00BC17C4">
        <w:rPr>
          <w:rFonts w:ascii="Times New Roman" w:hAnsi="Times New Roman"/>
          <w:b w:val="0"/>
          <w:bCs w:val="0"/>
          <w:sz w:val="22"/>
          <w:szCs w:val="22"/>
          <w:lang w:val="sk-SK"/>
        </w:rPr>
        <w:t xml:space="preserve"> subjekt</w:t>
      </w:r>
      <w:r>
        <w:rPr>
          <w:rFonts w:ascii="Times New Roman" w:hAnsi="Times New Roman"/>
          <w:b w:val="0"/>
          <w:bCs w:val="0"/>
          <w:sz w:val="22"/>
          <w:szCs w:val="22"/>
          <w:lang w:val="sk-SK"/>
        </w:rPr>
        <w:t>y súhrnného celku spolu vo výške</w:t>
        <w:br/>
      </w:r>
      <w:r w:rsidRPr="00BC17C4">
        <w:rPr>
          <w:rFonts w:ascii="Times New Roman" w:hAnsi="Times New Roman"/>
          <w:b w:val="0"/>
          <w:bCs w:val="0"/>
          <w:sz w:val="22"/>
          <w:szCs w:val="22"/>
          <w:lang w:val="sk-SK"/>
        </w:rPr>
        <w:t>43 555 tis. eur. Náklady sa medziročne zvýšili o</w:t>
      </w:r>
      <w:r>
        <w:rPr>
          <w:rFonts w:ascii="Times New Roman" w:hAnsi="Times New Roman"/>
          <w:b w:val="0"/>
          <w:bCs w:val="0"/>
          <w:sz w:val="22"/>
          <w:szCs w:val="22"/>
          <w:lang w:val="sk-SK"/>
        </w:rPr>
        <w:t> 7 700 795</w:t>
      </w:r>
      <w:r w:rsidRPr="00BC17C4">
        <w:rPr>
          <w:rFonts w:ascii="Times New Roman" w:hAnsi="Times New Roman"/>
          <w:b w:val="0"/>
          <w:bCs w:val="0"/>
          <w:sz w:val="22"/>
          <w:szCs w:val="22"/>
          <w:lang w:val="sk-SK"/>
        </w:rPr>
        <w:t xml:space="preserve"> tis. eur. P</w:t>
      </w:r>
      <w:r w:rsidRPr="00BC17C4">
        <w:rPr>
          <w:rFonts w:ascii="Times New Roman" w:hAnsi="Times New Roman"/>
          <w:b w:val="0"/>
          <w:bCs w:val="0"/>
          <w:sz w:val="22"/>
          <w:szCs w:val="22"/>
        </w:rPr>
        <w:t xml:space="preserve">revádzkové náklady dosiahli </w:t>
      </w:r>
      <w:r>
        <w:rPr>
          <w:rFonts w:ascii="Times New Roman" w:hAnsi="Times New Roman"/>
          <w:b w:val="0"/>
          <w:bCs w:val="0"/>
          <w:sz w:val="22"/>
          <w:szCs w:val="22"/>
          <w:lang w:val="sk-SK"/>
        </w:rPr>
        <w:t>29 973 459</w:t>
      </w:r>
      <w:r w:rsidRPr="00BC17C4">
        <w:rPr>
          <w:rFonts w:ascii="Times New Roman" w:hAnsi="Times New Roman"/>
          <w:b w:val="0"/>
          <w:bCs w:val="0"/>
          <w:sz w:val="22"/>
          <w:szCs w:val="22"/>
          <w:lang w:val="sk-SK"/>
        </w:rPr>
        <w:t xml:space="preserve"> </w:t>
      </w:r>
      <w:r w:rsidRPr="00BC17C4">
        <w:rPr>
          <w:rFonts w:ascii="Times New Roman" w:hAnsi="Times New Roman"/>
          <w:b w:val="0"/>
          <w:bCs w:val="0"/>
          <w:sz w:val="22"/>
          <w:szCs w:val="22"/>
        </w:rPr>
        <w:t xml:space="preserve">tis. eur, náklady na transfery zo štátneho rozpočtu a rozpočtov obcí a vyšších územných celkov hodnotu </w:t>
      </w:r>
      <w:r w:rsidRPr="00BC17C4">
        <w:rPr>
          <w:rFonts w:ascii="Times New Roman" w:hAnsi="Times New Roman"/>
          <w:b w:val="0"/>
          <w:bCs w:val="0"/>
          <w:sz w:val="22"/>
          <w:szCs w:val="22"/>
          <w:lang w:val="sk-SK"/>
        </w:rPr>
        <w:t>24</w:t>
      </w:r>
      <w:r>
        <w:rPr>
          <w:rFonts w:ascii="Times New Roman" w:hAnsi="Times New Roman"/>
          <w:b w:val="0"/>
          <w:bCs w:val="0"/>
          <w:sz w:val="22"/>
          <w:szCs w:val="22"/>
          <w:lang w:val="sk-SK"/>
        </w:rPr>
        <w:t> 116 148</w:t>
      </w:r>
      <w:r w:rsidRPr="00BC17C4">
        <w:rPr>
          <w:rFonts w:ascii="Times New Roman" w:hAnsi="Times New Roman"/>
          <w:b w:val="0"/>
          <w:bCs w:val="0"/>
          <w:sz w:val="22"/>
          <w:szCs w:val="22"/>
        </w:rPr>
        <w:t xml:space="preserve"> tis</w:t>
      </w:r>
      <w:r w:rsidRPr="00BC17C4">
        <w:rPr>
          <w:rFonts w:ascii="Times New Roman" w:hAnsi="Times New Roman"/>
          <w:b w:val="0"/>
          <w:bCs w:val="0"/>
          <w:sz w:val="22"/>
          <w:szCs w:val="22"/>
          <w:lang w:val="sk-SK"/>
        </w:rPr>
        <w:t>.</w:t>
      </w:r>
      <w:r w:rsidRPr="00BC17C4">
        <w:rPr>
          <w:rFonts w:ascii="Times New Roman" w:hAnsi="Times New Roman"/>
          <w:b w:val="0"/>
          <w:bCs w:val="0"/>
          <w:sz w:val="22"/>
          <w:szCs w:val="22"/>
        </w:rPr>
        <w:t xml:space="preserve"> eur</w:t>
      </w:r>
      <w:r w:rsidRPr="00BC17C4">
        <w:rPr>
          <w:rFonts w:ascii="Times New Roman" w:hAnsi="Times New Roman"/>
          <w:b w:val="0"/>
          <w:bCs w:val="0"/>
          <w:sz w:val="22"/>
          <w:szCs w:val="22"/>
          <w:lang w:val="sk-SK"/>
        </w:rPr>
        <w:t xml:space="preserve">, </w:t>
      </w:r>
      <w:r w:rsidRPr="00BC17C4">
        <w:rPr>
          <w:rFonts w:ascii="Times New Roman" w:hAnsi="Times New Roman"/>
          <w:b w:val="0"/>
          <w:bCs w:val="0"/>
          <w:sz w:val="22"/>
          <w:szCs w:val="22"/>
        </w:rPr>
        <w:t xml:space="preserve">finančné náklady dosiahli </w:t>
      </w:r>
      <w:r>
        <w:rPr>
          <w:rFonts w:ascii="Times New Roman" w:hAnsi="Times New Roman"/>
          <w:b w:val="0"/>
          <w:bCs w:val="0"/>
          <w:sz w:val="22"/>
          <w:szCs w:val="22"/>
          <w:lang w:val="sk-SK"/>
        </w:rPr>
        <w:t>2 134 172</w:t>
      </w:r>
      <w:r w:rsidRPr="00BC17C4">
        <w:rPr>
          <w:rFonts w:ascii="Times New Roman" w:hAnsi="Times New Roman"/>
          <w:b w:val="0"/>
          <w:bCs w:val="0"/>
          <w:sz w:val="22"/>
          <w:szCs w:val="22"/>
          <w:lang w:val="sk-SK"/>
        </w:rPr>
        <w:t xml:space="preserve"> </w:t>
      </w:r>
      <w:r w:rsidRPr="00BC17C4">
        <w:rPr>
          <w:rFonts w:ascii="Times New Roman" w:hAnsi="Times New Roman"/>
          <w:b w:val="0"/>
          <w:bCs w:val="0"/>
          <w:sz w:val="22"/>
          <w:szCs w:val="22"/>
        </w:rPr>
        <w:t xml:space="preserve">tis. eur </w:t>
      </w:r>
      <w:r w:rsidRPr="00BC17C4">
        <w:rPr>
          <w:rFonts w:ascii="Times New Roman" w:hAnsi="Times New Roman"/>
          <w:b w:val="0"/>
          <w:bCs w:val="0"/>
          <w:sz w:val="22"/>
          <w:szCs w:val="22"/>
          <w:lang w:val="sk-SK"/>
        </w:rPr>
        <w:t xml:space="preserve">a </w:t>
      </w:r>
      <w:r w:rsidRPr="00BC17C4">
        <w:rPr>
          <w:rFonts w:ascii="Times New Roman" w:hAnsi="Times New Roman"/>
          <w:b w:val="0"/>
          <w:bCs w:val="0"/>
          <w:sz w:val="22"/>
          <w:szCs w:val="22"/>
        </w:rPr>
        <w:t xml:space="preserve">mimoriadne náklady </w:t>
      </w:r>
      <w:r>
        <w:rPr>
          <w:rFonts w:ascii="Times New Roman" w:hAnsi="Times New Roman"/>
          <w:b w:val="0"/>
          <w:bCs w:val="0"/>
          <w:sz w:val="22"/>
          <w:szCs w:val="22"/>
          <w:lang w:val="sk-SK"/>
        </w:rPr>
        <w:t>924</w:t>
      </w:r>
      <w:r w:rsidRPr="00BC17C4">
        <w:rPr>
          <w:rFonts w:ascii="Times New Roman" w:hAnsi="Times New Roman"/>
          <w:b w:val="0"/>
          <w:bCs w:val="0"/>
          <w:sz w:val="22"/>
          <w:szCs w:val="22"/>
        </w:rPr>
        <w:t xml:space="preserve"> tis. eur.</w:t>
      </w:r>
    </w:p>
    <w:p w:rsidR="001D3593" w:rsidRPr="00BC17C4" w:rsidP="001D3593">
      <w:pPr>
        <w:pStyle w:val="Pismenka"/>
        <w:tabs>
          <w:tab w:val="clear" w:pos="426"/>
        </w:tabs>
        <w:bidi w:val="0"/>
        <w:spacing w:before="18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Z </w:t>
      </w:r>
      <w:r w:rsidRPr="00BC17C4">
        <w:rPr>
          <w:rFonts w:ascii="Times New Roman" w:hAnsi="Times New Roman"/>
          <w:b w:val="0"/>
          <w:bCs w:val="0"/>
          <w:sz w:val="22"/>
          <w:szCs w:val="22"/>
          <w:u w:val="single"/>
        </w:rPr>
        <w:t>prevádzkových nákladov</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 xml:space="preserve">boli </w:t>
      </w:r>
      <w:r w:rsidRPr="00BC17C4">
        <w:rPr>
          <w:rFonts w:ascii="Times New Roman" w:hAnsi="Times New Roman"/>
          <w:b w:val="0"/>
          <w:bCs w:val="0"/>
          <w:sz w:val="22"/>
          <w:szCs w:val="22"/>
        </w:rPr>
        <w:t>najvýznamnejš</w:t>
      </w:r>
      <w:r w:rsidRPr="00BC17C4">
        <w:rPr>
          <w:rFonts w:ascii="Times New Roman" w:hAnsi="Times New Roman"/>
          <w:b w:val="0"/>
          <w:bCs w:val="0"/>
          <w:sz w:val="22"/>
          <w:szCs w:val="22"/>
          <w:lang w:val="sk-SK"/>
        </w:rPr>
        <w:t>ím</w:t>
      </w:r>
      <w:r w:rsidRPr="00BC17C4">
        <w:rPr>
          <w:rFonts w:ascii="Times New Roman" w:hAnsi="Times New Roman"/>
          <w:b w:val="0"/>
          <w:bCs w:val="0"/>
          <w:sz w:val="22"/>
          <w:szCs w:val="22"/>
        </w:rPr>
        <w:t>i položk</w:t>
      </w:r>
      <w:r w:rsidRPr="00BC17C4">
        <w:rPr>
          <w:rFonts w:ascii="Times New Roman" w:hAnsi="Times New Roman"/>
          <w:b w:val="0"/>
          <w:bCs w:val="0"/>
          <w:sz w:val="22"/>
          <w:szCs w:val="22"/>
          <w:lang w:val="sk-SK"/>
        </w:rPr>
        <w:t xml:space="preserve">ami </w:t>
      </w:r>
      <w:r w:rsidRPr="00BC17C4">
        <w:rPr>
          <w:rFonts w:ascii="Times New Roman" w:hAnsi="Times New Roman"/>
          <w:b w:val="0"/>
          <w:bCs w:val="0"/>
          <w:sz w:val="22"/>
          <w:szCs w:val="22"/>
        </w:rPr>
        <w:t>odpisy, tvorba rezerv a opravných položiek</w:t>
      </w:r>
      <w:r w:rsidRPr="00BC17C4">
        <w:rPr>
          <w:rFonts w:ascii="Times New Roman" w:hAnsi="Times New Roman"/>
          <w:b w:val="0"/>
          <w:bCs w:val="0"/>
          <w:sz w:val="22"/>
          <w:szCs w:val="22"/>
          <w:lang w:val="sk-SK"/>
        </w:rPr>
        <w:t xml:space="preserve"> v hodnote 10 911 37</w:t>
      </w:r>
      <w:r>
        <w:rPr>
          <w:rFonts w:ascii="Times New Roman" w:hAnsi="Times New Roman"/>
          <w:b w:val="0"/>
          <w:bCs w:val="0"/>
          <w:sz w:val="22"/>
          <w:szCs w:val="22"/>
          <w:lang w:val="sk-SK"/>
        </w:rPr>
        <w:t>1</w:t>
      </w:r>
      <w:r w:rsidRPr="00BC17C4">
        <w:rPr>
          <w:rFonts w:ascii="Times New Roman" w:hAnsi="Times New Roman"/>
          <w:b w:val="0"/>
          <w:bCs w:val="0"/>
          <w:sz w:val="22"/>
          <w:szCs w:val="22"/>
          <w:lang w:val="sk-SK"/>
        </w:rPr>
        <w:t xml:space="preserve"> tis. eur (2013: 6 296 313 </w:t>
      </w:r>
      <w:r w:rsidRPr="00BC17C4">
        <w:rPr>
          <w:rFonts w:ascii="Times New Roman" w:hAnsi="Times New Roman"/>
          <w:b w:val="0"/>
          <w:bCs w:val="0"/>
          <w:sz w:val="22"/>
          <w:szCs w:val="22"/>
        </w:rPr>
        <w:t>tis. eur</w:t>
      </w:r>
      <w:r w:rsidRPr="00BC17C4">
        <w:rPr>
          <w:rFonts w:ascii="Times New Roman" w:hAnsi="Times New Roman"/>
          <w:b w:val="0"/>
          <w:bCs w:val="0"/>
          <w:sz w:val="22"/>
          <w:szCs w:val="22"/>
          <w:lang w:val="sk-SK"/>
        </w:rPr>
        <w:t xml:space="preserve">), </w:t>
      </w:r>
      <w:r w:rsidRPr="00BC17C4">
        <w:rPr>
          <w:rFonts w:ascii="Times New Roman" w:hAnsi="Times New Roman"/>
          <w:b w:val="0"/>
          <w:bCs w:val="0"/>
          <w:sz w:val="22"/>
          <w:szCs w:val="22"/>
        </w:rPr>
        <w:t>spotrebované nákupy a služby</w:t>
      </w:r>
      <w:r w:rsidRPr="00BC17C4">
        <w:rPr>
          <w:rFonts w:ascii="Times New Roman" w:hAnsi="Times New Roman"/>
          <w:b w:val="0"/>
          <w:bCs w:val="0"/>
          <w:sz w:val="22"/>
          <w:szCs w:val="22"/>
          <w:lang w:val="sk-SK"/>
        </w:rPr>
        <w:t xml:space="preserve"> vo výške 8 499 495 tis. eur </w:t>
      </w:r>
      <w:r w:rsidRPr="00BC17C4">
        <w:rPr>
          <w:rFonts w:ascii="Times New Roman" w:hAnsi="Times New Roman"/>
          <w:b w:val="0"/>
          <w:bCs w:val="0"/>
          <w:sz w:val="22"/>
          <w:szCs w:val="22"/>
        </w:rPr>
        <w:t>(</w:t>
      </w:r>
      <w:r w:rsidRPr="00BC17C4">
        <w:rPr>
          <w:rFonts w:ascii="Times New Roman" w:hAnsi="Times New Roman"/>
          <w:b w:val="0"/>
          <w:bCs w:val="0"/>
          <w:sz w:val="22"/>
          <w:szCs w:val="22"/>
          <w:lang w:val="sk-SK"/>
        </w:rPr>
        <w:t>2013: 7 483 207</w:t>
      </w:r>
      <w:r w:rsidRPr="00BC17C4">
        <w:rPr>
          <w:rFonts w:ascii="Times New Roman" w:hAnsi="Times New Roman"/>
          <w:b w:val="0"/>
          <w:bCs w:val="0"/>
          <w:sz w:val="22"/>
          <w:szCs w:val="22"/>
        </w:rPr>
        <w:t xml:space="preserve"> tis. eur)</w:t>
      </w:r>
      <w:r w:rsidRPr="00BC17C4">
        <w:rPr>
          <w:rFonts w:ascii="Times New Roman" w:hAnsi="Times New Roman"/>
          <w:b w:val="0"/>
          <w:bCs w:val="0"/>
          <w:sz w:val="22"/>
          <w:szCs w:val="22"/>
          <w:lang w:val="sk-SK"/>
        </w:rPr>
        <w:t xml:space="preserve"> a</w:t>
      </w:r>
      <w:r w:rsidRPr="00BC17C4">
        <w:rPr>
          <w:rFonts w:ascii="Times New Roman" w:hAnsi="Times New Roman"/>
          <w:b w:val="0"/>
          <w:bCs w:val="0"/>
          <w:sz w:val="22"/>
          <w:szCs w:val="22"/>
        </w:rPr>
        <w:t xml:space="preserve"> osobné náklady </w:t>
      </w:r>
      <w:r w:rsidRPr="00BC17C4">
        <w:rPr>
          <w:rFonts w:ascii="Times New Roman" w:hAnsi="Times New Roman"/>
          <w:b w:val="0"/>
          <w:bCs w:val="0"/>
          <w:sz w:val="22"/>
          <w:szCs w:val="22"/>
          <w:lang w:val="sk-SK"/>
        </w:rPr>
        <w:t xml:space="preserve">v hodnote </w:t>
      </w:r>
      <w:r>
        <w:rPr>
          <w:rFonts w:ascii="Times New Roman" w:hAnsi="Times New Roman"/>
          <w:b w:val="0"/>
          <w:bCs w:val="0"/>
          <w:sz w:val="22"/>
          <w:szCs w:val="22"/>
          <w:lang w:val="sk-SK"/>
        </w:rPr>
        <w:t>6 929 944</w:t>
      </w:r>
      <w:r w:rsidRPr="00BC17C4">
        <w:rPr>
          <w:rFonts w:ascii="Times New Roman" w:hAnsi="Times New Roman"/>
          <w:b w:val="0"/>
          <w:bCs w:val="0"/>
          <w:sz w:val="22"/>
          <w:szCs w:val="22"/>
          <w:lang w:val="sk-SK"/>
        </w:rPr>
        <w:t xml:space="preserve"> tis. eur </w:t>
      </w:r>
      <w:r w:rsidRPr="00BC17C4">
        <w:rPr>
          <w:rFonts w:ascii="Times New Roman" w:hAnsi="Times New Roman"/>
          <w:b w:val="0"/>
          <w:bCs w:val="0"/>
          <w:sz w:val="22"/>
          <w:szCs w:val="22"/>
        </w:rPr>
        <w:t>(</w:t>
      </w:r>
      <w:r w:rsidRPr="00BC17C4">
        <w:rPr>
          <w:rFonts w:ascii="Times New Roman" w:hAnsi="Times New Roman"/>
          <w:b w:val="0"/>
          <w:bCs w:val="0"/>
          <w:sz w:val="22"/>
          <w:szCs w:val="22"/>
          <w:lang w:val="sk-SK"/>
        </w:rPr>
        <w:t xml:space="preserve">2013: 6 654 563 </w:t>
      </w:r>
      <w:r w:rsidRPr="00BC17C4">
        <w:rPr>
          <w:rFonts w:ascii="Times New Roman" w:hAnsi="Times New Roman"/>
          <w:b w:val="0"/>
          <w:bCs w:val="0"/>
          <w:sz w:val="22"/>
          <w:szCs w:val="22"/>
        </w:rPr>
        <w:t>tis. eur</w:t>
      </w:r>
      <w:r w:rsidRPr="00BC17C4">
        <w:rPr>
          <w:rFonts w:ascii="Times New Roman" w:hAnsi="Times New Roman"/>
          <w:b w:val="0"/>
          <w:bCs w:val="0"/>
          <w:sz w:val="22"/>
          <w:szCs w:val="22"/>
          <w:lang w:val="sk-SK"/>
        </w:rPr>
        <w:t xml:space="preserve">). </w:t>
      </w:r>
    </w:p>
    <w:p w:rsidR="001D3593" w:rsidRPr="00BC17C4" w:rsidP="001D3593">
      <w:pPr>
        <w:pStyle w:val="Pismenka"/>
        <w:tabs>
          <w:tab w:val="clear" w:pos="426"/>
        </w:tabs>
        <w:bidi w:val="0"/>
        <w:spacing w:before="12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V rámci nákladov na odpisy, rezervy a opravné položky z prevádzkovej činnosti boli medziročne vyššie práve náklady na tvorbu dlhodobých rezerv v ústrednej správe na zamestnanecké požitky. Vplyv týchto rezerv k 31.12.2014 na náklady bežného obdobia bol 4</w:t>
      </w:r>
      <w:r w:rsidR="00CC6E59">
        <w:rPr>
          <w:rFonts w:ascii="Times New Roman" w:hAnsi="Times New Roman"/>
          <w:b w:val="0"/>
          <w:bCs w:val="0"/>
          <w:sz w:val="22"/>
          <w:szCs w:val="22"/>
          <w:lang w:val="sk-SK"/>
        </w:rPr>
        <w:t> 547 837</w:t>
      </w:r>
      <w:r w:rsidRPr="00BC17C4">
        <w:rPr>
          <w:rFonts w:ascii="Times New Roman" w:hAnsi="Times New Roman"/>
          <w:b w:val="0"/>
          <w:bCs w:val="0"/>
          <w:sz w:val="22"/>
          <w:szCs w:val="22"/>
          <w:lang w:val="sk-SK"/>
        </w:rPr>
        <w:t xml:space="preserve"> tis. eur. </w:t>
      </w:r>
      <w:r w:rsidRPr="00BC17C4">
        <w:rPr>
          <w:rFonts w:ascii="Times New Roman" w:hAnsi="Times New Roman"/>
          <w:b w:val="0"/>
          <w:bCs w:val="0"/>
          <w:sz w:val="22"/>
          <w:szCs w:val="22"/>
        </w:rPr>
        <w:t>Náklady na odpisy dlhodobého majetku dosiahli úhrnom</w:t>
      </w:r>
      <w:r w:rsidRPr="00BC17C4">
        <w:rPr>
          <w:rFonts w:ascii="Times New Roman" w:hAnsi="Times New Roman"/>
          <w:b w:val="0"/>
          <w:bCs w:val="0"/>
          <w:sz w:val="22"/>
          <w:szCs w:val="22"/>
          <w:lang w:val="sk-SK"/>
        </w:rPr>
        <w:t xml:space="preserve"> 2 007 866</w:t>
      </w:r>
      <w:r w:rsidRPr="00BC17C4">
        <w:rPr>
          <w:rFonts w:ascii="Times New Roman" w:hAnsi="Times New Roman"/>
          <w:b w:val="0"/>
          <w:bCs w:val="0"/>
          <w:sz w:val="22"/>
          <w:szCs w:val="22"/>
        </w:rPr>
        <w:t xml:space="preserve"> tis. eur</w:t>
      </w:r>
      <w:r w:rsidRPr="00BC17C4">
        <w:rPr>
          <w:rFonts w:ascii="Times New Roman" w:hAnsi="Times New Roman"/>
          <w:b w:val="0"/>
          <w:bCs w:val="0"/>
          <w:sz w:val="22"/>
          <w:szCs w:val="22"/>
          <w:lang w:val="sk-SK"/>
        </w:rPr>
        <w:t xml:space="preserve"> (2013: 2 053 379 tis. eur),</w:t>
      </w:r>
      <w:r w:rsidRPr="00BC17C4">
        <w:rPr>
          <w:rFonts w:ascii="Times New Roman" w:hAnsi="Times New Roman"/>
          <w:b w:val="0"/>
          <w:bCs w:val="0"/>
          <w:sz w:val="22"/>
          <w:szCs w:val="22"/>
        </w:rPr>
        <w:t xml:space="preserve"> z toho </w:t>
      </w:r>
      <w:r w:rsidRPr="00BC17C4">
        <w:rPr>
          <w:rFonts w:ascii="Times New Roman" w:hAnsi="Times New Roman"/>
          <w:b w:val="0"/>
          <w:bCs w:val="0"/>
          <w:sz w:val="22"/>
          <w:szCs w:val="22"/>
          <w:lang w:val="sk-SK"/>
        </w:rPr>
        <w:t xml:space="preserve">najviac </w:t>
      </w:r>
      <w:r>
        <w:rPr>
          <w:rFonts w:ascii="Times New Roman" w:hAnsi="Times New Roman"/>
          <w:b w:val="0"/>
          <w:bCs w:val="0"/>
          <w:sz w:val="22"/>
          <w:szCs w:val="22"/>
          <w:lang w:val="sk-SK"/>
        </w:rPr>
        <w:t>k</w:t>
      </w:r>
      <w:r w:rsidRPr="00BC17C4">
        <w:rPr>
          <w:rFonts w:ascii="Times New Roman" w:hAnsi="Times New Roman"/>
          <w:b w:val="0"/>
          <w:bCs w:val="0"/>
          <w:sz w:val="22"/>
          <w:szCs w:val="22"/>
        </w:rPr>
        <w:t xml:space="preserve"> dlhodob</w:t>
      </w:r>
      <w:r>
        <w:rPr>
          <w:rFonts w:ascii="Times New Roman" w:hAnsi="Times New Roman"/>
          <w:b w:val="0"/>
          <w:bCs w:val="0"/>
          <w:sz w:val="22"/>
          <w:szCs w:val="22"/>
          <w:lang w:val="sk-SK"/>
        </w:rPr>
        <w:t>ému</w:t>
      </w:r>
      <w:r w:rsidRPr="00BC17C4">
        <w:rPr>
          <w:rFonts w:ascii="Times New Roman" w:hAnsi="Times New Roman"/>
          <w:b w:val="0"/>
          <w:bCs w:val="0"/>
          <w:sz w:val="22"/>
          <w:szCs w:val="22"/>
        </w:rPr>
        <w:t xml:space="preserve"> majetk</w:t>
      </w:r>
      <w:r>
        <w:rPr>
          <w:rFonts w:ascii="Times New Roman" w:hAnsi="Times New Roman"/>
          <w:b w:val="0"/>
          <w:bCs w:val="0"/>
          <w:sz w:val="22"/>
          <w:szCs w:val="22"/>
          <w:lang w:val="sk-SK"/>
        </w:rPr>
        <w:t>u</w:t>
      </w:r>
      <w:r w:rsidRPr="00BC17C4">
        <w:rPr>
          <w:rFonts w:ascii="Times New Roman" w:hAnsi="Times New Roman"/>
          <w:b w:val="0"/>
          <w:bCs w:val="0"/>
          <w:sz w:val="22"/>
          <w:szCs w:val="22"/>
        </w:rPr>
        <w:t xml:space="preserve"> ústrednej správy </w:t>
      </w:r>
      <w:r w:rsidRPr="00BC17C4">
        <w:rPr>
          <w:rFonts w:ascii="Times New Roman" w:hAnsi="Times New Roman"/>
          <w:b w:val="0"/>
          <w:bCs w:val="0"/>
          <w:sz w:val="22"/>
          <w:szCs w:val="22"/>
          <w:lang w:val="sk-SK"/>
        </w:rPr>
        <w:t>1 034 489</w:t>
      </w:r>
      <w:r w:rsidRPr="00BC17C4">
        <w:rPr>
          <w:rFonts w:ascii="Times New Roman" w:hAnsi="Times New Roman"/>
          <w:b w:val="0"/>
          <w:bCs w:val="0"/>
          <w:sz w:val="22"/>
          <w:szCs w:val="22"/>
        </w:rPr>
        <w:t xml:space="preserve"> tis. eur a </w:t>
      </w:r>
      <w:r>
        <w:rPr>
          <w:rFonts w:ascii="Times New Roman" w:hAnsi="Times New Roman"/>
          <w:b w:val="0"/>
          <w:bCs w:val="0"/>
          <w:sz w:val="22"/>
          <w:szCs w:val="22"/>
          <w:lang w:val="sk-SK"/>
        </w:rPr>
        <w:t>k</w:t>
      </w:r>
      <w:r w:rsidRPr="00BC17C4">
        <w:rPr>
          <w:rFonts w:ascii="Times New Roman" w:hAnsi="Times New Roman"/>
          <w:b w:val="0"/>
          <w:bCs w:val="0"/>
          <w:sz w:val="22"/>
          <w:szCs w:val="22"/>
          <w:lang w:val="sk-SK"/>
        </w:rPr>
        <w:t xml:space="preserve"> majetk</w:t>
      </w:r>
      <w:r>
        <w:rPr>
          <w:rFonts w:ascii="Times New Roman" w:hAnsi="Times New Roman"/>
          <w:b w:val="0"/>
          <w:bCs w:val="0"/>
          <w:sz w:val="22"/>
          <w:szCs w:val="22"/>
          <w:lang w:val="sk-SK"/>
        </w:rPr>
        <w:t>u</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 xml:space="preserve">územnej </w:t>
      </w:r>
      <w:r w:rsidRPr="00BC17C4">
        <w:rPr>
          <w:rFonts w:ascii="Times New Roman" w:hAnsi="Times New Roman"/>
          <w:b w:val="0"/>
          <w:bCs w:val="0"/>
          <w:sz w:val="22"/>
          <w:szCs w:val="22"/>
        </w:rPr>
        <w:t>samospráv</w:t>
      </w:r>
      <w:r w:rsidRPr="00BC17C4">
        <w:rPr>
          <w:rFonts w:ascii="Times New Roman" w:hAnsi="Times New Roman"/>
          <w:b w:val="0"/>
          <w:bCs w:val="0"/>
          <w:sz w:val="22"/>
          <w:szCs w:val="22"/>
          <w:lang w:val="sk-SK"/>
        </w:rPr>
        <w:t>y</w:t>
        <w:br/>
        <w:t>758 138</w:t>
      </w:r>
      <w:r w:rsidRPr="00BC17C4">
        <w:rPr>
          <w:rFonts w:ascii="Times New Roman" w:hAnsi="Times New Roman"/>
          <w:b w:val="0"/>
          <w:bCs w:val="0"/>
          <w:sz w:val="22"/>
          <w:szCs w:val="22"/>
        </w:rPr>
        <w:t xml:space="preserve"> tis. eur.</w:t>
      </w:r>
    </w:p>
    <w:p w:rsidR="001D3593" w:rsidRPr="00BC17C4" w:rsidP="001D3593">
      <w:pPr>
        <w:pStyle w:val="Pismenka"/>
        <w:tabs>
          <w:tab w:val="clear" w:pos="426"/>
        </w:tabs>
        <w:bidi w:val="0"/>
        <w:spacing w:before="18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 xml:space="preserve">V rámci </w:t>
      </w:r>
      <w:r w:rsidRPr="00BC17C4">
        <w:rPr>
          <w:rFonts w:ascii="Times New Roman" w:hAnsi="Times New Roman"/>
          <w:b w:val="0"/>
          <w:bCs w:val="0"/>
          <w:sz w:val="22"/>
          <w:szCs w:val="22"/>
          <w:lang w:val="sk-SK"/>
        </w:rPr>
        <w:t xml:space="preserve">nákladov na spotrebované nákupy a </w:t>
      </w:r>
      <w:r w:rsidRPr="00BC17C4">
        <w:rPr>
          <w:rFonts w:ascii="Times New Roman" w:hAnsi="Times New Roman"/>
          <w:b w:val="0"/>
          <w:bCs w:val="0"/>
          <w:sz w:val="22"/>
          <w:szCs w:val="22"/>
        </w:rPr>
        <w:t>služb</w:t>
      </w:r>
      <w:r w:rsidRPr="00BC17C4">
        <w:rPr>
          <w:rFonts w:ascii="Times New Roman" w:hAnsi="Times New Roman"/>
          <w:b w:val="0"/>
          <w:bCs w:val="0"/>
          <w:sz w:val="22"/>
          <w:szCs w:val="22"/>
          <w:lang w:val="sk-SK"/>
        </w:rPr>
        <w:t>y sa vykazujú</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 xml:space="preserve">aj </w:t>
      </w:r>
      <w:r w:rsidRPr="00BC17C4">
        <w:rPr>
          <w:rFonts w:ascii="Times New Roman" w:hAnsi="Times New Roman"/>
          <w:b w:val="0"/>
          <w:bCs w:val="0"/>
          <w:sz w:val="22"/>
          <w:szCs w:val="22"/>
        </w:rPr>
        <w:t xml:space="preserve">náklady </w:t>
      </w:r>
      <w:r w:rsidRPr="00BC17C4">
        <w:rPr>
          <w:rFonts w:ascii="Times New Roman" w:hAnsi="Times New Roman"/>
          <w:b w:val="0"/>
          <w:bCs w:val="0"/>
          <w:sz w:val="22"/>
          <w:szCs w:val="22"/>
          <w:lang w:val="sk-SK"/>
        </w:rPr>
        <w:t>Všeobecnej zdravotnej poisťovn</w:t>
      </w:r>
      <w:r>
        <w:rPr>
          <w:rFonts w:ascii="Times New Roman" w:hAnsi="Times New Roman"/>
          <w:b w:val="0"/>
          <w:bCs w:val="0"/>
          <w:sz w:val="22"/>
          <w:szCs w:val="22"/>
          <w:lang w:val="sk-SK"/>
        </w:rPr>
        <w:t>e</w:t>
      </w:r>
      <w:r w:rsidRPr="00BC17C4">
        <w:rPr>
          <w:rFonts w:ascii="Times New Roman" w:hAnsi="Times New Roman"/>
          <w:b w:val="0"/>
          <w:bCs w:val="0"/>
          <w:sz w:val="22"/>
          <w:szCs w:val="22"/>
          <w:lang w:val="sk-SK"/>
        </w:rPr>
        <w:t xml:space="preserve">, a.s. na zdravotnú starostlivosť </w:t>
      </w:r>
      <w:r w:rsidRPr="00DD617C">
        <w:rPr>
          <w:rFonts w:ascii="Times New Roman" w:hAnsi="Times New Roman"/>
          <w:b w:val="0"/>
          <w:bCs w:val="0"/>
          <w:sz w:val="22"/>
          <w:szCs w:val="22"/>
          <w:lang w:val="sk-SK"/>
        </w:rPr>
        <w:t>(1 964 713</w:t>
      </w:r>
      <w:r w:rsidRPr="00BC17C4">
        <w:rPr>
          <w:rFonts w:ascii="Times New Roman" w:hAnsi="Times New Roman"/>
          <w:b w:val="0"/>
          <w:bCs w:val="0"/>
          <w:sz w:val="22"/>
          <w:szCs w:val="22"/>
          <w:lang w:val="sk-SK"/>
        </w:rPr>
        <w:t xml:space="preserve"> tis. eur), náklady na spotrebovaný materiál</w:t>
        <w:br/>
        <w:t xml:space="preserve">1 975 324 tis. eur, náklady Slovenskej elektrizačnej prenosovej sústavy, a.s. z obchodov na trhu s elektrinou 703 900 tis. eur, opravy a udržiavanie 567 402 tis. eur a ďalšie služby. </w:t>
      </w:r>
    </w:p>
    <w:p w:rsidR="001D3593" w:rsidRPr="00B1151F" w:rsidP="001D3593">
      <w:pPr>
        <w:pStyle w:val="Pismenka"/>
        <w:tabs>
          <w:tab w:val="clear" w:pos="426"/>
        </w:tabs>
        <w:bidi w:val="0"/>
        <w:spacing w:before="18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 xml:space="preserve">Osobné náklady </w:t>
      </w:r>
      <w:r w:rsidRPr="00DD617C">
        <w:rPr>
          <w:rFonts w:ascii="Times New Roman" w:hAnsi="Times New Roman"/>
          <w:b w:val="0"/>
          <w:bCs w:val="0"/>
          <w:sz w:val="22"/>
          <w:szCs w:val="22"/>
        </w:rPr>
        <w:t xml:space="preserve">tvorili najmä mzdové náklady vo výške </w:t>
      </w:r>
      <w:r w:rsidRPr="00DD617C">
        <w:rPr>
          <w:rFonts w:ascii="Times New Roman" w:hAnsi="Times New Roman"/>
          <w:b w:val="0"/>
          <w:bCs w:val="0"/>
          <w:sz w:val="22"/>
          <w:szCs w:val="22"/>
          <w:lang w:val="sk-SK"/>
        </w:rPr>
        <w:t xml:space="preserve">5 074 194 </w:t>
      </w:r>
      <w:r w:rsidRPr="00DD617C">
        <w:rPr>
          <w:rFonts w:ascii="Times New Roman" w:hAnsi="Times New Roman"/>
          <w:b w:val="0"/>
          <w:bCs w:val="0"/>
          <w:sz w:val="22"/>
          <w:szCs w:val="22"/>
        </w:rPr>
        <w:t>tis. eur</w:t>
      </w:r>
      <w:r w:rsidRPr="00DD617C">
        <w:rPr>
          <w:rFonts w:ascii="Times New Roman" w:hAnsi="Times New Roman"/>
          <w:b w:val="0"/>
          <w:bCs w:val="0"/>
          <w:sz w:val="22"/>
          <w:szCs w:val="22"/>
          <w:lang w:val="sk-SK"/>
        </w:rPr>
        <w:t xml:space="preserve"> (2013: 4 803 866 tis. eur)</w:t>
      </w:r>
      <w:r w:rsidRPr="00DD617C">
        <w:rPr>
          <w:rFonts w:ascii="Times New Roman" w:hAnsi="Times New Roman"/>
          <w:b w:val="0"/>
          <w:bCs w:val="0"/>
          <w:sz w:val="22"/>
          <w:szCs w:val="22"/>
        </w:rPr>
        <w:t xml:space="preserve">, zákonné sociálne poistenie </w:t>
      </w:r>
      <w:r w:rsidRPr="00DD617C">
        <w:rPr>
          <w:rFonts w:ascii="Times New Roman" w:hAnsi="Times New Roman"/>
          <w:b w:val="0"/>
          <w:bCs w:val="0"/>
          <w:sz w:val="22"/>
          <w:szCs w:val="22"/>
          <w:lang w:val="sk-SK"/>
        </w:rPr>
        <w:t>1 512 156</w:t>
      </w:r>
      <w:r w:rsidRPr="00DD617C">
        <w:rPr>
          <w:rFonts w:ascii="Times New Roman" w:hAnsi="Times New Roman"/>
          <w:b w:val="0"/>
          <w:bCs w:val="0"/>
          <w:sz w:val="22"/>
          <w:szCs w:val="22"/>
        </w:rPr>
        <w:t xml:space="preserve"> tis. eur a </w:t>
      </w:r>
      <w:r w:rsidRPr="00DD617C">
        <w:rPr>
          <w:rFonts w:ascii="Times New Roman" w:hAnsi="Times New Roman"/>
          <w:b w:val="0"/>
          <w:bCs w:val="0"/>
          <w:sz w:val="22"/>
          <w:szCs w:val="22"/>
          <w:lang w:val="sk-SK"/>
        </w:rPr>
        <w:t>zákonné</w:t>
      </w:r>
      <w:r w:rsidRPr="00DD617C">
        <w:rPr>
          <w:rFonts w:ascii="Times New Roman" w:hAnsi="Times New Roman"/>
          <w:b w:val="0"/>
          <w:bCs w:val="0"/>
          <w:sz w:val="22"/>
          <w:szCs w:val="22"/>
        </w:rPr>
        <w:t xml:space="preserve"> sociálne </w:t>
      </w:r>
      <w:r w:rsidRPr="00DD617C">
        <w:rPr>
          <w:rFonts w:ascii="Times New Roman" w:hAnsi="Times New Roman"/>
          <w:b w:val="0"/>
          <w:bCs w:val="0"/>
          <w:sz w:val="22"/>
          <w:szCs w:val="22"/>
          <w:lang w:val="sk-SK"/>
        </w:rPr>
        <w:t>náklady</w:t>
      </w:r>
      <w:r w:rsidRPr="00DD617C">
        <w:rPr>
          <w:rFonts w:ascii="Times New Roman" w:hAnsi="Times New Roman"/>
          <w:b w:val="0"/>
          <w:bCs w:val="0"/>
          <w:sz w:val="22"/>
          <w:szCs w:val="22"/>
        </w:rPr>
        <w:t xml:space="preserve"> </w:t>
      </w:r>
      <w:r w:rsidRPr="00DD617C">
        <w:rPr>
          <w:rFonts w:ascii="Times New Roman" w:hAnsi="Times New Roman"/>
          <w:b w:val="0"/>
          <w:bCs w:val="0"/>
          <w:sz w:val="22"/>
          <w:szCs w:val="22"/>
          <w:lang w:val="sk-SK"/>
        </w:rPr>
        <w:t>292 150</w:t>
      </w:r>
      <w:r w:rsidRPr="00DD617C">
        <w:rPr>
          <w:rFonts w:ascii="Times New Roman" w:hAnsi="Times New Roman"/>
          <w:b w:val="0"/>
          <w:bCs w:val="0"/>
          <w:sz w:val="22"/>
          <w:szCs w:val="22"/>
        </w:rPr>
        <w:t xml:space="preserve"> tis. eur</w:t>
      </w:r>
      <w:r w:rsidRPr="00DD617C">
        <w:rPr>
          <w:rFonts w:ascii="Times New Roman" w:hAnsi="Times New Roman"/>
          <w:b w:val="0"/>
          <w:bCs w:val="0"/>
          <w:sz w:val="22"/>
          <w:szCs w:val="22"/>
          <w:lang w:val="sk-SK"/>
        </w:rPr>
        <w:t>.</w:t>
      </w:r>
      <w:r w:rsidRPr="00DD617C">
        <w:rPr>
          <w:rFonts w:ascii="Times New Roman" w:hAnsi="Times New Roman"/>
          <w:b w:val="0"/>
          <w:bCs w:val="0"/>
          <w:sz w:val="22"/>
          <w:szCs w:val="22"/>
        </w:rPr>
        <w:t xml:space="preserve"> </w:t>
      </w:r>
      <w:r w:rsidRPr="00DD617C">
        <w:rPr>
          <w:rFonts w:ascii="Times New Roman" w:hAnsi="Times New Roman"/>
          <w:b w:val="0"/>
          <w:bCs w:val="0"/>
          <w:sz w:val="22"/>
          <w:szCs w:val="22"/>
          <w:lang w:val="sk-SK"/>
        </w:rPr>
        <w:t>Mzdové náklady boli v ústrednej správe medziročne vyššie o 139 051 tis. eur, v</w:t>
      </w:r>
      <w:r>
        <w:rPr>
          <w:rFonts w:ascii="Times New Roman" w:hAnsi="Times New Roman"/>
          <w:b w:val="0"/>
          <w:bCs w:val="0"/>
          <w:sz w:val="22"/>
          <w:szCs w:val="22"/>
          <w:lang w:val="sk-SK"/>
        </w:rPr>
        <w:t> územnej samospráve o 108 819 tis. eur pričom zvýšenie nákladov odzrkadľovalo zvyšovanie platov zamestnancov v štátnej a verejnej správe a zvýšenie stupnice platových taríf pedagogických a odborných zamestnancov.</w:t>
      </w:r>
    </w:p>
    <w:p w:rsidR="001D3593" w:rsidRPr="00BC17C4" w:rsidP="001D3593">
      <w:pPr>
        <w:pStyle w:val="Pismenka"/>
        <w:tabs>
          <w:tab w:val="clear" w:pos="426"/>
        </w:tabs>
        <w:bidi w:val="0"/>
        <w:spacing w:after="120" w:line="336" w:lineRule="auto"/>
        <w:ind w:left="0" w:firstLine="0"/>
        <w:rPr>
          <w:rFonts w:ascii="Times New Roman" w:hAnsi="Times New Roman"/>
          <w:b w:val="0"/>
          <w:bCs w:val="0"/>
          <w:sz w:val="22"/>
          <w:szCs w:val="22"/>
        </w:rPr>
      </w:pPr>
      <w:r w:rsidRPr="00DD307B">
        <w:rPr>
          <w:rFonts w:ascii="Times New Roman" w:hAnsi="Times New Roman"/>
          <w:b w:val="0"/>
          <w:bCs w:val="0"/>
          <w:sz w:val="22"/>
          <w:szCs w:val="22"/>
          <w:u w:val="single"/>
        </w:rPr>
        <w:t>Finančné náklady</w:t>
      </w:r>
      <w:r w:rsidRPr="00DD307B">
        <w:rPr>
          <w:rFonts w:ascii="Times New Roman" w:hAnsi="Times New Roman"/>
          <w:b w:val="0"/>
          <w:bCs w:val="0"/>
          <w:sz w:val="22"/>
          <w:szCs w:val="22"/>
        </w:rPr>
        <w:t xml:space="preserve"> </w:t>
      </w:r>
      <w:r w:rsidRPr="00DD307B">
        <w:rPr>
          <w:rFonts w:ascii="Times New Roman" w:hAnsi="Times New Roman"/>
          <w:b w:val="0"/>
          <w:bCs w:val="0"/>
          <w:sz w:val="22"/>
          <w:szCs w:val="22"/>
          <w:lang w:val="sk-SK"/>
        </w:rPr>
        <w:t>dosiahli 2</w:t>
      </w:r>
      <w:r>
        <w:rPr>
          <w:rFonts w:ascii="Times New Roman" w:hAnsi="Times New Roman"/>
          <w:b w:val="0"/>
          <w:bCs w:val="0"/>
          <w:sz w:val="22"/>
          <w:szCs w:val="22"/>
          <w:lang w:val="sk-SK"/>
        </w:rPr>
        <w:t> 134 172</w:t>
      </w:r>
      <w:r w:rsidRPr="00DD307B">
        <w:rPr>
          <w:rFonts w:ascii="Times New Roman" w:hAnsi="Times New Roman"/>
          <w:b w:val="0"/>
          <w:bCs w:val="0"/>
          <w:sz w:val="22"/>
          <w:szCs w:val="22"/>
          <w:lang w:val="sk-SK"/>
        </w:rPr>
        <w:t xml:space="preserve"> tis. eur a </w:t>
      </w:r>
      <w:r w:rsidRPr="00DD307B">
        <w:rPr>
          <w:rFonts w:ascii="Times New Roman" w:hAnsi="Times New Roman"/>
          <w:b w:val="0"/>
          <w:bCs w:val="0"/>
          <w:sz w:val="22"/>
          <w:szCs w:val="22"/>
        </w:rPr>
        <w:t xml:space="preserve">sú tvorené predovšetkým z úrokových nákladov spojených s emitovaním štátnych </w:t>
      </w:r>
      <w:r w:rsidRPr="00DD307B">
        <w:rPr>
          <w:rFonts w:ascii="Times New Roman" w:hAnsi="Times New Roman"/>
          <w:b w:val="0"/>
          <w:bCs w:val="0"/>
          <w:sz w:val="22"/>
          <w:szCs w:val="22"/>
          <w:lang w:val="sk-SK"/>
        </w:rPr>
        <w:t xml:space="preserve">dlhových </w:t>
      </w:r>
      <w:r w:rsidRPr="00DD307B">
        <w:rPr>
          <w:rFonts w:ascii="Times New Roman" w:hAnsi="Times New Roman"/>
          <w:b w:val="0"/>
          <w:bCs w:val="0"/>
          <w:sz w:val="22"/>
          <w:szCs w:val="22"/>
        </w:rPr>
        <w:t xml:space="preserve">cenných papierov </w:t>
      </w:r>
      <w:r w:rsidRPr="00DD307B">
        <w:rPr>
          <w:rFonts w:ascii="Times New Roman" w:hAnsi="Times New Roman"/>
          <w:b w:val="0"/>
          <w:bCs w:val="0"/>
          <w:sz w:val="22"/>
          <w:szCs w:val="22"/>
          <w:lang w:val="sk-SK"/>
        </w:rPr>
        <w:t xml:space="preserve">a </w:t>
      </w:r>
      <w:r w:rsidRPr="00DD307B">
        <w:rPr>
          <w:rFonts w:ascii="Times New Roman" w:hAnsi="Times New Roman"/>
          <w:b w:val="0"/>
          <w:bCs w:val="0"/>
          <w:sz w:val="22"/>
          <w:szCs w:val="22"/>
        </w:rPr>
        <w:t>čerpaním úverov</w:t>
      </w:r>
      <w:r w:rsidRPr="00DD307B">
        <w:rPr>
          <w:rFonts w:ascii="Times New Roman" w:hAnsi="Times New Roman"/>
          <w:b w:val="0"/>
          <w:bCs w:val="0"/>
          <w:sz w:val="22"/>
          <w:szCs w:val="22"/>
          <w:lang w:val="sk-SK"/>
        </w:rPr>
        <w:t>, ktoré sú v správe Ministerstva financií SR. Tieto náklady dosiahli 1 513 771 tis. eur (2013: 1 266 768 tis. eur). Ďalej boli významné</w:t>
      </w:r>
      <w:r>
        <w:rPr>
          <w:rFonts w:ascii="Times New Roman" w:hAnsi="Times New Roman"/>
          <w:b w:val="0"/>
          <w:bCs w:val="0"/>
          <w:sz w:val="22"/>
          <w:szCs w:val="22"/>
          <w:lang w:val="sk-SK"/>
        </w:rPr>
        <w:t xml:space="preserve"> </w:t>
      </w:r>
      <w:r w:rsidRPr="00DD307B">
        <w:rPr>
          <w:rFonts w:ascii="Times New Roman" w:hAnsi="Times New Roman"/>
          <w:b w:val="0"/>
          <w:bCs w:val="0"/>
          <w:sz w:val="22"/>
          <w:szCs w:val="22"/>
          <w:lang w:val="sk-SK"/>
        </w:rPr>
        <w:t>náklady z kurzových rozdielov Ministers</w:t>
      </w:r>
      <w:r>
        <w:rPr>
          <w:rFonts w:ascii="Times New Roman" w:hAnsi="Times New Roman"/>
          <w:b w:val="0"/>
          <w:bCs w:val="0"/>
          <w:sz w:val="22"/>
          <w:szCs w:val="22"/>
          <w:lang w:val="sk-SK"/>
        </w:rPr>
        <w:t xml:space="preserve">tva financií SR, ktoré dosiahli </w:t>
      </w:r>
      <w:r w:rsidRPr="00DD307B">
        <w:rPr>
          <w:rFonts w:ascii="Times New Roman" w:hAnsi="Times New Roman"/>
          <w:b w:val="0"/>
          <w:bCs w:val="0"/>
          <w:sz w:val="22"/>
          <w:szCs w:val="22"/>
          <w:lang w:val="sk-SK"/>
        </w:rPr>
        <w:t>343</w:t>
      </w:r>
      <w:r>
        <w:rPr>
          <w:rFonts w:ascii="Times New Roman" w:hAnsi="Times New Roman"/>
          <w:b w:val="0"/>
          <w:bCs w:val="0"/>
          <w:sz w:val="22"/>
          <w:szCs w:val="22"/>
          <w:lang w:val="sk-SK"/>
        </w:rPr>
        <w:t> </w:t>
      </w:r>
      <w:r w:rsidRPr="00DD307B">
        <w:rPr>
          <w:rFonts w:ascii="Times New Roman" w:hAnsi="Times New Roman"/>
          <w:b w:val="0"/>
          <w:bCs w:val="0"/>
          <w:sz w:val="22"/>
          <w:szCs w:val="22"/>
          <w:lang w:val="sk-SK"/>
        </w:rPr>
        <w:t>037</w:t>
      </w:r>
      <w:r>
        <w:rPr>
          <w:rFonts w:ascii="Times New Roman" w:hAnsi="Times New Roman"/>
          <w:b w:val="0"/>
          <w:bCs w:val="0"/>
          <w:sz w:val="22"/>
          <w:szCs w:val="22"/>
          <w:lang w:val="sk-SK"/>
        </w:rPr>
        <w:t> </w:t>
      </w:r>
      <w:r w:rsidRPr="00DD307B">
        <w:rPr>
          <w:rFonts w:ascii="Times New Roman" w:hAnsi="Times New Roman"/>
          <w:b w:val="0"/>
          <w:bCs w:val="0"/>
          <w:sz w:val="22"/>
          <w:szCs w:val="22"/>
          <w:lang w:val="sk-SK"/>
        </w:rPr>
        <w:t>tis</w:t>
      </w:r>
      <w:r>
        <w:rPr>
          <w:rFonts w:ascii="Times New Roman" w:hAnsi="Times New Roman"/>
          <w:b w:val="0"/>
          <w:bCs w:val="0"/>
          <w:sz w:val="22"/>
          <w:szCs w:val="22"/>
          <w:lang w:val="sk-SK"/>
        </w:rPr>
        <w:t>. eur. Významné finančné náklady vykázal aj SPP, a.s., a to 130 944 tis. eur najmä z derivátových obchodov.</w:t>
      </w:r>
    </w:p>
    <w:p w:rsidR="001D3593" w:rsidRPr="00BC17C4" w:rsidP="001D3593">
      <w:pPr>
        <w:pStyle w:val="Pismenka"/>
        <w:tabs>
          <w:tab w:val="clear" w:pos="426"/>
        </w:tabs>
        <w:bidi w:val="0"/>
        <w:spacing w:before="12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u w:val="single"/>
        </w:rPr>
        <w:t>Transfery</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sú</w:t>
      </w:r>
      <w:r w:rsidRPr="00BC17C4">
        <w:rPr>
          <w:rFonts w:ascii="Times New Roman" w:hAnsi="Times New Roman"/>
          <w:b w:val="0"/>
          <w:bCs w:val="0"/>
          <w:sz w:val="22"/>
          <w:szCs w:val="22"/>
        </w:rPr>
        <w:t xml:space="preserve"> poskyt</w:t>
      </w:r>
      <w:r w:rsidRPr="00BC17C4">
        <w:rPr>
          <w:rFonts w:ascii="Times New Roman" w:hAnsi="Times New Roman"/>
          <w:b w:val="0"/>
          <w:bCs w:val="0"/>
          <w:sz w:val="22"/>
          <w:szCs w:val="22"/>
          <w:lang w:val="sk-SK"/>
        </w:rPr>
        <w:t>ované</w:t>
      </w:r>
      <w:r w:rsidRPr="00BC17C4">
        <w:rPr>
          <w:rFonts w:ascii="Times New Roman" w:hAnsi="Times New Roman"/>
          <w:b w:val="0"/>
          <w:bCs w:val="0"/>
          <w:sz w:val="22"/>
          <w:szCs w:val="22"/>
        </w:rPr>
        <w:t xml:space="preserve"> fyzickým osobám – obyvateľstvu, podnikateľským subjektom, zahraničným subjektom a podobne. V rámci konsolidačných operácií boli eliminované transfery v rámci ústrednej správy a čiastočne aj transfery medzi ostatnými subjektmi verejnej správy. </w:t>
      </w:r>
      <w:r w:rsidRPr="00BC17C4">
        <w:rPr>
          <w:rFonts w:ascii="Times New Roman" w:hAnsi="Times New Roman"/>
          <w:b w:val="0"/>
          <w:bCs w:val="0"/>
          <w:sz w:val="22"/>
          <w:szCs w:val="22"/>
          <w:lang w:val="sk-SK"/>
        </w:rPr>
        <w:t>Z celkovej hodnoty nákladov na transfery 24</w:t>
      </w:r>
      <w:r>
        <w:rPr>
          <w:rFonts w:ascii="Times New Roman" w:hAnsi="Times New Roman"/>
          <w:b w:val="0"/>
          <w:bCs w:val="0"/>
          <w:sz w:val="22"/>
          <w:szCs w:val="22"/>
          <w:lang w:val="sk-SK"/>
        </w:rPr>
        <w:t> 116 148</w:t>
      </w:r>
      <w:r w:rsidRPr="00BC17C4">
        <w:rPr>
          <w:rFonts w:ascii="Times New Roman" w:hAnsi="Times New Roman"/>
          <w:b w:val="0"/>
          <w:bCs w:val="0"/>
          <w:sz w:val="22"/>
          <w:szCs w:val="22"/>
          <w:lang w:val="sk-SK"/>
        </w:rPr>
        <w:t xml:space="preserve"> tis. eur vykazuje najvy</w:t>
      </w:r>
      <w:r>
        <w:rPr>
          <w:rFonts w:ascii="Times New Roman" w:hAnsi="Times New Roman"/>
          <w:b w:val="0"/>
          <w:bCs w:val="0"/>
          <w:sz w:val="22"/>
          <w:szCs w:val="22"/>
          <w:lang w:val="sk-SK"/>
        </w:rPr>
        <w:t>ššiu hodnotu Sociálna poisťovňa</w:t>
        <w:br/>
      </w:r>
      <w:r w:rsidRPr="00BC17C4">
        <w:rPr>
          <w:rFonts w:ascii="Times New Roman" w:hAnsi="Times New Roman"/>
          <w:b w:val="0"/>
          <w:bCs w:val="0"/>
          <w:sz w:val="22"/>
          <w:szCs w:val="22"/>
          <w:lang w:val="sk-SK"/>
        </w:rPr>
        <w:t xml:space="preserve">16 112 510 tis. eur (2013: 15 127 919 tis. eur), a to najmä </w:t>
      </w:r>
      <w:r>
        <w:rPr>
          <w:rFonts w:ascii="Times New Roman" w:hAnsi="Times New Roman"/>
          <w:b w:val="0"/>
          <w:bCs w:val="0"/>
          <w:sz w:val="22"/>
          <w:szCs w:val="22"/>
          <w:lang w:val="sk-SK"/>
        </w:rPr>
        <w:t>na</w:t>
      </w:r>
      <w:r w:rsidRPr="00BC17C4">
        <w:rPr>
          <w:rFonts w:ascii="Times New Roman" w:hAnsi="Times New Roman"/>
          <w:b w:val="0"/>
          <w:bCs w:val="0"/>
          <w:sz w:val="22"/>
          <w:szCs w:val="22"/>
          <w:lang w:val="sk-SK"/>
        </w:rPr>
        <w:t> príspevky a vyplácanie dôchodkov obyvateľstvu. V rámci ústrednej správy vykazuje náklady na transfery najmä Ministerstvo financií SR, ktoré účtuje o nákladoch z poskytnutých transferov zo štátneho rozpočtu, vyplatených aj cez ostatné rozpočtové organizácie, nie len samotné Ministerstvo financií SR. Medziročne sa tieto náklady zvýšili</w:t>
      </w:r>
      <w:r>
        <w:rPr>
          <w:rFonts w:ascii="Times New Roman" w:hAnsi="Times New Roman"/>
          <w:b w:val="0"/>
          <w:bCs w:val="0"/>
          <w:sz w:val="22"/>
          <w:szCs w:val="22"/>
          <w:lang w:val="sk-SK"/>
        </w:rPr>
        <w:br/>
      </w:r>
      <w:r w:rsidRPr="00BC17C4">
        <w:rPr>
          <w:rFonts w:ascii="Times New Roman" w:hAnsi="Times New Roman"/>
          <w:b w:val="0"/>
          <w:bCs w:val="0"/>
          <w:sz w:val="22"/>
          <w:szCs w:val="22"/>
          <w:lang w:val="sk-SK"/>
        </w:rPr>
        <w:t>o 632 583 tis. eur.</w:t>
      </w:r>
      <w:r w:rsidRPr="00BC17C4">
        <w:rPr>
          <w:rFonts w:ascii="Times New Roman" w:hAnsi="Times New Roman"/>
          <w:b w:val="0"/>
          <w:bCs w:val="0"/>
          <w:sz w:val="22"/>
          <w:szCs w:val="22"/>
        </w:rPr>
        <w:t xml:space="preserve"> </w:t>
      </w:r>
    </w:p>
    <w:p w:rsidR="001D3593" w:rsidRPr="00BC17C4" w:rsidP="001D3593">
      <w:pPr>
        <w:pStyle w:val="Pismenka"/>
        <w:tabs>
          <w:tab w:val="clear" w:pos="426"/>
        </w:tabs>
        <w:bidi w:val="0"/>
        <w:spacing w:after="120" w:line="336" w:lineRule="auto"/>
        <w:ind w:left="0" w:firstLine="0"/>
        <w:rPr>
          <w:rFonts w:ascii="Times New Roman" w:hAnsi="Times New Roman"/>
          <w:bCs w:val="0"/>
          <w:sz w:val="22"/>
          <w:szCs w:val="22"/>
          <w:lang w:val="sk-SK"/>
        </w:rPr>
      </w:pPr>
      <w:r w:rsidRPr="00BC17C4">
        <w:rPr>
          <w:rFonts w:ascii="Times New Roman" w:hAnsi="Times New Roman"/>
          <w:bCs w:val="0"/>
          <w:sz w:val="22"/>
          <w:szCs w:val="22"/>
        </w:rPr>
        <w:t>V</w:t>
      </w:r>
      <w:r w:rsidRPr="00BC17C4">
        <w:rPr>
          <w:rFonts w:ascii="Times New Roman" w:hAnsi="Times New Roman"/>
          <w:bCs w:val="0"/>
          <w:sz w:val="22"/>
          <w:szCs w:val="22"/>
          <w:lang w:val="sk-SK"/>
        </w:rPr>
        <w:t>ýnosy</w:t>
      </w:r>
    </w:p>
    <w:p w:rsidR="001D3593" w:rsidRPr="00BC17C4" w:rsidP="001D3593">
      <w:pPr>
        <w:pStyle w:val="Pismenka"/>
        <w:tabs>
          <w:tab w:val="clear" w:pos="426"/>
        </w:tabs>
        <w:bidi w:val="0"/>
        <w:spacing w:before="12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lang w:val="sk-SK"/>
        </w:rPr>
        <w:t>Obdobne ako náklady, aj v</w:t>
      </w:r>
      <w:r w:rsidRPr="00BC17C4">
        <w:rPr>
          <w:rFonts w:ascii="Times New Roman" w:hAnsi="Times New Roman"/>
          <w:b w:val="0"/>
          <w:bCs w:val="0"/>
          <w:sz w:val="22"/>
          <w:szCs w:val="22"/>
        </w:rPr>
        <w:t xml:space="preserve">ýnosy súhrnného celku </w:t>
      </w:r>
      <w:r w:rsidRPr="00BC17C4">
        <w:rPr>
          <w:rFonts w:ascii="Times New Roman" w:hAnsi="Times New Roman"/>
          <w:b w:val="0"/>
          <w:bCs w:val="0"/>
          <w:sz w:val="22"/>
          <w:szCs w:val="22"/>
          <w:lang w:val="sk-SK"/>
        </w:rPr>
        <w:t>sú</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členené</w:t>
      </w:r>
      <w:r w:rsidRPr="00BC17C4">
        <w:rPr>
          <w:rFonts w:ascii="Times New Roman" w:hAnsi="Times New Roman"/>
          <w:b w:val="0"/>
          <w:bCs w:val="0"/>
          <w:sz w:val="22"/>
          <w:szCs w:val="22"/>
        </w:rPr>
        <w:t xml:space="preserve"> na prevádzkové výnosy, finančné výnosy, mimoriadne výnosy a výnosy z transferov zo štátneho rozpočtu a rozpočtov obcí a vyšších územných celkov. </w:t>
      </w:r>
      <w:r w:rsidRPr="00BC17C4">
        <w:rPr>
          <w:rFonts w:ascii="Times New Roman" w:hAnsi="Times New Roman"/>
          <w:bCs w:val="0"/>
          <w:sz w:val="22"/>
          <w:szCs w:val="22"/>
        </w:rPr>
        <w:t>Podrobné finančné informácie ku každej z týchto položiek sú uvedené v poznámkach súhrnnej účtovnej závierky verejnej správy SR za rok 201</w:t>
      </w:r>
      <w:r w:rsidRPr="00BC17C4">
        <w:rPr>
          <w:rFonts w:ascii="Times New Roman" w:hAnsi="Times New Roman"/>
          <w:bCs w:val="0"/>
          <w:sz w:val="22"/>
          <w:szCs w:val="22"/>
          <w:lang w:val="sk-SK"/>
        </w:rPr>
        <w:t>4</w:t>
      </w:r>
      <w:r w:rsidRPr="00BC17C4">
        <w:rPr>
          <w:rFonts w:ascii="Times New Roman" w:hAnsi="Times New Roman"/>
          <w:bCs w:val="0"/>
          <w:sz w:val="22"/>
          <w:szCs w:val="22"/>
        </w:rPr>
        <w:t xml:space="preserve"> (časť IV. Informácie o nákladoch a výnosoch). </w:t>
      </w:r>
      <w:r w:rsidRPr="00BC17C4">
        <w:rPr>
          <w:rFonts w:ascii="Times New Roman" w:hAnsi="Times New Roman"/>
          <w:b w:val="0"/>
          <w:bCs w:val="0"/>
          <w:sz w:val="22"/>
          <w:szCs w:val="22"/>
        </w:rPr>
        <w:t>Nižšie uvedený text sa venuje len najvýznamnejším položkám z hľadiska hodnoty alebo ich významu pre krajinu</w:t>
      </w:r>
      <w:r w:rsidRPr="00BC17C4">
        <w:rPr>
          <w:rFonts w:ascii="Times New Roman" w:hAnsi="Times New Roman"/>
          <w:b w:val="0"/>
          <w:bCs w:val="0"/>
          <w:sz w:val="22"/>
          <w:szCs w:val="22"/>
          <w:lang w:val="sk-SK"/>
        </w:rPr>
        <w:t>.</w:t>
      </w:r>
    </w:p>
    <w:p w:rsidR="001D3593" w:rsidRPr="00BC17C4" w:rsidP="001D3593">
      <w:pPr>
        <w:pStyle w:val="Pismenka"/>
        <w:tabs>
          <w:tab w:val="clear" w:pos="426"/>
        </w:tabs>
        <w:bidi w:val="0"/>
        <w:spacing w:before="12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rPr>
        <w:t>Výnosy súhrnného celku dosiahli k 31.12.201</w:t>
      </w:r>
      <w:r w:rsidRPr="00BC17C4">
        <w:rPr>
          <w:rFonts w:ascii="Times New Roman" w:hAnsi="Times New Roman"/>
          <w:b w:val="0"/>
          <w:bCs w:val="0"/>
          <w:sz w:val="22"/>
          <w:szCs w:val="22"/>
          <w:lang w:val="sk-SK"/>
        </w:rPr>
        <w:t>4</w:t>
      </w:r>
      <w:r w:rsidRPr="00BC17C4">
        <w:rPr>
          <w:rFonts w:ascii="Times New Roman" w:hAnsi="Times New Roman"/>
          <w:b w:val="0"/>
          <w:bCs w:val="0"/>
          <w:sz w:val="22"/>
          <w:szCs w:val="22"/>
        </w:rPr>
        <w:t xml:space="preserve"> hodnotu </w:t>
      </w:r>
      <w:r>
        <w:rPr>
          <w:rFonts w:ascii="Times New Roman" w:hAnsi="Times New Roman"/>
          <w:b w:val="0"/>
          <w:bCs w:val="0"/>
          <w:sz w:val="22"/>
          <w:szCs w:val="22"/>
          <w:lang w:val="sk-SK"/>
        </w:rPr>
        <w:t>49 627 959</w:t>
      </w:r>
      <w:r w:rsidRPr="00BC17C4">
        <w:rPr>
          <w:rFonts w:ascii="Times New Roman" w:hAnsi="Times New Roman"/>
          <w:b w:val="0"/>
          <w:bCs w:val="0"/>
          <w:sz w:val="22"/>
          <w:szCs w:val="22"/>
        </w:rPr>
        <w:t xml:space="preserve"> tis. eur</w:t>
      </w:r>
      <w:r w:rsidRPr="00BC17C4">
        <w:rPr>
          <w:rFonts w:ascii="Times New Roman" w:hAnsi="Times New Roman"/>
          <w:b w:val="0"/>
          <w:bCs w:val="0"/>
          <w:sz w:val="22"/>
          <w:szCs w:val="22"/>
          <w:lang w:val="sk-SK"/>
        </w:rPr>
        <w:t>,</w:t>
      </w:r>
      <w:r w:rsidRPr="00BC17C4">
        <w:rPr>
          <w:rFonts w:ascii="Times New Roman" w:hAnsi="Times New Roman"/>
          <w:b w:val="0"/>
          <w:bCs w:val="0"/>
          <w:sz w:val="22"/>
          <w:szCs w:val="22"/>
        </w:rPr>
        <w:t xml:space="preserve"> z toho prevádzkové výnosy dosiahli </w:t>
      </w:r>
      <w:r w:rsidRPr="00BC17C4">
        <w:rPr>
          <w:rFonts w:ascii="Times New Roman" w:hAnsi="Times New Roman"/>
          <w:b w:val="0"/>
          <w:bCs w:val="0"/>
          <w:sz w:val="22"/>
          <w:szCs w:val="22"/>
          <w:lang w:val="sk-SK"/>
        </w:rPr>
        <w:t>43 </w:t>
      </w:r>
      <w:r>
        <w:rPr>
          <w:rFonts w:ascii="Times New Roman" w:hAnsi="Times New Roman"/>
          <w:b w:val="0"/>
          <w:bCs w:val="0"/>
          <w:sz w:val="22"/>
          <w:szCs w:val="22"/>
          <w:lang w:val="sk-SK"/>
        </w:rPr>
        <w:t>620</w:t>
      </w:r>
      <w:r w:rsidRPr="00BC17C4">
        <w:rPr>
          <w:rFonts w:ascii="Times New Roman" w:hAnsi="Times New Roman"/>
          <w:b w:val="0"/>
          <w:bCs w:val="0"/>
          <w:sz w:val="22"/>
          <w:szCs w:val="22"/>
          <w:lang w:val="sk-SK"/>
        </w:rPr>
        <w:t xml:space="preserve"> </w:t>
      </w:r>
      <w:r>
        <w:rPr>
          <w:rFonts w:ascii="Times New Roman" w:hAnsi="Times New Roman"/>
          <w:b w:val="0"/>
          <w:bCs w:val="0"/>
          <w:sz w:val="22"/>
          <w:szCs w:val="22"/>
          <w:lang w:val="sk-SK"/>
        </w:rPr>
        <w:t>884</w:t>
      </w:r>
      <w:r w:rsidRPr="00BC17C4">
        <w:rPr>
          <w:rFonts w:ascii="Times New Roman" w:hAnsi="Times New Roman"/>
          <w:b w:val="0"/>
          <w:bCs w:val="0"/>
          <w:sz w:val="22"/>
          <w:szCs w:val="22"/>
          <w:lang w:val="sk-SK"/>
        </w:rPr>
        <w:t xml:space="preserve"> </w:t>
      </w:r>
      <w:r w:rsidRPr="00BC17C4">
        <w:rPr>
          <w:rFonts w:ascii="Times New Roman" w:hAnsi="Times New Roman"/>
          <w:b w:val="0"/>
          <w:bCs w:val="0"/>
          <w:sz w:val="22"/>
          <w:szCs w:val="22"/>
        </w:rPr>
        <w:t xml:space="preserve">tis. eur, </w:t>
      </w:r>
      <w:r w:rsidRPr="00BC17C4">
        <w:rPr>
          <w:rFonts w:ascii="Times New Roman" w:hAnsi="Times New Roman"/>
          <w:b w:val="0"/>
          <w:bCs w:val="0"/>
          <w:sz w:val="22"/>
          <w:szCs w:val="22"/>
          <w:lang w:val="sk-SK"/>
        </w:rPr>
        <w:t xml:space="preserve">výnosy z transferov 4 629 929 tis. eur, </w:t>
      </w:r>
      <w:r w:rsidRPr="00BC17C4">
        <w:rPr>
          <w:rFonts w:ascii="Times New Roman" w:hAnsi="Times New Roman"/>
          <w:b w:val="0"/>
          <w:bCs w:val="0"/>
          <w:sz w:val="22"/>
          <w:szCs w:val="22"/>
        </w:rPr>
        <w:t>finančné výnosy</w:t>
      </w:r>
      <w:r>
        <w:rPr>
          <w:rFonts w:ascii="Times New Roman" w:hAnsi="Times New Roman"/>
          <w:b w:val="0"/>
          <w:bCs w:val="0"/>
          <w:sz w:val="22"/>
          <w:szCs w:val="22"/>
          <w:lang w:val="sk-SK"/>
        </w:rPr>
        <w:br/>
        <w:t>1 370 926</w:t>
      </w:r>
      <w:r w:rsidRPr="00BC17C4">
        <w:rPr>
          <w:rFonts w:ascii="Times New Roman" w:hAnsi="Times New Roman"/>
          <w:b w:val="0"/>
          <w:bCs w:val="0"/>
          <w:sz w:val="22"/>
          <w:szCs w:val="22"/>
        </w:rPr>
        <w:t xml:space="preserve"> tis. eur</w:t>
      </w:r>
      <w:r w:rsidRPr="00BC17C4">
        <w:rPr>
          <w:rFonts w:ascii="Times New Roman" w:hAnsi="Times New Roman"/>
          <w:b w:val="0"/>
          <w:bCs w:val="0"/>
          <w:sz w:val="22"/>
          <w:szCs w:val="22"/>
          <w:lang w:val="sk-SK"/>
        </w:rPr>
        <w:t xml:space="preserve"> a</w:t>
      </w:r>
      <w:r w:rsidRPr="00BC17C4">
        <w:rPr>
          <w:rFonts w:ascii="Times New Roman" w:hAnsi="Times New Roman"/>
          <w:b w:val="0"/>
          <w:bCs w:val="0"/>
          <w:sz w:val="22"/>
          <w:szCs w:val="22"/>
        </w:rPr>
        <w:t xml:space="preserve"> mimoriadne výnosy </w:t>
      </w:r>
      <w:r w:rsidRPr="00BC17C4">
        <w:rPr>
          <w:rFonts w:ascii="Times New Roman" w:hAnsi="Times New Roman"/>
          <w:b w:val="0"/>
          <w:bCs w:val="0"/>
          <w:sz w:val="22"/>
          <w:szCs w:val="22"/>
          <w:lang w:val="sk-SK"/>
        </w:rPr>
        <w:t>6 220</w:t>
      </w:r>
      <w:r w:rsidRPr="00BC17C4">
        <w:rPr>
          <w:rFonts w:ascii="Times New Roman" w:hAnsi="Times New Roman"/>
          <w:b w:val="0"/>
          <w:bCs w:val="0"/>
          <w:sz w:val="22"/>
          <w:szCs w:val="22"/>
        </w:rPr>
        <w:t xml:space="preserve"> tis. eur</w:t>
      </w:r>
      <w:r w:rsidRPr="00BC17C4">
        <w:rPr>
          <w:rFonts w:ascii="Times New Roman" w:hAnsi="Times New Roman"/>
          <w:b w:val="0"/>
          <w:bCs w:val="0"/>
          <w:sz w:val="22"/>
          <w:szCs w:val="22"/>
          <w:lang w:val="sk-SK"/>
        </w:rPr>
        <w:t>. Medziročne sa výnosy zvýšili celkom</w:t>
      </w:r>
      <w:r>
        <w:rPr>
          <w:rFonts w:ascii="Times New Roman" w:hAnsi="Times New Roman"/>
          <w:b w:val="0"/>
          <w:bCs w:val="0"/>
          <w:sz w:val="22"/>
          <w:szCs w:val="22"/>
          <w:lang w:val="sk-SK"/>
        </w:rPr>
        <w:br/>
      </w:r>
      <w:r w:rsidRPr="00BC17C4">
        <w:rPr>
          <w:rFonts w:ascii="Times New Roman" w:hAnsi="Times New Roman"/>
          <w:b w:val="0"/>
          <w:bCs w:val="0"/>
          <w:sz w:val="22"/>
          <w:szCs w:val="22"/>
          <w:lang w:val="sk-SK"/>
        </w:rPr>
        <w:t>o</w:t>
      </w:r>
      <w:r>
        <w:rPr>
          <w:rFonts w:ascii="Times New Roman" w:hAnsi="Times New Roman"/>
          <w:b w:val="0"/>
          <w:bCs w:val="0"/>
          <w:sz w:val="22"/>
          <w:szCs w:val="22"/>
          <w:lang w:val="sk-SK"/>
        </w:rPr>
        <w:t xml:space="preserve"> 1 925 958</w:t>
      </w:r>
      <w:r w:rsidRPr="00BC17C4">
        <w:rPr>
          <w:rFonts w:ascii="Times New Roman" w:hAnsi="Times New Roman"/>
          <w:b w:val="0"/>
          <w:bCs w:val="0"/>
          <w:sz w:val="22"/>
          <w:szCs w:val="22"/>
          <w:lang w:val="sk-SK"/>
        </w:rPr>
        <w:t xml:space="preserve"> tis. eur</w:t>
      </w:r>
      <w:r w:rsidR="007E25ED">
        <w:rPr>
          <w:rFonts w:ascii="Times New Roman" w:hAnsi="Times New Roman"/>
          <w:b w:val="0"/>
          <w:bCs w:val="0"/>
          <w:sz w:val="22"/>
          <w:szCs w:val="22"/>
          <w:lang w:val="sk-SK"/>
        </w:rPr>
        <w:t>,</w:t>
      </w:r>
      <w:r w:rsidRPr="00BC17C4">
        <w:rPr>
          <w:rFonts w:ascii="Times New Roman" w:hAnsi="Times New Roman"/>
          <w:b w:val="0"/>
          <w:bCs w:val="0"/>
          <w:sz w:val="22"/>
          <w:szCs w:val="22"/>
          <w:lang w:val="sk-SK"/>
        </w:rPr>
        <w:t xml:space="preserve"> a to najmä vyššími tržbami za vlastné výkony a tovar o</w:t>
      </w:r>
      <w:r>
        <w:rPr>
          <w:rFonts w:ascii="Times New Roman" w:hAnsi="Times New Roman"/>
          <w:b w:val="0"/>
          <w:bCs w:val="0"/>
          <w:sz w:val="22"/>
          <w:szCs w:val="22"/>
          <w:lang w:val="sk-SK"/>
        </w:rPr>
        <w:t> 1 988 648</w:t>
      </w:r>
      <w:r w:rsidRPr="00BC17C4">
        <w:rPr>
          <w:rFonts w:ascii="Times New Roman" w:hAnsi="Times New Roman"/>
          <w:b w:val="0"/>
          <w:bCs w:val="0"/>
          <w:sz w:val="22"/>
          <w:szCs w:val="22"/>
          <w:lang w:val="sk-SK"/>
        </w:rPr>
        <w:t xml:space="preserve"> tis. eur vyššími výnosmi z daní a poplatkov spolu o</w:t>
      </w:r>
      <w:r>
        <w:rPr>
          <w:rFonts w:ascii="Times New Roman" w:hAnsi="Times New Roman"/>
          <w:b w:val="0"/>
          <w:bCs w:val="0"/>
          <w:sz w:val="22"/>
          <w:szCs w:val="22"/>
          <w:lang w:val="sk-SK"/>
        </w:rPr>
        <w:t> 442 361</w:t>
      </w:r>
      <w:r w:rsidRPr="00BC17C4">
        <w:rPr>
          <w:rFonts w:ascii="Times New Roman" w:hAnsi="Times New Roman"/>
          <w:b w:val="0"/>
          <w:bCs w:val="0"/>
          <w:sz w:val="22"/>
          <w:szCs w:val="22"/>
          <w:lang w:val="sk-SK"/>
        </w:rPr>
        <w:t xml:space="preserve"> tis. eur. Najvýznamnejší pokles zaznamenali ostatné prevádzkové výnosy, a to o</w:t>
      </w:r>
      <w:r>
        <w:rPr>
          <w:rFonts w:ascii="Times New Roman" w:hAnsi="Times New Roman"/>
          <w:b w:val="0"/>
          <w:bCs w:val="0"/>
          <w:sz w:val="22"/>
          <w:szCs w:val="22"/>
          <w:lang w:val="sk-SK"/>
        </w:rPr>
        <w:t> 312 453 tis. eur a finančné výnosy o 402 652</w:t>
      </w:r>
      <w:r w:rsidRPr="00BC17C4">
        <w:rPr>
          <w:rFonts w:ascii="Times New Roman" w:hAnsi="Times New Roman"/>
          <w:b w:val="0"/>
          <w:bCs w:val="0"/>
          <w:sz w:val="22"/>
          <w:szCs w:val="22"/>
          <w:lang w:val="sk-SK"/>
        </w:rPr>
        <w:t xml:space="preserve"> tis. eur.</w:t>
      </w:r>
    </w:p>
    <w:p w:rsidR="001D3593" w:rsidRPr="00BC17C4" w:rsidP="001D3593">
      <w:pPr>
        <w:pStyle w:val="Pismenka"/>
        <w:tabs>
          <w:tab w:val="clear" w:pos="426"/>
        </w:tabs>
        <w:bidi w:val="0"/>
        <w:spacing w:before="180" w:after="120" w:line="336" w:lineRule="auto"/>
        <w:ind w:left="0" w:firstLine="0"/>
        <w:rPr>
          <w:rFonts w:ascii="Times New Roman" w:hAnsi="Times New Roman"/>
          <w:b w:val="0"/>
          <w:bCs w:val="0"/>
          <w:sz w:val="22"/>
          <w:szCs w:val="22"/>
        </w:rPr>
      </w:pPr>
      <w:r w:rsidRPr="00BC17C4">
        <w:rPr>
          <w:rFonts w:ascii="Times New Roman" w:hAnsi="Times New Roman"/>
          <w:b w:val="0"/>
          <w:bCs w:val="0"/>
          <w:sz w:val="22"/>
          <w:szCs w:val="22"/>
        </w:rPr>
        <w:t xml:space="preserve">Z prevádzkových výnosov </w:t>
      </w:r>
      <w:r w:rsidRPr="00BC17C4">
        <w:rPr>
          <w:rFonts w:ascii="Times New Roman" w:hAnsi="Times New Roman"/>
          <w:b w:val="0"/>
          <w:bCs w:val="0"/>
          <w:sz w:val="22"/>
          <w:szCs w:val="22"/>
          <w:lang w:val="sk-SK"/>
        </w:rPr>
        <w:t xml:space="preserve">boli </w:t>
      </w:r>
      <w:r w:rsidRPr="00BC17C4">
        <w:rPr>
          <w:rFonts w:ascii="Times New Roman" w:hAnsi="Times New Roman"/>
          <w:b w:val="0"/>
          <w:bCs w:val="0"/>
          <w:sz w:val="22"/>
          <w:szCs w:val="22"/>
        </w:rPr>
        <w:t>najvýznamnejš</w:t>
      </w:r>
      <w:r w:rsidRPr="00BC17C4">
        <w:rPr>
          <w:rFonts w:ascii="Times New Roman" w:hAnsi="Times New Roman"/>
          <w:b w:val="0"/>
          <w:bCs w:val="0"/>
          <w:sz w:val="22"/>
          <w:szCs w:val="22"/>
          <w:lang w:val="sk-SK"/>
        </w:rPr>
        <w:t>ími</w:t>
      </w:r>
      <w:r w:rsidRPr="00BC17C4">
        <w:rPr>
          <w:rFonts w:ascii="Times New Roman" w:hAnsi="Times New Roman"/>
          <w:b w:val="0"/>
          <w:bCs w:val="0"/>
          <w:sz w:val="22"/>
          <w:szCs w:val="22"/>
        </w:rPr>
        <w:t xml:space="preserve"> položk</w:t>
      </w:r>
      <w:r w:rsidRPr="00BC17C4">
        <w:rPr>
          <w:rFonts w:ascii="Times New Roman" w:hAnsi="Times New Roman"/>
          <w:b w:val="0"/>
          <w:bCs w:val="0"/>
          <w:sz w:val="22"/>
          <w:szCs w:val="22"/>
          <w:lang w:val="sk-SK"/>
        </w:rPr>
        <w:t xml:space="preserve">ami </w:t>
      </w:r>
      <w:r w:rsidRPr="00BC17C4">
        <w:rPr>
          <w:rFonts w:ascii="Times New Roman" w:hAnsi="Times New Roman"/>
          <w:b w:val="0"/>
          <w:bCs w:val="0"/>
          <w:sz w:val="22"/>
          <w:szCs w:val="22"/>
        </w:rPr>
        <w:t>tržby za vlastné výkony a tovar</w:t>
      </w:r>
      <w:r>
        <w:rPr>
          <w:rFonts w:ascii="Times New Roman" w:hAnsi="Times New Roman"/>
          <w:b w:val="0"/>
          <w:bCs w:val="0"/>
          <w:sz w:val="22"/>
          <w:szCs w:val="22"/>
          <w:lang w:val="sk-SK"/>
        </w:rPr>
        <w:t>, ktoré k 31.12.2014 dosiahli 24 440 934</w:t>
      </w:r>
      <w:r w:rsidRPr="00BC17C4">
        <w:rPr>
          <w:rFonts w:ascii="Times New Roman" w:hAnsi="Times New Roman"/>
          <w:b w:val="0"/>
          <w:bCs w:val="0"/>
          <w:sz w:val="22"/>
          <w:szCs w:val="22"/>
        </w:rPr>
        <w:t xml:space="preserve"> tis. eur</w:t>
      </w:r>
      <w:r w:rsidRPr="00BC17C4">
        <w:rPr>
          <w:rFonts w:ascii="Times New Roman" w:hAnsi="Times New Roman"/>
          <w:b w:val="0"/>
          <w:bCs w:val="0"/>
          <w:sz w:val="22"/>
          <w:szCs w:val="22"/>
          <w:lang w:val="sk-SK"/>
        </w:rPr>
        <w:t xml:space="preserve"> a</w:t>
      </w:r>
      <w:r w:rsidRPr="00BC17C4">
        <w:rPr>
          <w:rFonts w:ascii="Times New Roman" w:hAnsi="Times New Roman"/>
          <w:b w:val="0"/>
          <w:bCs w:val="0"/>
          <w:sz w:val="22"/>
          <w:szCs w:val="22"/>
        </w:rPr>
        <w:t xml:space="preserve"> daňové a colné výnosy </w:t>
      </w:r>
      <w:r>
        <w:rPr>
          <w:rFonts w:ascii="Times New Roman" w:hAnsi="Times New Roman"/>
          <w:b w:val="0"/>
          <w:bCs w:val="0"/>
          <w:sz w:val="22"/>
          <w:szCs w:val="22"/>
          <w:lang w:val="sk-SK"/>
        </w:rPr>
        <w:t>13 031 190</w:t>
      </w:r>
      <w:r w:rsidRPr="00BC17C4">
        <w:rPr>
          <w:rFonts w:ascii="Times New Roman" w:hAnsi="Times New Roman"/>
          <w:b w:val="0"/>
          <w:bCs w:val="0"/>
          <w:sz w:val="22"/>
          <w:szCs w:val="22"/>
        </w:rPr>
        <w:t xml:space="preserve"> tis. eur.</w:t>
      </w:r>
    </w:p>
    <w:p w:rsidR="001D3593" w:rsidRPr="00BC17C4" w:rsidP="001D3593">
      <w:pPr>
        <w:pStyle w:val="Pismenka"/>
        <w:tabs>
          <w:tab w:val="clear" w:pos="426"/>
        </w:tabs>
        <w:bidi w:val="0"/>
        <w:spacing w:before="180" w:after="120" w:line="336" w:lineRule="auto"/>
        <w:ind w:left="0" w:firstLine="0"/>
        <w:rPr>
          <w:rFonts w:ascii="Times New Roman" w:hAnsi="Times New Roman"/>
          <w:b w:val="0"/>
          <w:bCs w:val="0"/>
          <w:sz w:val="22"/>
          <w:szCs w:val="22"/>
          <w:lang w:val="sk-SK"/>
        </w:rPr>
      </w:pPr>
      <w:r w:rsidRPr="00BC17C4">
        <w:rPr>
          <w:rFonts w:ascii="Times New Roman" w:hAnsi="Times New Roman"/>
          <w:b w:val="0"/>
          <w:bCs w:val="0"/>
          <w:sz w:val="22"/>
          <w:szCs w:val="22"/>
          <w:u w:val="single"/>
          <w:lang w:val="sk-SK"/>
        </w:rPr>
        <w:t>V tržbách za vlastné výkony</w:t>
      </w:r>
      <w:r w:rsidRPr="00BC17C4">
        <w:rPr>
          <w:rFonts w:ascii="Times New Roman" w:hAnsi="Times New Roman"/>
          <w:b w:val="0"/>
          <w:bCs w:val="0"/>
          <w:sz w:val="22"/>
          <w:szCs w:val="22"/>
          <w:lang w:val="sk-SK"/>
        </w:rPr>
        <w:t xml:space="preserve"> a tovar sú rozhodujúcou položkou tržby z predaja služieb</w:t>
        <w:br/>
        <w:t>22</w:t>
      </w:r>
      <w:r>
        <w:rPr>
          <w:rFonts w:ascii="Times New Roman" w:hAnsi="Times New Roman"/>
          <w:b w:val="0"/>
          <w:bCs w:val="0"/>
          <w:sz w:val="22"/>
          <w:szCs w:val="22"/>
          <w:lang w:val="sk-SK"/>
        </w:rPr>
        <w:t> 595 348</w:t>
      </w:r>
      <w:r w:rsidRPr="00BC17C4">
        <w:rPr>
          <w:rFonts w:ascii="Times New Roman" w:hAnsi="Times New Roman"/>
          <w:b w:val="0"/>
          <w:bCs w:val="0"/>
          <w:sz w:val="22"/>
          <w:szCs w:val="22"/>
          <w:lang w:val="sk-SK"/>
        </w:rPr>
        <w:t xml:space="preserve"> tis. eur (2013: 21 043 457 tis. eur). V rámci nich vykazuje najvyššiu hodnotu Sociálna poisťovňa 16 147 729 tis. eur ako výnosy z poistného (2013: 15 136 110 tis. eur). Všeobecná zdravotná poisťovňa, a.s. vykazuje </w:t>
      </w:r>
      <w:r>
        <w:rPr>
          <w:rFonts w:ascii="Times New Roman" w:hAnsi="Times New Roman"/>
          <w:b w:val="0"/>
          <w:bCs w:val="0"/>
          <w:sz w:val="22"/>
          <w:szCs w:val="22"/>
          <w:lang w:val="sk-SK"/>
        </w:rPr>
        <w:t xml:space="preserve">2 443 313 </w:t>
      </w:r>
      <w:r w:rsidRPr="00BC17C4">
        <w:rPr>
          <w:rFonts w:ascii="Times New Roman" w:hAnsi="Times New Roman"/>
          <w:b w:val="0"/>
          <w:bCs w:val="0"/>
          <w:sz w:val="22"/>
          <w:szCs w:val="22"/>
          <w:lang w:val="sk-SK"/>
        </w:rPr>
        <w:t>tis. eur ako výnosy z platieb zdravotného poistenia</w:t>
        <w:br/>
        <w:t>(2013: 2 436 406 tis. eur). Celkovo výnosy z odvodov po konsolidácii boli medziročne vyššie</w:t>
        <w:br/>
        <w:t>o 1 </w:t>
      </w:r>
      <w:r>
        <w:rPr>
          <w:rFonts w:ascii="Times New Roman" w:hAnsi="Times New Roman"/>
          <w:b w:val="0"/>
          <w:bCs w:val="0"/>
          <w:sz w:val="22"/>
          <w:szCs w:val="22"/>
          <w:lang w:val="sk-SK"/>
        </w:rPr>
        <w:t>018</w:t>
      </w:r>
      <w:r w:rsidRPr="00BC17C4">
        <w:rPr>
          <w:rFonts w:ascii="Times New Roman" w:hAnsi="Times New Roman"/>
          <w:b w:val="0"/>
          <w:bCs w:val="0"/>
          <w:sz w:val="22"/>
          <w:szCs w:val="22"/>
          <w:lang w:val="sk-SK"/>
        </w:rPr>
        <w:t xml:space="preserve"> </w:t>
      </w:r>
      <w:r>
        <w:rPr>
          <w:rFonts w:ascii="Times New Roman" w:hAnsi="Times New Roman"/>
          <w:b w:val="0"/>
          <w:bCs w:val="0"/>
          <w:sz w:val="22"/>
          <w:szCs w:val="22"/>
          <w:lang w:val="sk-SK"/>
        </w:rPr>
        <w:t>526</w:t>
      </w:r>
      <w:r w:rsidRPr="00BC17C4">
        <w:rPr>
          <w:rFonts w:ascii="Times New Roman" w:hAnsi="Times New Roman"/>
          <w:b w:val="0"/>
          <w:bCs w:val="0"/>
          <w:sz w:val="22"/>
          <w:szCs w:val="22"/>
          <w:lang w:val="sk-SK"/>
        </w:rPr>
        <w:t xml:space="preserve"> tis. eur a tvorili väčšinu medziročného nárastu celkových výnosov zo služieb. </w:t>
      </w:r>
    </w:p>
    <w:p w:rsidR="001D3593" w:rsidRPr="00BC17C4" w:rsidP="001D3593">
      <w:pPr>
        <w:bidi w:val="0"/>
        <w:spacing w:after="120" w:line="336" w:lineRule="auto"/>
        <w:jc w:val="both"/>
        <w:rPr>
          <w:rFonts w:ascii="Times New Roman" w:hAnsi="Times New Roman" w:cs="Times New Roman"/>
          <w:szCs w:val="22"/>
        </w:rPr>
      </w:pPr>
      <w:r w:rsidRPr="00BC17C4">
        <w:rPr>
          <w:rFonts w:ascii="Times New Roman" w:hAnsi="Times New Roman" w:cs="Times New Roman"/>
          <w:i/>
          <w:szCs w:val="22"/>
          <w:u w:val="single"/>
        </w:rPr>
        <w:t>Daňové výnosy a výnosy z poplatkov</w:t>
      </w:r>
      <w:r w:rsidRPr="006762AE">
        <w:rPr>
          <w:rFonts w:ascii="Times New Roman" w:hAnsi="Times New Roman" w:cs="Times New Roman"/>
          <w:szCs w:val="22"/>
        </w:rPr>
        <w:t xml:space="preserve"> po konsolidácii</w:t>
      </w:r>
      <w:r w:rsidRPr="00BC17C4">
        <w:rPr>
          <w:rFonts w:ascii="Times New Roman" w:hAnsi="Times New Roman" w:cs="Times New Roman"/>
          <w:szCs w:val="22"/>
        </w:rPr>
        <w:t xml:space="preserve"> dosiahli 13</w:t>
      </w:r>
      <w:r>
        <w:rPr>
          <w:rFonts w:ascii="Times New Roman" w:hAnsi="Times New Roman" w:cs="Times New Roman"/>
          <w:szCs w:val="22"/>
        </w:rPr>
        <w:t> 031 190</w:t>
      </w:r>
      <w:r w:rsidRPr="00BC17C4">
        <w:rPr>
          <w:rFonts w:ascii="Times New Roman" w:hAnsi="Times New Roman" w:cs="Times New Roman"/>
          <w:szCs w:val="22"/>
        </w:rPr>
        <w:t xml:space="preserve"> tis. eur, z toho ústredná štátna správa vykázala </w:t>
      </w:r>
      <w:r>
        <w:rPr>
          <w:rFonts w:ascii="Times New Roman" w:hAnsi="Times New Roman" w:cs="Times New Roman"/>
          <w:szCs w:val="22"/>
        </w:rPr>
        <w:t xml:space="preserve">výnosy z daní </w:t>
      </w:r>
      <w:r w:rsidRPr="00BC17C4">
        <w:rPr>
          <w:rFonts w:ascii="Times New Roman" w:hAnsi="Times New Roman" w:cs="Times New Roman"/>
          <w:szCs w:val="22"/>
        </w:rPr>
        <w:t>10</w:t>
      </w:r>
      <w:r>
        <w:rPr>
          <w:rFonts w:ascii="Times New Roman" w:hAnsi="Times New Roman" w:cs="Times New Roman"/>
          <w:szCs w:val="22"/>
        </w:rPr>
        <w:t> 127 319</w:t>
      </w:r>
      <w:r w:rsidRPr="00BC17C4">
        <w:rPr>
          <w:rFonts w:ascii="Times New Roman" w:hAnsi="Times New Roman" w:cs="Times New Roman"/>
          <w:szCs w:val="22"/>
        </w:rPr>
        <w:t xml:space="preserve"> tis. eur a územná samospráva </w:t>
      </w:r>
      <w:r>
        <w:rPr>
          <w:rFonts w:ascii="Times New Roman" w:hAnsi="Times New Roman" w:cs="Times New Roman"/>
          <w:szCs w:val="22"/>
        </w:rPr>
        <w:t>2 201 212</w:t>
      </w:r>
      <w:r w:rsidRPr="00BC17C4">
        <w:rPr>
          <w:rFonts w:ascii="Times New Roman" w:hAnsi="Times New Roman" w:cs="Times New Roman"/>
          <w:szCs w:val="22"/>
        </w:rPr>
        <w:t xml:space="preserve"> tis. eur. Na výnos z dane z príjmov fyzických osôb pre ústrednú správu má vplyv jej rozdeľovanie medzi ústrednú správu a subjekty územnej samosprávy podľa príslušnej legislatívy</w:t>
      </w:r>
      <w:r>
        <w:rPr>
          <w:rStyle w:val="FootnoteReference"/>
          <w:rFonts w:ascii="Times New Roman" w:hAnsi="Times New Roman"/>
          <w:rtl w:val="0"/>
        </w:rPr>
        <w:footnoteReference w:id="19"/>
      </w:r>
      <w:r w:rsidRPr="00BC17C4">
        <w:rPr>
          <w:rFonts w:ascii="Times New Roman" w:hAnsi="Times New Roman" w:cs="Times New Roman"/>
          <w:szCs w:val="22"/>
        </w:rPr>
        <w:t xml:space="preserve">. Celkovo boli daňové výnosy </w:t>
      </w:r>
      <w:r>
        <w:rPr>
          <w:rFonts w:ascii="Times New Roman" w:hAnsi="Times New Roman" w:cs="Times New Roman"/>
          <w:szCs w:val="22"/>
        </w:rPr>
        <w:t xml:space="preserve">po zohľadnení eliminácií </w:t>
      </w:r>
      <w:r w:rsidRPr="00BC17C4">
        <w:rPr>
          <w:rFonts w:ascii="Times New Roman" w:hAnsi="Times New Roman" w:cs="Times New Roman"/>
          <w:szCs w:val="22"/>
        </w:rPr>
        <w:t>medziročne vyššie o</w:t>
      </w:r>
      <w:r>
        <w:rPr>
          <w:rFonts w:ascii="Times New Roman" w:hAnsi="Times New Roman" w:cs="Times New Roman"/>
          <w:szCs w:val="22"/>
        </w:rPr>
        <w:t> 394 859</w:t>
      </w:r>
      <w:r w:rsidRPr="00BC17C4">
        <w:rPr>
          <w:rFonts w:ascii="Times New Roman" w:hAnsi="Times New Roman" w:cs="Times New Roman"/>
          <w:szCs w:val="22"/>
        </w:rPr>
        <w:t xml:space="preserve"> tis. eur, z toho v ústrednej správe </w:t>
      </w:r>
      <w:r>
        <w:rPr>
          <w:rFonts w:ascii="Times New Roman" w:hAnsi="Times New Roman" w:cs="Times New Roman"/>
          <w:szCs w:val="22"/>
        </w:rPr>
        <w:t>po eliminácií daňových príjmov od obchodných spoločností o 271 371</w:t>
      </w:r>
      <w:r w:rsidRPr="00BC17C4">
        <w:rPr>
          <w:rFonts w:ascii="Times New Roman" w:hAnsi="Times New Roman" w:cs="Times New Roman"/>
          <w:szCs w:val="22"/>
        </w:rPr>
        <w:t xml:space="preserve"> tis. eur.</w:t>
      </w:r>
    </w:p>
    <w:p w:rsidR="001D3593" w:rsidRPr="00BC17C4" w:rsidP="001D3593">
      <w:pPr>
        <w:pStyle w:val="Pismenka"/>
        <w:tabs>
          <w:tab w:val="clear" w:pos="426"/>
        </w:tabs>
        <w:bidi w:val="0"/>
        <w:spacing w:before="180" w:after="120" w:line="336" w:lineRule="auto"/>
        <w:ind w:left="0" w:firstLine="0"/>
        <w:rPr>
          <w:rFonts w:ascii="Times New Roman" w:hAnsi="Times New Roman"/>
          <w:b w:val="0"/>
          <w:bCs w:val="0"/>
          <w:sz w:val="22"/>
          <w:szCs w:val="22"/>
        </w:rPr>
      </w:pPr>
      <w:r w:rsidRPr="00BC17C4">
        <w:rPr>
          <w:rFonts w:ascii="Times New Roman" w:hAnsi="Times New Roman"/>
          <w:b w:val="0"/>
          <w:bCs w:val="0"/>
          <w:i/>
          <w:sz w:val="22"/>
          <w:szCs w:val="22"/>
          <w:u w:val="single"/>
        </w:rPr>
        <w:t>Finančné výnosy</w:t>
      </w:r>
      <w:r w:rsidRPr="00BC17C4">
        <w:rPr>
          <w:rFonts w:ascii="Times New Roman" w:hAnsi="Times New Roman"/>
          <w:b w:val="0"/>
          <w:bCs w:val="0"/>
          <w:sz w:val="22"/>
          <w:szCs w:val="22"/>
        </w:rPr>
        <w:t xml:space="preserve"> dosiahli </w:t>
      </w:r>
      <w:r w:rsidRPr="00BC17C4">
        <w:rPr>
          <w:rFonts w:ascii="Times New Roman" w:hAnsi="Times New Roman"/>
          <w:b w:val="0"/>
          <w:bCs w:val="0"/>
          <w:sz w:val="22"/>
          <w:szCs w:val="22"/>
          <w:lang w:val="sk-SK"/>
        </w:rPr>
        <w:t>1</w:t>
      </w:r>
      <w:r>
        <w:rPr>
          <w:rFonts w:ascii="Times New Roman" w:hAnsi="Times New Roman"/>
          <w:b w:val="0"/>
          <w:bCs w:val="0"/>
          <w:sz w:val="22"/>
          <w:szCs w:val="22"/>
          <w:lang w:val="sk-SK"/>
        </w:rPr>
        <w:t> 370 926</w:t>
      </w:r>
      <w:r w:rsidRPr="00BC17C4">
        <w:rPr>
          <w:rFonts w:ascii="Times New Roman" w:hAnsi="Times New Roman"/>
          <w:b w:val="0"/>
          <w:bCs w:val="0"/>
          <w:sz w:val="22"/>
          <w:szCs w:val="22"/>
          <w:lang w:val="sk-SK"/>
        </w:rPr>
        <w:t xml:space="preserve"> </w:t>
      </w:r>
      <w:r w:rsidRPr="00BC17C4">
        <w:rPr>
          <w:rFonts w:ascii="Times New Roman" w:hAnsi="Times New Roman"/>
          <w:b w:val="0"/>
          <w:bCs w:val="0"/>
          <w:sz w:val="22"/>
          <w:szCs w:val="22"/>
        </w:rPr>
        <w:t>tis. eur</w:t>
      </w:r>
      <w:r w:rsidRPr="00BC17C4">
        <w:rPr>
          <w:rFonts w:ascii="Times New Roman" w:hAnsi="Times New Roman"/>
          <w:b w:val="0"/>
          <w:bCs w:val="0"/>
          <w:sz w:val="22"/>
          <w:szCs w:val="22"/>
          <w:lang w:val="sk-SK"/>
        </w:rPr>
        <w:t xml:space="preserve"> (2013: 1 773 578 tis. eur) </w:t>
      </w:r>
      <w:r w:rsidRPr="00BC17C4">
        <w:rPr>
          <w:rFonts w:ascii="Times New Roman" w:hAnsi="Times New Roman"/>
          <w:b w:val="0"/>
          <w:bCs w:val="0"/>
          <w:sz w:val="22"/>
          <w:szCs w:val="22"/>
        </w:rPr>
        <w:t>a predstavujú ich hlavne výnosy z dlhodobého a krátkodobého finančného majetku v podobe podielov na zisku a dividend</w:t>
      </w:r>
      <w:r w:rsidRPr="00BC17C4">
        <w:rPr>
          <w:rFonts w:ascii="Times New Roman" w:hAnsi="Times New Roman"/>
          <w:b w:val="0"/>
          <w:bCs w:val="0"/>
          <w:sz w:val="22"/>
          <w:szCs w:val="22"/>
          <w:lang w:val="sk-SK"/>
        </w:rPr>
        <w:br/>
        <w:t>(</w:t>
      </w:r>
      <w:r>
        <w:rPr>
          <w:rFonts w:ascii="Times New Roman" w:hAnsi="Times New Roman"/>
          <w:b w:val="0"/>
          <w:bCs w:val="0"/>
          <w:sz w:val="22"/>
          <w:szCs w:val="22"/>
          <w:lang w:val="sk-SK"/>
        </w:rPr>
        <w:t>363 539</w:t>
      </w:r>
      <w:r w:rsidRPr="00BC17C4">
        <w:rPr>
          <w:rFonts w:ascii="Times New Roman" w:hAnsi="Times New Roman"/>
          <w:b w:val="0"/>
          <w:bCs w:val="0"/>
          <w:sz w:val="22"/>
          <w:szCs w:val="22"/>
          <w:lang w:val="sk-SK"/>
        </w:rPr>
        <w:t xml:space="preserve"> tis. eur), </w:t>
      </w:r>
      <w:r>
        <w:rPr>
          <w:rFonts w:ascii="Times New Roman" w:hAnsi="Times New Roman"/>
          <w:b w:val="0"/>
          <w:bCs w:val="0"/>
          <w:sz w:val="22"/>
          <w:szCs w:val="22"/>
          <w:lang w:val="sk-SK"/>
        </w:rPr>
        <w:t xml:space="preserve">podielu na výsledku hospodárenia všetkých pridružených účtovných jednotiek (354 824 tis. eur), </w:t>
      </w:r>
      <w:r w:rsidRPr="00BC17C4">
        <w:rPr>
          <w:rFonts w:ascii="Times New Roman" w:hAnsi="Times New Roman"/>
          <w:b w:val="0"/>
          <w:bCs w:val="0"/>
          <w:sz w:val="22"/>
          <w:szCs w:val="22"/>
        </w:rPr>
        <w:t>úrokové výnosy z finančných prostriedkov uložených na účtoch v komerčných bankách</w:t>
      </w:r>
      <w:r w:rsidRPr="00BC17C4">
        <w:rPr>
          <w:rFonts w:ascii="Times New Roman" w:hAnsi="Times New Roman"/>
          <w:b w:val="0"/>
          <w:bCs w:val="0"/>
          <w:sz w:val="22"/>
          <w:szCs w:val="22"/>
          <w:lang w:val="sk-SK"/>
        </w:rPr>
        <w:t xml:space="preserve"> a z poskytnutých úverov (241 185 tis. eur)</w:t>
      </w:r>
      <w:r w:rsidRPr="00BC17C4">
        <w:rPr>
          <w:rFonts w:ascii="Times New Roman" w:hAnsi="Times New Roman"/>
          <w:b w:val="0"/>
          <w:bCs w:val="0"/>
          <w:sz w:val="22"/>
          <w:szCs w:val="22"/>
        </w:rPr>
        <w:t>, kurzové rozdiely (</w:t>
      </w:r>
      <w:r w:rsidRPr="00BC17C4">
        <w:rPr>
          <w:rFonts w:ascii="Times New Roman" w:hAnsi="Times New Roman"/>
          <w:b w:val="0"/>
          <w:bCs w:val="0"/>
          <w:sz w:val="22"/>
          <w:szCs w:val="22"/>
          <w:lang w:val="sk-SK"/>
        </w:rPr>
        <w:t>187 698</w:t>
      </w:r>
      <w:r w:rsidRPr="00BC17C4">
        <w:rPr>
          <w:rFonts w:ascii="Times New Roman" w:hAnsi="Times New Roman"/>
          <w:b w:val="0"/>
          <w:bCs w:val="0"/>
          <w:sz w:val="22"/>
          <w:szCs w:val="22"/>
        </w:rPr>
        <w:t xml:space="preserve"> </w:t>
      </w:r>
      <w:r w:rsidRPr="00BC17C4">
        <w:rPr>
          <w:rFonts w:ascii="Times New Roman" w:hAnsi="Times New Roman"/>
          <w:b w:val="0"/>
          <w:bCs w:val="0"/>
          <w:sz w:val="22"/>
          <w:szCs w:val="22"/>
          <w:lang w:val="sk-SK"/>
        </w:rPr>
        <w:t>tis. eur), výnosy z osobitného odvodu vybraných finančných inštitúcií</w:t>
      </w:r>
      <w:r>
        <w:rPr>
          <w:rStyle w:val="FootnoteReference"/>
          <w:rFonts w:ascii="Times New Roman" w:eastAsia="Cambria" w:hAnsi="Times New Roman"/>
          <w:b w:val="0"/>
          <w:bCs w:val="0"/>
          <w:sz w:val="22"/>
          <w:rtl w:val="0"/>
          <w:lang w:val="sk-SK"/>
        </w:rPr>
        <w:footnoteReference w:id="20"/>
      </w:r>
      <w:r w:rsidRPr="00677C73">
        <w:rPr>
          <w:rFonts w:ascii="Times New Roman" w:hAnsi="Times New Roman"/>
          <w:b w:val="0"/>
          <w:bCs w:val="0"/>
          <w:sz w:val="22"/>
          <w:szCs w:val="22"/>
          <w:lang w:val="sk-SK"/>
        </w:rPr>
        <w:t xml:space="preserve"> </w:t>
      </w:r>
      <w:r w:rsidRPr="00BC17C4">
        <w:rPr>
          <w:rFonts w:ascii="Times New Roman" w:hAnsi="Times New Roman"/>
          <w:b w:val="0"/>
          <w:bCs w:val="0"/>
          <w:sz w:val="22"/>
          <w:szCs w:val="22"/>
          <w:lang w:val="sk-SK"/>
        </w:rPr>
        <w:t>(153 239 tis. eur).</w:t>
      </w:r>
      <w:r w:rsidRPr="00BC17C4">
        <w:rPr>
          <w:rFonts w:ascii="Times New Roman" w:hAnsi="Times New Roman"/>
          <w:b w:val="0"/>
          <w:bCs w:val="0"/>
          <w:sz w:val="22"/>
          <w:szCs w:val="22"/>
        </w:rPr>
        <w:t xml:space="preserve"> </w:t>
      </w:r>
    </w:p>
    <w:p w:rsidR="001D3593" w:rsidRPr="00BC17C4" w:rsidP="001D3593">
      <w:pPr>
        <w:bidi w:val="0"/>
        <w:spacing w:after="120" w:line="336" w:lineRule="auto"/>
        <w:jc w:val="both"/>
        <w:rPr>
          <w:rFonts w:ascii="Times New Roman" w:hAnsi="Times New Roman" w:cs="Times New Roman"/>
          <w:szCs w:val="22"/>
        </w:rPr>
      </w:pPr>
      <w:r w:rsidRPr="00BC17C4">
        <w:rPr>
          <w:rFonts w:ascii="Times New Roman" w:hAnsi="Times New Roman" w:cs="Times New Roman"/>
          <w:bCs/>
          <w:szCs w:val="22"/>
        </w:rPr>
        <w:t xml:space="preserve">V rámci celkových výnosov tvoria </w:t>
      </w:r>
      <w:r w:rsidRPr="00BC17C4">
        <w:rPr>
          <w:rFonts w:ascii="Times New Roman" w:hAnsi="Times New Roman" w:cs="Times New Roman"/>
          <w:bCs/>
          <w:i/>
          <w:szCs w:val="22"/>
          <w:u w:val="single"/>
        </w:rPr>
        <w:t>výnosy z transferov zo štátneho rozpočtu a rozpočtov obcí a vyšších územných celkov</w:t>
      </w:r>
      <w:r w:rsidRPr="00BC17C4">
        <w:rPr>
          <w:rFonts w:ascii="Times New Roman" w:hAnsi="Times New Roman" w:cs="Times New Roman"/>
          <w:bCs/>
          <w:szCs w:val="22"/>
        </w:rPr>
        <w:t xml:space="preserve"> hodnotu 4 629 929 tis. eur, medziročne sú vyššie o 54 709 tis. eur. Predmetom eliminácií boli transfery v rámci ústrednej správy a čiastočne v rámci územnej samosprávy. Výnosy z transferov predstavujú použitie prijatých bežných transferov (nákup materiálu, spotrebované služby a energie, mzdy a podobne) a kapitálových transferov (odpisy majetku) prostredníctvom nákladov. </w:t>
      </w:r>
    </w:p>
    <w:p w:rsidR="007A3FF8">
      <w:pPr>
        <w:bidi w:val="0"/>
        <w:rPr>
          <w:rFonts w:ascii="Times New Roman" w:hAnsi="Times New Roman" w:cs="Times New Roman"/>
          <w:szCs w:val="22"/>
        </w:rPr>
        <w:sectPr w:rsidSect="00651A0E">
          <w:footerReference w:type="default" r:id="rId13"/>
          <w:pgSz w:w="11906" w:h="16838" w:code="9"/>
          <w:pgMar w:top="1418" w:right="1134" w:bottom="1418" w:left="1134" w:header="709" w:footer="709" w:gutter="567"/>
          <w:lnNumType w:distance="0"/>
          <w:pgNumType w:start="1"/>
          <w:cols w:space="708"/>
          <w:noEndnote w:val="0"/>
          <w:bidi w:val="0"/>
          <w:docGrid w:linePitch="360"/>
        </w:sectPr>
      </w:pPr>
      <w:bookmarkStart w:id="229" w:name="_Toc370908644"/>
      <w:bookmarkStart w:id="230" w:name="_Toc401920038"/>
      <w:r>
        <w:rPr>
          <w:rFonts w:ascii="Times New Roman" w:hAnsi="Times New Roman" w:cs="Times New Roman"/>
          <w:szCs w:val="22"/>
        </w:rPr>
        <w:br w:type="page"/>
      </w:r>
    </w:p>
    <w:p w:rsidR="00352012" w:rsidRPr="00352012" w:rsidP="0009732B">
      <w:pPr>
        <w:pStyle w:val="Heading1"/>
        <w:numPr>
          <w:numId w:val="0"/>
        </w:numPr>
        <w:bidi w:val="0"/>
        <w:ind w:left="714" w:hanging="714"/>
        <w:rPr>
          <w:rFonts w:eastAsiaTheme="minorHAnsi"/>
          <w:sz w:val="22"/>
          <w:szCs w:val="22"/>
        </w:rPr>
      </w:pPr>
      <w:bookmarkStart w:id="231" w:name="_Toc433099608"/>
      <w:r w:rsidRPr="00352012">
        <w:rPr>
          <w:rFonts w:hint="default"/>
        </w:rPr>
        <w:t>Zoznam skratiek ná</w:t>
      </w:r>
      <w:r w:rsidRPr="00352012">
        <w:rPr>
          <w:rFonts w:hint="default"/>
        </w:rPr>
        <w:t>zvov a zá</w:t>
      </w:r>
      <w:r w:rsidRPr="00352012">
        <w:rPr>
          <w:rFonts w:hint="default"/>
        </w:rPr>
        <w:t>konov</w:t>
      </w:r>
      <w:bookmarkEnd w:id="229"/>
      <w:bookmarkEnd w:id="230"/>
      <w:bookmarkEnd w:id="231"/>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CKS</w:t>
      </w:r>
      <w:r w:rsidRPr="00352012">
        <w:rPr>
          <w:rFonts w:ascii="Times New Roman" w:hAnsi="Times New Roman"/>
          <w:szCs w:val="22"/>
        </w:rPr>
        <w:t xml:space="preserve"> – Centrálny konsolidačný systém </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DPH</w:t>
      </w:r>
      <w:r w:rsidRPr="00352012">
        <w:rPr>
          <w:rFonts w:ascii="Times New Roman" w:hAnsi="Times New Roman"/>
          <w:szCs w:val="22"/>
        </w:rPr>
        <w:t xml:space="preserve"> – daň z pridanej hodnoty</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EFSF</w:t>
      </w:r>
      <w:r w:rsidRPr="00352012">
        <w:rPr>
          <w:rFonts w:ascii="Times New Roman" w:hAnsi="Times New Roman"/>
          <w:szCs w:val="22"/>
        </w:rPr>
        <w:t xml:space="preserve"> – Európsky nástroj finančnej stability </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ESM</w:t>
      </w:r>
      <w:r w:rsidRPr="00352012">
        <w:rPr>
          <w:rFonts w:ascii="Times New Roman" w:hAnsi="Times New Roman"/>
          <w:szCs w:val="22"/>
        </w:rPr>
        <w:t xml:space="preserve"> – Európsky mechanizmus pre stabilitu</w:t>
      </w:r>
      <w:r w:rsidRPr="00352012">
        <w:rPr>
          <w:rFonts w:ascii="Times New Roman" w:hAnsi="Times New Roman"/>
          <w:b/>
          <w:szCs w:val="22"/>
        </w:rPr>
        <w:t xml:space="preserve"> </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ESA 95, ESA 2010</w:t>
      </w:r>
      <w:r w:rsidRPr="00352012">
        <w:rPr>
          <w:rFonts w:ascii="Times New Roman" w:hAnsi="Times New Roman"/>
          <w:szCs w:val="22"/>
        </w:rPr>
        <w:t xml:space="preserve"> - Európsky systém národných a regionálnych účtov 1995, resp. 2010</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EUROSTAT</w:t>
      </w:r>
      <w:r w:rsidRPr="00352012">
        <w:rPr>
          <w:rFonts w:ascii="Times New Roman" w:hAnsi="Times New Roman"/>
          <w:szCs w:val="22"/>
        </w:rPr>
        <w:t xml:space="preserve"> – Štatistický úrad Európskeho spoločenstva </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FNM SR</w:t>
      </w:r>
      <w:r w:rsidRPr="00352012">
        <w:rPr>
          <w:rFonts w:ascii="Times New Roman" w:hAnsi="Times New Roman"/>
          <w:szCs w:val="22"/>
        </w:rPr>
        <w:t xml:space="preserve"> – Fond národného majetku Slovenskej republiky</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GNI</w:t>
      </w:r>
      <w:r w:rsidRPr="00352012">
        <w:rPr>
          <w:rFonts w:ascii="Times New Roman" w:hAnsi="Times New Roman"/>
          <w:szCs w:val="22"/>
        </w:rPr>
        <w:t xml:space="preserve"> – Hrubý národný príjem</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HDP</w:t>
      </w:r>
      <w:r w:rsidRPr="00352012">
        <w:rPr>
          <w:rFonts w:ascii="Times New Roman" w:hAnsi="Times New Roman"/>
          <w:szCs w:val="22"/>
        </w:rPr>
        <w:t xml:space="preserve"> – hrubý domáci produkt</w:t>
      </w:r>
    </w:p>
    <w:p w:rsidR="00352012" w:rsidRPr="00352012" w:rsidP="00352012">
      <w:pPr>
        <w:bidi w:val="0"/>
        <w:spacing w:after="120" w:line="312" w:lineRule="auto"/>
        <w:rPr>
          <w:rFonts w:ascii="Times New Roman" w:hAnsi="Times New Roman"/>
          <w:szCs w:val="22"/>
        </w:rPr>
      </w:pPr>
      <w:r w:rsidRPr="00352012">
        <w:rPr>
          <w:rFonts w:ascii="Times New Roman" w:hAnsi="Times New Roman"/>
          <w:b/>
          <w:szCs w:val="22"/>
        </w:rPr>
        <w:t>IPSAS</w:t>
      </w:r>
      <w:r w:rsidRPr="00352012">
        <w:rPr>
          <w:rFonts w:ascii="Times New Roman" w:hAnsi="Times New Roman"/>
          <w:szCs w:val="22"/>
        </w:rPr>
        <w:t xml:space="preserve"> - Medzinárodné účtovné štandardy pre verejný sektor</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KÚZ</w:t>
      </w:r>
      <w:r w:rsidRPr="00352012">
        <w:rPr>
          <w:rFonts w:ascii="Times New Roman" w:hAnsi="Times New Roman"/>
          <w:szCs w:val="22"/>
        </w:rPr>
        <w:t xml:space="preserve"> – konsolidovaná účtovná závierka</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MF</w:t>
      </w:r>
      <w:r w:rsidRPr="00352012">
        <w:rPr>
          <w:rFonts w:ascii="Times New Roman" w:hAnsi="Times New Roman"/>
          <w:szCs w:val="22"/>
        </w:rPr>
        <w:t> </w:t>
      </w:r>
      <w:r w:rsidRPr="00352012">
        <w:rPr>
          <w:rFonts w:ascii="Times New Roman" w:hAnsi="Times New Roman"/>
          <w:b/>
          <w:szCs w:val="22"/>
        </w:rPr>
        <w:t>SR</w:t>
      </w:r>
      <w:r w:rsidRPr="00352012">
        <w:rPr>
          <w:rFonts w:ascii="Times New Roman" w:hAnsi="Times New Roman"/>
          <w:szCs w:val="22"/>
        </w:rPr>
        <w:t xml:space="preserve"> – Ministerstvo financií Slovenskej republiky</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MMF</w:t>
      </w:r>
      <w:r w:rsidRPr="00352012">
        <w:rPr>
          <w:rFonts w:ascii="Times New Roman" w:hAnsi="Times New Roman"/>
          <w:szCs w:val="22"/>
        </w:rPr>
        <w:t xml:space="preserve"> – Medzinárodný menový fond</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OECD</w:t>
      </w:r>
      <w:r w:rsidRPr="00352012">
        <w:rPr>
          <w:rFonts w:ascii="Times New Roman" w:hAnsi="Times New Roman"/>
          <w:szCs w:val="22"/>
        </w:rPr>
        <w:t xml:space="preserve"> – Organizácia pre hospodársku spoluprácu a rozvoj</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OS</w:t>
      </w:r>
      <w:r w:rsidRPr="00352012">
        <w:rPr>
          <w:rFonts w:ascii="Times New Roman" w:hAnsi="Times New Roman"/>
          <w:szCs w:val="22"/>
        </w:rPr>
        <w:t xml:space="preserve"> – obchodné spoločnosti</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OSN</w:t>
      </w:r>
      <w:r w:rsidRPr="00352012">
        <w:rPr>
          <w:rFonts w:ascii="Times New Roman" w:hAnsi="Times New Roman"/>
          <w:szCs w:val="22"/>
        </w:rPr>
        <w:t xml:space="preserve"> – Organizácia spojených národov</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 xml:space="preserve">PPP </w:t>
      </w:r>
      <w:r w:rsidRPr="00352012">
        <w:rPr>
          <w:rFonts w:ascii="Times New Roman" w:hAnsi="Times New Roman"/>
          <w:szCs w:val="22"/>
        </w:rPr>
        <w:t>– projekt verejno-súkromného partnerstva</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PO</w:t>
      </w:r>
      <w:r w:rsidRPr="00352012">
        <w:rPr>
          <w:rFonts w:ascii="Times New Roman" w:hAnsi="Times New Roman"/>
          <w:szCs w:val="22"/>
        </w:rPr>
        <w:t xml:space="preserve"> – príspevkové organizácie</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RO</w:t>
      </w:r>
      <w:r w:rsidRPr="00352012">
        <w:rPr>
          <w:rFonts w:ascii="Times New Roman" w:hAnsi="Times New Roman"/>
          <w:szCs w:val="22"/>
        </w:rPr>
        <w:t xml:space="preserve"> – rozpočtové organizácie</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SVS</w:t>
      </w:r>
      <w:r w:rsidRPr="00352012">
        <w:rPr>
          <w:rFonts w:ascii="Times New Roman" w:hAnsi="Times New Roman"/>
          <w:szCs w:val="22"/>
        </w:rPr>
        <w:t xml:space="preserve"> – Súhrnná výročná správa SR</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SZČO</w:t>
      </w:r>
      <w:r w:rsidRPr="00352012">
        <w:rPr>
          <w:rFonts w:ascii="Times New Roman" w:hAnsi="Times New Roman"/>
          <w:szCs w:val="22"/>
        </w:rPr>
        <w:t xml:space="preserve"> – samostatne zárobkovo činná osoba</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ŠÚ</w:t>
      </w:r>
      <w:r w:rsidRPr="00352012">
        <w:rPr>
          <w:rFonts w:ascii="Times New Roman" w:hAnsi="Times New Roman"/>
          <w:szCs w:val="22"/>
        </w:rPr>
        <w:t> </w:t>
      </w:r>
      <w:r w:rsidRPr="00352012">
        <w:rPr>
          <w:rFonts w:ascii="Times New Roman" w:hAnsi="Times New Roman"/>
          <w:b/>
          <w:szCs w:val="22"/>
        </w:rPr>
        <w:t>SR</w:t>
      </w:r>
      <w:r w:rsidRPr="00352012">
        <w:rPr>
          <w:rFonts w:ascii="Times New Roman" w:hAnsi="Times New Roman"/>
          <w:szCs w:val="22"/>
        </w:rPr>
        <w:t xml:space="preserve"> – Štatistický úrad Slovenskej republiky</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 xml:space="preserve">ŠZÚ </w:t>
      </w:r>
      <w:r w:rsidRPr="00352012">
        <w:rPr>
          <w:rFonts w:ascii="Times New Roman" w:hAnsi="Times New Roman"/>
          <w:szCs w:val="22"/>
        </w:rPr>
        <w:t>– Štátny záverečný účet SR</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 xml:space="preserve">ÚJ </w:t>
      </w:r>
      <w:r w:rsidRPr="00352012">
        <w:rPr>
          <w:rFonts w:ascii="Times New Roman" w:hAnsi="Times New Roman"/>
          <w:szCs w:val="22"/>
        </w:rPr>
        <w:t>– účtovná jednotka</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VÚC</w:t>
      </w:r>
      <w:r w:rsidRPr="00352012">
        <w:rPr>
          <w:rFonts w:ascii="Times New Roman" w:hAnsi="Times New Roman"/>
          <w:szCs w:val="22"/>
        </w:rPr>
        <w:t xml:space="preserve"> – vyššie územné celky</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ústavný zákon o rozpočtovej zodpovednosti</w:t>
      </w:r>
      <w:r w:rsidRPr="00352012">
        <w:rPr>
          <w:rFonts w:ascii="Times New Roman" w:hAnsi="Times New Roman"/>
          <w:szCs w:val="22"/>
        </w:rPr>
        <w:t xml:space="preserve"> - ústavný zákon č. 493/2011 Z. z. o rozpočtovej zodpovednosti</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zákon o rozpočtových pravidlách verejnej správy (rozpočtové pravidlá</w:t>
      </w:r>
      <w:r w:rsidRPr="00352012">
        <w:rPr>
          <w:rFonts w:ascii="Times New Roman" w:hAnsi="Times New Roman"/>
          <w:szCs w:val="22"/>
        </w:rPr>
        <w:t>) - zákon č. 523/2004 Z. z. o rozpočtových pravidlách verejnej správy a o zmene a doplnení niektorých zákonov v znení neskorších predpisov</w:t>
      </w:r>
    </w:p>
    <w:p w:rsidR="00352012" w:rsidRPr="00352012" w:rsidP="00352012">
      <w:pPr>
        <w:bidi w:val="0"/>
        <w:spacing w:after="120" w:line="312" w:lineRule="auto"/>
        <w:jc w:val="both"/>
        <w:rPr>
          <w:rFonts w:ascii="Times New Roman" w:hAnsi="Times New Roman"/>
          <w:szCs w:val="22"/>
        </w:rPr>
      </w:pPr>
      <w:r w:rsidRPr="00352012">
        <w:rPr>
          <w:rFonts w:ascii="Times New Roman" w:hAnsi="Times New Roman"/>
          <w:b/>
          <w:szCs w:val="22"/>
        </w:rPr>
        <w:t>zákon o účtovníctve</w:t>
      </w:r>
      <w:r w:rsidRPr="00352012">
        <w:rPr>
          <w:rFonts w:ascii="Times New Roman" w:hAnsi="Times New Roman"/>
          <w:szCs w:val="22"/>
        </w:rPr>
        <w:t xml:space="preserve"> - Zákon č. 431/2002 Z. z. o účtovníctve v znení neskorších predpisov</w:t>
      </w:r>
    </w:p>
    <w:p w:rsidR="00352012" w:rsidRPr="00352012" w:rsidP="00352012">
      <w:pPr>
        <w:bidi w:val="0"/>
        <w:spacing w:after="120" w:line="312" w:lineRule="auto"/>
        <w:jc w:val="both"/>
        <w:rPr>
          <w:rFonts w:ascii="Times New Roman" w:hAnsi="Times New Roman"/>
          <w:bCs/>
          <w:szCs w:val="22"/>
        </w:rPr>
      </w:pPr>
      <w:r w:rsidRPr="00352012">
        <w:rPr>
          <w:rFonts w:ascii="Times New Roman" w:hAnsi="Times New Roman"/>
          <w:b/>
          <w:szCs w:val="22"/>
        </w:rPr>
        <w:t xml:space="preserve">zákon </w:t>
      </w:r>
      <w:r w:rsidRPr="00352012">
        <w:rPr>
          <w:rFonts w:ascii="Times New Roman" w:hAnsi="Times New Roman"/>
          <w:b/>
          <w:bCs/>
          <w:szCs w:val="22"/>
        </w:rPr>
        <w:t>o organizácii vlády a ústrednej štátnej správy</w:t>
      </w:r>
      <w:r w:rsidRPr="00352012">
        <w:rPr>
          <w:rFonts w:ascii="Times New Roman" w:hAnsi="Times New Roman"/>
          <w:bCs/>
          <w:szCs w:val="22"/>
        </w:rPr>
        <w:t xml:space="preserve"> - </w:t>
      </w:r>
      <w:r w:rsidRPr="00352012">
        <w:rPr>
          <w:rFonts w:ascii="Times New Roman" w:hAnsi="Times New Roman"/>
          <w:szCs w:val="22"/>
        </w:rPr>
        <w:t xml:space="preserve">zákon č. </w:t>
      </w:r>
      <w:r w:rsidRPr="00352012">
        <w:rPr>
          <w:rFonts w:ascii="Times New Roman" w:hAnsi="Times New Roman"/>
          <w:bCs/>
          <w:szCs w:val="22"/>
        </w:rPr>
        <w:t>575/2001 Z. z. o organizácii činnosti vlády a organizácii ústrednej štátnej správy v znení neskorších predpisov</w:t>
      </w:r>
    </w:p>
    <w:p w:rsidR="00352012" w:rsidRPr="00352012" w:rsidP="00352012">
      <w:pPr>
        <w:bidi w:val="0"/>
        <w:spacing w:after="120" w:line="312" w:lineRule="auto"/>
        <w:jc w:val="both"/>
        <w:rPr>
          <w:rFonts w:ascii="Times New Roman" w:hAnsi="Times New Roman"/>
          <w:bCs/>
          <w:szCs w:val="22"/>
        </w:rPr>
      </w:pPr>
      <w:r w:rsidRPr="00352012">
        <w:rPr>
          <w:rFonts w:ascii="Times New Roman" w:hAnsi="Times New Roman"/>
          <w:b/>
          <w:szCs w:val="22"/>
        </w:rPr>
        <w:t xml:space="preserve">zákon </w:t>
      </w:r>
      <w:r w:rsidRPr="00352012">
        <w:rPr>
          <w:rFonts w:ascii="Times New Roman" w:hAnsi="Times New Roman"/>
          <w:b/>
          <w:bCs/>
          <w:szCs w:val="22"/>
        </w:rPr>
        <w:t>o obecnom zriadení</w:t>
      </w:r>
      <w:r w:rsidRPr="00352012">
        <w:rPr>
          <w:rFonts w:ascii="Times New Roman" w:hAnsi="Times New Roman"/>
          <w:bCs/>
          <w:szCs w:val="22"/>
        </w:rPr>
        <w:t xml:space="preserve"> - </w:t>
      </w:r>
      <w:r w:rsidRPr="00352012">
        <w:rPr>
          <w:rFonts w:ascii="Times New Roman" w:hAnsi="Times New Roman"/>
          <w:szCs w:val="22"/>
        </w:rPr>
        <w:t xml:space="preserve">zákon </w:t>
      </w:r>
      <w:r w:rsidRPr="00352012">
        <w:rPr>
          <w:rFonts w:ascii="Times New Roman" w:hAnsi="Times New Roman"/>
          <w:bCs/>
          <w:szCs w:val="22"/>
        </w:rPr>
        <w:t>Slovenskej národnej rady č. 369/</w:t>
      </w:r>
      <w:r w:rsidRPr="00352012">
        <w:rPr>
          <w:rFonts w:ascii="Times New Roman" w:hAnsi="Times New Roman"/>
          <w:szCs w:val="22"/>
        </w:rPr>
        <w:t xml:space="preserve">1990 Zb. </w:t>
      </w:r>
      <w:r w:rsidRPr="00352012">
        <w:rPr>
          <w:rFonts w:ascii="Times New Roman" w:hAnsi="Times New Roman"/>
          <w:bCs/>
          <w:szCs w:val="22"/>
        </w:rPr>
        <w:t>o obecnom zriadení v znení neskorších predpisov</w:t>
      </w:r>
    </w:p>
    <w:p w:rsidR="00352012" w:rsidRPr="00352012" w:rsidP="00352012">
      <w:pPr>
        <w:bidi w:val="0"/>
        <w:spacing w:after="120" w:line="312" w:lineRule="auto"/>
        <w:jc w:val="both"/>
        <w:rPr>
          <w:rFonts w:ascii="Times New Roman" w:hAnsi="Times New Roman"/>
          <w:bCs/>
          <w:szCs w:val="22"/>
        </w:rPr>
      </w:pPr>
      <w:r w:rsidRPr="00352012">
        <w:rPr>
          <w:rFonts w:ascii="Times New Roman" w:hAnsi="Times New Roman"/>
          <w:b/>
          <w:bCs/>
          <w:szCs w:val="22"/>
        </w:rPr>
        <w:t>zákon o samosprávnych krajoch</w:t>
      </w:r>
      <w:r w:rsidRPr="00352012">
        <w:rPr>
          <w:rFonts w:ascii="Times New Roman" w:hAnsi="Times New Roman"/>
          <w:bCs/>
          <w:szCs w:val="22"/>
        </w:rPr>
        <w:t xml:space="preserve"> - zákon č. 302/2001 Z. z. o samospráve vyšších územných celkov v znení neskorších predpisov</w:t>
      </w:r>
    </w:p>
    <w:p w:rsidR="00352012" w:rsidRPr="00352012" w:rsidP="00352012">
      <w:pPr>
        <w:bidi w:val="0"/>
        <w:spacing w:after="120" w:line="312" w:lineRule="auto"/>
        <w:jc w:val="both"/>
        <w:rPr>
          <w:rFonts w:ascii="Times New Roman" w:hAnsi="Times New Roman"/>
          <w:bCs/>
          <w:szCs w:val="22"/>
        </w:rPr>
      </w:pPr>
      <w:r w:rsidRPr="00352012">
        <w:rPr>
          <w:rFonts w:ascii="Times New Roman" w:hAnsi="Times New Roman"/>
          <w:b/>
          <w:szCs w:val="22"/>
        </w:rPr>
        <w:t>zákon o Sociálnej poisťovni</w:t>
      </w:r>
      <w:r w:rsidRPr="00352012">
        <w:rPr>
          <w:rFonts w:ascii="Times New Roman" w:hAnsi="Times New Roman"/>
          <w:szCs w:val="22"/>
        </w:rPr>
        <w:t xml:space="preserve"> </w:t>
      </w:r>
      <w:r w:rsidRPr="00352012">
        <w:rPr>
          <w:rFonts w:ascii="Times New Roman" w:hAnsi="Times New Roman"/>
          <w:bCs/>
          <w:szCs w:val="22"/>
        </w:rPr>
        <w:t xml:space="preserve">– </w:t>
      </w:r>
      <w:r w:rsidRPr="00352012">
        <w:rPr>
          <w:rFonts w:ascii="Times New Roman" w:hAnsi="Times New Roman"/>
          <w:szCs w:val="22"/>
        </w:rPr>
        <w:t xml:space="preserve">zákon č. 274/1994 Z. z. o Sociálnej poisťovni </w:t>
      </w:r>
      <w:r w:rsidRPr="00352012">
        <w:rPr>
          <w:rFonts w:ascii="Times New Roman" w:hAnsi="Times New Roman"/>
          <w:bCs/>
          <w:szCs w:val="22"/>
        </w:rPr>
        <w:t>v znení neskorších predpisov</w:t>
      </w:r>
    </w:p>
    <w:p w:rsidR="00352012" w:rsidRPr="00352012" w:rsidP="00352012">
      <w:pPr>
        <w:bidi w:val="0"/>
        <w:spacing w:after="120" w:line="312" w:lineRule="auto"/>
        <w:jc w:val="both"/>
        <w:rPr>
          <w:rFonts w:ascii="Times New Roman" w:hAnsi="Times New Roman"/>
          <w:bCs/>
          <w:szCs w:val="22"/>
        </w:rPr>
      </w:pPr>
      <w:r w:rsidRPr="00352012">
        <w:rPr>
          <w:rFonts w:ascii="Times New Roman" w:hAnsi="Times New Roman"/>
          <w:b/>
          <w:szCs w:val="22"/>
        </w:rPr>
        <w:t xml:space="preserve">zákon </w:t>
      </w:r>
      <w:r w:rsidRPr="00352012">
        <w:rPr>
          <w:rFonts w:ascii="Times New Roman" w:hAnsi="Times New Roman"/>
          <w:b/>
          <w:bCs/>
          <w:szCs w:val="22"/>
        </w:rPr>
        <w:t>o zdravotných poisťovniach</w:t>
      </w:r>
      <w:r w:rsidRPr="00352012">
        <w:rPr>
          <w:rFonts w:ascii="Times New Roman" w:hAnsi="Times New Roman"/>
          <w:bCs/>
          <w:szCs w:val="22"/>
        </w:rPr>
        <w:t xml:space="preserve"> - </w:t>
      </w:r>
      <w:r w:rsidRPr="00352012">
        <w:rPr>
          <w:rFonts w:ascii="Times New Roman" w:hAnsi="Times New Roman"/>
          <w:szCs w:val="22"/>
        </w:rPr>
        <w:t xml:space="preserve">zákon č. </w:t>
      </w:r>
      <w:r w:rsidRPr="00352012">
        <w:rPr>
          <w:rFonts w:ascii="Times New Roman" w:hAnsi="Times New Roman"/>
          <w:bCs/>
          <w:szCs w:val="22"/>
        </w:rPr>
        <w:t>581/</w:t>
      </w:r>
      <w:r w:rsidRPr="00352012">
        <w:rPr>
          <w:rFonts w:ascii="Times New Roman" w:hAnsi="Times New Roman"/>
          <w:szCs w:val="22"/>
        </w:rPr>
        <w:t xml:space="preserve">2004 Z. z. </w:t>
      </w:r>
      <w:r w:rsidRPr="00352012">
        <w:rPr>
          <w:rFonts w:ascii="Times New Roman" w:hAnsi="Times New Roman"/>
          <w:bCs/>
          <w:szCs w:val="22"/>
        </w:rPr>
        <w:t>o zdravotných poisťovniach, dohľade nad zdravotnou starostlivosťou a o zmene a doplnení niektorých zákonov v znení neskorších predpisov</w:t>
      </w:r>
    </w:p>
    <w:p w:rsidR="00352012" w:rsidRPr="00352012" w:rsidP="00352012">
      <w:pPr>
        <w:bidi w:val="0"/>
        <w:spacing w:after="120" w:line="312" w:lineRule="auto"/>
        <w:jc w:val="both"/>
        <w:rPr>
          <w:rFonts w:ascii="Times New Roman" w:hAnsi="Times New Roman"/>
          <w:bCs/>
          <w:szCs w:val="22"/>
        </w:rPr>
      </w:pPr>
      <w:r w:rsidRPr="00352012">
        <w:rPr>
          <w:rFonts w:ascii="Times New Roman" w:hAnsi="Times New Roman"/>
          <w:b/>
          <w:bCs/>
          <w:szCs w:val="22"/>
        </w:rPr>
        <w:t>zákon o audítoroch</w:t>
      </w:r>
      <w:r w:rsidRPr="00352012">
        <w:rPr>
          <w:rFonts w:ascii="Times New Roman" w:hAnsi="Times New Roman"/>
          <w:bCs/>
          <w:szCs w:val="22"/>
        </w:rPr>
        <w:t xml:space="preserve"> - </w:t>
      </w:r>
      <w:r w:rsidRPr="00352012">
        <w:rPr>
          <w:rFonts w:ascii="Times New Roman" w:hAnsi="Times New Roman"/>
          <w:szCs w:val="22"/>
        </w:rPr>
        <w:t xml:space="preserve">zákon č. 540/2007 Z. z. </w:t>
      </w:r>
      <w:r w:rsidRPr="00352012">
        <w:rPr>
          <w:rFonts w:ascii="Times New Roman" w:hAnsi="Times New Roman"/>
          <w:bCs/>
          <w:szCs w:val="22"/>
        </w:rPr>
        <w:t>o audítoroch, audite a dohľade nad výkonom auditu a o zmene a doplnení zákona č.431/2002 Z. z. o účtovníctve v znení neskorších predpisov</w:t>
      </w:r>
    </w:p>
    <w:p w:rsidR="007A3FF8">
      <w:pPr>
        <w:bidi w:val="0"/>
        <w:rPr>
          <w:szCs w:val="22"/>
        </w:rPr>
      </w:pPr>
      <w:r>
        <w:rPr>
          <w:szCs w:val="22"/>
        </w:rPr>
        <w:br w:type="page"/>
      </w:r>
    </w:p>
    <w:p w:rsidR="007A3FF8" w:rsidP="007A3FF8">
      <w:pPr>
        <w:bidi w:val="0"/>
        <w:rPr>
          <w:rFonts w:ascii="Times New Roman" w:hAnsi="Times New Roman" w:eastAsiaTheme="majorEastAsia" w:cs="Times New Roman"/>
          <w:b/>
          <w:bCs/>
          <w:sz w:val="26"/>
          <w:szCs w:val="22"/>
        </w:rPr>
        <w:sectPr w:rsidSect="00651A0E">
          <w:pgSz w:w="11906" w:h="16838" w:code="9"/>
          <w:pgMar w:top="1418" w:right="1134" w:bottom="1418" w:left="1134" w:header="709" w:footer="709" w:gutter="567"/>
          <w:lnNumType w:distance="0"/>
          <w:cols w:num="2" w:space="708"/>
          <w:noEndnote w:val="0"/>
          <w:bidi w:val="0"/>
          <w:docGrid w:linePitch="360"/>
        </w:sectPr>
      </w:pPr>
    </w:p>
    <w:p w:rsidR="007A3FF8" w:rsidP="007A3FF8">
      <w:pPr>
        <w:pStyle w:val="Heading1"/>
        <w:numPr>
          <w:numId w:val="0"/>
        </w:numPr>
        <w:bidi w:val="0"/>
        <w:ind w:firstLine="0"/>
      </w:pPr>
      <w:bookmarkStart w:id="232" w:name="_Toc370908645"/>
      <w:bookmarkStart w:id="233" w:name="_Toc401920039"/>
      <w:bookmarkStart w:id="234" w:name="_Toc433099609"/>
      <w:r>
        <w:rPr>
          <w:rFonts w:hint="default"/>
        </w:rPr>
        <w:t>Slovní</w:t>
      </w:r>
      <w:r>
        <w:rPr>
          <w:rFonts w:hint="default"/>
        </w:rPr>
        <w:t>k odborný</w:t>
      </w:r>
      <w:r>
        <w:rPr>
          <w:rFonts w:hint="default"/>
        </w:rPr>
        <w:t xml:space="preserve">ch </w:t>
      </w:r>
      <w:r w:rsidRPr="00F42474">
        <w:t>pojmov</w:t>
      </w:r>
      <w:bookmarkEnd w:id="232"/>
      <w:bookmarkEnd w:id="233"/>
      <w:bookmarkEnd w:id="234"/>
    </w:p>
    <w:p w:rsidR="007A3FF8" w:rsidRPr="009058FC" w:rsidP="007A3FF8">
      <w:pPr>
        <w:pStyle w:val="Heading1"/>
        <w:bidi w:val="0"/>
        <w:ind w:left="714" w:hanging="357"/>
        <w:sectPr w:rsidSect="00651A0E">
          <w:pgSz w:w="11906" w:h="16838" w:code="9"/>
          <w:pgMar w:top="1418" w:right="1134" w:bottom="1418" w:left="1134" w:header="709" w:footer="709" w:gutter="567"/>
          <w:lnNumType w:distance="0"/>
          <w:cols w:num="2" w:space="708"/>
          <w:noEndnote w:val="0"/>
          <w:bidi w:val="0"/>
          <w:docGrid w:linePitch="360"/>
        </w:sectPr>
      </w:pPr>
    </w:p>
    <w:tbl>
      <w:tblPr>
        <w:tblStyle w:val="TableNormal"/>
        <w:tblW w:w="0" w:type="auto"/>
        <w:tblInd w:w="0" w:type="dxa"/>
        <w:tblCellMar>
          <w:top w:w="0" w:type="dxa"/>
          <w:left w:w="108" w:type="dxa"/>
          <w:bottom w:w="0" w:type="dxa"/>
          <w:right w:w="108" w:type="dxa"/>
        </w:tblCellMar>
        <w:tblLook w:val="04A0"/>
      </w:tblPr>
      <w:tblGrid>
        <w:gridCol w:w="9212"/>
      </w:tblGrid>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center"/>
          </w:tcPr>
          <w:p w:rsidR="007A3FF8" w:rsidRPr="009058FC" w:rsidP="004B7DC7">
            <w:pPr>
              <w:bidi w:val="0"/>
              <w:spacing w:after="0" w:line="312" w:lineRule="auto"/>
              <w:rPr>
                <w:rFonts w:ascii="Times New Roman" w:hAnsi="Times New Roman" w:cs="Times New Roman"/>
                <w:b/>
                <w:szCs w:val="22"/>
                <w:lang w:eastAsia="sk-SK"/>
              </w:rPr>
            </w:pPr>
            <w:r w:rsidRPr="009058FC">
              <w:rPr>
                <w:rFonts w:ascii="Times New Roman" w:hAnsi="Times New Roman" w:cs="Times New Roman"/>
                <w:b/>
                <w:szCs w:val="22"/>
                <w:lang w:eastAsia="sk-SK"/>
              </w:rPr>
              <w:t xml:space="preserve">1. kapitola: Hospodárenie verejnej správy v metodike ESA </w:t>
            </w:r>
            <w:r>
              <w:rPr>
                <w:rFonts w:ascii="Times New Roman" w:hAnsi="Times New Roman" w:cs="Times New Roman"/>
                <w:b/>
                <w:szCs w:val="22"/>
                <w:lang w:eastAsia="sk-SK"/>
              </w:rPr>
              <w:t>2010</w:t>
            </w:r>
            <w:r w:rsidRPr="009058FC">
              <w:rPr>
                <w:rFonts w:ascii="Times New Roman" w:hAnsi="Times New Roman" w:cs="Times New Roman"/>
                <w:b/>
                <w:szCs w:val="22"/>
                <w:lang w:eastAsia="sk-SK"/>
              </w:rPr>
              <w:t xml:space="preserve"> </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center"/>
          </w:tcPr>
          <w:p w:rsidR="007A3FF8" w:rsidRPr="009058FC" w:rsidP="004B7DC7">
            <w:pPr>
              <w:autoSpaceDE w:val="0"/>
              <w:autoSpaceDN w:val="0"/>
              <w:bidi w:val="0"/>
              <w:adjustRightInd w:val="0"/>
              <w:spacing w:before="240"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Súhrnná výročná správa SR</w:t>
            </w:r>
            <w:r w:rsidRPr="009058FC">
              <w:rPr>
                <w:rFonts w:ascii="Times New Roman" w:hAnsi="Times New Roman" w:cs="Times New Roman"/>
                <w:szCs w:val="22"/>
                <w:lang w:eastAsia="sk-SK"/>
              </w:rPr>
              <w:t xml:space="preserve"> - súhrnný dokument, ktorý obsahuje údaje o príjmoch, výdavkoch a výsledku rozpočtového hospodárenia subjektov verejnej správy a o stave dlhu verejnej správy k 31. decembru rozpočtového roka v jednotnej metodike platnej pre Európsku úniu vykázané Európskej komisii do 1. októbra bežného roka, súhrnnú účtovnú závierku verejnej správy Slovenskej republiky, údaje ustanovené osobitným predpisom, ktorým je ústavný zákon o rozpočtovej zodpovednosti a ďalšie údaje o hospodárení Slovenskej republiky. (§ 29a zákona o rozpočtových pravidlách verejnej správy)</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center"/>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Štátny záverečný účet SR</w:t>
            </w:r>
            <w:r w:rsidRPr="009058FC">
              <w:rPr>
                <w:rFonts w:ascii="Times New Roman" w:hAnsi="Times New Roman" w:cs="Times New Roman"/>
                <w:szCs w:val="22"/>
                <w:lang w:eastAsia="sk-SK"/>
              </w:rPr>
              <w:t xml:space="preserve"> - správa o rozpočtovom hospodárení Slovenskej republiky, ktorá obsahuje výsledky rozpočtového hospodárenia subjektov verejnej správy za príslušný rozpočtový rok v jednotnej metodike platnej pre Európsku úniu vykázané Európskej komisii do 1. apríla bežného roka, vyhodnotenie zamerania a opatrení rozpočtovej politiky, údaje o príjmoch, výdavkoch a výsledku rozpočtového hospodárenia štátneho rozpočtu a ďalšie údaje o plnení rozpočtu verejnej správy. (§ 29 zákona o rozpočtových pravidlách verejnej správy)</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ESA 2010 - </w:t>
            </w:r>
            <w:r w:rsidRPr="009058FC">
              <w:rPr>
                <w:rFonts w:ascii="Times New Roman" w:hAnsi="Times New Roman" w:cs="Times New Roman"/>
                <w:szCs w:val="22"/>
                <w:lang w:eastAsia="sk-SK"/>
              </w:rPr>
              <w:t xml:space="preserve">Európsky systém národných a regionálnych účtov 2010 je medzinárodne kompatibilný rámec pre systematické a podrobné opísanie národnej ekonomiky, jeho súčastí a jeho vzťahov s ostatnými národnými ekonomikami. Je založený na Systéme národných účtov </w:t>
            </w:r>
            <w:r>
              <w:rPr>
                <w:rFonts w:ascii="Times New Roman" w:hAnsi="Times New Roman" w:cs="Times New Roman"/>
                <w:szCs w:val="22"/>
                <w:lang w:eastAsia="sk-SK"/>
              </w:rPr>
              <w:t>2008 (SNÚ 2008</w:t>
            </w:r>
            <w:r w:rsidRPr="009058FC">
              <w:rPr>
                <w:rFonts w:ascii="Times New Roman" w:hAnsi="Times New Roman" w:cs="Times New Roman"/>
                <w:szCs w:val="22"/>
                <w:lang w:eastAsia="sk-SK"/>
              </w:rPr>
              <w:t>). SNÚ bol vypracovaný v súčinnosti štatistických orgánov OSN, EÚ, OECD, MMF a Svetovej banky a predstavuje celosvetový štandard v oblasti uplatňovania národných účtov.</w:t>
            </w:r>
            <w:r>
              <w:rPr>
                <w:rFonts w:ascii="Times New Roman" w:hAnsi="Times New Roman" w:cs="Times New Roman"/>
                <w:szCs w:val="22"/>
                <w:lang w:eastAsia="sk-SK"/>
              </w:rPr>
              <w:t xml:space="preserve"> </w:t>
            </w:r>
            <w:r w:rsidRPr="009058FC">
              <w:rPr>
                <w:rFonts w:ascii="Times New Roman" w:hAnsi="Times New Roman" w:cs="Times New Roman"/>
                <w:szCs w:val="22"/>
                <w:lang w:eastAsia="sk-SK"/>
              </w:rPr>
              <w:t xml:space="preserve">ESA 2010 </w:t>
            </w:r>
            <w:r>
              <w:rPr>
                <w:rFonts w:ascii="Times New Roman" w:hAnsi="Times New Roman" w:cs="Times New Roman"/>
                <w:szCs w:val="22"/>
                <w:lang w:eastAsia="sk-SK"/>
              </w:rPr>
              <w:t>sa</w:t>
            </w:r>
            <w:r w:rsidRPr="009058FC">
              <w:rPr>
                <w:rFonts w:ascii="Times New Roman" w:hAnsi="Times New Roman" w:cs="Times New Roman"/>
                <w:szCs w:val="22"/>
                <w:lang w:eastAsia="sk-SK"/>
              </w:rPr>
              <w:t xml:space="preserve"> zaviedla Nariadením Rady (ES) 549/2013 z 21. mája 2013 o Európskom systéme národných a regionálnych účtov v</w:t>
            </w:r>
            <w:r>
              <w:rPr>
                <w:rFonts w:ascii="Times New Roman" w:hAnsi="Times New Roman" w:cs="Times New Roman"/>
                <w:szCs w:val="22"/>
                <w:lang w:eastAsia="sk-SK"/>
              </w:rPr>
              <w:t> </w:t>
            </w:r>
            <w:r w:rsidRPr="009058FC">
              <w:rPr>
                <w:rFonts w:ascii="Times New Roman" w:hAnsi="Times New Roman" w:cs="Times New Roman"/>
                <w:szCs w:val="22"/>
                <w:lang w:eastAsia="sk-SK"/>
              </w:rPr>
              <w:t>spoločenstve</w:t>
            </w:r>
            <w:r>
              <w:rPr>
                <w:rFonts w:ascii="Times New Roman" w:hAnsi="Times New Roman" w:cs="Times New Roman"/>
                <w:szCs w:val="22"/>
                <w:lang w:eastAsia="sk-SK"/>
              </w:rPr>
              <w:t xml:space="preserve"> a reálne sa začala uplatňovať od septembra 2014. ESA 2010 </w:t>
            </w:r>
            <w:r w:rsidRPr="009058FC">
              <w:rPr>
                <w:rFonts w:ascii="Times New Roman" w:hAnsi="Times New Roman" w:cs="Times New Roman"/>
                <w:szCs w:val="22"/>
                <w:lang w:eastAsia="sk-SK"/>
              </w:rPr>
              <w:t xml:space="preserve">je revíziou ESA 95. Nové štandardy </w:t>
            </w:r>
            <w:r>
              <w:rPr>
                <w:rFonts w:ascii="Times New Roman" w:hAnsi="Times New Roman" w:cs="Times New Roman"/>
                <w:szCs w:val="22"/>
                <w:lang w:eastAsia="sk-SK"/>
              </w:rPr>
              <w:t>priniesli</w:t>
            </w:r>
            <w:r w:rsidRPr="009058FC">
              <w:rPr>
                <w:rFonts w:ascii="Times New Roman" w:hAnsi="Times New Roman" w:cs="Times New Roman"/>
                <w:szCs w:val="22"/>
                <w:lang w:eastAsia="sk-SK"/>
              </w:rPr>
              <w:t xml:space="preserve"> v oblasti verejných financií zmeny dôležité pre vykazovanie salda a dlhu verejnej správy. </w:t>
            </w:r>
            <w:r>
              <w:rPr>
                <w:rFonts w:ascii="Times New Roman" w:hAnsi="Times New Roman" w:cs="Times New Roman"/>
                <w:szCs w:val="22"/>
                <w:lang w:eastAsia="sk-SK"/>
              </w:rPr>
              <w:t>Popis implementácie metodiky ESA 2010 a najvýznamnejších metodologických zmien je uvedený v kapitole 1.5. v Súhrnnej výročnej správe SR za rok 2013.</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Aprílová notifikácia</w:t>
            </w:r>
            <w:r w:rsidRPr="009058FC">
              <w:rPr>
                <w:rFonts w:ascii="Times New Roman" w:hAnsi="Times New Roman" w:cs="Times New Roman"/>
                <w:szCs w:val="22"/>
                <w:lang w:eastAsia="sk-SK"/>
              </w:rPr>
              <w:t xml:space="preserve"> – Podľa nariadenia Komisie 479/2009 členské štáty vykazujú Komisii (Eurostatu) plánované a aktuálne schodky a dlh sektora verejnej správy dvakrát ročne, prvý krát do 1. apríla bežného roka (roka n) a druhý krát do 1. októbra roka n. Zároveň členské štáty oznámia Eurostatu, ktoré vnútroštátne orgány sú zodpovedné za vykazovanie postupu pri nadmernom schodku. Do 1. apríla roka n členské štáty oznámia Eurostatu plánovaný schodok verejnej správy za rok n a aktualizovaný odhad ich skutočného schodku verejných financií za rok n – 1 a ich skutočné schodky verejných financií za roky n – 2, n – 3 a n – 4.</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Októbrová notifikácia – </w:t>
            </w:r>
            <w:r w:rsidRPr="009058FC">
              <w:rPr>
                <w:rFonts w:ascii="Times New Roman" w:hAnsi="Times New Roman" w:cs="Times New Roman"/>
                <w:szCs w:val="22"/>
                <w:lang w:eastAsia="sk-SK"/>
              </w:rPr>
              <w:t>aktualizácia aprílovej notifikácie, ktorá je nutná vzhľadom na to, že viacero údajov za verejnú správu je dostupných až po termíne aprílovej notifikácie (tie sú nahradené odhadmi). Ani októbrovú notifikáciu však nemožno považovať za zdroj definitívnych údajov za verejnú správu, pretože akruálne výnosy niektorých daňových príjmov (DPPO a DPFO) sú známe za rok n – 1 až na začiatku n + 1. Aj po tomto termíne sú v prípade údajov za verejnú správu (a národné účty vo všeobecnosti) pomerne časté revízie údajov za minulé roky. Revízie sa robia jednak kvôli úpravám či spresneným interpretáciám samotnej metodiky ESA a tiež kvôli tomu, že samotné krajiny (národné štatistické úrady) môžu v minulých údajoch odhaliť nezrovnalosti, ktoré v rámci revízií napravia.</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Verejná správa </w:t>
            </w:r>
            <w:r w:rsidRPr="009058FC">
              <w:rPr>
                <w:rFonts w:ascii="Times New Roman" w:hAnsi="Times New Roman" w:cs="Times New Roman"/>
                <w:szCs w:val="22"/>
                <w:lang w:eastAsia="sk-SK"/>
              </w:rPr>
              <w:t>- koncept, ktorý definujú národné účty (ESA </w:t>
            </w:r>
            <w:r>
              <w:rPr>
                <w:rFonts w:ascii="Times New Roman" w:hAnsi="Times New Roman" w:cs="Times New Roman"/>
                <w:szCs w:val="22"/>
                <w:lang w:eastAsia="sk-SK"/>
              </w:rPr>
              <w:t>2010</w:t>
            </w:r>
            <w:r w:rsidRPr="009058FC">
              <w:rPr>
                <w:rFonts w:ascii="Times New Roman" w:hAnsi="Times New Roman" w:cs="Times New Roman"/>
                <w:szCs w:val="22"/>
                <w:lang w:eastAsia="sk-SK"/>
              </w:rPr>
              <w:t>). Národné účty členia národné hospodárstvo (S.1) na päť inštitucionálnych sektorov: nefinančné korporácie (S.11), finančné korporácie (S.12), verejná správa (S.13), domácnosti (S.14) a neziskové inštitúcie slúžiace domácnostiam (S.15). Inštitucionálny sektor tvorí zoskupenie inštitucionálnych jednotiek, ktoré majú podobný charakter a ekonomické správanie (odvetvie produkčnej činnosti). Inštitucionálna jednotka je ekonomická jednotka oprávnená vlastniť výrobky a aktíva, prijímajúca záväzky a zaoberajúca sa ekonomickou činnosťou a transakciami s inými jednotkami vo vlastnom mene. Sektor verejnej správy tvoria inštitucionálne jednotky (subjekty) patriace do verejnej správy.</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Verejné financie –</w:t>
            </w:r>
            <w:r w:rsidRPr="009058FC">
              <w:rPr>
                <w:rFonts w:ascii="Times New Roman" w:hAnsi="Times New Roman" w:cs="Times New Roman"/>
                <w:szCs w:val="22"/>
                <w:lang w:eastAsia="sk-SK"/>
              </w:rPr>
              <w:t xml:space="preserve"> alebo financie verejného sektora, je všeobecne zaužívaný výraz v ekonómii označujúci súhrn rozpočtov subjektov pod verejnou kontrolou alebo patriacich do verejného sektora. Verejný sektor môže byť definovaný rôzne v závislosti od cieľov analýzy a kritérií zaradenia subjektov do verejného sektora. Ak nie je uvedené inak, verejné financie sa v krajinách EÚ najčastejšie hodnotia na základe údajov národných účtov v metodike ESA </w:t>
            </w:r>
            <w:r>
              <w:rPr>
                <w:rFonts w:ascii="Times New Roman" w:hAnsi="Times New Roman" w:cs="Times New Roman"/>
                <w:szCs w:val="22"/>
                <w:lang w:eastAsia="sk-SK"/>
              </w:rPr>
              <w:t>2010</w:t>
            </w:r>
            <w:r w:rsidRPr="009058FC">
              <w:rPr>
                <w:rFonts w:ascii="Times New Roman" w:hAnsi="Times New Roman" w:cs="Times New Roman"/>
                <w:szCs w:val="22"/>
                <w:lang w:eastAsia="sk-SK"/>
              </w:rPr>
              <w:t>, ktorá definuje subjekt verejnej správy. V tejto publikácii sú použité tri koncepty hodnotenia verejných financií, ktoré sa od seba líšia rôznym pokrytím subjektov: verejná správa (ESA </w:t>
            </w:r>
            <w:r>
              <w:rPr>
                <w:rFonts w:ascii="Times New Roman" w:hAnsi="Times New Roman" w:cs="Times New Roman"/>
                <w:szCs w:val="22"/>
                <w:lang w:eastAsia="sk-SK"/>
              </w:rPr>
              <w:t>2010</w:t>
            </w:r>
            <w:r w:rsidRPr="009058FC">
              <w:rPr>
                <w:rFonts w:ascii="Times New Roman" w:hAnsi="Times New Roman" w:cs="Times New Roman"/>
                <w:szCs w:val="22"/>
                <w:lang w:eastAsia="sk-SK"/>
              </w:rPr>
              <w:t>), súhrnný celok verejnej správy a verejný sektor.</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autoSpaceDE w:val="0"/>
              <w:autoSpaceDN w:val="0"/>
              <w:bidi w:val="0"/>
              <w:adjustRightInd w:val="0"/>
              <w:spacing w:after="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Subjekty verejnej správy SR</w:t>
            </w:r>
            <w:r w:rsidRPr="009058FC">
              <w:rPr>
                <w:rFonts w:ascii="Times New Roman" w:hAnsi="Times New Roman" w:cs="Times New Roman"/>
                <w:szCs w:val="22"/>
                <w:lang w:eastAsia="sk-SK"/>
              </w:rPr>
              <w:t xml:space="preserve"> - právnické osoby zapísané v registri organizácií vedenom Štatistickým úradom Slovenskej republiky, ktoré sú zaradené v súlade s metodikou ESA v ústrednej správe, územnej samospráve a vo fondoch sociálneho a zdravotného poistenia. (§ 3 ods. 1 zákona o rozpočtových pravidlách verejnej správy)</w:t>
            </w:r>
          </w:p>
          <w:p w:rsidR="007A3FF8" w:rsidRPr="009058FC" w:rsidP="004B7DC7">
            <w:pPr>
              <w:numPr>
                <w:numId w:val="23"/>
              </w:numPr>
              <w:autoSpaceDE w:val="0"/>
              <w:autoSpaceDN w:val="0"/>
              <w:bidi w:val="0"/>
              <w:adjustRightInd w:val="0"/>
              <w:spacing w:after="0" w:line="312" w:lineRule="auto"/>
              <w:jc w:val="both"/>
              <w:rPr>
                <w:rFonts w:ascii="Times New Roman" w:hAnsi="Times New Roman" w:cs="Times New Roman"/>
                <w:szCs w:val="22"/>
                <w:lang w:eastAsia="sk-SK"/>
              </w:rPr>
            </w:pPr>
            <w:r w:rsidRPr="009058FC">
              <w:rPr>
                <w:rFonts w:ascii="Times New Roman" w:hAnsi="Times New Roman" w:cs="Times New Roman"/>
                <w:szCs w:val="22"/>
                <w:lang w:eastAsia="sk-SK"/>
              </w:rPr>
              <w:t xml:space="preserve">Ústrednú správu tvoria ministerstvá a ostatné ústredné orgány štátnej správy. Ich počet, organizáciu a pôsobnosť ustanovuje zákon </w:t>
            </w:r>
            <w:r w:rsidRPr="009058FC">
              <w:rPr>
                <w:rFonts w:ascii="Times New Roman" w:hAnsi="Times New Roman" w:cs="Times New Roman"/>
                <w:bCs/>
                <w:szCs w:val="22"/>
                <w:lang w:eastAsia="sk-SK"/>
              </w:rPr>
              <w:t>o organizácii vlády a ústrednej štátnej správy. V ústrednej správe sú zaradené aj ďalšie subjekty (</w:t>
            </w:r>
            <w:r w:rsidRPr="009058FC">
              <w:rPr>
                <w:rFonts w:ascii="Times New Roman" w:hAnsi="Times New Roman" w:cs="Times New Roman"/>
                <w:szCs w:val="22"/>
                <w:lang w:eastAsia="sk-SK"/>
              </w:rPr>
              <w:t>vysoké školy, Rozhlas a televízia Slovenska, Fond národného majetku Slovenskej republiky, Slovenský pozemkový fond, štátne fondy, Slovenská konsolidačná, a.s., Úra</w:t>
            </w:r>
            <w:r>
              <w:rPr>
                <w:rFonts w:ascii="Times New Roman" w:hAnsi="Times New Roman" w:cs="Times New Roman"/>
                <w:szCs w:val="22"/>
                <w:lang w:eastAsia="sk-SK"/>
              </w:rPr>
              <w:t>d pre dohľad nad výkonom auditu</w:t>
            </w:r>
            <w:r w:rsidRPr="009058FC">
              <w:rPr>
                <w:rFonts w:ascii="Times New Roman" w:hAnsi="Times New Roman" w:cs="Times New Roman"/>
                <w:szCs w:val="22"/>
                <w:lang w:eastAsia="sk-SK"/>
              </w:rPr>
              <w:t>, Slovenské národné stredisko pre ľudské práva, Ústav pamäti národa</w:t>
            </w:r>
            <w:r>
              <w:rPr>
                <w:rFonts w:ascii="Times New Roman" w:hAnsi="Times New Roman" w:cs="Times New Roman"/>
                <w:szCs w:val="22"/>
                <w:lang w:eastAsia="sk-SK"/>
              </w:rPr>
              <w:t>, Úrad pre dohľad nad zdravotnou starostlivosťou, Kancelária rady pre rozpočtovú zodpovednosť, Tlačová agentúra SR, Audiovizuálny fond</w:t>
            </w:r>
            <w:r w:rsidRPr="009058FC">
              <w:rPr>
                <w:rFonts w:ascii="Times New Roman" w:hAnsi="Times New Roman" w:cs="Times New Roman"/>
                <w:szCs w:val="22"/>
                <w:lang w:eastAsia="sk-SK"/>
              </w:rPr>
              <w:t>), ktoré hospodária s väčším či menším objemom verejných prostriedkov a ktorých pôsobnosť upravujú osobitné právne predpisy.</w:t>
            </w:r>
          </w:p>
          <w:p w:rsidR="007A3FF8" w:rsidRPr="009058FC" w:rsidP="004B7DC7">
            <w:pPr>
              <w:numPr>
                <w:numId w:val="23"/>
              </w:numPr>
              <w:autoSpaceDE w:val="0"/>
              <w:autoSpaceDN w:val="0"/>
              <w:bidi w:val="0"/>
              <w:adjustRightInd w:val="0"/>
              <w:spacing w:after="0" w:line="312" w:lineRule="auto"/>
              <w:jc w:val="both"/>
              <w:rPr>
                <w:rFonts w:ascii="Times New Roman" w:hAnsi="Times New Roman" w:cs="Times New Roman"/>
                <w:szCs w:val="22"/>
                <w:lang w:eastAsia="sk-SK"/>
              </w:rPr>
            </w:pPr>
            <w:r w:rsidRPr="009058FC">
              <w:rPr>
                <w:rFonts w:ascii="Times New Roman" w:hAnsi="Times New Roman" w:cs="Times New Roman"/>
                <w:bCs/>
                <w:szCs w:val="22"/>
                <w:lang w:eastAsia="sk-SK"/>
              </w:rPr>
              <w:t>Územnú samosprávu predstavujú obce a vyššie územné celky – samosprávne kraje. Obec</w:t>
            </w:r>
            <w:r w:rsidRPr="009058FC">
              <w:rPr>
                <w:rFonts w:ascii="Times New Roman" w:hAnsi="Times New Roman" w:cs="Times New Roman"/>
                <w:i/>
                <w:szCs w:val="22"/>
                <w:lang w:eastAsia="sk-SK"/>
              </w:rPr>
              <w:t xml:space="preserve"> </w:t>
            </w:r>
            <w:r w:rsidRPr="009058FC">
              <w:rPr>
                <w:rFonts w:ascii="Times New Roman" w:hAnsi="Times New Roman" w:cs="Times New Roman"/>
                <w:szCs w:val="22"/>
                <w:lang w:eastAsia="sk-SK"/>
              </w:rPr>
              <w:t xml:space="preserve">je samostatným územným samosprávnym a správnym celkom Slovenskej republiky, združuje osoby, ktoré majú na jej území trvalý pobyt, samostatne hospodári s vlastným majetkom a s vlastnými príjmami a jej základnou úlohou pri výkone samosprávy je starostlivosť o všestranný rozvoj jej územia a o potreby jej obyvateľov. V Slovenskej republike je zriadených osem samosprávnych krajov, ktoré sú právnickými osobami samostatne hospodáriacimi s vlastným majetkom a s vlastnými príjmami; zabezpečujú a chránia práva a záujmy svojich obyvateľov. Základnou legislatívou, ktorá upravuje pôsobnosť samospráv je zákon </w:t>
            </w:r>
            <w:r w:rsidRPr="009058FC">
              <w:rPr>
                <w:rFonts w:ascii="Times New Roman" w:hAnsi="Times New Roman" w:cs="Times New Roman"/>
                <w:bCs/>
                <w:szCs w:val="22"/>
                <w:lang w:eastAsia="sk-SK"/>
              </w:rPr>
              <w:t>o obecnom zriadení a zákon o samosprávnych krajoch.</w:t>
            </w:r>
          </w:p>
          <w:p w:rsidR="007A3FF8" w:rsidRPr="009058FC" w:rsidP="004B7DC7">
            <w:pPr>
              <w:numPr>
                <w:numId w:val="23"/>
              </w:numPr>
              <w:autoSpaceDE w:val="0"/>
              <w:autoSpaceDN w:val="0"/>
              <w:bidi w:val="0"/>
              <w:adjustRightInd w:val="0"/>
              <w:spacing w:after="120" w:line="312" w:lineRule="auto"/>
              <w:ind w:left="714" w:hanging="357"/>
              <w:jc w:val="both"/>
              <w:rPr>
                <w:rFonts w:ascii="Times New Roman" w:hAnsi="Times New Roman" w:cs="Times New Roman"/>
                <w:szCs w:val="22"/>
                <w:lang w:eastAsia="sk-SK"/>
              </w:rPr>
            </w:pPr>
            <w:r w:rsidRPr="009058FC">
              <w:rPr>
                <w:rFonts w:ascii="Times New Roman" w:hAnsi="Times New Roman" w:cs="Times New Roman"/>
                <w:szCs w:val="22"/>
                <w:lang w:eastAsia="sk-SK"/>
              </w:rPr>
              <w:t xml:space="preserve">Fondy sociálneho a zdravotného poistenia tvoria Sociálna poisťovňa zriadená zákonom o Sociálnej poisťovni a zdravotné poisťovne (v súčasnosti tri, z toho jedna štátna a dve súkromné), ktorých pôsobnosť ustanovuje zákon </w:t>
            </w:r>
            <w:r w:rsidRPr="009058FC">
              <w:rPr>
                <w:rFonts w:ascii="Times New Roman" w:hAnsi="Times New Roman" w:cs="Times New Roman"/>
                <w:bCs/>
                <w:szCs w:val="22"/>
                <w:lang w:eastAsia="sk-SK"/>
              </w:rPr>
              <w:t>o zdravotných poisťovniach.</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Rozpočet verejnej správy</w:t>
            </w:r>
            <w:r w:rsidRPr="009058FC">
              <w:rPr>
                <w:rFonts w:ascii="Times New Roman" w:hAnsi="Times New Roman" w:cs="Times New Roman"/>
                <w:szCs w:val="22"/>
                <w:lang w:eastAsia="sk-SK"/>
              </w:rPr>
              <w:t xml:space="preserve"> - strednodobý ekonomický nástroj finančnej politiky štátu. Zostavuje sa každoročne na tri rozpočtové roky. Rozpočtový rok je zhodný s kalendárnym rokom. Rozpočet verejnej správy tvoria štátny rozpočet na príslušný rozpočtový rok a nasledujúce dva roky a súhrn rozpočtov ostatných subjektov verejnej správy vrátane príjmov a výdavkov súvisiacich s vykonávaním verejného zdravotného poistenia v súlade s jednotnou metodikou platnou pre Európsku úniu na príslušný rozpočtový rok a nasledujúce dva roky (§ </w:t>
            </w:r>
            <w:r>
              <w:rPr>
                <w:rFonts w:ascii="Times New Roman" w:hAnsi="Times New Roman" w:cs="Times New Roman"/>
                <w:szCs w:val="22"/>
                <w:lang w:eastAsia="sk-SK"/>
              </w:rPr>
              <w:t>4</w:t>
            </w:r>
            <w:r w:rsidRPr="009058FC">
              <w:rPr>
                <w:rFonts w:ascii="Times New Roman" w:hAnsi="Times New Roman" w:cs="Times New Roman"/>
                <w:szCs w:val="22"/>
                <w:lang w:eastAsia="sk-SK"/>
              </w:rPr>
              <w:t xml:space="preserve"> ods. 1 zákona o rozpočtových pravidlách verejnej správy).</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Štátny rozpočet</w:t>
            </w:r>
            <w:r w:rsidRPr="009058FC">
              <w:rPr>
                <w:rFonts w:ascii="Times New Roman" w:hAnsi="Times New Roman" w:cs="Times New Roman"/>
                <w:szCs w:val="22"/>
                <w:lang w:eastAsia="sk-SK"/>
              </w:rPr>
              <w:t xml:space="preserve"> - základná súčasť rozpočtu verejnej správy, ktorou sa zabezpečuje financovanie hlavných funkcií štátu v príslušnom rozpočtovom roku. Štátny rozpočet na príslušný rozpočtový rok obsahuje rozpočtované príjmy, rozpočtované výdavky a finančné operácie so štátnymi finančnými aktívami a iné operácie, ktoré ovplyvňujú stav štátnych finančných aktív alebo štátnych finančných pasív (§ 6 ods. 1 zákona</w:t>
            </w:r>
            <w:r>
              <w:rPr>
                <w:rFonts w:ascii="Times New Roman" w:hAnsi="Times New Roman" w:cs="Times New Roman"/>
                <w:sz w:val="20"/>
                <w:szCs w:val="22"/>
                <w:lang w:eastAsia="sk-SK"/>
              </w:rPr>
              <w:t xml:space="preserve"> </w:t>
            </w:r>
            <w:r w:rsidRPr="009058FC">
              <w:rPr>
                <w:rFonts w:ascii="Times New Roman" w:hAnsi="Times New Roman" w:cs="Times New Roman"/>
                <w:szCs w:val="22"/>
                <w:lang w:eastAsia="sk-SK"/>
              </w:rPr>
              <w:t>o rozpočtových pravidlách verejnej správy).</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center"/>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eastAsiaTheme="minorHAnsi" w:cs="Times New Roman"/>
                <w:szCs w:val="22"/>
              </w:rPr>
              <w:br w:type="page"/>
            </w:r>
            <w:r w:rsidRPr="009058FC">
              <w:rPr>
                <w:rFonts w:ascii="Times New Roman" w:hAnsi="Times New Roman" w:cs="Times New Roman"/>
                <w:b/>
                <w:szCs w:val="22"/>
                <w:lang w:eastAsia="sk-SK"/>
              </w:rPr>
              <w:t xml:space="preserve">Superdividenda </w:t>
            </w:r>
            <w:r w:rsidRPr="009058FC">
              <w:rPr>
                <w:rFonts w:ascii="Times New Roman" w:hAnsi="Times New Roman" w:cs="Times New Roman"/>
                <w:szCs w:val="22"/>
                <w:lang w:eastAsia="sk-SK"/>
              </w:rPr>
              <w:t>– metodika ESA, na rozdiel od podnikového účtovníctva, rozoznáva dividendy a superdividendy. Superdividendy sú dividendy, ktoré sú vysoké z pohľadu poslednej (nedávnej) výšky úrovne dividend a ziskov. Logika členenia je tá, že pokiaľ dividendy rozdeľujú príjem z majetku, superdividendy rozdeľujú čisté bohatstvo podniku, keď znižujú vlastné zdroje podniku (vlastné imanie), predstavujú teda výber kapitálu (capital withdrawal). Inak povedané, dividendy prináležia bežnému zisku (operating profit), ktorý pochádza zo štandardných hlavných činností podniku (core business operations) a superdividendy prináležia iným (špeciálnym) výnosom. Na určenie výšky superdividend sa používa tzv. superdividendový test.</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center"/>
          </w:tcPr>
          <w:p w:rsidR="007A3FF8" w:rsidRPr="009058FC" w:rsidP="004B7DC7">
            <w:pPr>
              <w:bidi w:val="0"/>
              <w:spacing w:after="0" w:line="312" w:lineRule="auto"/>
              <w:ind w:left="1134" w:hanging="1134"/>
              <w:rPr>
                <w:rFonts w:ascii="Times New Roman" w:hAnsi="Times New Roman" w:cs="Times New Roman"/>
                <w:b/>
                <w:szCs w:val="22"/>
                <w:lang w:eastAsia="sk-SK"/>
              </w:rPr>
            </w:pPr>
            <w:r w:rsidRPr="009058FC">
              <w:rPr>
                <w:rFonts w:ascii="Times New Roman" w:hAnsi="Times New Roman" w:cs="Times New Roman"/>
                <w:b/>
                <w:szCs w:val="22"/>
                <w:lang w:eastAsia="sk-SK"/>
              </w:rPr>
              <w:t xml:space="preserve">2. kapitola: Hospodárenie verejnej správy - požiadavky ústavného zákona o rozpočtovej zodpovednosti </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Bilancia rozpočtu verejnej správy </w:t>
            </w:r>
            <w:r w:rsidRPr="009058FC">
              <w:rPr>
                <w:rFonts w:ascii="Times New Roman" w:hAnsi="Times New Roman" w:cs="Times New Roman"/>
                <w:szCs w:val="22"/>
                <w:lang w:eastAsia="sk-SK"/>
              </w:rPr>
              <w:t>– alebo bilancia príjmov a výdavkov rozpočtu verejnej správy poskytuje analytický pohľad na vývoj hlavných príjmových a výdavkových položiek verejnej správy ako celku za daný rok. Bilancia je konsolidovaná, teda sú vylúčené transakcie medzi jednotlivými subjektmi verejnej správy. Štruktúra prezentovanej bilancie v tomto dokumente pozostáva z kombinácie klasifikácie kódov ESA </w:t>
            </w:r>
            <w:r>
              <w:rPr>
                <w:rFonts w:ascii="Times New Roman" w:hAnsi="Times New Roman" w:cs="Times New Roman"/>
                <w:szCs w:val="22"/>
                <w:lang w:eastAsia="sk-SK"/>
              </w:rPr>
              <w:t>2010</w:t>
            </w:r>
            <w:r w:rsidRPr="009058FC">
              <w:rPr>
                <w:rFonts w:ascii="Times New Roman" w:hAnsi="Times New Roman" w:cs="Times New Roman"/>
                <w:szCs w:val="22"/>
                <w:lang w:eastAsia="sk-SK"/>
              </w:rPr>
              <w:t xml:space="preserve"> a rozpočtovej klasifikácie.</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Saldo rozpočtu verejnej správy</w:t>
            </w:r>
            <w:r w:rsidRPr="009058FC">
              <w:rPr>
                <w:rFonts w:ascii="Times New Roman" w:hAnsi="Times New Roman" w:cs="Times New Roman"/>
                <w:szCs w:val="22"/>
                <w:lang w:eastAsia="sk-SK"/>
              </w:rPr>
              <w:t xml:space="preserve"> – môže mať charakter schodku alebo prebytku. Schodok je záporný rozdiel medzi celkovými príjmami a celkovými výdavkami verejnej správy. Prebytok je kladný rozdiel medzi celkovými príjmami a celkovými výdavkami verejnej správy. V metodike národných účtov sa saldo verejnej správy nazýva „čisté pôžičky poskytnuté/prijaté“. Ich výška predstavuje sumu, ktorú verejná správa môže poskytnúť alebo prijať ako pôžičku na financovanie svojich nefinančných operácií.</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Štrukturálne saldo</w:t>
            </w:r>
            <w:r w:rsidRPr="009058FC">
              <w:rPr>
                <w:rFonts w:ascii="Times New Roman" w:hAnsi="Times New Roman" w:cs="Times New Roman"/>
                <w:szCs w:val="22"/>
                <w:lang w:eastAsia="sk-SK"/>
              </w:rPr>
              <w:t xml:space="preserve"> - saldo rozpočtu verejnej správy upravené o vplyv hospodárskeho cyklu a jednorazové a dočasné vplyvy. Referenčná hodnota medziročnej zmeny štrukturálneho salda sa používa na hodnotenie charakteru fiškálnej politiky, či je expanzívna (medziročné zvyšovanie / znižovanie štrukturálneho schodku / prebytku) alebo reštriktívna (medziročné znižovanie / zvyšovanie štrukturálneho schodku / prebytku).</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Jednorazové vplyvy</w:t>
            </w:r>
            <w:r w:rsidRPr="009058FC">
              <w:rPr>
                <w:rFonts w:ascii="Times New Roman" w:hAnsi="Times New Roman" w:cs="Times New Roman"/>
                <w:szCs w:val="22"/>
                <w:lang w:eastAsia="sk-SK"/>
              </w:rPr>
              <w:t xml:space="preserve"> - všeobecne definované ako príjem alebo výdavok, ktorý nemá trvalý alebo opakujúci sa charakter a má časovo obmedzený vplyv na saldo verejnej správy. Úprava salda verejnej správy o takéto vplyvy umožňuje analyticky vhodnejšie posúdenie jeho vývoja v čase.</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Dlh verejnej správy hrubý </w:t>
            </w:r>
            <w:r w:rsidRPr="009058FC">
              <w:rPr>
                <w:rFonts w:ascii="Times New Roman" w:hAnsi="Times New Roman" w:cs="Times New Roman"/>
                <w:szCs w:val="22"/>
                <w:lang w:eastAsia="sk-SK"/>
              </w:rPr>
              <w:t>– alebo hrubý maastrichtský dlh verejnej správy, predstavuje konsolidovaný súčet všetkých záväzkov sektora verejnej správy v nominálnej (menovitej) hodnote, ktoré vznikli na základe prijatých vkladov, emitovaných cenných papierov (bez akcií) a prijatých pôžičiek (bez záväzkov z nesplatených úrokov). Súčasťou prijatých pôžičiek sú aj imputované pôžičky, ktoré sa rovnajú hodnote majetku nadobudnutého prostredníctvom finančného lízingu. Dlh je konsolidovaný, teda sú vylúčené všetky záväzky a recipročné pohľadávky jednotiek patriacich do sektora VS. (Príručka vládneho deficitu a dlhu, vydanie 2013)</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Dlh verejnej správy čistý </w:t>
            </w:r>
            <w:r w:rsidRPr="009058FC">
              <w:rPr>
                <w:rFonts w:ascii="Times New Roman" w:hAnsi="Times New Roman" w:cs="Times New Roman"/>
                <w:szCs w:val="22"/>
                <w:lang w:eastAsia="sk-SK"/>
              </w:rPr>
              <w:t>- alebo čistý maastrichtský dlh verejnej správy, predstavuje rozdiel medzi hrubým maastrichtským dlhom a súčtom zlata a SDR, hotovosti, cenných papierov v trhovej hodnote (okrem akcií) a kótovaných akcií v trhovej hodnote. Čistý dlh vyjadruje schopnosť verejnej správy splatiť svoj maastrichtský dlh na základe speňaženia svojich najlikvidnejších finančných aktív. (Code of Conduct - Specifications on the implementation of the Stability and Growth Pact and Guidelines on the format and content of Stability and Convergence Programmes)</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Európske fiškálne pravidlá – </w:t>
            </w:r>
            <w:r w:rsidRPr="009058FC">
              <w:rPr>
                <w:rFonts w:ascii="Times New Roman" w:hAnsi="Times New Roman" w:cs="Times New Roman"/>
                <w:szCs w:val="22"/>
                <w:lang w:eastAsia="sk-SK"/>
              </w:rPr>
              <w:t>vznikli z potreby dodržiavania fiškálnej disciplíny v rámci Hospodárskej a menovej únie (eurozóny) kvôli zachovaniu stability spoločnej meny euro. Predstavujú súbor pravidiel numerických, procesných ale aj pravidiel transparentnosti o zverejňovaní údajov o hospodárení štátu. Pravidlá sú zakotvené v právnych predpisoch EÚ (Zmluva o fungovaní Európskej únie, nariadenia, smernica) ale ich súčasťou je aj medzinárodná zmluva. Predchodcom fiškálnych pravidiel EÚ boli tzv. maastrichtské kritériá, ktoré stanovili podmienky pre členstvo v eurozóne v podobe referenčnej hodnoty pre deficit (3 % HDP) a dlh verejnej správy (60 % HDP). Kvôli potrebe udržiavať fiškálnu disciplínu aj po vstupe do eurozóny bol v roku 1997 schválený Pakt stability a rastu (Stability and Growth Pact – SGP), ktorý obsahuje aj sankcie, ak deficit krajiny prekročí 3% HDP. V dôsledku ekonomickej a finančnej krízy bol SGP v roku 2011 druhý krát revidovaný (prvý krát v roku 2005) a boli prijaté ďalšie štyri nariadenia s cieľom sprísnenia pravidiel fiškálneho dohľadu a rozšírenia dohľadu aj na makroekonomickú oblasť. Tzv. Six-pack priniesol predovšetkým sprísnenie sankcií, keď krajina môže byť penalizovaná za nedodržiavanie fiškálnych pravidiel až do výšky 0,5 % HDP, väčšiu orientáciu na pravidlo verejného dlhu (jeho nedodržiavanie bolo dovtedy prakticky ignorované) a povinnosť konsolidovať verejný rozpočet aj po znížení deficitu pod 3 % HDP tempom znižovania štrukturálneho salda minimálne o 0,5% HDP až po dosiahnutie strednodobého cieľa (medium-term objective – MTO). Medzinárodná zmluva, ktorá bola podpísaná 25 členskými krajinami Európskej únii (všetky s výnimkou Česka a Veľkej Británie) v roku 2012, stanovila povinnosť zaviesť pravidlo o vyrovnanom štrukturálnom salde verejnej správy do národnej legislatívy (tzv. Fiscal compact). Naposledy v roku 2013 boli schválené dve nariadenia, ktoré ďalej sprísňujú a prehlbujú fiškálny dohľad v krajinách eurozóny (tzv. Two-pack). Podľa nich musia krajiny eurozóny napríklad každoročne do 15. októbra predkladať Európskej komisii na posúdenie návrh rozpočtového plánu na nasledujúci rok.</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Stratégia riadenia štátneho dlhu – </w:t>
            </w:r>
            <w:r w:rsidRPr="009058FC">
              <w:rPr>
                <w:rFonts w:ascii="Times New Roman" w:hAnsi="Times New Roman" w:cs="Times New Roman"/>
                <w:szCs w:val="22"/>
                <w:lang w:eastAsia="sk-SK"/>
              </w:rPr>
              <w:t>ďalej len stratégia, je strategický dokument, ktorý stanovuje základné rámce a smerovanie politiky riadenia štátneho dlhu. Stratégia formuluje vrcholové kvantitatívne ukazovatele a parametre štátneho dlhu a stanovuje tiež ciele, ktoré by mali prispieť ku kvalitatívnemu zlepšeniu riadenia dlhu. Dokument ďalej popisuje vývoj a štruktúru štátneho dlhu SR, makroekonomické a fiškálne východiská a riziká dlhového portfólia. Od stratégie sú odvodené jednotlivé predpisy upravujúce pravidlá pre riadenie rizík štátneho dlhu, limity pozícií štátu a systém kontroly. Stratégia sa zostavuje na štvorročné obdobie a každý rok sa aktualizuje. Aktualizácie zabezpečujú prepojenie stratégie s vývojom v konkrétnom rozpočtovom roku a poskytujú flexibilnosť reakcie na vývoj trhu. Podľa Ústavného zákona o rozpočtovej zodpovednosti je stratégia súčasťou Rozpočtu verejnej správy SR a vyhodnotenie plnenia cieľov stratégie je súčasťou Súhrnnej výročnej správy SR.</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center"/>
          </w:tcPr>
          <w:p w:rsidR="007A3FF8" w:rsidRPr="009058FC" w:rsidP="004B7DC7">
            <w:pPr>
              <w:bidi w:val="0"/>
              <w:spacing w:after="0" w:line="312" w:lineRule="auto"/>
              <w:jc w:val="both"/>
              <w:rPr>
                <w:rFonts w:ascii="Times New Roman" w:hAnsi="Times New Roman" w:cs="Times New Roman"/>
                <w:b/>
                <w:szCs w:val="22"/>
                <w:lang w:eastAsia="sk-SK"/>
              </w:rPr>
            </w:pPr>
            <w:r w:rsidRPr="009058FC">
              <w:rPr>
                <w:rFonts w:ascii="Times New Roman" w:hAnsi="Times New Roman" w:cs="Times New Roman"/>
                <w:b/>
                <w:szCs w:val="22"/>
                <w:lang w:eastAsia="sk-SK"/>
              </w:rPr>
              <w:t xml:space="preserve">3. kapitola: Čisté bohatstvo </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Čisté bohatstvo </w:t>
            </w:r>
            <w:r w:rsidRPr="009058FC">
              <w:rPr>
                <w:rFonts w:ascii="Times New Roman" w:hAnsi="Times New Roman" w:cs="Times New Roman"/>
                <w:szCs w:val="22"/>
                <w:lang w:eastAsia="sk-SK"/>
              </w:rPr>
              <w:t>- súčet vlastného imania subjektov verejnej správy, vlastného imania Národnej banky Slovenska, vlastného imania podnikov štátnej správy a podnikov územnej samosprávy, upravený o implicitné záväzky a podmienené záväzky, iné aktíva a iné pasíva. (Čl. 2e ústavného zákona o rozpočtovej zodpovednosti)</w:t>
            </w:r>
          </w:p>
          <w:p w:rsidR="007A3FF8" w:rsidRPr="009058FC" w:rsidP="004B7DC7">
            <w:pPr>
              <w:bidi w:val="0"/>
              <w:spacing w:after="120" w:line="312" w:lineRule="auto"/>
              <w:jc w:val="both"/>
              <w:rPr>
                <w:rFonts w:ascii="Times New Roman" w:hAnsi="Times New Roman" w:cs="Times New Roman"/>
                <w:szCs w:val="22"/>
                <w:lang w:eastAsia="sk-SK"/>
              </w:rPr>
            </w:pPr>
            <w:r w:rsidRPr="00610209">
              <w:rPr>
                <w:rFonts w:ascii="Times New Roman" w:hAnsi="Times New Roman" w:cs="Times New Roman"/>
                <w:b/>
                <w:szCs w:val="22"/>
                <w:lang w:eastAsia="sk-SK"/>
              </w:rPr>
              <w:t>Vlastné imanie</w:t>
            </w:r>
            <w:r>
              <w:rPr>
                <w:rFonts w:ascii="Times New Roman" w:hAnsi="Times New Roman" w:cs="Times New Roman"/>
                <w:szCs w:val="22"/>
                <w:lang w:eastAsia="sk-SK"/>
              </w:rPr>
              <w:t xml:space="preserve"> – vlastný zdroj krytia majetku, v</w:t>
            </w:r>
            <w:r w:rsidRPr="00261FD8">
              <w:rPr>
                <w:rFonts w:ascii="Times New Roman" w:hAnsi="Times New Roman" w:cs="Times New Roman"/>
                <w:szCs w:val="22"/>
                <w:lang w:eastAsia="sk-SK"/>
              </w:rPr>
              <w:t>yjadruje nárok na majetok podniku po odpočítaní všetkých jeho účtovných dlhov.</w:t>
            </w:r>
            <w:r>
              <w:rPr>
                <w:rFonts w:ascii="Times New Roman" w:hAnsi="Times New Roman" w:cs="Times New Roman"/>
                <w:szCs w:val="22"/>
                <w:lang w:eastAsia="sk-SK"/>
              </w:rPr>
              <w:t xml:space="preserve"> Vlastné imanie predstavuje v</w:t>
            </w:r>
            <w:r w:rsidRPr="007D0B10">
              <w:rPr>
                <w:rFonts w:ascii="Times New Roman" w:hAnsi="Times New Roman" w:cs="Times New Roman"/>
                <w:szCs w:val="22"/>
                <w:lang w:eastAsia="sk-SK"/>
              </w:rPr>
              <w:t xml:space="preserve"> súvahe rozdiel medzi hodnotou </w:t>
            </w:r>
            <w:r>
              <w:rPr>
                <w:rFonts w:ascii="Times New Roman" w:hAnsi="Times New Roman" w:cs="Times New Roman"/>
                <w:szCs w:val="22"/>
                <w:lang w:eastAsia="sk-SK"/>
              </w:rPr>
              <w:t>majetku</w:t>
            </w:r>
            <w:r w:rsidRPr="007D0B10">
              <w:rPr>
                <w:rFonts w:ascii="Times New Roman" w:hAnsi="Times New Roman" w:cs="Times New Roman"/>
                <w:szCs w:val="22"/>
                <w:lang w:eastAsia="sk-SK"/>
              </w:rPr>
              <w:t xml:space="preserve"> </w:t>
            </w:r>
            <w:r>
              <w:rPr>
                <w:rFonts w:ascii="Times New Roman" w:hAnsi="Times New Roman" w:cs="Times New Roman"/>
                <w:szCs w:val="22"/>
                <w:lang w:eastAsia="sk-SK"/>
              </w:rPr>
              <w:t>(</w:t>
            </w:r>
            <w:r w:rsidRPr="007D0B10">
              <w:rPr>
                <w:rFonts w:ascii="Times New Roman" w:hAnsi="Times New Roman" w:cs="Times New Roman"/>
                <w:szCs w:val="22"/>
                <w:lang w:eastAsia="sk-SK"/>
              </w:rPr>
              <w:t>aktív</w:t>
            </w:r>
            <w:r>
              <w:rPr>
                <w:rFonts w:ascii="Times New Roman" w:hAnsi="Times New Roman" w:cs="Times New Roman"/>
                <w:szCs w:val="22"/>
                <w:lang w:eastAsia="sk-SK"/>
              </w:rPr>
              <w:t>)</w:t>
            </w:r>
            <w:r w:rsidRPr="007D0B10">
              <w:rPr>
                <w:rFonts w:ascii="Times New Roman" w:hAnsi="Times New Roman" w:cs="Times New Roman"/>
                <w:szCs w:val="22"/>
                <w:lang w:eastAsia="sk-SK"/>
              </w:rPr>
              <w:t xml:space="preserve"> a hodnotou záväzkov v širšom zmysle</w:t>
            </w:r>
            <w:r>
              <w:rPr>
                <w:rFonts w:ascii="Times New Roman" w:hAnsi="Times New Roman" w:cs="Times New Roman"/>
                <w:szCs w:val="22"/>
                <w:lang w:eastAsia="sk-SK"/>
              </w:rPr>
              <w:t xml:space="preserve">. Podľa slovenskej právnej úpravy </w:t>
            </w:r>
            <w:r w:rsidRPr="00610209">
              <w:rPr>
                <w:rFonts w:ascii="Times New Roman" w:hAnsi="Times New Roman" w:cs="Times New Roman"/>
                <w:szCs w:val="22"/>
                <w:lang w:eastAsia="sk-SK"/>
              </w:rPr>
              <w:t>pre podnikateľov účtujúcich v sústave podvojného účtovníctva</w:t>
            </w:r>
            <w:r>
              <w:rPr>
                <w:rFonts w:ascii="Times New Roman" w:hAnsi="Times New Roman" w:cs="Times New Roman"/>
                <w:szCs w:val="22"/>
                <w:lang w:eastAsia="sk-SK"/>
              </w:rPr>
              <w:t xml:space="preserve"> v</w:t>
            </w:r>
            <w:r w:rsidRPr="00610209">
              <w:rPr>
                <w:rFonts w:ascii="Times New Roman" w:hAnsi="Times New Roman" w:cs="Times New Roman"/>
                <w:szCs w:val="22"/>
                <w:lang w:eastAsia="sk-SK"/>
              </w:rPr>
              <w:t xml:space="preserve">lastné imanie tvorí: základné imanie, kapitálové fondy, fondy zo zisku, </w:t>
            </w:r>
            <w:r>
              <w:rPr>
                <w:rFonts w:ascii="Times New Roman" w:hAnsi="Times New Roman" w:cs="Times New Roman"/>
                <w:szCs w:val="22"/>
                <w:lang w:eastAsia="sk-SK"/>
              </w:rPr>
              <w:t xml:space="preserve">oceňovacie rozdiely z precenenia, </w:t>
            </w:r>
            <w:r w:rsidRPr="00610209">
              <w:rPr>
                <w:rFonts w:ascii="Times New Roman" w:hAnsi="Times New Roman" w:cs="Times New Roman"/>
                <w:szCs w:val="22"/>
                <w:lang w:eastAsia="sk-SK"/>
              </w:rPr>
              <w:t xml:space="preserve">výsledok hospodárenia minulých </w:t>
            </w:r>
            <w:r>
              <w:rPr>
                <w:rFonts w:ascii="Times New Roman" w:hAnsi="Times New Roman" w:cs="Times New Roman"/>
                <w:szCs w:val="22"/>
                <w:lang w:eastAsia="sk-SK"/>
              </w:rPr>
              <w:t>rokov</w:t>
            </w:r>
            <w:r w:rsidRPr="00610209">
              <w:rPr>
                <w:rFonts w:ascii="Times New Roman" w:hAnsi="Times New Roman" w:cs="Times New Roman"/>
                <w:szCs w:val="22"/>
                <w:lang w:eastAsia="sk-SK"/>
              </w:rPr>
              <w:t xml:space="preserve"> </w:t>
            </w:r>
            <w:r>
              <w:rPr>
                <w:rFonts w:ascii="Times New Roman" w:hAnsi="Times New Roman" w:cs="Times New Roman"/>
                <w:szCs w:val="22"/>
                <w:lang w:eastAsia="sk-SK"/>
              </w:rPr>
              <w:t xml:space="preserve">a </w:t>
            </w:r>
            <w:r w:rsidRPr="00610209">
              <w:rPr>
                <w:rFonts w:ascii="Times New Roman" w:hAnsi="Times New Roman" w:cs="Times New Roman"/>
                <w:szCs w:val="22"/>
                <w:lang w:eastAsia="sk-SK"/>
              </w:rPr>
              <w:t xml:space="preserve">výsledok hospodárenia </w:t>
            </w:r>
            <w:r>
              <w:rPr>
                <w:rFonts w:ascii="Times New Roman" w:hAnsi="Times New Roman" w:cs="Times New Roman"/>
                <w:szCs w:val="22"/>
                <w:lang w:eastAsia="sk-SK"/>
              </w:rPr>
              <w:t>za účtovné obdobie po zdanení.</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Verejný sektor –</w:t>
            </w:r>
            <w:r w:rsidRPr="009058FC">
              <w:rPr>
                <w:rFonts w:ascii="Times New Roman" w:hAnsi="Times New Roman" w:cs="Times New Roman"/>
                <w:szCs w:val="22"/>
                <w:lang w:eastAsia="sk-SK"/>
              </w:rPr>
              <w:t xml:space="preserve"> pre potreby súhrnnej správy definovaný ako sektor, za ktorý sa vyčísľuje čisté bohatstvo. Okrem verejnej správy podľa metodiky ESA </w:t>
            </w:r>
            <w:r>
              <w:rPr>
                <w:rFonts w:ascii="Times New Roman" w:hAnsi="Times New Roman" w:cs="Times New Roman"/>
                <w:szCs w:val="22"/>
                <w:lang w:eastAsia="sk-SK"/>
              </w:rPr>
              <w:t>2010</w:t>
            </w:r>
            <w:r w:rsidRPr="009058FC">
              <w:rPr>
                <w:rFonts w:ascii="Times New Roman" w:hAnsi="Times New Roman" w:cs="Times New Roman"/>
                <w:szCs w:val="22"/>
                <w:lang w:eastAsia="sk-SK"/>
              </w:rPr>
              <w:t xml:space="preserve"> zahŕňa podniky štátnej správy, podniky územnej samosprávy a NBS.</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Podniky verejnej správy</w:t>
            </w:r>
            <w:r w:rsidRPr="009058FC">
              <w:rPr>
                <w:rFonts w:ascii="Times New Roman" w:hAnsi="Times New Roman" w:cs="Times New Roman"/>
                <w:szCs w:val="22"/>
                <w:lang w:eastAsia="sk-SK"/>
              </w:rPr>
              <w:t xml:space="preserve"> – súhrnné pomenovanie používané v tomto dokumente pre podniky štátnej správy a podniky územnej samosprávy, ktoré sú definované legislatívou. Keďže podniky štátnej správy a samosprávy sú definované pre potreby výpočtu čistého bohatstva, do ktorého vchádzajú len podniky s majetkovou účasťou štátu v minimálnej výške 20 %, tento pojem môže byť použitý aj širšie, teda na všetky podniky bez obmedzenia majetkovej účasti štátu.</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Podnik štátnej správy</w:t>
            </w:r>
            <w:r w:rsidRPr="009058FC">
              <w:rPr>
                <w:rFonts w:ascii="Times New Roman" w:hAnsi="Times New Roman" w:cs="Times New Roman"/>
                <w:szCs w:val="22"/>
                <w:lang w:eastAsia="sk-SK"/>
              </w:rPr>
              <w:t xml:space="preserve"> - štátny podnik, obchodná spoločnosť s majetkovou účasťou štátu v minimálnej výške 20 % jej základného imania a právnická osoba zriadená zákonom, v ktorej má štát kvalifikovanú účasť; kvalifikovanou účasťou sa na účely tohto zákona rozumie priamy alebo nepriamy podiel predstavujúci aspoň 20 %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w:t>
            </w:r>
            <w:r>
              <w:rPr>
                <w:rFonts w:ascii="Times New Roman" w:hAnsi="Times New Roman" w:cs="Times New Roman"/>
                <w:szCs w:val="22"/>
                <w:lang w:eastAsia="sk-SK"/>
              </w:rPr>
              <w:t xml:space="preserve"> </w:t>
            </w:r>
            <w:r w:rsidRPr="009058FC">
              <w:rPr>
                <w:rFonts w:ascii="Times New Roman" w:hAnsi="Times New Roman" w:cs="Times New Roman"/>
                <w:szCs w:val="22"/>
                <w:lang w:eastAsia="sk-SK"/>
              </w:rPr>
              <w:t>(Čl. 2f ústavného zákona o rozpočtovej zodpovednosti).</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Podnik územnej samosprávy</w:t>
            </w:r>
            <w:r w:rsidRPr="009058FC">
              <w:rPr>
                <w:rFonts w:ascii="Times New Roman" w:hAnsi="Times New Roman" w:cs="Times New Roman"/>
                <w:szCs w:val="22"/>
                <w:lang w:eastAsia="sk-SK"/>
              </w:rPr>
              <w:t xml:space="preserve"> - obchodná spoločnosť s majetkovou účasťou územnej samosprávy v minimálnej výške 20 % jej základného imania (Čl. 2g ústavného zákona o rozpočtovej zodpovednosti)</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Implicitné záväzky</w:t>
            </w:r>
            <w:r w:rsidRPr="009058FC">
              <w:rPr>
                <w:rFonts w:ascii="Times New Roman" w:hAnsi="Times New Roman" w:cs="Times New Roman"/>
                <w:szCs w:val="22"/>
                <w:lang w:eastAsia="sk-SK"/>
              </w:rPr>
              <w:t xml:space="preserve"> - rozdiel medzi očakávanými budúcimi výdavkami subjektov verejnej správy a očakávanými budúcimi príjmami subjektov verejnej správy, ktoré vyplývajú z finančných dôsledkov spôsobených budúcim uplatňovaním práv a povinností ustanovených právnym poriadkom Slovenskej republiky, ak tieto nie sú súčasťou dlhu verejnej správy (Čl. 2h ústavného zákona o rozpočtovej zodpovednosti). Najznámejším príkladom sú starobné dôchodky z priebežného piliera dôchodkového systému.</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Podmienené záväzky - </w:t>
            </w:r>
            <w:r w:rsidRPr="009058FC">
              <w:rPr>
                <w:rFonts w:ascii="Times New Roman" w:hAnsi="Times New Roman" w:cs="Times New Roman"/>
                <w:szCs w:val="22"/>
                <w:lang w:eastAsia="sk-SK"/>
              </w:rPr>
              <w:t xml:space="preserve">iné pasíva účtovnej jednotky, ktorá ich vykazuje v poznámkach ako súčasti individuálnej účtovnej závierky (zákon o účtovníctve). Nejde teda o záväzok, ktorý je vykázaný na súvahových položkách pasív, pretože nie je splnená podmienka na ich zaúčtovanie - výška záväzku sa nedá spoľahlivo oceniť, obdobie, ku ktorému sa povinnosť viaže nie je určené, úbytok ekonomických úžitkov v budúcnosti nie je istý. Ako iné pasíva sa vykazuje: </w:t>
            </w:r>
          </w:p>
          <w:p w:rsidR="007A3FF8" w:rsidRPr="009058FC" w:rsidP="004B7DC7">
            <w:pPr>
              <w:pStyle w:val="ListParagraph"/>
              <w:numPr>
                <w:numId w:val="24"/>
              </w:numPr>
              <w:bidi w:val="0"/>
              <w:spacing w:line="312" w:lineRule="auto"/>
              <w:jc w:val="both"/>
              <w:rPr>
                <w:rFonts w:ascii="Times New Roman" w:hAnsi="Times New Roman" w:cs="Times New Roman"/>
              </w:rPr>
            </w:pPr>
            <w:r w:rsidRPr="009058FC">
              <w:rPr>
                <w:rFonts w:ascii="Times New Roman" w:hAnsi="Times New Roman" w:cs="Times New Roman"/>
              </w:rPr>
              <w:t>možná povinnosť, ktorá vznikla ako dôsledok minulej udalosti a ktorej existencia závisí od toho, či nastane alebo nenastane jedna alebo viac neistých udalostí v budúcnosti, ktorých vznik nezávisí od účtovnej jednotky, alebo</w:t>
            </w:r>
          </w:p>
          <w:p w:rsidR="007A3FF8" w:rsidRPr="009058FC" w:rsidP="004B7DC7">
            <w:pPr>
              <w:pStyle w:val="ListParagraph"/>
              <w:numPr>
                <w:numId w:val="24"/>
              </w:numPr>
              <w:bidi w:val="0"/>
              <w:spacing w:after="120" w:line="312" w:lineRule="auto"/>
              <w:ind w:left="714" w:hanging="357"/>
              <w:jc w:val="both"/>
              <w:rPr>
                <w:rFonts w:ascii="Times New Roman" w:hAnsi="Times New Roman" w:cs="Times New Roman"/>
              </w:rPr>
            </w:pPr>
            <w:r w:rsidRPr="009058FC">
              <w:rPr>
                <w:rFonts w:ascii="Times New Roman" w:hAnsi="Times New Roman" w:cs="Times New Roman"/>
              </w:rPr>
              <w:t>povinnosť, ktorá vznikla ako dôsledok minulej udalosti, ale ktorá sa nevykazuje v súvahe, pretože nie je pravdepodobné, že na splnenie tejto povinnosti bude potrebný úbytok ekonomických úžitkov, alebo výška tejto povinnosti sa nedá spoľahlivo oceniť.</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center"/>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PPP projekt - </w:t>
            </w:r>
            <w:r w:rsidRPr="009058FC">
              <w:rPr>
                <w:rFonts w:ascii="Times New Roman" w:hAnsi="Times New Roman" w:cs="Times New Roman"/>
                <w:szCs w:val="22"/>
                <w:lang w:eastAsia="sk-SK"/>
              </w:rPr>
              <w:t>forma spolupráce medzi verejným a súkromným sektorom s cieľom financovania výstavby, rekonštrukcie, prevádzky a údržby infraštruktúry a poskytovania verejných služieb prostredníctvom tejto infraštruktúry. V rámci PPP projektov sú subjekty verejného sektora partnerom a zákazníkom súkromného sektora, od ktorého nakupujú služby. Súkromný partner v zásade financuje výstavbu a prevádzkuje dielo a ako protihodnota je mu umožnené poskytovať služby spojené s týmto dielom za platby od jeho používateľov alebo od verejného partnera. Dôležitou charakteristikou PPP je rozdelenie rizík spojených s výstavbou a prevádzkou diela medzi súkromným a verejným partnerom a dlhodobosť zmluvných vzťahov medzi súkromným a verejným partnerom.</w:t>
            </w:r>
          </w:p>
          <w:p w:rsidR="007A3FF8" w:rsidRPr="009058FC" w:rsidP="004B7DC7">
            <w:pPr>
              <w:bidi w:val="0"/>
              <w:spacing w:after="120" w:line="312" w:lineRule="auto"/>
              <w:jc w:val="both"/>
              <w:rPr>
                <w:rFonts w:ascii="Times New Roman" w:hAnsi="Times New Roman" w:cs="Times New Roman"/>
                <w:b/>
                <w:szCs w:val="22"/>
                <w:lang w:eastAsia="sk-SK"/>
              </w:rPr>
            </w:pPr>
            <w:r w:rsidRPr="009058FC">
              <w:rPr>
                <w:rFonts w:ascii="Times New Roman" w:hAnsi="Times New Roman" w:cs="Times New Roman"/>
                <w:b/>
                <w:szCs w:val="22"/>
                <w:lang w:eastAsia="sk-SK"/>
              </w:rPr>
              <w:t xml:space="preserve">Centrálny konsolidačný systém – </w:t>
            </w:r>
            <w:r w:rsidRPr="009058FC">
              <w:rPr>
                <w:rFonts w:ascii="Times New Roman" w:hAnsi="Times New Roman" w:cs="Times New Roman"/>
                <w:szCs w:val="22"/>
                <w:lang w:eastAsia="sk-SK"/>
              </w:rPr>
              <w:t>systém zberu, spracovania, analyzovania, konsolidovania a prezentovania údajov z účtovníctva od účtovných jednotiek súhrnného celku. Súčasťou Centrálneho konsolidačného systému je aj informačný systém Ministerstva financií SR, prostredníctvom, ktorého sa zabezpečuje spracovanie údajov z finančných výkazov a konsolidačného balíka.</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center"/>
          </w:tcPr>
          <w:p w:rsidR="007A3FF8" w:rsidRPr="009058FC" w:rsidP="004B7DC7">
            <w:pPr>
              <w:bidi w:val="0"/>
              <w:spacing w:after="0" w:line="312" w:lineRule="auto"/>
              <w:jc w:val="both"/>
              <w:rPr>
                <w:rFonts w:ascii="Times New Roman" w:hAnsi="Times New Roman" w:cs="Times New Roman"/>
                <w:b/>
                <w:szCs w:val="22"/>
                <w:lang w:eastAsia="sk-SK"/>
              </w:rPr>
            </w:pPr>
            <w:r w:rsidRPr="009058FC">
              <w:rPr>
                <w:rFonts w:ascii="Times New Roman" w:hAnsi="Times New Roman" w:cs="Times New Roman"/>
                <w:b/>
                <w:szCs w:val="22"/>
                <w:lang w:eastAsia="sk-SK"/>
              </w:rPr>
              <w:t>4. kapitola: Komentár k súhrnnej účtovnej závierke verejnej správy SR za rok 201</w:t>
            </w:r>
            <w:r>
              <w:rPr>
                <w:rFonts w:ascii="Times New Roman" w:hAnsi="Times New Roman" w:cs="Times New Roman"/>
                <w:b/>
                <w:szCs w:val="22"/>
                <w:lang w:eastAsia="sk-SK"/>
              </w:rPr>
              <w:t>3</w:t>
            </w:r>
            <w:r w:rsidRPr="009058FC">
              <w:rPr>
                <w:rFonts w:ascii="Times New Roman" w:hAnsi="Times New Roman" w:cs="Times New Roman"/>
                <w:b/>
                <w:szCs w:val="22"/>
                <w:lang w:eastAsia="sk-SK"/>
              </w:rPr>
              <w:t xml:space="preserve"> </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Súhrnný celok verejnej správy – </w:t>
            </w:r>
            <w:r w:rsidRPr="009058FC">
              <w:rPr>
                <w:rFonts w:ascii="Times New Roman" w:hAnsi="Times New Roman" w:cs="Times New Roman"/>
                <w:szCs w:val="22"/>
                <w:lang w:eastAsia="sk-SK"/>
              </w:rPr>
              <w:t>tvoria účtovné jednotky, ktoré sú zahrnuté do procesu spracovania súhrnnej účtovnej závierky a na tento účel predkladajú údaje z účtovníctva. Sú to všetky rozpočtové organizácie, príspevkové organizácie, obce, vyššie územné celky, štátne fondy, podniky verejnej správy s výnimkou podnikov pod FNM a ostatné subjekty verejnej správy.</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autoSpaceDE w:val="0"/>
              <w:autoSpaceDN w:val="0"/>
              <w:bidi w:val="0"/>
              <w:adjustRightInd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Účtovná jednotka (ÚJ) verejnej správy – </w:t>
            </w:r>
            <w:r w:rsidRPr="009058FC">
              <w:rPr>
                <w:rFonts w:ascii="Times New Roman" w:hAnsi="Times New Roman" w:cs="Times New Roman"/>
                <w:szCs w:val="22"/>
                <w:lang w:eastAsia="sk-SK"/>
              </w:rPr>
              <w:t>každá právnická osoba so sídlom na území Slovenskej republiky zaradená do verejnej správy. Tak, ako sú jednotky (právnické osoby) nazývané subjektmi pre potrebu vymedzenia verejnej správy podľa metodiky ESA, tak sú jednotky nazývané účtovnými jednotkami pre potrebu vymedzenia súhrnného celku verejnej správy v zmysle §1 zákona o účtovníctve.</w:t>
            </w:r>
          </w:p>
        </w:tc>
      </w:tr>
    </w:tbl>
    <w:p w:rsidR="007C73EE">
      <w:pPr>
        <w:bidi w:val="0"/>
      </w:pPr>
      <w:r>
        <w:br w:type="page"/>
      </w:r>
    </w:p>
    <w:tbl>
      <w:tblPr>
        <w:tblStyle w:val="TableNormal"/>
        <w:tblW w:w="0" w:type="auto"/>
        <w:tblInd w:w="0" w:type="dxa"/>
        <w:tblCellMar>
          <w:top w:w="0" w:type="dxa"/>
          <w:left w:w="108" w:type="dxa"/>
          <w:bottom w:w="0" w:type="dxa"/>
          <w:right w:w="108" w:type="dxa"/>
        </w:tblCellMar>
        <w:tblLook w:val="04A0"/>
      </w:tblPr>
      <w:tblGrid>
        <w:gridCol w:w="9212"/>
      </w:tblGrid>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Konsolidácia – </w:t>
            </w:r>
            <w:r w:rsidRPr="009058FC">
              <w:rPr>
                <w:rFonts w:ascii="Times New Roman" w:hAnsi="Times New Roman" w:cs="Times New Roman"/>
                <w:szCs w:val="22"/>
                <w:lang w:eastAsia="sk-SK"/>
              </w:rPr>
              <w:t>eliminácia vzájomných vzťahov medzi účtovnými jednotkami daného konsolidovaného celku. Konsoliduje sa kapitál, pohľadávky a záväzky, medzivýsledok, náklady a výnosy. Používa sa metóda úplnej konsolidácie pre dcérske ÚJ, podielová konsolidácia pre spoločné ÚJ a metóda vlastného imania pre pridružené ÚJ.</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Konsolidovaná účtovná závierka (KÚZ)</w:t>
            </w:r>
            <w:r w:rsidRPr="009058FC">
              <w:rPr>
                <w:rFonts w:ascii="Times New Roman" w:hAnsi="Times New Roman" w:cs="Times New Roman"/>
                <w:szCs w:val="22"/>
                <w:lang w:eastAsia="sk-SK"/>
              </w:rPr>
              <w:t xml:space="preserve"> – poskytuje informácie o konsolidovanom celku ako o jednej ekonomickej jednotke. Vzájomné vzťahy a transakcie medzi účtovnými jednotkami daného konsolidovaného celku sú eliminované (princíp konsolidácie). KÚZ poskytuje dôležité informácie z pohľadu riadenia, pretože zobrazuje vernejšie a pravdivejšie finančnú situáciu daného konsolidovaného celku ako individuálne účtovné závierky jednotlivých ÚJ konsolidovaného celku, prípadne ich agregácia. </w:t>
            </w:r>
          </w:p>
          <w:p w:rsidR="007A3FF8" w:rsidRPr="009058FC" w:rsidP="004B7DC7">
            <w:pPr>
              <w:bidi w:val="0"/>
              <w:spacing w:after="0" w:line="312" w:lineRule="auto"/>
              <w:jc w:val="both"/>
              <w:rPr>
                <w:rFonts w:ascii="Times New Roman" w:hAnsi="Times New Roman" w:cs="Times New Roman"/>
                <w:szCs w:val="22"/>
                <w:lang w:eastAsia="sk-SK"/>
              </w:rPr>
            </w:pPr>
            <w:r w:rsidRPr="009058FC">
              <w:rPr>
                <w:rFonts w:ascii="Times New Roman" w:hAnsi="Times New Roman" w:cs="Times New Roman"/>
                <w:szCs w:val="22"/>
                <w:lang w:eastAsia="sk-SK"/>
              </w:rPr>
              <w:t>Konsolidovaná účtovná závierka vo verejnej správe sa zostavuje podľa zákona o účtovníctve na dvoch stupňoch:</w:t>
            </w:r>
          </w:p>
          <w:p w:rsidR="007A3FF8" w:rsidRPr="009058FC" w:rsidP="004B7DC7">
            <w:pPr>
              <w:pStyle w:val="ListParagraph"/>
              <w:numPr>
                <w:numId w:val="25"/>
              </w:numPr>
              <w:bidi w:val="0"/>
              <w:spacing w:line="312" w:lineRule="auto"/>
              <w:jc w:val="both"/>
              <w:rPr>
                <w:rFonts w:ascii="Times New Roman" w:hAnsi="Times New Roman" w:cs="Times New Roman"/>
              </w:rPr>
            </w:pPr>
            <w:r w:rsidRPr="009058FC">
              <w:rPr>
                <w:rFonts w:ascii="Times New Roman" w:hAnsi="Times New Roman" w:cs="Times New Roman"/>
              </w:rPr>
              <w:t>KÚZ účtovnej jednotky verejnej správy zostavuje obec, vyšší územný celok a správca rozpočtovej kapitoly;</w:t>
            </w:r>
          </w:p>
          <w:p w:rsidR="007A3FF8" w:rsidRPr="009058FC" w:rsidP="004B7DC7">
            <w:pPr>
              <w:pStyle w:val="ListParagraph"/>
              <w:numPr>
                <w:numId w:val="25"/>
              </w:numPr>
              <w:bidi w:val="0"/>
              <w:spacing w:after="120" w:line="312" w:lineRule="auto"/>
              <w:ind w:left="714" w:hanging="357"/>
              <w:jc w:val="both"/>
              <w:rPr>
                <w:rFonts w:ascii="Times New Roman" w:hAnsi="Times New Roman" w:cs="Times New Roman"/>
              </w:rPr>
            </w:pPr>
            <w:r w:rsidRPr="009058FC">
              <w:rPr>
                <w:rFonts w:ascii="Times New Roman" w:hAnsi="Times New Roman" w:cs="Times New Roman"/>
              </w:rPr>
              <w:t>KÚZ ústrednej správy zostavuje Ministerstvo financií SR.</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Súhrnná účtovná závierka verejnej správy Slovenskej republiky – </w:t>
            </w:r>
            <w:r w:rsidRPr="009058FC">
              <w:rPr>
                <w:rFonts w:ascii="Times New Roman" w:hAnsi="Times New Roman" w:cs="Times New Roman"/>
                <w:szCs w:val="22"/>
                <w:lang w:eastAsia="sk-SK"/>
              </w:rPr>
              <w:t xml:space="preserve">účtovná závierka za </w:t>
            </w:r>
            <w:r>
              <w:rPr>
                <w:rFonts w:ascii="Times New Roman" w:hAnsi="Times New Roman" w:cs="Times New Roman"/>
                <w:szCs w:val="22"/>
                <w:lang w:eastAsia="sk-SK"/>
              </w:rPr>
              <w:t>súhrnný celok</w:t>
            </w:r>
            <w:r w:rsidRPr="009058FC">
              <w:rPr>
                <w:rFonts w:ascii="Times New Roman" w:hAnsi="Times New Roman" w:cs="Times New Roman"/>
                <w:szCs w:val="22"/>
                <w:lang w:eastAsia="sk-SK"/>
              </w:rPr>
              <w:t xml:space="preserve"> zostavená na základe princípu konsolidácie uplatňovaného v Medzinárodných účtovných štandardoch pre verejný sektor (IPSAS). Účtovná závierka SR sa nenazýva konsolidovaná, pretože nie všetky účtovné jednotky do nej vstupujú na konsolidovanej báze tak, ako v prípade ústrednej správy a samosprávy (tzv. tretia úroveň konsolidácie).</w:t>
            </w:r>
          </w:p>
        </w:tc>
      </w:tr>
      <w:tr>
        <w:tblPrEx>
          <w:tblW w:w="0" w:type="auto"/>
          <w:tblInd w:w="0" w:type="dxa"/>
          <w:tblCellMar>
            <w:top w:w="0" w:type="dxa"/>
            <w:left w:w="108" w:type="dxa"/>
            <w:bottom w:w="0" w:type="dxa"/>
            <w:right w:w="108" w:type="dxa"/>
          </w:tblCellMar>
          <w:tblLook w:val="04A0"/>
        </w:tblPrEx>
        <w:trPr>
          <w:trHeight w:val="157"/>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12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 xml:space="preserve">Konsolidačný balík MF SR </w:t>
            </w:r>
            <w:r w:rsidRPr="009058FC">
              <w:rPr>
                <w:rFonts w:ascii="Times New Roman" w:hAnsi="Times New Roman" w:cs="Times New Roman"/>
                <w:szCs w:val="22"/>
                <w:lang w:eastAsia="sk-SK"/>
              </w:rPr>
              <w:t>- obsahuje všetky informácie, ktoré sú potrebné pre zostavenie súhrnnej účtovnej závierky, a to nie len pre vykonanie konsolidačných operácií, ale aj pre zostavenie poznámok ako súčasti súhrnnej účtovnej závierky. Konsolidačný balík zjednocuje účtovníctvo a formáty účtovných výkazov pre všetky konsolidované ÚJ spôsobom, ako keby všetky ÚJ súhrnného celku používali vo svojom účtovníctve rovnaké účtovné metódy a zásady.</w:t>
            </w:r>
          </w:p>
        </w:tc>
      </w:tr>
      <w:tr>
        <w:tblPrEx>
          <w:tblW w:w="0" w:type="auto"/>
          <w:tblInd w:w="0" w:type="dxa"/>
          <w:tblCellMar>
            <w:top w:w="0" w:type="dxa"/>
            <w:left w:w="108" w:type="dxa"/>
            <w:bottom w:w="0" w:type="dxa"/>
            <w:right w:w="108" w:type="dxa"/>
          </w:tblCellMar>
          <w:tblLook w:val="04A0"/>
        </w:tblPrEx>
        <w:trPr>
          <w:trHeight w:val="986"/>
        </w:trPr>
        <w:tc>
          <w:tcPr>
            <w:tcW w:w="9212" w:type="dxa"/>
            <w:tcBorders>
              <w:top w:val="none" w:sz="0" w:space="0" w:color="auto"/>
              <w:left w:val="none" w:sz="0" w:space="0" w:color="auto"/>
              <w:bottom w:val="none" w:sz="0" w:space="0" w:color="auto"/>
              <w:right w:val="none" w:sz="0" w:space="0" w:color="auto"/>
            </w:tcBorders>
            <w:textDirection w:val="lrTb"/>
            <w:vAlign w:val="top"/>
          </w:tcPr>
          <w:p w:rsidR="007A3FF8" w:rsidRPr="009058FC" w:rsidP="004B7DC7">
            <w:pPr>
              <w:bidi w:val="0"/>
              <w:spacing w:after="0" w:line="312" w:lineRule="auto"/>
              <w:jc w:val="both"/>
              <w:rPr>
                <w:rFonts w:ascii="Times New Roman" w:hAnsi="Times New Roman" w:cs="Times New Roman"/>
                <w:szCs w:val="22"/>
                <w:lang w:eastAsia="sk-SK"/>
              </w:rPr>
            </w:pPr>
            <w:r w:rsidRPr="009058FC">
              <w:rPr>
                <w:rFonts w:ascii="Times New Roman" w:hAnsi="Times New Roman" w:cs="Times New Roman"/>
                <w:b/>
                <w:szCs w:val="22"/>
                <w:lang w:eastAsia="sk-SK"/>
              </w:rPr>
              <w:t>Audit účtovnej závierky</w:t>
            </w:r>
            <w:r w:rsidRPr="009058FC">
              <w:rPr>
                <w:rFonts w:ascii="Times New Roman" w:hAnsi="Times New Roman" w:cs="Times New Roman"/>
                <w:szCs w:val="22"/>
                <w:lang w:eastAsia="sk-SK"/>
              </w:rPr>
              <w:t xml:space="preserve"> – podľa § 22a zákona o účtovníctve každá konsolidovaná účtovná závierka (KÚZ) musí byť overená audítorom. Cieľom auditu KÚZ verejnej správy je poskytnúť verejnosti primeranú mieru istoty, že informácie vykázané v KÚZ vyjadrujú pravdivo a verne finančnú situáciu daného konsolidovaného celku. Audit sa vykonáva v súlade so zákonom o audítoroch.</w:t>
            </w:r>
          </w:p>
        </w:tc>
      </w:tr>
    </w:tbl>
    <w:p w:rsidR="007A3FF8" w:rsidP="007A3FF8">
      <w:pPr>
        <w:bidi w:val="0"/>
        <w:rPr>
          <w:rFonts w:ascii="Times New Roman" w:hAnsi="Times New Roman"/>
          <w:color w:val="000000"/>
          <w:szCs w:val="22"/>
        </w:rPr>
      </w:pPr>
    </w:p>
    <w:p w:rsidR="007324B7" w:rsidRPr="007A3FF8" w:rsidP="007A3FF8">
      <w:pPr>
        <w:bidi w:val="0"/>
        <w:rPr>
          <w:rFonts w:ascii="Times New Roman" w:hAnsi="Times New Roman" w:eastAsiaTheme="majorEastAsia" w:cs="Times New Roman"/>
          <w:b/>
          <w:bCs/>
          <w:sz w:val="26"/>
          <w:szCs w:val="22"/>
        </w:rPr>
      </w:pPr>
    </w:p>
    <w:sectPr w:rsidSect="00651A0E">
      <w:footerReference w:type="default" r:id="rId14"/>
      <w:type w:val="continuous"/>
      <w:pgSz w:w="11906" w:h="16838" w:code="9"/>
      <w:pgMar w:top="1418" w:right="1134" w:bottom="1418" w:left="1134" w:header="709" w:footer="709" w:gutter="567"/>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Arial Narrow">
    <w:panose1 w:val="00000000000000000000"/>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Dutch801 SWC">
    <w:altName w:val="Times New Roman"/>
    <w:panose1 w:val="00000000000000000000"/>
    <w:charset w:val="00"/>
    <w:family w:val="roman"/>
    <w:pitch w:val="variable"/>
    <w:sig w:usb0="00000000" w:usb1="00000000" w:usb2="00000000" w:usb3="00000000" w:csb0="00000001" w:csb1="00000000"/>
  </w:font>
  <w:font w:name="AT* Times New Roman">
    <w:altName w:val="Courier New"/>
    <w:charset w:val="00"/>
    <w:family w:val="roman"/>
    <w:pitch w:val="variable"/>
    <w:sig w:usb0="00000000" w:usb1="00000000" w:usb2="00000000" w:usb3="00000000" w:csb0="00000001" w:csb1="00000000"/>
  </w:font>
  <w:font w:name="Franklin Got Itc TCE">
    <w:altName w:val="Franklin Got Itc TCE"/>
    <w:panose1 w:val="00000000000000000000"/>
    <w:charset w:val="EE"/>
    <w:family w:val="swiss"/>
    <w:pitch w:val="default"/>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0E" w:rsidRPr="00763DCA">
    <w:pPr>
      <w:pStyle w:val="Footer"/>
      <w:bidi w:val="0"/>
      <w:jc w:val="center"/>
      <w:rPr>
        <w:rFonts w:ascii="Times New Roman" w:hAnsi="Times New Roman" w:cs="Times New Roman"/>
        <w:sz w:val="20"/>
        <w:szCs w:val="20"/>
      </w:rPr>
    </w:pPr>
  </w:p>
  <w:p w:rsidR="00651A0E">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0E" w:rsidRPr="00763DCA">
    <w:pPr>
      <w:pStyle w:val="Footer"/>
      <w:bidi w:val="0"/>
      <w:jc w:val="center"/>
      <w:rPr>
        <w:rFonts w:ascii="Times New Roman" w:hAnsi="Times New Roman" w:cs="Times New Roman"/>
        <w:sz w:val="20"/>
        <w:szCs w:val="20"/>
      </w:rPr>
    </w:pPr>
  </w:p>
  <w:p w:rsidR="00651A0E">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0E" w:rsidRPr="007A3FF8">
    <w:pPr>
      <w:pStyle w:val="Footer"/>
      <w:bidi w:val="0"/>
      <w:jc w:val="center"/>
      <w:rPr>
        <w:rFonts w:ascii="Times New Roman" w:hAnsi="Times New Roman" w:cs="Times New Roman"/>
      </w:rPr>
    </w:pPr>
    <w:r w:rsidRPr="007A3FF8">
      <w:rPr>
        <w:rFonts w:ascii="Times New Roman" w:hAnsi="Times New Roman" w:cs="Times New Roman"/>
      </w:rPr>
      <w:fldChar w:fldCharType="begin"/>
    </w:r>
    <w:r w:rsidRPr="007A3FF8">
      <w:rPr>
        <w:rFonts w:ascii="Times New Roman" w:hAnsi="Times New Roman" w:cs="Times New Roman"/>
      </w:rPr>
      <w:instrText>PAGE   \* MERGEFORMAT</w:instrText>
    </w:r>
    <w:r w:rsidRPr="007A3FF8">
      <w:rPr>
        <w:rFonts w:ascii="Times New Roman" w:hAnsi="Times New Roman" w:cs="Times New Roman"/>
      </w:rPr>
      <w:fldChar w:fldCharType="separate"/>
    </w:r>
    <w:r w:rsidR="007A2578">
      <w:rPr>
        <w:rFonts w:ascii="Times New Roman" w:hAnsi="Times New Roman" w:cs="Times New Roman"/>
        <w:noProof/>
      </w:rPr>
      <w:t>42</w:t>
    </w:r>
    <w:r w:rsidRPr="007A3FF8">
      <w:rPr>
        <w:rFonts w:ascii="Times New Roman" w:hAnsi="Times New Roman" w:cs="Times New Roman"/>
      </w:rPr>
      <w:fldChar w:fldCharType="end"/>
    </w:r>
  </w:p>
  <w:p w:rsidR="00651A0E">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0E" w:rsidRPr="007251D7">
    <w:pPr>
      <w:pStyle w:val="Footer"/>
      <w:bidi w:val="0"/>
      <w:jc w:val="center"/>
      <w:rPr>
        <w:rFonts w:ascii="Times New Roman" w:hAnsi="Times New Roman" w:cs="Times New Roman"/>
        <w:sz w:val="20"/>
        <w:szCs w:val="20"/>
      </w:rPr>
    </w:pPr>
    <w:r w:rsidRPr="00C55223">
      <w:rPr>
        <w:rFonts w:ascii="Times New Roman" w:hAnsi="Times New Roman" w:cs="Times New Roman"/>
        <w:szCs w:val="22"/>
      </w:rPr>
      <w:fldChar w:fldCharType="begin"/>
    </w:r>
    <w:r w:rsidRPr="00C55223">
      <w:rPr>
        <w:rFonts w:ascii="Times New Roman" w:hAnsi="Times New Roman" w:cs="Times New Roman"/>
        <w:szCs w:val="22"/>
      </w:rPr>
      <w:instrText>PAGE   \* MERGEFORMAT</w:instrText>
    </w:r>
    <w:r w:rsidRPr="00C55223">
      <w:rPr>
        <w:rFonts w:ascii="Times New Roman" w:hAnsi="Times New Roman" w:cs="Times New Roman"/>
        <w:szCs w:val="22"/>
      </w:rPr>
      <w:fldChar w:fldCharType="separate"/>
    </w:r>
    <w:r w:rsidR="00107FB8">
      <w:rPr>
        <w:rFonts w:ascii="Times New Roman" w:hAnsi="Times New Roman" w:cs="Times New Roman"/>
        <w:noProof/>
        <w:szCs w:val="22"/>
      </w:rPr>
      <w:t>93</w:t>
    </w:r>
    <w:r w:rsidRPr="00C55223">
      <w:rPr>
        <w:rFonts w:ascii="Times New Roman" w:hAnsi="Times New Roman" w:cs="Times New Roman"/>
        <w:szCs w:val="22"/>
      </w:rPr>
      <w:fldChar w:fldCharType="end"/>
    </w:r>
  </w:p>
  <w:p w:rsidR="00651A0E">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5F" w:rsidP="007304A5">
      <w:pPr>
        <w:bidi w:val="0"/>
        <w:spacing w:after="0" w:line="240" w:lineRule="auto"/>
      </w:pPr>
      <w:r>
        <w:separator/>
      </w:r>
    </w:p>
  </w:footnote>
  <w:footnote w:type="continuationSeparator" w:id="1">
    <w:p w:rsidR="0048415F" w:rsidP="007304A5">
      <w:pPr>
        <w:bidi w:val="0"/>
        <w:spacing w:after="0" w:line="240" w:lineRule="auto"/>
      </w:pPr>
      <w:r>
        <w:continuationSeparator/>
      </w:r>
    </w:p>
  </w:footnote>
  <w:footnote w:id="2">
    <w:p w:rsidP="00243B84">
      <w:pPr>
        <w:pStyle w:val="FootnoteText"/>
        <w:bidi w:val="0"/>
      </w:pPr>
      <w:r w:rsidRPr="00ED04B0" w:rsidR="00651A0E">
        <w:rPr>
          <w:rStyle w:val="FootnoteReference"/>
          <w:rFonts w:ascii="Times New Roman" w:hAnsi="Times New Roman"/>
          <w:sz w:val="18"/>
          <w:szCs w:val="18"/>
        </w:rPr>
        <w:footnoteRef/>
      </w:r>
      <w:r w:rsidRPr="00ED04B0" w:rsidR="00651A0E">
        <w:rPr>
          <w:rFonts w:ascii="Times New Roman" w:hAnsi="Times New Roman" w:cs="Times New Roman"/>
          <w:sz w:val="18"/>
          <w:szCs w:val="18"/>
        </w:rPr>
        <w:t xml:space="preserve"> Výnimkou sú hlavné príjmové a výdavkové položky v bilancii rozpočtu verejnej správy, ktoré sú v metodike ESA </w:t>
      </w:r>
      <w:r w:rsidR="00651A0E">
        <w:rPr>
          <w:rFonts w:ascii="Times New Roman" w:hAnsi="Times New Roman" w:cs="Times New Roman"/>
          <w:sz w:val="18"/>
          <w:szCs w:val="18"/>
        </w:rPr>
        <w:t>2010</w:t>
      </w:r>
      <w:r w:rsidRPr="00ED04B0" w:rsidR="00651A0E">
        <w:rPr>
          <w:rFonts w:ascii="Times New Roman" w:hAnsi="Times New Roman" w:cs="Times New Roman"/>
          <w:sz w:val="18"/>
          <w:szCs w:val="18"/>
        </w:rPr>
        <w:t>.</w:t>
      </w:r>
    </w:p>
  </w:footnote>
  <w:footnote w:id="3">
    <w:p w:rsidP="004B50DB">
      <w:pPr>
        <w:pStyle w:val="FootnoteText"/>
        <w:bidi w:val="0"/>
        <w:jc w:val="both"/>
      </w:pPr>
      <w:r w:rsidRPr="006D62AC" w:rsidR="00651A0E">
        <w:rPr>
          <w:rStyle w:val="FootnoteReference"/>
          <w:rFonts w:ascii="Times New Roman" w:hAnsi="Times New Roman"/>
          <w:sz w:val="18"/>
          <w:szCs w:val="18"/>
        </w:rPr>
        <w:footnoteRef/>
      </w:r>
      <w:r w:rsidRPr="006D62AC" w:rsidR="00651A0E">
        <w:rPr>
          <w:rFonts w:ascii="Times New Roman" w:hAnsi="Times New Roman" w:cs="Times New Roman"/>
          <w:sz w:val="18"/>
          <w:szCs w:val="18"/>
        </w:rPr>
        <w:t xml:space="preserve"> Ide najmä o pravidlá Paktu stability a rastu, ktoré stanovujú hranicu deficitu verejnej správy 3 % HDP a dlhu verejnej správy 60 % HDP (bližšie o európskych fiškálnych pravidlách pozri slovník základných pojmov).</w:t>
      </w:r>
    </w:p>
  </w:footnote>
  <w:footnote w:id="4">
    <w:p w:rsidR="00651A0E" w:rsidRPr="007C73EE" w:rsidP="00AE542B">
      <w:pPr>
        <w:pStyle w:val="FootnoteText"/>
        <w:bidi w:val="0"/>
        <w:spacing w:after="0" w:line="240" w:lineRule="auto"/>
        <w:jc w:val="both"/>
        <w:rPr>
          <w:rFonts w:ascii="Times New Roman" w:hAnsi="Times New Roman" w:cs="Times New Roman"/>
          <w:sz w:val="18"/>
          <w:szCs w:val="18"/>
        </w:rPr>
      </w:pPr>
      <w:r w:rsidRPr="007C73EE">
        <w:rPr>
          <w:rStyle w:val="FootnoteReference"/>
          <w:rFonts w:ascii="Times New Roman" w:hAnsi="Times New Roman"/>
          <w:sz w:val="18"/>
          <w:szCs w:val="18"/>
        </w:rPr>
        <w:footnoteRef/>
      </w:r>
      <w:r w:rsidRPr="007C73EE">
        <w:rPr>
          <w:rFonts w:ascii="Times New Roman" w:hAnsi="Times New Roman" w:cs="Times New Roman"/>
          <w:sz w:val="18"/>
          <w:szCs w:val="18"/>
        </w:rPr>
        <w:t>Subjekty verejnej správy definované Štatistickým úradom SR nasledovne: „Subjekty  verejnej správy sú právnické osoby zapísané v štatistickom registri organizácií a zaradené vo verejnej správe v súlade s európskou metodikou  ESA 2010 ustanovenou Nariadením EP a Rady (EÚ) č. 549/2013 z 21. mája 2013 o európskom systéme národných a regionálnych účtov v Európskej únii.“</w:t>
      </w:r>
    </w:p>
    <w:p w:rsidP="00AE542B">
      <w:pPr>
        <w:pStyle w:val="FootnoteText"/>
        <w:bidi w:val="0"/>
        <w:spacing w:after="0" w:line="240" w:lineRule="auto"/>
        <w:jc w:val="both"/>
      </w:pPr>
    </w:p>
  </w:footnote>
  <w:footnote w:id="5">
    <w:p w:rsidP="00AE542B">
      <w:pPr>
        <w:pStyle w:val="FootnoteText"/>
        <w:bidi w:val="0"/>
        <w:spacing w:after="0" w:line="240" w:lineRule="auto"/>
        <w:jc w:val="both"/>
      </w:pPr>
      <w:r w:rsidRPr="007C73EE" w:rsidR="00651A0E">
        <w:rPr>
          <w:rStyle w:val="FootnoteReference"/>
          <w:rFonts w:ascii="Times New Roman" w:hAnsi="Times New Roman"/>
          <w:sz w:val="18"/>
          <w:szCs w:val="18"/>
        </w:rPr>
        <w:footnoteRef/>
      </w:r>
      <w:r w:rsidRPr="007C73EE" w:rsidR="00651A0E">
        <w:rPr>
          <w:rFonts w:ascii="Times New Roman" w:hAnsi="Times New Roman" w:cs="Times New Roman"/>
          <w:sz w:val="18"/>
          <w:szCs w:val="18"/>
        </w:rPr>
        <w:t xml:space="preserve"> K 31.12.2014 vlastnil štát 49 % balík akcií Slovak Telekomu, a.s. Počas roka 2015 sa však zrealizoval predaj štátneho podielu spoločnosti Deutsche Telekom.</w:t>
      </w:r>
    </w:p>
  </w:footnote>
  <w:footnote w:id="6">
    <w:p w:rsidP="00CE1C18">
      <w:pPr>
        <w:pStyle w:val="FootnoteText"/>
        <w:bidi w:val="0"/>
      </w:pPr>
      <w:r w:rsidRPr="007C73EE" w:rsidR="00651A0E">
        <w:rPr>
          <w:rStyle w:val="FootnoteReference"/>
          <w:rFonts w:ascii="Times New Roman" w:hAnsi="Times New Roman"/>
          <w:sz w:val="18"/>
          <w:szCs w:val="18"/>
        </w:rPr>
        <w:footnoteRef/>
      </w:r>
      <w:r w:rsidRPr="007C73EE" w:rsidR="00651A0E">
        <w:rPr>
          <w:rFonts w:ascii="Times New Roman" w:hAnsi="Times New Roman" w:cs="Times New Roman"/>
          <w:sz w:val="18"/>
          <w:szCs w:val="18"/>
        </w:rPr>
        <w:t xml:space="preserve"> Pôvodná výška finančnej výpomoci bola 165 970 tis. eur. V zmysle Dodatku č. 6 k Zmluve o návratnej finančnej výpomoci zo dňa 22. augusta 2012 bola prvá splátka istiny splatná a uhradená v auguste 2012 a finančná výpomoc je splatná do augusta 2020.</w:t>
      </w:r>
    </w:p>
  </w:footnote>
  <w:footnote w:id="7">
    <w:p w:rsidP="00D23D54">
      <w:pPr>
        <w:pStyle w:val="FootnoteText"/>
        <w:bidi w:val="0"/>
        <w:jc w:val="both"/>
      </w:pPr>
      <w:r w:rsidRPr="007C73EE" w:rsidR="00651A0E">
        <w:rPr>
          <w:rStyle w:val="FootnoteReference"/>
          <w:rFonts w:ascii="Times New Roman" w:hAnsi="Times New Roman"/>
          <w:sz w:val="18"/>
          <w:szCs w:val="18"/>
        </w:rPr>
        <w:footnoteRef/>
      </w:r>
      <w:r w:rsidRPr="007C73EE" w:rsidR="00651A0E">
        <w:rPr>
          <w:rFonts w:ascii="Times New Roman" w:hAnsi="Times New Roman" w:cs="Times New Roman"/>
          <w:sz w:val="18"/>
          <w:szCs w:val="18"/>
        </w:rPr>
        <w:t xml:space="preserve"> Na základe rozhodnutia Valného zhromaždenia, ktoré dňa 5.decembra 2013 schválilo zámer predať Divíziu distribučných služieb dcérskej spoločnosti Západoslovenská distribučná, a.s., majetok a záväzky vzťahujúce k predávanej Divízii boli k 31. decembru 2013 vykázané ako určené na predaj. Výsledok činností Divízie bol vykázaný ako Zisk z ukončovaných činností. Transakcia bola ukončená počas roku 2014.</w:t>
      </w:r>
    </w:p>
  </w:footnote>
  <w:footnote w:id="8">
    <w:p w:rsidP="00D23D54">
      <w:pPr>
        <w:pStyle w:val="FootnoteText"/>
        <w:bidi w:val="0"/>
        <w:jc w:val="both"/>
      </w:pPr>
      <w:r w:rsidRPr="007C73EE" w:rsidR="00651A0E">
        <w:rPr>
          <w:rStyle w:val="FootnoteReference"/>
          <w:rFonts w:ascii="Times New Roman" w:hAnsi="Times New Roman"/>
          <w:sz w:val="18"/>
          <w:szCs w:val="18"/>
        </w:rPr>
        <w:footnoteRef/>
      </w:r>
      <w:r w:rsidRPr="007C73EE" w:rsidR="00651A0E">
        <w:rPr>
          <w:rFonts w:ascii="Times New Roman" w:hAnsi="Times New Roman" w:cs="Times New Roman"/>
          <w:sz w:val="18"/>
          <w:szCs w:val="18"/>
        </w:rPr>
        <w:t xml:space="preserve"> Dlhopisy boli emitované 14. októbra 2013, z tohto dôvodu boli nákladové úroky z dlhopisov v roku 2013 výrazne nižšie ako v roku 2014 – v roku 2013 sa vzťahovali úroky iba k dvom mesiacom a k príslušným októbrovým dňom, pričom v roku 2014 sa už úrok viazal k celému kalendárnemu roku.</w:t>
      </w:r>
    </w:p>
  </w:footnote>
  <w:footnote w:id="9">
    <w:p w:rsidP="00D23D54">
      <w:pPr>
        <w:pStyle w:val="FootnoteText"/>
        <w:bidi w:val="0"/>
        <w:jc w:val="both"/>
      </w:pPr>
      <w:r w:rsidRPr="007C73EE" w:rsidR="00651A0E">
        <w:rPr>
          <w:rStyle w:val="FootnoteReference"/>
          <w:rFonts w:ascii="Times New Roman" w:hAnsi="Times New Roman"/>
          <w:sz w:val="18"/>
          <w:szCs w:val="18"/>
        </w:rPr>
        <w:footnoteRef/>
      </w:r>
      <w:r w:rsidRPr="007C73EE" w:rsidR="00651A0E">
        <w:rPr>
          <w:rFonts w:ascii="Times New Roman" w:hAnsi="Times New Roman" w:cs="Times New Roman"/>
          <w:sz w:val="18"/>
          <w:szCs w:val="18"/>
        </w:rPr>
        <w:t xml:space="preserve"> SLA (Service level agreement) je dohoda o úrovni, zväčša pravidelne, poskytovaných služieb. SLA predstavuje formalizovaný popis služby, ktorú poskytuje dodávateľ zákazníkovi. SLA definuje rozsah, úroveň a kvalitu služby.</w:t>
      </w:r>
    </w:p>
  </w:footnote>
  <w:footnote w:id="10">
    <w:p w:rsidP="00CE1C18">
      <w:pPr>
        <w:pStyle w:val="FootnoteText"/>
        <w:bidi w:val="0"/>
      </w:pPr>
      <w:r w:rsidRPr="007C73EE" w:rsidR="00651A0E">
        <w:rPr>
          <w:rStyle w:val="FootnoteReference"/>
          <w:rFonts w:ascii="Times New Roman" w:hAnsi="Times New Roman"/>
          <w:sz w:val="18"/>
          <w:szCs w:val="18"/>
        </w:rPr>
        <w:footnoteRef/>
      </w:r>
      <w:r w:rsidRPr="007C73EE" w:rsidR="00651A0E">
        <w:rPr>
          <w:rFonts w:ascii="Times New Roman" w:hAnsi="Times New Roman" w:cs="Times New Roman"/>
          <w:sz w:val="18"/>
          <w:szCs w:val="18"/>
        </w:rPr>
        <w:t xml:space="preserve"> Hlavný cieľ programu je zabrániť prepúšťaniu ľudí, ktoré by mohlo viesť k rastu sociálnych výdavkov štátu. </w:t>
      </w:r>
    </w:p>
  </w:footnote>
  <w:footnote w:id="11">
    <w:p w:rsidP="007C73EE">
      <w:pPr>
        <w:pStyle w:val="FootnoteText"/>
        <w:bidi w:val="0"/>
        <w:jc w:val="both"/>
      </w:pPr>
      <w:r w:rsidRPr="007C73EE" w:rsidR="00651A0E">
        <w:rPr>
          <w:rStyle w:val="FootnoteReference"/>
          <w:rFonts w:ascii="Times New Roman" w:hAnsi="Times New Roman"/>
          <w:sz w:val="18"/>
          <w:szCs w:val="18"/>
        </w:rPr>
        <w:footnoteRef/>
      </w:r>
      <w:r w:rsidRPr="007C73EE" w:rsidR="00651A0E">
        <w:rPr>
          <w:rFonts w:ascii="Times New Roman" w:hAnsi="Times New Roman" w:cs="Times New Roman"/>
          <w:sz w:val="18"/>
          <w:szCs w:val="18"/>
        </w:rPr>
        <w:t xml:space="preserve"> Správou investičných rezerv sa rozumie riadenie investičných portfólií na obchodovanie tvorených najmä cennými papiermi, menovými a úrokovými swapmi, repo obchodmi, zlatými repo obchodmi a operáciami na nostro účtoch.</w:t>
      </w:r>
    </w:p>
  </w:footnote>
  <w:footnote w:id="12">
    <w:p w:rsidP="007C73EE">
      <w:pPr>
        <w:pStyle w:val="FootnoteText"/>
        <w:bidi w:val="0"/>
        <w:jc w:val="both"/>
      </w:pPr>
      <w:r w:rsidRPr="007C73EE" w:rsidR="00651A0E">
        <w:rPr>
          <w:rStyle w:val="FootnoteReference"/>
          <w:rFonts w:ascii="Times New Roman" w:hAnsi="Times New Roman"/>
          <w:sz w:val="18"/>
          <w:szCs w:val="18"/>
        </w:rPr>
        <w:footnoteRef/>
      </w:r>
      <w:r w:rsidRPr="007C73EE" w:rsidR="00651A0E">
        <w:rPr>
          <w:rFonts w:ascii="Times New Roman" w:hAnsi="Times New Roman" w:cs="Times New Roman"/>
          <w:sz w:val="18"/>
          <w:szCs w:val="18"/>
        </w:rPr>
        <w:t xml:space="preserve"> Pod výkon menovej politiky spadá realizácia štrukturálnych operácií vyplývajúcich z výkonu jednotnej menovej politiky Eurosystému a ostatné operácie vyplývajúce z členstva NBS v Eurosystéme.</w:t>
      </w:r>
    </w:p>
  </w:footnote>
  <w:footnote w:id="13">
    <w:p w:rsidP="00584D7E">
      <w:pPr>
        <w:pStyle w:val="FootnoteText"/>
        <w:bidi w:val="0"/>
        <w:jc w:val="both"/>
      </w:pPr>
      <w:r w:rsidRPr="00C841B2" w:rsidR="00651A0E">
        <w:rPr>
          <w:rStyle w:val="FootnoteReference"/>
          <w:rFonts w:ascii="Times New Roman" w:hAnsi="Times New Roman"/>
          <w:sz w:val="18"/>
          <w:szCs w:val="18"/>
        </w:rPr>
        <w:footnoteRef/>
      </w:r>
      <w:r w:rsidRPr="00C841B2" w:rsidR="00651A0E">
        <w:rPr>
          <w:rFonts w:ascii="Times New Roman" w:hAnsi="Times New Roman" w:cs="Times New Roman"/>
          <w:sz w:val="18"/>
          <w:szCs w:val="18"/>
        </w:rPr>
        <w:t xml:space="preserve"> V kapitole 1.2.</w:t>
      </w:r>
      <w:r w:rsidR="00651A0E">
        <w:rPr>
          <w:rFonts w:ascii="Times New Roman" w:hAnsi="Times New Roman" w:cs="Times New Roman"/>
          <w:sz w:val="18"/>
          <w:szCs w:val="18"/>
        </w:rPr>
        <w:t xml:space="preserve"> pri medziročnom náraste hrubého dlhu je uvedený vplyv EFSF vo výške 102 204 tis. eur. Rozdielna suma vyplýva z rozdielnej metodiky dlhu a podmienených záväzkov. Do verejného dlhu sa zaratúva podiel Slovenska na skutočnej pôžičke krajine (v tomto prípade Grécka) od EFSF. Do podmienených záväzkov sa započítavajú záruky Slovenska za pôžičky, ktoré EFSF získava na kapitálovom trhu, aby mohol poskytnúť pôžičky krajinám (Grécku). Navyše, záruky sú kvôli ratingu poskytované na vyššiu sumu, ako si EFSF v skutočnosti na trhu požičiava a požičaná suma na trhu nemusí byť úplne zhodná s tou, ktorú EFSF potrebuje v danom roku na pôžičky pre krajiny.</w:t>
      </w:r>
    </w:p>
  </w:footnote>
  <w:footnote w:id="14">
    <w:p w:rsidP="001D3593">
      <w:pPr>
        <w:pStyle w:val="FootnoteText"/>
        <w:bidi w:val="0"/>
      </w:pPr>
      <w:r w:rsidRPr="007C73EE" w:rsidR="00651A0E">
        <w:rPr>
          <w:rStyle w:val="FootnoteReference"/>
          <w:rFonts w:ascii="Times New Roman" w:hAnsi="Times New Roman"/>
          <w:sz w:val="18"/>
          <w:szCs w:val="18"/>
        </w:rPr>
        <w:footnoteRef/>
      </w:r>
      <w:r w:rsidRPr="007C73EE" w:rsidR="00651A0E">
        <w:rPr>
          <w:rFonts w:ascii="Times New Roman" w:hAnsi="Times New Roman" w:cs="Times New Roman"/>
          <w:sz w:val="18"/>
          <w:szCs w:val="18"/>
        </w:rPr>
        <w:t xml:space="preserve"> </w:t>
      </w:r>
      <w:hyperlink r:id="rId1" w:history="1">
        <w:r w:rsidRPr="007C73EE" w:rsidR="00651A0E">
          <w:rPr>
            <w:rStyle w:val="Hyperlink"/>
            <w:rFonts w:ascii="Times New Roman" w:hAnsi="Times New Roman" w:cs="Times New Roman"/>
            <w:sz w:val="18"/>
            <w:szCs w:val="18"/>
          </w:rPr>
          <w:t>www.finance.gov.sk</w:t>
        </w:r>
      </w:hyperlink>
      <w:r w:rsidRPr="007C73EE" w:rsidR="00651A0E">
        <w:rPr>
          <w:rFonts w:ascii="Times New Roman" w:hAnsi="Times New Roman" w:cs="Times New Roman"/>
          <w:sz w:val="18"/>
          <w:szCs w:val="18"/>
        </w:rPr>
        <w:t xml:space="preserve">; sekcia Financie/Štátne výkazníctvo/Súhrnná výročná správa Slovenskej republiky </w:t>
      </w:r>
    </w:p>
  </w:footnote>
  <w:footnote w:id="15">
    <w:p>
      <w:pPr>
        <w:pStyle w:val="FootnoteText"/>
        <w:bidi w:val="0"/>
      </w:pPr>
      <w:r w:rsidRPr="00D956F3" w:rsidR="00651A0E">
        <w:rPr>
          <w:rStyle w:val="FootnoteReference"/>
          <w:rFonts w:ascii="Times New Roman" w:hAnsi="Times New Roman"/>
          <w:sz w:val="18"/>
          <w:szCs w:val="18"/>
        </w:rPr>
        <w:footnoteRef/>
      </w:r>
      <w:r w:rsidRPr="00D956F3" w:rsidR="00651A0E">
        <w:rPr>
          <w:rFonts w:ascii="Times New Roman" w:hAnsi="Times New Roman" w:cs="Times New Roman"/>
          <w:sz w:val="18"/>
          <w:szCs w:val="18"/>
        </w:rPr>
        <w:t xml:space="preserve"> Napr. </w:t>
      </w:r>
      <w:r w:rsidR="00651A0E">
        <w:rPr>
          <w:rFonts w:ascii="Times New Roman" w:hAnsi="Times New Roman" w:cs="Times New Roman"/>
          <w:sz w:val="18"/>
          <w:szCs w:val="18"/>
        </w:rPr>
        <w:t>z</w:t>
      </w:r>
      <w:r w:rsidRPr="00D956F3" w:rsidR="00651A0E">
        <w:rPr>
          <w:rFonts w:ascii="Times New Roman" w:hAnsi="Times New Roman" w:cs="Times New Roman"/>
          <w:sz w:val="18"/>
          <w:szCs w:val="18"/>
        </w:rPr>
        <w:t>ákon č.258/1993 o Železniciach Slovenskej republiky</w:t>
      </w:r>
      <w:r w:rsidR="00651A0E">
        <w:rPr>
          <w:rFonts w:ascii="Times New Roman" w:hAnsi="Times New Roman" w:cs="Times New Roman"/>
          <w:sz w:val="18"/>
          <w:szCs w:val="18"/>
        </w:rPr>
        <w:t xml:space="preserve"> v znení neskorších predpisov </w:t>
      </w:r>
    </w:p>
  </w:footnote>
  <w:footnote w:id="16">
    <w:p w:rsidP="00A4000B">
      <w:pPr>
        <w:pStyle w:val="FootnoteText"/>
        <w:bidi w:val="0"/>
        <w:jc w:val="both"/>
      </w:pPr>
      <w:r w:rsidRPr="00D02E96" w:rsidR="00651A0E">
        <w:rPr>
          <w:rStyle w:val="FootnoteReference"/>
          <w:rFonts w:cstheme="minorBidi"/>
          <w:sz w:val="18"/>
          <w:szCs w:val="18"/>
        </w:rPr>
        <w:footnoteRef/>
      </w:r>
      <w:r w:rsidRPr="00D02E96" w:rsidR="00651A0E">
        <w:rPr>
          <w:rFonts w:ascii="Times New Roman" w:hAnsi="Times New Roman" w:cs="Times New Roman"/>
          <w:sz w:val="18"/>
          <w:szCs w:val="18"/>
        </w:rPr>
        <w:t xml:space="preserve"> Agentúra pre núdzové zásoby ropy a ropných výrobkov bola založená podľa zákona č. 218/2013 o núdzových zásobách ropy a ropných výrobkov a o riešení stavu ropnej núdze a o zmene a doplnení niektorých zákonov</w:t>
      </w:r>
    </w:p>
  </w:footnote>
  <w:footnote w:id="17">
    <w:p w:rsidP="007B0EF8">
      <w:pPr>
        <w:autoSpaceDE w:val="0"/>
        <w:autoSpaceDN w:val="0"/>
        <w:bidi w:val="0"/>
        <w:adjustRightInd w:val="0"/>
        <w:spacing w:after="0" w:line="240" w:lineRule="auto"/>
      </w:pPr>
      <w:r w:rsidRPr="003C1853" w:rsidR="00651A0E">
        <w:rPr>
          <w:rStyle w:val="FootnoteReference"/>
          <w:rFonts w:ascii="Times New Roman" w:hAnsi="Times New Roman"/>
          <w:sz w:val="18"/>
          <w:szCs w:val="18"/>
        </w:rPr>
        <w:footnoteRef/>
      </w:r>
      <w:r w:rsidRPr="003C1853" w:rsidR="00651A0E">
        <w:rPr>
          <w:rFonts w:ascii="Times New Roman" w:hAnsi="Times New Roman" w:cs="Times New Roman"/>
          <w:sz w:val="18"/>
          <w:szCs w:val="18"/>
        </w:rPr>
        <w:t xml:space="preserve"> Zákon č. 386/2002 o</w:t>
      </w:r>
      <w:r w:rsidRPr="003C1853" w:rsidR="00651A0E">
        <w:rPr>
          <w:rFonts w:ascii="Times New Roman" w:hAnsi="Times New Roman" w:cs="Times New Roman"/>
          <w:bCs/>
          <w:sz w:val="18"/>
          <w:szCs w:val="18"/>
        </w:rPr>
        <w:t xml:space="preserve"> štátnom dlhu a štátnych zárukách a ktorým sa dopĺňa zákon č. 291/2002 Z. z. o Štátnej pokladnici a o zmene a doplnení niektorých zákonov</w:t>
      </w:r>
    </w:p>
  </w:footnote>
  <w:footnote w:id="18">
    <w:p w:rsidP="00A4000B">
      <w:pPr>
        <w:pStyle w:val="FootnoteText"/>
        <w:bidi w:val="0"/>
        <w:jc w:val="both"/>
      </w:pPr>
      <w:r w:rsidRPr="003C1853" w:rsidR="00651A0E">
        <w:rPr>
          <w:rStyle w:val="FootnoteReference"/>
          <w:rFonts w:ascii="Times New Roman" w:hAnsi="Times New Roman"/>
          <w:sz w:val="18"/>
          <w:szCs w:val="18"/>
        </w:rPr>
        <w:footnoteRef/>
      </w:r>
      <w:r w:rsidRPr="003C1853" w:rsidR="00651A0E">
        <w:rPr>
          <w:rFonts w:ascii="Times New Roman" w:hAnsi="Times New Roman"/>
          <w:sz w:val="18"/>
          <w:szCs w:val="18"/>
        </w:rPr>
        <w:t>Zákon č. 523/2004 Z. z. o rozpočtových pravidlách verejnej správy a o zmene a doplnení niektorých zákonov, zákon č. 386/2002 Z. z. o štátnom dlhu a štátnych zárukách a ktorým sa dopĺňa zákon č. 291/2002 Z. z. o Štátnej pokladnici a o zmene a doplnení niektorých zákonov.</w:t>
      </w:r>
    </w:p>
  </w:footnote>
  <w:footnote w:id="19">
    <w:p w:rsidP="0073586C">
      <w:pPr>
        <w:pStyle w:val="FootnoteText"/>
        <w:bidi w:val="0"/>
        <w:jc w:val="both"/>
      </w:pPr>
      <w:r w:rsidRPr="00A4000B" w:rsidR="00651A0E">
        <w:rPr>
          <w:rStyle w:val="FootnoteReference"/>
          <w:rFonts w:ascii="Times New Roman" w:hAnsi="Times New Roman"/>
          <w:sz w:val="18"/>
          <w:szCs w:val="18"/>
        </w:rPr>
        <w:footnoteRef/>
      </w:r>
      <w:r w:rsidRPr="00A4000B" w:rsidR="00651A0E">
        <w:rPr>
          <w:rFonts w:ascii="Times New Roman" w:hAnsi="Times New Roman" w:cs="Times New Roman"/>
          <w:sz w:val="18"/>
          <w:szCs w:val="18"/>
        </w:rPr>
        <w:t xml:space="preserve"> Z</w:t>
      </w:r>
      <w:r w:rsidRPr="00A4000B" w:rsidR="00651A0E">
        <w:rPr>
          <w:rFonts w:ascii="Times New Roman" w:hAnsi="Times New Roman"/>
          <w:sz w:val="18"/>
          <w:szCs w:val="18"/>
        </w:rPr>
        <w:t xml:space="preserve">ákon č. 564/2004 Z. z. o rozpočtovom výnosu dane z príjmov územnej samospráve a o zmene a doplnení niektorých zákonov v znení neskorších predpisov. </w:t>
      </w:r>
    </w:p>
  </w:footnote>
  <w:footnote w:id="20">
    <w:p w:rsidP="0073586C">
      <w:pPr>
        <w:pStyle w:val="FootnoteText"/>
        <w:bidi w:val="0"/>
        <w:jc w:val="both"/>
      </w:pPr>
      <w:r w:rsidRPr="00A4000B" w:rsidR="00651A0E">
        <w:rPr>
          <w:rStyle w:val="FootnoteReference"/>
          <w:rFonts w:ascii="Times New Roman" w:hAnsi="Times New Roman"/>
          <w:sz w:val="18"/>
          <w:szCs w:val="18"/>
        </w:rPr>
        <w:footnoteRef/>
      </w:r>
      <w:r w:rsidRPr="00A4000B" w:rsidR="00651A0E">
        <w:rPr>
          <w:rFonts w:ascii="Times New Roman" w:hAnsi="Times New Roman" w:cs="Times New Roman"/>
          <w:sz w:val="18"/>
          <w:szCs w:val="18"/>
        </w:rPr>
        <w:t xml:space="preserve"> Zákon</w:t>
      </w:r>
      <w:r w:rsidRPr="00A4000B" w:rsidR="00651A0E">
        <w:rPr>
          <w:rFonts w:ascii="Times New Roman" w:hAnsi="Times New Roman"/>
          <w:sz w:val="18"/>
          <w:szCs w:val="18"/>
        </w:rPr>
        <w:t xml:space="preserve"> č. 384/2011 Z. z. o osobitnom odvode vybraných finančných inštitúcií a o doplnení niektorých zákonov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0E" w:rsidRPr="00012A0B" w:rsidP="005B2621">
    <w:pPr>
      <w:pStyle w:val="Header"/>
      <w:pBdr>
        <w:bottom w:val="thickThinSmallGap" w:sz="24" w:space="1" w:color="622423"/>
      </w:pBdr>
      <w:tabs>
        <w:tab w:val="clear" w:pos="4536"/>
        <w:tab w:val="clear" w:pos="9072"/>
      </w:tabs>
      <w:bidi w:val="0"/>
      <w:ind w:right="-1"/>
      <w:jc w:val="center"/>
      <w:rPr>
        <w:rFonts w:ascii="Times New Roman" w:hAnsi="Times New Roman"/>
        <w:i/>
        <w:color w:val="C00000"/>
        <w:sz w:val="24"/>
        <w:szCs w:val="24"/>
      </w:rPr>
    </w:pPr>
    <w:r w:rsidRPr="00012A0B">
      <w:rPr>
        <w:rFonts w:ascii="Times New Roman" w:hAnsi="Times New Roman"/>
        <w:i/>
        <w:color w:val="C00000"/>
        <w:sz w:val="24"/>
        <w:szCs w:val="24"/>
      </w:rPr>
      <w:t xml:space="preserve">Súhrnná výročná správa </w:t>
    </w:r>
    <w:r>
      <w:rPr>
        <w:rFonts w:ascii="Times New Roman" w:hAnsi="Times New Roman"/>
        <w:i/>
        <w:color w:val="C00000"/>
        <w:sz w:val="24"/>
        <w:szCs w:val="24"/>
      </w:rPr>
      <w:t>Slovenskej republiky za rok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280685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5F6B6D"/>
    <w:multiLevelType w:val="multilevel"/>
    <w:tmpl w:val="413E7C1A"/>
    <w:lvl w:ilvl="0">
      <w:start w:val="2"/>
      <w:numFmt w:val="decimal"/>
      <w:lvlText w:val="%1."/>
      <w:lvlJc w:val="left"/>
      <w:pPr>
        <w:ind w:left="9432" w:hanging="36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pStyle w:val="Heading3"/>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2">
    <w:nsid w:val="0BA2049E"/>
    <w:multiLevelType w:val="hybridMultilevel"/>
    <w:tmpl w:val="917E012C"/>
    <w:lvl w:ilvl="0">
      <w:start w:val="12"/>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F625385"/>
    <w:multiLevelType w:val="hybridMultilevel"/>
    <w:tmpl w:val="CF4876B4"/>
    <w:lvl w:ilvl="0">
      <w:start w:val="71"/>
      <w:numFmt w:val="bullet"/>
      <w:lvlText w:val="-"/>
      <w:lvlJc w:val="left"/>
      <w:pPr>
        <w:ind w:left="405" w:hanging="360"/>
      </w:pPr>
      <w:rPr>
        <w:rFonts w:ascii="Arial Narrow" w:hAnsi="Arial Narrow"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4019C2"/>
    <w:multiLevelType w:val="hybridMultilevel"/>
    <w:tmpl w:val="BA1A090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12B2C7D"/>
    <w:multiLevelType w:val="hybridMultilevel"/>
    <w:tmpl w:val="0ABC1DE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212D6907"/>
    <w:multiLevelType w:val="hybridMultilevel"/>
    <w:tmpl w:val="E4B6CE3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64F716B"/>
    <w:multiLevelType w:val="hybridMultilevel"/>
    <w:tmpl w:val="E38854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6C472DB"/>
    <w:multiLevelType w:val="hybridMultilevel"/>
    <w:tmpl w:val="A13263B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28364C39"/>
    <w:multiLevelType w:val="hybridMultilevel"/>
    <w:tmpl w:val="9822EB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A78098D"/>
    <w:multiLevelType w:val="hybridMultilevel"/>
    <w:tmpl w:val="D59E86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2DE361A"/>
    <w:multiLevelType w:val="hybridMultilevel"/>
    <w:tmpl w:val="6FF44FA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3AB567E1"/>
    <w:multiLevelType w:val="hybridMultilevel"/>
    <w:tmpl w:val="4370832E"/>
    <w:lvl w:ilvl="0">
      <w:start w:val="1"/>
      <w:numFmt w:val="lowerLetter"/>
      <w:pStyle w:val="abc"/>
      <w:lvlText w:val="%1)"/>
      <w:lvlJc w:val="left"/>
      <w:pPr>
        <w:tabs>
          <w:tab w:val="num" w:pos="465"/>
        </w:tabs>
        <w:ind w:left="465" w:hanging="465"/>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BD77980"/>
    <w:multiLevelType w:val="hybridMultilevel"/>
    <w:tmpl w:val="221E39A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3C595A28"/>
    <w:multiLevelType w:val="hybridMultilevel"/>
    <w:tmpl w:val="F0DCB748"/>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15">
    <w:nsid w:val="4E7C3ED8"/>
    <w:multiLevelType w:val="hybridMultilevel"/>
    <w:tmpl w:val="643002C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5F1161A3"/>
    <w:multiLevelType w:val="multilevel"/>
    <w:tmpl w:val="92D2F316"/>
    <w:lvl w:ilvl="0">
      <w:start w:val="1"/>
      <w:numFmt w:val="decimal"/>
      <w:pStyle w:val="Heading1"/>
      <w:lvlText w:val="%1."/>
      <w:lvlJc w:val="left"/>
      <w:pPr>
        <w:ind w:left="1495" w:hanging="360"/>
      </w:pPr>
      <w:rPr>
        <w:rFonts w:cstheme="majorBidi" w:hint="default"/>
        <w:rtl w:val="0"/>
        <w:cs w:val="0"/>
      </w:rPr>
    </w:lvl>
    <w:lvl w:ilvl="1">
      <w:start w:val="1"/>
      <w:numFmt w:val="decimal"/>
      <w:pStyle w:val="Heading2"/>
      <w:isLgl/>
      <w:lvlText w:val="%1.%2."/>
      <w:lvlJc w:val="left"/>
      <w:pPr>
        <w:ind w:left="8014" w:hanging="360"/>
      </w:pPr>
      <w:rPr>
        <w:rFonts w:cs="Times New Roman" w:hint="default"/>
        <w:rtl w:val="0"/>
        <w:cs w:val="0"/>
      </w:rPr>
    </w:lvl>
    <w:lvl w:ilvl="2">
      <w:start w:val="1"/>
      <w:numFmt w:val="decimal"/>
      <w:isLgl/>
      <w:lvlText w:val="%1.%2.%3."/>
      <w:lvlJc w:val="left"/>
      <w:pPr>
        <w:ind w:left="1855" w:hanging="720"/>
      </w:pPr>
      <w:rPr>
        <w:rFonts w:cs="Times New Roman" w:hint="default"/>
        <w:rtl w:val="0"/>
        <w:cs w:val="0"/>
      </w:rPr>
    </w:lvl>
    <w:lvl w:ilvl="3">
      <w:start w:val="1"/>
      <w:numFmt w:val="decimal"/>
      <w:isLgl/>
      <w:lvlText w:val="%1.%2.%3.%4."/>
      <w:lvlJc w:val="left"/>
      <w:pPr>
        <w:ind w:left="1855" w:hanging="720"/>
      </w:pPr>
      <w:rPr>
        <w:rFonts w:cs="Times New Roman" w:hint="default"/>
        <w:rtl w:val="0"/>
        <w:cs w:val="0"/>
      </w:rPr>
    </w:lvl>
    <w:lvl w:ilvl="4">
      <w:start w:val="1"/>
      <w:numFmt w:val="decimal"/>
      <w:isLgl/>
      <w:lvlText w:val="%1.%2.%3.%4.%5."/>
      <w:lvlJc w:val="left"/>
      <w:pPr>
        <w:ind w:left="2215" w:hanging="1080"/>
      </w:pPr>
      <w:rPr>
        <w:rFonts w:cs="Times New Roman" w:hint="default"/>
        <w:rtl w:val="0"/>
        <w:cs w:val="0"/>
      </w:rPr>
    </w:lvl>
    <w:lvl w:ilvl="5">
      <w:start w:val="1"/>
      <w:numFmt w:val="decimal"/>
      <w:isLgl/>
      <w:lvlText w:val="%1.%2.%3.%4.%5.%6."/>
      <w:lvlJc w:val="left"/>
      <w:pPr>
        <w:ind w:left="2215" w:hanging="1080"/>
      </w:pPr>
      <w:rPr>
        <w:rFonts w:cs="Times New Roman" w:hint="default"/>
        <w:rtl w:val="0"/>
        <w:cs w:val="0"/>
      </w:rPr>
    </w:lvl>
    <w:lvl w:ilvl="6">
      <w:start w:val="1"/>
      <w:numFmt w:val="decimal"/>
      <w:isLgl/>
      <w:lvlText w:val="%1.%2.%3.%4.%5.%6.%7."/>
      <w:lvlJc w:val="left"/>
      <w:pPr>
        <w:ind w:left="2575" w:hanging="1440"/>
      </w:pPr>
      <w:rPr>
        <w:rFonts w:cs="Times New Roman" w:hint="default"/>
        <w:rtl w:val="0"/>
        <w:cs w:val="0"/>
      </w:rPr>
    </w:lvl>
    <w:lvl w:ilvl="7">
      <w:start w:val="1"/>
      <w:numFmt w:val="decimal"/>
      <w:isLgl/>
      <w:lvlText w:val="%1.%2.%3.%4.%5.%6.%7.%8."/>
      <w:lvlJc w:val="left"/>
      <w:pPr>
        <w:ind w:left="2575" w:hanging="1440"/>
      </w:pPr>
      <w:rPr>
        <w:rFonts w:cs="Times New Roman" w:hint="default"/>
        <w:rtl w:val="0"/>
        <w:cs w:val="0"/>
      </w:rPr>
    </w:lvl>
    <w:lvl w:ilvl="8">
      <w:start w:val="1"/>
      <w:numFmt w:val="decimal"/>
      <w:isLgl/>
      <w:lvlText w:val="%1.%2.%3.%4.%5.%6.%7.%8.%9."/>
      <w:lvlJc w:val="left"/>
      <w:pPr>
        <w:ind w:left="2935" w:hanging="1800"/>
      </w:pPr>
      <w:rPr>
        <w:rFonts w:cs="Times New Roman" w:hint="default"/>
        <w:rtl w:val="0"/>
        <w:cs w:val="0"/>
      </w:rPr>
    </w:lvl>
  </w:abstractNum>
  <w:abstractNum w:abstractNumId="17">
    <w:nsid w:val="5F85346E"/>
    <w:multiLevelType w:val="hybridMultilevel"/>
    <w:tmpl w:val="24BEE03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63A1450"/>
    <w:multiLevelType w:val="hybridMultilevel"/>
    <w:tmpl w:val="E8B406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642409D"/>
    <w:multiLevelType w:val="hybridMultilevel"/>
    <w:tmpl w:val="0018F6C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6AFD4B50"/>
    <w:multiLevelType w:val="hybridMultilevel"/>
    <w:tmpl w:val="91BE8B44"/>
    <w:lvl w:ilvl="0">
      <w:start w:val="0"/>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4510EFA"/>
    <w:multiLevelType w:val="hybridMultilevel"/>
    <w:tmpl w:val="680640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8257C33"/>
    <w:multiLevelType w:val="hybridMultilevel"/>
    <w:tmpl w:val="16A285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A544B48"/>
    <w:multiLevelType w:val="hybridMultilevel"/>
    <w:tmpl w:val="BB6805EE"/>
    <w:lvl w:ilvl="0">
      <w:start w:val="7"/>
      <w:numFmt w:val="bullet"/>
      <w:pStyle w:val="AUODRAKA"/>
      <w:lvlText w:val=""/>
      <w:lvlJc w:val="left"/>
      <w:pPr>
        <w:tabs>
          <w:tab w:val="num" w:pos="284"/>
        </w:tabs>
        <w:ind w:left="284" w:hanging="284"/>
      </w:pPr>
      <w:rPr>
        <w:rFonts w:ascii="Symbol" w:hAnsi="Symbol" w:hint="default"/>
        <w:b/>
        <w:i w:val="0"/>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
  </w:num>
  <w:num w:numId="4">
    <w:abstractNumId w:val="8"/>
  </w:num>
  <w:num w:numId="5">
    <w:abstractNumId w:val="12"/>
  </w:num>
  <w:num w:numId="6">
    <w:abstractNumId w:val="23"/>
  </w:num>
  <w:num w:numId="7">
    <w:abstractNumId w:val="0"/>
  </w:num>
  <w:num w:numId="8">
    <w:abstractNumId w:val="18"/>
  </w:num>
  <w:num w:numId="9">
    <w:abstractNumId w:val="6"/>
  </w:num>
  <w:num w:numId="10">
    <w:abstractNumId w:val="4"/>
  </w:num>
  <w:num w:numId="11">
    <w:abstractNumId w:val="15"/>
  </w:num>
  <w:num w:numId="12">
    <w:abstractNumId w:val="11"/>
  </w:num>
  <w:num w:numId="13">
    <w:abstractNumId w:val="5"/>
  </w:num>
  <w:num w:numId="14">
    <w:abstractNumId w:val="1"/>
  </w:num>
  <w:num w:numId="15">
    <w:abstractNumId w:val="19"/>
  </w:num>
  <w:num w:numId="16">
    <w:abstractNumId w:val="1"/>
  </w:num>
  <w:num w:numId="17">
    <w:abstractNumId w:val="1"/>
  </w:num>
  <w:num w:numId="18">
    <w:abstractNumId w:val="13"/>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9"/>
  </w:num>
  <w:num w:numId="23">
    <w:abstractNumId w:val="7"/>
  </w:num>
  <w:num w:numId="24">
    <w:abstractNumId w:val="10"/>
  </w:num>
  <w:num w:numId="25">
    <w:abstractNumId w:val="21"/>
  </w:num>
  <w:num w:numId="26">
    <w:abstractNumId w:val="17"/>
  </w:num>
  <w:num w:numId="27">
    <w:abstractNumId w:val="20"/>
  </w:num>
  <w:num w:numId="28">
    <w:abstractNumId w:val="2"/>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compat/>
  <w:rsids>
    <w:rsidRoot w:val="0000346C"/>
    <w:rsid w:val="00000538"/>
    <w:rsid w:val="00002BBE"/>
    <w:rsid w:val="0000346C"/>
    <w:rsid w:val="0000435D"/>
    <w:rsid w:val="0000481F"/>
    <w:rsid w:val="0001053C"/>
    <w:rsid w:val="00010E4A"/>
    <w:rsid w:val="0001132C"/>
    <w:rsid w:val="00012A0B"/>
    <w:rsid w:val="00012EC9"/>
    <w:rsid w:val="00016328"/>
    <w:rsid w:val="00021651"/>
    <w:rsid w:val="00022328"/>
    <w:rsid w:val="0002242E"/>
    <w:rsid w:val="0002262E"/>
    <w:rsid w:val="00026F0C"/>
    <w:rsid w:val="00032419"/>
    <w:rsid w:val="00033B28"/>
    <w:rsid w:val="000347E8"/>
    <w:rsid w:val="00036E63"/>
    <w:rsid w:val="00041CD3"/>
    <w:rsid w:val="0004421D"/>
    <w:rsid w:val="0004434D"/>
    <w:rsid w:val="000454D8"/>
    <w:rsid w:val="000511B5"/>
    <w:rsid w:val="00051C9A"/>
    <w:rsid w:val="0005286D"/>
    <w:rsid w:val="00055F5C"/>
    <w:rsid w:val="000565C3"/>
    <w:rsid w:val="00057CF7"/>
    <w:rsid w:val="000606A7"/>
    <w:rsid w:val="00061DBD"/>
    <w:rsid w:val="00062AF5"/>
    <w:rsid w:val="00062DC2"/>
    <w:rsid w:val="00064921"/>
    <w:rsid w:val="00070899"/>
    <w:rsid w:val="000722EF"/>
    <w:rsid w:val="000728EB"/>
    <w:rsid w:val="00073EB1"/>
    <w:rsid w:val="00073FFD"/>
    <w:rsid w:val="00076535"/>
    <w:rsid w:val="0007714F"/>
    <w:rsid w:val="00080B3C"/>
    <w:rsid w:val="00081E83"/>
    <w:rsid w:val="0008237F"/>
    <w:rsid w:val="0008314B"/>
    <w:rsid w:val="000832C3"/>
    <w:rsid w:val="00083D09"/>
    <w:rsid w:val="00083E71"/>
    <w:rsid w:val="00084506"/>
    <w:rsid w:val="0008572B"/>
    <w:rsid w:val="00090B79"/>
    <w:rsid w:val="00091ABA"/>
    <w:rsid w:val="00091E16"/>
    <w:rsid w:val="00092A25"/>
    <w:rsid w:val="00094B9B"/>
    <w:rsid w:val="00096FC8"/>
    <w:rsid w:val="0009732B"/>
    <w:rsid w:val="000A357C"/>
    <w:rsid w:val="000A4644"/>
    <w:rsid w:val="000A5BA9"/>
    <w:rsid w:val="000A7290"/>
    <w:rsid w:val="000A7EA1"/>
    <w:rsid w:val="000B02C3"/>
    <w:rsid w:val="000B0AD0"/>
    <w:rsid w:val="000B1F01"/>
    <w:rsid w:val="000B2004"/>
    <w:rsid w:val="000B4E19"/>
    <w:rsid w:val="000B5FA3"/>
    <w:rsid w:val="000B6619"/>
    <w:rsid w:val="000C0942"/>
    <w:rsid w:val="000C0AF4"/>
    <w:rsid w:val="000C47D2"/>
    <w:rsid w:val="000C6A66"/>
    <w:rsid w:val="000C6BC7"/>
    <w:rsid w:val="000D3333"/>
    <w:rsid w:val="000D360D"/>
    <w:rsid w:val="000D3A03"/>
    <w:rsid w:val="000D3B05"/>
    <w:rsid w:val="000D3B2D"/>
    <w:rsid w:val="000D598D"/>
    <w:rsid w:val="000D6362"/>
    <w:rsid w:val="000D6BF1"/>
    <w:rsid w:val="000D77CC"/>
    <w:rsid w:val="000E0D02"/>
    <w:rsid w:val="000E3D24"/>
    <w:rsid w:val="000E4520"/>
    <w:rsid w:val="000E499C"/>
    <w:rsid w:val="000E5BF0"/>
    <w:rsid w:val="000E5F16"/>
    <w:rsid w:val="000E69D1"/>
    <w:rsid w:val="000E6B59"/>
    <w:rsid w:val="000E7880"/>
    <w:rsid w:val="000F021A"/>
    <w:rsid w:val="000F1CED"/>
    <w:rsid w:val="000F21DB"/>
    <w:rsid w:val="000F23F1"/>
    <w:rsid w:val="000F2548"/>
    <w:rsid w:val="000F366E"/>
    <w:rsid w:val="000F42D3"/>
    <w:rsid w:val="000F5C53"/>
    <w:rsid w:val="000F5EC3"/>
    <w:rsid w:val="000F5F5B"/>
    <w:rsid w:val="000F61CA"/>
    <w:rsid w:val="000F7DFE"/>
    <w:rsid w:val="00100409"/>
    <w:rsid w:val="001009CC"/>
    <w:rsid w:val="00100DED"/>
    <w:rsid w:val="00101C61"/>
    <w:rsid w:val="00103920"/>
    <w:rsid w:val="00104D10"/>
    <w:rsid w:val="00105529"/>
    <w:rsid w:val="00105F45"/>
    <w:rsid w:val="00106D60"/>
    <w:rsid w:val="00107FB8"/>
    <w:rsid w:val="00110DB4"/>
    <w:rsid w:val="00110FEB"/>
    <w:rsid w:val="0011103E"/>
    <w:rsid w:val="0011258A"/>
    <w:rsid w:val="001146E1"/>
    <w:rsid w:val="00117EF0"/>
    <w:rsid w:val="0012017D"/>
    <w:rsid w:val="00120D7D"/>
    <w:rsid w:val="001215F3"/>
    <w:rsid w:val="0012264F"/>
    <w:rsid w:val="00122D4E"/>
    <w:rsid w:val="0012357B"/>
    <w:rsid w:val="0012459D"/>
    <w:rsid w:val="0012462B"/>
    <w:rsid w:val="00130163"/>
    <w:rsid w:val="00130F05"/>
    <w:rsid w:val="00132739"/>
    <w:rsid w:val="00132E70"/>
    <w:rsid w:val="00133CA5"/>
    <w:rsid w:val="00135CC5"/>
    <w:rsid w:val="00140B01"/>
    <w:rsid w:val="0014208C"/>
    <w:rsid w:val="00143A46"/>
    <w:rsid w:val="00145919"/>
    <w:rsid w:val="00150511"/>
    <w:rsid w:val="00152621"/>
    <w:rsid w:val="00152880"/>
    <w:rsid w:val="001616C1"/>
    <w:rsid w:val="001622AD"/>
    <w:rsid w:val="00162D79"/>
    <w:rsid w:val="00163EDD"/>
    <w:rsid w:val="00165641"/>
    <w:rsid w:val="00167EE7"/>
    <w:rsid w:val="00171087"/>
    <w:rsid w:val="00172120"/>
    <w:rsid w:val="00172824"/>
    <w:rsid w:val="0017344C"/>
    <w:rsid w:val="001767F0"/>
    <w:rsid w:val="001835B0"/>
    <w:rsid w:val="00183829"/>
    <w:rsid w:val="00183A1F"/>
    <w:rsid w:val="00183F38"/>
    <w:rsid w:val="001848F4"/>
    <w:rsid w:val="00185751"/>
    <w:rsid w:val="00185CDE"/>
    <w:rsid w:val="001909A1"/>
    <w:rsid w:val="00191267"/>
    <w:rsid w:val="001A1ADE"/>
    <w:rsid w:val="001A3017"/>
    <w:rsid w:val="001A3635"/>
    <w:rsid w:val="001A3A40"/>
    <w:rsid w:val="001A59FB"/>
    <w:rsid w:val="001A638C"/>
    <w:rsid w:val="001A687D"/>
    <w:rsid w:val="001A6DE0"/>
    <w:rsid w:val="001B3856"/>
    <w:rsid w:val="001B4DFC"/>
    <w:rsid w:val="001B674A"/>
    <w:rsid w:val="001B76A7"/>
    <w:rsid w:val="001C159E"/>
    <w:rsid w:val="001C4414"/>
    <w:rsid w:val="001C5592"/>
    <w:rsid w:val="001C61AA"/>
    <w:rsid w:val="001D3593"/>
    <w:rsid w:val="001D4302"/>
    <w:rsid w:val="001D45CC"/>
    <w:rsid w:val="001E0DB6"/>
    <w:rsid w:val="001E1FB8"/>
    <w:rsid w:val="001E2DE5"/>
    <w:rsid w:val="001E41AC"/>
    <w:rsid w:val="001E4AA7"/>
    <w:rsid w:val="001E5E18"/>
    <w:rsid w:val="001E633F"/>
    <w:rsid w:val="001E6B33"/>
    <w:rsid w:val="001F0485"/>
    <w:rsid w:val="001F0D9F"/>
    <w:rsid w:val="001F1D93"/>
    <w:rsid w:val="001F22EF"/>
    <w:rsid w:val="001F376C"/>
    <w:rsid w:val="001F3D60"/>
    <w:rsid w:val="001F49A9"/>
    <w:rsid w:val="001F4D98"/>
    <w:rsid w:val="001F5D79"/>
    <w:rsid w:val="001F683E"/>
    <w:rsid w:val="001F6D13"/>
    <w:rsid w:val="0020400B"/>
    <w:rsid w:val="002044AD"/>
    <w:rsid w:val="00204E1E"/>
    <w:rsid w:val="00206DF9"/>
    <w:rsid w:val="002078B2"/>
    <w:rsid w:val="0021117C"/>
    <w:rsid w:val="00211BF0"/>
    <w:rsid w:val="00213919"/>
    <w:rsid w:val="002142C6"/>
    <w:rsid w:val="00214348"/>
    <w:rsid w:val="00216984"/>
    <w:rsid w:val="00216B81"/>
    <w:rsid w:val="00216E76"/>
    <w:rsid w:val="00217B68"/>
    <w:rsid w:val="002215AF"/>
    <w:rsid w:val="00224204"/>
    <w:rsid w:val="00224BDE"/>
    <w:rsid w:val="00226D68"/>
    <w:rsid w:val="0023087F"/>
    <w:rsid w:val="00231512"/>
    <w:rsid w:val="00231900"/>
    <w:rsid w:val="002322EB"/>
    <w:rsid w:val="0023584C"/>
    <w:rsid w:val="00240F49"/>
    <w:rsid w:val="002414D0"/>
    <w:rsid w:val="002435D8"/>
    <w:rsid w:val="00243B84"/>
    <w:rsid w:val="00246DE8"/>
    <w:rsid w:val="00247E19"/>
    <w:rsid w:val="002517D9"/>
    <w:rsid w:val="00253120"/>
    <w:rsid w:val="0025486C"/>
    <w:rsid w:val="00254A8D"/>
    <w:rsid w:val="00260B79"/>
    <w:rsid w:val="0026158C"/>
    <w:rsid w:val="00261FD8"/>
    <w:rsid w:val="00262347"/>
    <w:rsid w:val="0026511F"/>
    <w:rsid w:val="002662DA"/>
    <w:rsid w:val="0026721F"/>
    <w:rsid w:val="00270805"/>
    <w:rsid w:val="00272125"/>
    <w:rsid w:val="00274BD8"/>
    <w:rsid w:val="0027509E"/>
    <w:rsid w:val="002753EE"/>
    <w:rsid w:val="002759FF"/>
    <w:rsid w:val="002816BD"/>
    <w:rsid w:val="002854F9"/>
    <w:rsid w:val="00286464"/>
    <w:rsid w:val="00287010"/>
    <w:rsid w:val="0029039A"/>
    <w:rsid w:val="002920B8"/>
    <w:rsid w:val="00294AD4"/>
    <w:rsid w:val="00295D8B"/>
    <w:rsid w:val="00296A58"/>
    <w:rsid w:val="00296DDF"/>
    <w:rsid w:val="002A22D2"/>
    <w:rsid w:val="002A6B7F"/>
    <w:rsid w:val="002B08C1"/>
    <w:rsid w:val="002B25A7"/>
    <w:rsid w:val="002B4A70"/>
    <w:rsid w:val="002B7761"/>
    <w:rsid w:val="002C05C9"/>
    <w:rsid w:val="002C2348"/>
    <w:rsid w:val="002C2EF1"/>
    <w:rsid w:val="002C623E"/>
    <w:rsid w:val="002C62DA"/>
    <w:rsid w:val="002C68D5"/>
    <w:rsid w:val="002C7EB2"/>
    <w:rsid w:val="002D03CE"/>
    <w:rsid w:val="002D05C8"/>
    <w:rsid w:val="002D2E86"/>
    <w:rsid w:val="002D6090"/>
    <w:rsid w:val="002D6D0A"/>
    <w:rsid w:val="002E04D2"/>
    <w:rsid w:val="002E0D26"/>
    <w:rsid w:val="002E225E"/>
    <w:rsid w:val="002E315D"/>
    <w:rsid w:val="002E55AB"/>
    <w:rsid w:val="002F06DB"/>
    <w:rsid w:val="002F0F77"/>
    <w:rsid w:val="002F1219"/>
    <w:rsid w:val="002F1412"/>
    <w:rsid w:val="002F2685"/>
    <w:rsid w:val="002F310B"/>
    <w:rsid w:val="002F61CA"/>
    <w:rsid w:val="002F6582"/>
    <w:rsid w:val="002F79ED"/>
    <w:rsid w:val="002F7B20"/>
    <w:rsid w:val="002F7C62"/>
    <w:rsid w:val="0030084D"/>
    <w:rsid w:val="00301D73"/>
    <w:rsid w:val="0030306B"/>
    <w:rsid w:val="00304507"/>
    <w:rsid w:val="00310385"/>
    <w:rsid w:val="00311A78"/>
    <w:rsid w:val="00313378"/>
    <w:rsid w:val="003139EB"/>
    <w:rsid w:val="00313C6C"/>
    <w:rsid w:val="003160E3"/>
    <w:rsid w:val="00316CE3"/>
    <w:rsid w:val="00321EC7"/>
    <w:rsid w:val="003318A3"/>
    <w:rsid w:val="0033233F"/>
    <w:rsid w:val="0033307F"/>
    <w:rsid w:val="00333825"/>
    <w:rsid w:val="00334F3E"/>
    <w:rsid w:val="0033678B"/>
    <w:rsid w:val="00336969"/>
    <w:rsid w:val="00337A4D"/>
    <w:rsid w:val="00342B11"/>
    <w:rsid w:val="00344D66"/>
    <w:rsid w:val="00345E52"/>
    <w:rsid w:val="003475BE"/>
    <w:rsid w:val="0034793E"/>
    <w:rsid w:val="00350D5F"/>
    <w:rsid w:val="00350FCE"/>
    <w:rsid w:val="0035194F"/>
    <w:rsid w:val="00351FCF"/>
    <w:rsid w:val="00352012"/>
    <w:rsid w:val="003532A8"/>
    <w:rsid w:val="0035366F"/>
    <w:rsid w:val="00354C87"/>
    <w:rsid w:val="00355224"/>
    <w:rsid w:val="00356019"/>
    <w:rsid w:val="003570CD"/>
    <w:rsid w:val="003602C8"/>
    <w:rsid w:val="00360E3C"/>
    <w:rsid w:val="00362D52"/>
    <w:rsid w:val="00362DC8"/>
    <w:rsid w:val="00365FBE"/>
    <w:rsid w:val="00366AE0"/>
    <w:rsid w:val="00367C11"/>
    <w:rsid w:val="00373316"/>
    <w:rsid w:val="00374314"/>
    <w:rsid w:val="0037448F"/>
    <w:rsid w:val="00375895"/>
    <w:rsid w:val="00375CF7"/>
    <w:rsid w:val="0038066F"/>
    <w:rsid w:val="00381445"/>
    <w:rsid w:val="0038304B"/>
    <w:rsid w:val="0038408C"/>
    <w:rsid w:val="003854AA"/>
    <w:rsid w:val="003856EE"/>
    <w:rsid w:val="003869E9"/>
    <w:rsid w:val="0039205F"/>
    <w:rsid w:val="00394109"/>
    <w:rsid w:val="00394F9A"/>
    <w:rsid w:val="00396A66"/>
    <w:rsid w:val="003A1A64"/>
    <w:rsid w:val="003A3EF9"/>
    <w:rsid w:val="003A4419"/>
    <w:rsid w:val="003A5482"/>
    <w:rsid w:val="003A760D"/>
    <w:rsid w:val="003B20E3"/>
    <w:rsid w:val="003B3993"/>
    <w:rsid w:val="003B543F"/>
    <w:rsid w:val="003B5F59"/>
    <w:rsid w:val="003B78F1"/>
    <w:rsid w:val="003C1002"/>
    <w:rsid w:val="003C1853"/>
    <w:rsid w:val="003C238C"/>
    <w:rsid w:val="003C3A90"/>
    <w:rsid w:val="003C4A99"/>
    <w:rsid w:val="003C618E"/>
    <w:rsid w:val="003C6352"/>
    <w:rsid w:val="003C6E51"/>
    <w:rsid w:val="003D1445"/>
    <w:rsid w:val="003D1A42"/>
    <w:rsid w:val="003D4F35"/>
    <w:rsid w:val="003E11F8"/>
    <w:rsid w:val="003E5AAC"/>
    <w:rsid w:val="003E6315"/>
    <w:rsid w:val="003E681C"/>
    <w:rsid w:val="003E6D95"/>
    <w:rsid w:val="003F1365"/>
    <w:rsid w:val="003F2D9B"/>
    <w:rsid w:val="003F4397"/>
    <w:rsid w:val="003F661A"/>
    <w:rsid w:val="003F6833"/>
    <w:rsid w:val="003F6872"/>
    <w:rsid w:val="003F6A9D"/>
    <w:rsid w:val="003F746C"/>
    <w:rsid w:val="00400EA6"/>
    <w:rsid w:val="00402977"/>
    <w:rsid w:val="00405DEC"/>
    <w:rsid w:val="004070D5"/>
    <w:rsid w:val="00410A8C"/>
    <w:rsid w:val="00412872"/>
    <w:rsid w:val="00412B6E"/>
    <w:rsid w:val="004130D0"/>
    <w:rsid w:val="00413A0E"/>
    <w:rsid w:val="00413B19"/>
    <w:rsid w:val="00414642"/>
    <w:rsid w:val="0041503F"/>
    <w:rsid w:val="004159FF"/>
    <w:rsid w:val="00420B47"/>
    <w:rsid w:val="00421098"/>
    <w:rsid w:val="00424DCE"/>
    <w:rsid w:val="0042536D"/>
    <w:rsid w:val="0042590D"/>
    <w:rsid w:val="00427003"/>
    <w:rsid w:val="00427440"/>
    <w:rsid w:val="00430994"/>
    <w:rsid w:val="0043188C"/>
    <w:rsid w:val="00435870"/>
    <w:rsid w:val="00435942"/>
    <w:rsid w:val="00436BB6"/>
    <w:rsid w:val="004429FB"/>
    <w:rsid w:val="00442BA2"/>
    <w:rsid w:val="00443964"/>
    <w:rsid w:val="0044528D"/>
    <w:rsid w:val="00445555"/>
    <w:rsid w:val="00453659"/>
    <w:rsid w:val="00453B60"/>
    <w:rsid w:val="00454976"/>
    <w:rsid w:val="004569CD"/>
    <w:rsid w:val="00456CF4"/>
    <w:rsid w:val="00460557"/>
    <w:rsid w:val="00464884"/>
    <w:rsid w:val="004714CC"/>
    <w:rsid w:val="0047190C"/>
    <w:rsid w:val="00471B1C"/>
    <w:rsid w:val="00472043"/>
    <w:rsid w:val="00472200"/>
    <w:rsid w:val="00473579"/>
    <w:rsid w:val="00473A17"/>
    <w:rsid w:val="00474898"/>
    <w:rsid w:val="00474AF7"/>
    <w:rsid w:val="0047567E"/>
    <w:rsid w:val="00475B1A"/>
    <w:rsid w:val="00475F12"/>
    <w:rsid w:val="0047627C"/>
    <w:rsid w:val="00477695"/>
    <w:rsid w:val="0048068D"/>
    <w:rsid w:val="004821E4"/>
    <w:rsid w:val="0048415F"/>
    <w:rsid w:val="00484B70"/>
    <w:rsid w:val="00485B3F"/>
    <w:rsid w:val="0048746B"/>
    <w:rsid w:val="00491348"/>
    <w:rsid w:val="00491714"/>
    <w:rsid w:val="00491739"/>
    <w:rsid w:val="00492CF8"/>
    <w:rsid w:val="0049587F"/>
    <w:rsid w:val="00495CD0"/>
    <w:rsid w:val="0049685D"/>
    <w:rsid w:val="00496CD3"/>
    <w:rsid w:val="004A2C9B"/>
    <w:rsid w:val="004A3264"/>
    <w:rsid w:val="004A3908"/>
    <w:rsid w:val="004A3B5E"/>
    <w:rsid w:val="004A6F60"/>
    <w:rsid w:val="004A7C4B"/>
    <w:rsid w:val="004B1E34"/>
    <w:rsid w:val="004B50DB"/>
    <w:rsid w:val="004B57C3"/>
    <w:rsid w:val="004B5EA2"/>
    <w:rsid w:val="004B6439"/>
    <w:rsid w:val="004B6FC7"/>
    <w:rsid w:val="004B7DC7"/>
    <w:rsid w:val="004C110A"/>
    <w:rsid w:val="004C2EBA"/>
    <w:rsid w:val="004C33C7"/>
    <w:rsid w:val="004C490D"/>
    <w:rsid w:val="004C4A50"/>
    <w:rsid w:val="004C4B41"/>
    <w:rsid w:val="004C6380"/>
    <w:rsid w:val="004D0706"/>
    <w:rsid w:val="004D2EDD"/>
    <w:rsid w:val="004E0E8A"/>
    <w:rsid w:val="004E16B9"/>
    <w:rsid w:val="004E28F0"/>
    <w:rsid w:val="004E51D0"/>
    <w:rsid w:val="004E67C6"/>
    <w:rsid w:val="004E7B98"/>
    <w:rsid w:val="004F1294"/>
    <w:rsid w:val="004F20DE"/>
    <w:rsid w:val="004F26AC"/>
    <w:rsid w:val="004F2E9C"/>
    <w:rsid w:val="004F4ED3"/>
    <w:rsid w:val="004F6C5D"/>
    <w:rsid w:val="00500B5C"/>
    <w:rsid w:val="005035EC"/>
    <w:rsid w:val="005043E3"/>
    <w:rsid w:val="00505FE5"/>
    <w:rsid w:val="005066E1"/>
    <w:rsid w:val="00506BB9"/>
    <w:rsid w:val="00507F2C"/>
    <w:rsid w:val="00507F61"/>
    <w:rsid w:val="0051154D"/>
    <w:rsid w:val="00512975"/>
    <w:rsid w:val="00512B11"/>
    <w:rsid w:val="00513E60"/>
    <w:rsid w:val="00514D8F"/>
    <w:rsid w:val="00517B5F"/>
    <w:rsid w:val="0052175F"/>
    <w:rsid w:val="00521F07"/>
    <w:rsid w:val="00522361"/>
    <w:rsid w:val="00523B06"/>
    <w:rsid w:val="00524643"/>
    <w:rsid w:val="00525504"/>
    <w:rsid w:val="0052650F"/>
    <w:rsid w:val="00530A37"/>
    <w:rsid w:val="00533B20"/>
    <w:rsid w:val="005347C2"/>
    <w:rsid w:val="00534A6B"/>
    <w:rsid w:val="00535B4F"/>
    <w:rsid w:val="00536531"/>
    <w:rsid w:val="005378A6"/>
    <w:rsid w:val="00545285"/>
    <w:rsid w:val="005467C4"/>
    <w:rsid w:val="00546D72"/>
    <w:rsid w:val="00546E4D"/>
    <w:rsid w:val="00547BAC"/>
    <w:rsid w:val="0055151B"/>
    <w:rsid w:val="005520D1"/>
    <w:rsid w:val="0055225D"/>
    <w:rsid w:val="005532B1"/>
    <w:rsid w:val="0055579F"/>
    <w:rsid w:val="00562698"/>
    <w:rsid w:val="00564DEB"/>
    <w:rsid w:val="0056701A"/>
    <w:rsid w:val="00571152"/>
    <w:rsid w:val="00572EA0"/>
    <w:rsid w:val="0057417C"/>
    <w:rsid w:val="00574CFB"/>
    <w:rsid w:val="00574FCA"/>
    <w:rsid w:val="00575FE6"/>
    <w:rsid w:val="00577315"/>
    <w:rsid w:val="005775C6"/>
    <w:rsid w:val="00581157"/>
    <w:rsid w:val="00581EC4"/>
    <w:rsid w:val="0058303F"/>
    <w:rsid w:val="00584547"/>
    <w:rsid w:val="00584D7E"/>
    <w:rsid w:val="00586D75"/>
    <w:rsid w:val="00587F69"/>
    <w:rsid w:val="00592160"/>
    <w:rsid w:val="0059235F"/>
    <w:rsid w:val="00594E6A"/>
    <w:rsid w:val="005956F7"/>
    <w:rsid w:val="00595D11"/>
    <w:rsid w:val="00597603"/>
    <w:rsid w:val="005A18A9"/>
    <w:rsid w:val="005A5769"/>
    <w:rsid w:val="005A5B9D"/>
    <w:rsid w:val="005A63B2"/>
    <w:rsid w:val="005B07D7"/>
    <w:rsid w:val="005B0C7F"/>
    <w:rsid w:val="005B154C"/>
    <w:rsid w:val="005B2621"/>
    <w:rsid w:val="005B7819"/>
    <w:rsid w:val="005C0D5E"/>
    <w:rsid w:val="005C3AF8"/>
    <w:rsid w:val="005C5C7A"/>
    <w:rsid w:val="005C702E"/>
    <w:rsid w:val="005C7927"/>
    <w:rsid w:val="005D07CE"/>
    <w:rsid w:val="005D0B2F"/>
    <w:rsid w:val="005D1DD7"/>
    <w:rsid w:val="005D25E4"/>
    <w:rsid w:val="005D5220"/>
    <w:rsid w:val="005D5891"/>
    <w:rsid w:val="005D68CD"/>
    <w:rsid w:val="005D69F8"/>
    <w:rsid w:val="005D6DFC"/>
    <w:rsid w:val="005D72F1"/>
    <w:rsid w:val="005E78C8"/>
    <w:rsid w:val="005F4D9C"/>
    <w:rsid w:val="005F50F6"/>
    <w:rsid w:val="005F5214"/>
    <w:rsid w:val="005F61A6"/>
    <w:rsid w:val="00600BF9"/>
    <w:rsid w:val="00601416"/>
    <w:rsid w:val="006019CC"/>
    <w:rsid w:val="00604DB2"/>
    <w:rsid w:val="00604DFD"/>
    <w:rsid w:val="00610209"/>
    <w:rsid w:val="00613F69"/>
    <w:rsid w:val="006157F0"/>
    <w:rsid w:val="0062064D"/>
    <w:rsid w:val="0062277A"/>
    <w:rsid w:val="006261DA"/>
    <w:rsid w:val="006264CA"/>
    <w:rsid w:val="00626651"/>
    <w:rsid w:val="0062765A"/>
    <w:rsid w:val="00627E8D"/>
    <w:rsid w:val="0063004E"/>
    <w:rsid w:val="00630929"/>
    <w:rsid w:val="00630BA9"/>
    <w:rsid w:val="00630C72"/>
    <w:rsid w:val="00630EE3"/>
    <w:rsid w:val="00631125"/>
    <w:rsid w:val="00635FF1"/>
    <w:rsid w:val="0063746C"/>
    <w:rsid w:val="006414C7"/>
    <w:rsid w:val="00643227"/>
    <w:rsid w:val="00644480"/>
    <w:rsid w:val="006452F0"/>
    <w:rsid w:val="006456B1"/>
    <w:rsid w:val="00645A21"/>
    <w:rsid w:val="00645F66"/>
    <w:rsid w:val="00646CD0"/>
    <w:rsid w:val="006500E0"/>
    <w:rsid w:val="00651A0E"/>
    <w:rsid w:val="00653E1F"/>
    <w:rsid w:val="00655022"/>
    <w:rsid w:val="00663FBE"/>
    <w:rsid w:val="00665908"/>
    <w:rsid w:val="00667B85"/>
    <w:rsid w:val="00670F25"/>
    <w:rsid w:val="006752EF"/>
    <w:rsid w:val="0067542B"/>
    <w:rsid w:val="00675586"/>
    <w:rsid w:val="006762AE"/>
    <w:rsid w:val="00677C73"/>
    <w:rsid w:val="00681728"/>
    <w:rsid w:val="0068226F"/>
    <w:rsid w:val="00682487"/>
    <w:rsid w:val="00687196"/>
    <w:rsid w:val="0068787F"/>
    <w:rsid w:val="00690C7F"/>
    <w:rsid w:val="006937E5"/>
    <w:rsid w:val="006938F2"/>
    <w:rsid w:val="006940AB"/>
    <w:rsid w:val="0069786C"/>
    <w:rsid w:val="0069788C"/>
    <w:rsid w:val="00697B40"/>
    <w:rsid w:val="00697E15"/>
    <w:rsid w:val="006A1E93"/>
    <w:rsid w:val="006A7780"/>
    <w:rsid w:val="006A7893"/>
    <w:rsid w:val="006B03A4"/>
    <w:rsid w:val="006B05D9"/>
    <w:rsid w:val="006B0DB7"/>
    <w:rsid w:val="006B0E7A"/>
    <w:rsid w:val="006B216F"/>
    <w:rsid w:val="006B2364"/>
    <w:rsid w:val="006B3724"/>
    <w:rsid w:val="006B3B40"/>
    <w:rsid w:val="006B3DC9"/>
    <w:rsid w:val="006B5092"/>
    <w:rsid w:val="006B58F9"/>
    <w:rsid w:val="006B7D89"/>
    <w:rsid w:val="006C021C"/>
    <w:rsid w:val="006C0585"/>
    <w:rsid w:val="006C1423"/>
    <w:rsid w:val="006C4795"/>
    <w:rsid w:val="006C6747"/>
    <w:rsid w:val="006C6A7E"/>
    <w:rsid w:val="006C7278"/>
    <w:rsid w:val="006D0B40"/>
    <w:rsid w:val="006D0D74"/>
    <w:rsid w:val="006D1AF2"/>
    <w:rsid w:val="006D3BEF"/>
    <w:rsid w:val="006D4F67"/>
    <w:rsid w:val="006D62AC"/>
    <w:rsid w:val="006D6EE6"/>
    <w:rsid w:val="006D7759"/>
    <w:rsid w:val="006E028F"/>
    <w:rsid w:val="006E1345"/>
    <w:rsid w:val="006E1BA5"/>
    <w:rsid w:val="006E2911"/>
    <w:rsid w:val="006E374E"/>
    <w:rsid w:val="006E43D7"/>
    <w:rsid w:val="006F0920"/>
    <w:rsid w:val="006F0DAA"/>
    <w:rsid w:val="006F1C11"/>
    <w:rsid w:val="006F1FAC"/>
    <w:rsid w:val="006F52F4"/>
    <w:rsid w:val="006F70CC"/>
    <w:rsid w:val="006F71CB"/>
    <w:rsid w:val="007037F2"/>
    <w:rsid w:val="007055DB"/>
    <w:rsid w:val="007062D1"/>
    <w:rsid w:val="007077CD"/>
    <w:rsid w:val="0071026A"/>
    <w:rsid w:val="00710FB8"/>
    <w:rsid w:val="00712D70"/>
    <w:rsid w:val="00714FED"/>
    <w:rsid w:val="007150C8"/>
    <w:rsid w:val="00716AA7"/>
    <w:rsid w:val="00722834"/>
    <w:rsid w:val="007251D7"/>
    <w:rsid w:val="00725793"/>
    <w:rsid w:val="00725C87"/>
    <w:rsid w:val="00730368"/>
    <w:rsid w:val="007304A5"/>
    <w:rsid w:val="007324B7"/>
    <w:rsid w:val="007332C3"/>
    <w:rsid w:val="00733CB2"/>
    <w:rsid w:val="0073461D"/>
    <w:rsid w:val="0073586C"/>
    <w:rsid w:val="007371C6"/>
    <w:rsid w:val="00737680"/>
    <w:rsid w:val="00740557"/>
    <w:rsid w:val="007418FD"/>
    <w:rsid w:val="0074344D"/>
    <w:rsid w:val="00743547"/>
    <w:rsid w:val="00743E49"/>
    <w:rsid w:val="00745935"/>
    <w:rsid w:val="007510E4"/>
    <w:rsid w:val="00751415"/>
    <w:rsid w:val="007525D1"/>
    <w:rsid w:val="00753237"/>
    <w:rsid w:val="007542B8"/>
    <w:rsid w:val="00756F09"/>
    <w:rsid w:val="00757931"/>
    <w:rsid w:val="00760D38"/>
    <w:rsid w:val="0076186B"/>
    <w:rsid w:val="0076211C"/>
    <w:rsid w:val="00763DCA"/>
    <w:rsid w:val="00765495"/>
    <w:rsid w:val="00765A74"/>
    <w:rsid w:val="00767A95"/>
    <w:rsid w:val="00770033"/>
    <w:rsid w:val="0077076D"/>
    <w:rsid w:val="0077135B"/>
    <w:rsid w:val="007716AB"/>
    <w:rsid w:val="00773447"/>
    <w:rsid w:val="0077459C"/>
    <w:rsid w:val="0077462E"/>
    <w:rsid w:val="0078121C"/>
    <w:rsid w:val="00785F44"/>
    <w:rsid w:val="00792BE9"/>
    <w:rsid w:val="00793EF5"/>
    <w:rsid w:val="007952CD"/>
    <w:rsid w:val="007956F2"/>
    <w:rsid w:val="0079581E"/>
    <w:rsid w:val="00795B2D"/>
    <w:rsid w:val="007961EC"/>
    <w:rsid w:val="00796B0D"/>
    <w:rsid w:val="007976D1"/>
    <w:rsid w:val="007A070B"/>
    <w:rsid w:val="007A164B"/>
    <w:rsid w:val="007A188C"/>
    <w:rsid w:val="007A1CA4"/>
    <w:rsid w:val="007A2578"/>
    <w:rsid w:val="007A2633"/>
    <w:rsid w:val="007A3FF8"/>
    <w:rsid w:val="007A4574"/>
    <w:rsid w:val="007B066B"/>
    <w:rsid w:val="007B0EF8"/>
    <w:rsid w:val="007B2348"/>
    <w:rsid w:val="007B31ED"/>
    <w:rsid w:val="007B320D"/>
    <w:rsid w:val="007B38C9"/>
    <w:rsid w:val="007B52D3"/>
    <w:rsid w:val="007B53E2"/>
    <w:rsid w:val="007C2236"/>
    <w:rsid w:val="007C33E5"/>
    <w:rsid w:val="007C4704"/>
    <w:rsid w:val="007C55DC"/>
    <w:rsid w:val="007C5720"/>
    <w:rsid w:val="007C5FFD"/>
    <w:rsid w:val="007C60F4"/>
    <w:rsid w:val="007C63FF"/>
    <w:rsid w:val="007C6A01"/>
    <w:rsid w:val="007C73EE"/>
    <w:rsid w:val="007D0B10"/>
    <w:rsid w:val="007D1903"/>
    <w:rsid w:val="007D6338"/>
    <w:rsid w:val="007D6E5A"/>
    <w:rsid w:val="007E25ED"/>
    <w:rsid w:val="007E338A"/>
    <w:rsid w:val="007E37D8"/>
    <w:rsid w:val="007E4B91"/>
    <w:rsid w:val="007E6BAF"/>
    <w:rsid w:val="007E6F46"/>
    <w:rsid w:val="007E7A79"/>
    <w:rsid w:val="007F0255"/>
    <w:rsid w:val="007F2851"/>
    <w:rsid w:val="007F32D2"/>
    <w:rsid w:val="007F3B0F"/>
    <w:rsid w:val="007F3F04"/>
    <w:rsid w:val="007F3F77"/>
    <w:rsid w:val="0080141A"/>
    <w:rsid w:val="0080190B"/>
    <w:rsid w:val="00802E72"/>
    <w:rsid w:val="00802EEB"/>
    <w:rsid w:val="0080394F"/>
    <w:rsid w:val="00805A12"/>
    <w:rsid w:val="00806586"/>
    <w:rsid w:val="00806A3F"/>
    <w:rsid w:val="00806E31"/>
    <w:rsid w:val="0081149F"/>
    <w:rsid w:val="00814B76"/>
    <w:rsid w:val="008153B8"/>
    <w:rsid w:val="008174BD"/>
    <w:rsid w:val="008174FC"/>
    <w:rsid w:val="00821E94"/>
    <w:rsid w:val="0082243A"/>
    <w:rsid w:val="0082349F"/>
    <w:rsid w:val="00823607"/>
    <w:rsid w:val="00823FB5"/>
    <w:rsid w:val="00824494"/>
    <w:rsid w:val="00824F68"/>
    <w:rsid w:val="008251B3"/>
    <w:rsid w:val="008302D8"/>
    <w:rsid w:val="0083073B"/>
    <w:rsid w:val="008315CD"/>
    <w:rsid w:val="0083205F"/>
    <w:rsid w:val="00832B8A"/>
    <w:rsid w:val="00832DE6"/>
    <w:rsid w:val="00833EB4"/>
    <w:rsid w:val="00834154"/>
    <w:rsid w:val="00837068"/>
    <w:rsid w:val="008374E2"/>
    <w:rsid w:val="00840F38"/>
    <w:rsid w:val="008411B5"/>
    <w:rsid w:val="0084200F"/>
    <w:rsid w:val="0084285B"/>
    <w:rsid w:val="00842CB4"/>
    <w:rsid w:val="00842FAA"/>
    <w:rsid w:val="0084687B"/>
    <w:rsid w:val="00851BA4"/>
    <w:rsid w:val="00853633"/>
    <w:rsid w:val="008556AF"/>
    <w:rsid w:val="00860BA1"/>
    <w:rsid w:val="00861FC7"/>
    <w:rsid w:val="00864C6B"/>
    <w:rsid w:val="0086585B"/>
    <w:rsid w:val="008672F7"/>
    <w:rsid w:val="00867381"/>
    <w:rsid w:val="008707A5"/>
    <w:rsid w:val="008746F2"/>
    <w:rsid w:val="00874BAF"/>
    <w:rsid w:val="008770AD"/>
    <w:rsid w:val="008828CA"/>
    <w:rsid w:val="00883ED5"/>
    <w:rsid w:val="008932A1"/>
    <w:rsid w:val="008940F0"/>
    <w:rsid w:val="0089468D"/>
    <w:rsid w:val="00895795"/>
    <w:rsid w:val="0089600C"/>
    <w:rsid w:val="00896D49"/>
    <w:rsid w:val="008A0AA4"/>
    <w:rsid w:val="008A1A0E"/>
    <w:rsid w:val="008A206E"/>
    <w:rsid w:val="008A2648"/>
    <w:rsid w:val="008A53C5"/>
    <w:rsid w:val="008A701F"/>
    <w:rsid w:val="008A7312"/>
    <w:rsid w:val="008B0133"/>
    <w:rsid w:val="008B0FB6"/>
    <w:rsid w:val="008B13AC"/>
    <w:rsid w:val="008B153D"/>
    <w:rsid w:val="008B2B1C"/>
    <w:rsid w:val="008B652B"/>
    <w:rsid w:val="008B72A5"/>
    <w:rsid w:val="008B743A"/>
    <w:rsid w:val="008C02D5"/>
    <w:rsid w:val="008C601D"/>
    <w:rsid w:val="008C65B8"/>
    <w:rsid w:val="008D2510"/>
    <w:rsid w:val="008D394B"/>
    <w:rsid w:val="008D60D8"/>
    <w:rsid w:val="008E72B8"/>
    <w:rsid w:val="008E7C50"/>
    <w:rsid w:val="008F020E"/>
    <w:rsid w:val="008F1C12"/>
    <w:rsid w:val="008F41B1"/>
    <w:rsid w:val="008F4E75"/>
    <w:rsid w:val="00904363"/>
    <w:rsid w:val="009050E0"/>
    <w:rsid w:val="00905653"/>
    <w:rsid w:val="009058FC"/>
    <w:rsid w:val="009063EA"/>
    <w:rsid w:val="00907317"/>
    <w:rsid w:val="00910597"/>
    <w:rsid w:val="00911701"/>
    <w:rsid w:val="00913736"/>
    <w:rsid w:val="00913936"/>
    <w:rsid w:val="00915211"/>
    <w:rsid w:val="009166FD"/>
    <w:rsid w:val="009207A4"/>
    <w:rsid w:val="00922821"/>
    <w:rsid w:val="0092310A"/>
    <w:rsid w:val="00923561"/>
    <w:rsid w:val="009238B3"/>
    <w:rsid w:val="009247C1"/>
    <w:rsid w:val="0092620E"/>
    <w:rsid w:val="00926230"/>
    <w:rsid w:val="009275DF"/>
    <w:rsid w:val="00934692"/>
    <w:rsid w:val="00936341"/>
    <w:rsid w:val="00937ED1"/>
    <w:rsid w:val="00937F7A"/>
    <w:rsid w:val="0094291A"/>
    <w:rsid w:val="00942EF8"/>
    <w:rsid w:val="00944404"/>
    <w:rsid w:val="00946138"/>
    <w:rsid w:val="009467D5"/>
    <w:rsid w:val="009470E9"/>
    <w:rsid w:val="00954081"/>
    <w:rsid w:val="009547CB"/>
    <w:rsid w:val="00954D7B"/>
    <w:rsid w:val="00956D9E"/>
    <w:rsid w:val="00957138"/>
    <w:rsid w:val="009608EA"/>
    <w:rsid w:val="009609AF"/>
    <w:rsid w:val="00963A09"/>
    <w:rsid w:val="00966310"/>
    <w:rsid w:val="00970586"/>
    <w:rsid w:val="009708A2"/>
    <w:rsid w:val="009710F0"/>
    <w:rsid w:val="009748D5"/>
    <w:rsid w:val="00975315"/>
    <w:rsid w:val="00981807"/>
    <w:rsid w:val="0098181A"/>
    <w:rsid w:val="0098293C"/>
    <w:rsid w:val="00986C51"/>
    <w:rsid w:val="00987016"/>
    <w:rsid w:val="00993FC5"/>
    <w:rsid w:val="00994E63"/>
    <w:rsid w:val="009A1621"/>
    <w:rsid w:val="009A2108"/>
    <w:rsid w:val="009A2273"/>
    <w:rsid w:val="009A3B93"/>
    <w:rsid w:val="009A4C5C"/>
    <w:rsid w:val="009A5783"/>
    <w:rsid w:val="009A7D47"/>
    <w:rsid w:val="009B40C5"/>
    <w:rsid w:val="009B49B5"/>
    <w:rsid w:val="009B55C5"/>
    <w:rsid w:val="009C0D7D"/>
    <w:rsid w:val="009C3878"/>
    <w:rsid w:val="009C514F"/>
    <w:rsid w:val="009C7135"/>
    <w:rsid w:val="009D0558"/>
    <w:rsid w:val="009D1157"/>
    <w:rsid w:val="009D3AF2"/>
    <w:rsid w:val="009D3EAA"/>
    <w:rsid w:val="009D52DC"/>
    <w:rsid w:val="009E05D1"/>
    <w:rsid w:val="009E0748"/>
    <w:rsid w:val="009E1586"/>
    <w:rsid w:val="009E2422"/>
    <w:rsid w:val="009E3A11"/>
    <w:rsid w:val="009E3D2C"/>
    <w:rsid w:val="009E49F8"/>
    <w:rsid w:val="009E5520"/>
    <w:rsid w:val="009E7A40"/>
    <w:rsid w:val="009F701F"/>
    <w:rsid w:val="009F776A"/>
    <w:rsid w:val="00A00C3C"/>
    <w:rsid w:val="00A01CCC"/>
    <w:rsid w:val="00A06D29"/>
    <w:rsid w:val="00A0751D"/>
    <w:rsid w:val="00A15007"/>
    <w:rsid w:val="00A151FF"/>
    <w:rsid w:val="00A1597C"/>
    <w:rsid w:val="00A1780F"/>
    <w:rsid w:val="00A20233"/>
    <w:rsid w:val="00A2180A"/>
    <w:rsid w:val="00A21E2A"/>
    <w:rsid w:val="00A2334A"/>
    <w:rsid w:val="00A233A9"/>
    <w:rsid w:val="00A23617"/>
    <w:rsid w:val="00A23D6B"/>
    <w:rsid w:val="00A24C52"/>
    <w:rsid w:val="00A24D22"/>
    <w:rsid w:val="00A276C2"/>
    <w:rsid w:val="00A27902"/>
    <w:rsid w:val="00A326BD"/>
    <w:rsid w:val="00A326F2"/>
    <w:rsid w:val="00A32983"/>
    <w:rsid w:val="00A3476C"/>
    <w:rsid w:val="00A34DF5"/>
    <w:rsid w:val="00A36DB4"/>
    <w:rsid w:val="00A3763A"/>
    <w:rsid w:val="00A37983"/>
    <w:rsid w:val="00A37A1E"/>
    <w:rsid w:val="00A37FCB"/>
    <w:rsid w:val="00A4000B"/>
    <w:rsid w:val="00A401EB"/>
    <w:rsid w:val="00A40F2F"/>
    <w:rsid w:val="00A42BFB"/>
    <w:rsid w:val="00A440DC"/>
    <w:rsid w:val="00A441DE"/>
    <w:rsid w:val="00A4592A"/>
    <w:rsid w:val="00A466CA"/>
    <w:rsid w:val="00A46C5F"/>
    <w:rsid w:val="00A51219"/>
    <w:rsid w:val="00A52011"/>
    <w:rsid w:val="00A5216B"/>
    <w:rsid w:val="00A524F6"/>
    <w:rsid w:val="00A5389C"/>
    <w:rsid w:val="00A53EAC"/>
    <w:rsid w:val="00A544B6"/>
    <w:rsid w:val="00A549E7"/>
    <w:rsid w:val="00A54A8F"/>
    <w:rsid w:val="00A55D5A"/>
    <w:rsid w:val="00A57069"/>
    <w:rsid w:val="00A575F3"/>
    <w:rsid w:val="00A6029F"/>
    <w:rsid w:val="00A62516"/>
    <w:rsid w:val="00A63AE7"/>
    <w:rsid w:val="00A6510F"/>
    <w:rsid w:val="00A652C0"/>
    <w:rsid w:val="00A6540E"/>
    <w:rsid w:val="00A668A9"/>
    <w:rsid w:val="00A66AB8"/>
    <w:rsid w:val="00A66C04"/>
    <w:rsid w:val="00A66FD7"/>
    <w:rsid w:val="00A714A9"/>
    <w:rsid w:val="00A71F2D"/>
    <w:rsid w:val="00A7634F"/>
    <w:rsid w:val="00A8025E"/>
    <w:rsid w:val="00A8058A"/>
    <w:rsid w:val="00A81019"/>
    <w:rsid w:val="00A827C3"/>
    <w:rsid w:val="00A835A2"/>
    <w:rsid w:val="00A85704"/>
    <w:rsid w:val="00A9034C"/>
    <w:rsid w:val="00A91AA4"/>
    <w:rsid w:val="00A924C8"/>
    <w:rsid w:val="00A941D6"/>
    <w:rsid w:val="00A94256"/>
    <w:rsid w:val="00A9435E"/>
    <w:rsid w:val="00A94775"/>
    <w:rsid w:val="00A9489C"/>
    <w:rsid w:val="00A948B6"/>
    <w:rsid w:val="00A971ED"/>
    <w:rsid w:val="00AA5157"/>
    <w:rsid w:val="00AA5DCD"/>
    <w:rsid w:val="00AA7EF6"/>
    <w:rsid w:val="00AB0B01"/>
    <w:rsid w:val="00AB1C4F"/>
    <w:rsid w:val="00AB2354"/>
    <w:rsid w:val="00AB3FB6"/>
    <w:rsid w:val="00AB768E"/>
    <w:rsid w:val="00AC3C8E"/>
    <w:rsid w:val="00AC7136"/>
    <w:rsid w:val="00AD0FA0"/>
    <w:rsid w:val="00AD2132"/>
    <w:rsid w:val="00AD2440"/>
    <w:rsid w:val="00AD2870"/>
    <w:rsid w:val="00AD3612"/>
    <w:rsid w:val="00AD3905"/>
    <w:rsid w:val="00AD3A84"/>
    <w:rsid w:val="00AD53CE"/>
    <w:rsid w:val="00AD67A8"/>
    <w:rsid w:val="00AD70B5"/>
    <w:rsid w:val="00AD78DF"/>
    <w:rsid w:val="00AE04A0"/>
    <w:rsid w:val="00AE0A95"/>
    <w:rsid w:val="00AE135F"/>
    <w:rsid w:val="00AE1C9F"/>
    <w:rsid w:val="00AE2FCA"/>
    <w:rsid w:val="00AE4F3F"/>
    <w:rsid w:val="00AE542B"/>
    <w:rsid w:val="00AE6249"/>
    <w:rsid w:val="00AF06E0"/>
    <w:rsid w:val="00AF4217"/>
    <w:rsid w:val="00AF59FB"/>
    <w:rsid w:val="00AF77BD"/>
    <w:rsid w:val="00B02C8A"/>
    <w:rsid w:val="00B02CFE"/>
    <w:rsid w:val="00B1151F"/>
    <w:rsid w:val="00B12C2E"/>
    <w:rsid w:val="00B141BA"/>
    <w:rsid w:val="00B1528F"/>
    <w:rsid w:val="00B156C8"/>
    <w:rsid w:val="00B17587"/>
    <w:rsid w:val="00B200F2"/>
    <w:rsid w:val="00B206B6"/>
    <w:rsid w:val="00B20EEE"/>
    <w:rsid w:val="00B27874"/>
    <w:rsid w:val="00B30E38"/>
    <w:rsid w:val="00B32202"/>
    <w:rsid w:val="00B32A92"/>
    <w:rsid w:val="00B34B9C"/>
    <w:rsid w:val="00B34C7B"/>
    <w:rsid w:val="00B36418"/>
    <w:rsid w:val="00B365FE"/>
    <w:rsid w:val="00B36D34"/>
    <w:rsid w:val="00B3796F"/>
    <w:rsid w:val="00B4024B"/>
    <w:rsid w:val="00B40B5D"/>
    <w:rsid w:val="00B40CB8"/>
    <w:rsid w:val="00B41054"/>
    <w:rsid w:val="00B41246"/>
    <w:rsid w:val="00B4174B"/>
    <w:rsid w:val="00B41C52"/>
    <w:rsid w:val="00B43103"/>
    <w:rsid w:val="00B4515E"/>
    <w:rsid w:val="00B4791D"/>
    <w:rsid w:val="00B525DF"/>
    <w:rsid w:val="00B52899"/>
    <w:rsid w:val="00B53478"/>
    <w:rsid w:val="00B538E4"/>
    <w:rsid w:val="00B54914"/>
    <w:rsid w:val="00B55DB0"/>
    <w:rsid w:val="00B573E4"/>
    <w:rsid w:val="00B60C03"/>
    <w:rsid w:val="00B622F2"/>
    <w:rsid w:val="00B641E4"/>
    <w:rsid w:val="00B65FDE"/>
    <w:rsid w:val="00B7141A"/>
    <w:rsid w:val="00B73791"/>
    <w:rsid w:val="00B744F4"/>
    <w:rsid w:val="00B751EA"/>
    <w:rsid w:val="00B75F42"/>
    <w:rsid w:val="00B7706C"/>
    <w:rsid w:val="00B82629"/>
    <w:rsid w:val="00B82CE4"/>
    <w:rsid w:val="00B832EC"/>
    <w:rsid w:val="00B840B0"/>
    <w:rsid w:val="00B85305"/>
    <w:rsid w:val="00B85380"/>
    <w:rsid w:val="00B909C1"/>
    <w:rsid w:val="00B91793"/>
    <w:rsid w:val="00BA0E8E"/>
    <w:rsid w:val="00BA1DE2"/>
    <w:rsid w:val="00BA1FFB"/>
    <w:rsid w:val="00BA34B9"/>
    <w:rsid w:val="00BA4D79"/>
    <w:rsid w:val="00BA5B93"/>
    <w:rsid w:val="00BA7758"/>
    <w:rsid w:val="00BB0D9A"/>
    <w:rsid w:val="00BB0FE1"/>
    <w:rsid w:val="00BB131F"/>
    <w:rsid w:val="00BB19F3"/>
    <w:rsid w:val="00BB25AA"/>
    <w:rsid w:val="00BB3BAD"/>
    <w:rsid w:val="00BB51EB"/>
    <w:rsid w:val="00BB6B60"/>
    <w:rsid w:val="00BB7DF9"/>
    <w:rsid w:val="00BC0913"/>
    <w:rsid w:val="00BC1615"/>
    <w:rsid w:val="00BC17C4"/>
    <w:rsid w:val="00BC3B25"/>
    <w:rsid w:val="00BC494D"/>
    <w:rsid w:val="00BC4A6D"/>
    <w:rsid w:val="00BC6287"/>
    <w:rsid w:val="00BC674C"/>
    <w:rsid w:val="00BC6BD6"/>
    <w:rsid w:val="00BC6E8B"/>
    <w:rsid w:val="00BD0059"/>
    <w:rsid w:val="00BD1B5A"/>
    <w:rsid w:val="00BD2989"/>
    <w:rsid w:val="00BD339E"/>
    <w:rsid w:val="00BD40E9"/>
    <w:rsid w:val="00BD4B16"/>
    <w:rsid w:val="00BD7865"/>
    <w:rsid w:val="00BE0BF8"/>
    <w:rsid w:val="00BE1688"/>
    <w:rsid w:val="00BE1C6F"/>
    <w:rsid w:val="00BE33AC"/>
    <w:rsid w:val="00BE4241"/>
    <w:rsid w:val="00BE6426"/>
    <w:rsid w:val="00BE64CB"/>
    <w:rsid w:val="00BF0DE9"/>
    <w:rsid w:val="00BF14E8"/>
    <w:rsid w:val="00BF3C62"/>
    <w:rsid w:val="00BF6B35"/>
    <w:rsid w:val="00C01506"/>
    <w:rsid w:val="00C0315C"/>
    <w:rsid w:val="00C03D4C"/>
    <w:rsid w:val="00C03E53"/>
    <w:rsid w:val="00C03EDD"/>
    <w:rsid w:val="00C06207"/>
    <w:rsid w:val="00C06702"/>
    <w:rsid w:val="00C07B43"/>
    <w:rsid w:val="00C07E41"/>
    <w:rsid w:val="00C10085"/>
    <w:rsid w:val="00C10660"/>
    <w:rsid w:val="00C12553"/>
    <w:rsid w:val="00C12EDE"/>
    <w:rsid w:val="00C157AB"/>
    <w:rsid w:val="00C15AF7"/>
    <w:rsid w:val="00C15EB2"/>
    <w:rsid w:val="00C179BF"/>
    <w:rsid w:val="00C20960"/>
    <w:rsid w:val="00C21B76"/>
    <w:rsid w:val="00C23CA3"/>
    <w:rsid w:val="00C30406"/>
    <w:rsid w:val="00C30FB0"/>
    <w:rsid w:val="00C35E74"/>
    <w:rsid w:val="00C431C1"/>
    <w:rsid w:val="00C43753"/>
    <w:rsid w:val="00C444FD"/>
    <w:rsid w:val="00C4511F"/>
    <w:rsid w:val="00C469AF"/>
    <w:rsid w:val="00C51623"/>
    <w:rsid w:val="00C52411"/>
    <w:rsid w:val="00C53064"/>
    <w:rsid w:val="00C5498D"/>
    <w:rsid w:val="00C54BCE"/>
    <w:rsid w:val="00C55223"/>
    <w:rsid w:val="00C55520"/>
    <w:rsid w:val="00C5655F"/>
    <w:rsid w:val="00C57124"/>
    <w:rsid w:val="00C607CE"/>
    <w:rsid w:val="00C610BB"/>
    <w:rsid w:val="00C61C3D"/>
    <w:rsid w:val="00C61D02"/>
    <w:rsid w:val="00C6208A"/>
    <w:rsid w:val="00C624D7"/>
    <w:rsid w:val="00C627EA"/>
    <w:rsid w:val="00C636BC"/>
    <w:rsid w:val="00C676B4"/>
    <w:rsid w:val="00C67BB6"/>
    <w:rsid w:val="00C71F42"/>
    <w:rsid w:val="00C734CE"/>
    <w:rsid w:val="00C73B68"/>
    <w:rsid w:val="00C74B96"/>
    <w:rsid w:val="00C75268"/>
    <w:rsid w:val="00C76053"/>
    <w:rsid w:val="00C76CB9"/>
    <w:rsid w:val="00C7775D"/>
    <w:rsid w:val="00C77F62"/>
    <w:rsid w:val="00C81D1D"/>
    <w:rsid w:val="00C83C3E"/>
    <w:rsid w:val="00C840D3"/>
    <w:rsid w:val="00C841B2"/>
    <w:rsid w:val="00C93BD9"/>
    <w:rsid w:val="00C94F8E"/>
    <w:rsid w:val="00C974A7"/>
    <w:rsid w:val="00CA3567"/>
    <w:rsid w:val="00CA3EE1"/>
    <w:rsid w:val="00CA64BE"/>
    <w:rsid w:val="00CA7E5D"/>
    <w:rsid w:val="00CB061E"/>
    <w:rsid w:val="00CB0E52"/>
    <w:rsid w:val="00CB1C83"/>
    <w:rsid w:val="00CB210E"/>
    <w:rsid w:val="00CB21DB"/>
    <w:rsid w:val="00CB37B7"/>
    <w:rsid w:val="00CB3951"/>
    <w:rsid w:val="00CB7EBC"/>
    <w:rsid w:val="00CC2FA1"/>
    <w:rsid w:val="00CC51E5"/>
    <w:rsid w:val="00CC6E59"/>
    <w:rsid w:val="00CC7802"/>
    <w:rsid w:val="00CD0D9F"/>
    <w:rsid w:val="00CD0EDC"/>
    <w:rsid w:val="00CD0F57"/>
    <w:rsid w:val="00CD6A33"/>
    <w:rsid w:val="00CD70EB"/>
    <w:rsid w:val="00CE1C18"/>
    <w:rsid w:val="00CE2786"/>
    <w:rsid w:val="00CE2BA7"/>
    <w:rsid w:val="00CE47DC"/>
    <w:rsid w:val="00CE503B"/>
    <w:rsid w:val="00CE516A"/>
    <w:rsid w:val="00CF1035"/>
    <w:rsid w:val="00CF2FE8"/>
    <w:rsid w:val="00CF40DE"/>
    <w:rsid w:val="00CF43A5"/>
    <w:rsid w:val="00CF4D7A"/>
    <w:rsid w:val="00CF618E"/>
    <w:rsid w:val="00CF62F3"/>
    <w:rsid w:val="00CF72F6"/>
    <w:rsid w:val="00D003E1"/>
    <w:rsid w:val="00D0237A"/>
    <w:rsid w:val="00D02CF0"/>
    <w:rsid w:val="00D02E96"/>
    <w:rsid w:val="00D03610"/>
    <w:rsid w:val="00D045AC"/>
    <w:rsid w:val="00D04B8D"/>
    <w:rsid w:val="00D072E8"/>
    <w:rsid w:val="00D07820"/>
    <w:rsid w:val="00D07E45"/>
    <w:rsid w:val="00D12431"/>
    <w:rsid w:val="00D1477E"/>
    <w:rsid w:val="00D20B5F"/>
    <w:rsid w:val="00D21C14"/>
    <w:rsid w:val="00D228A8"/>
    <w:rsid w:val="00D23D54"/>
    <w:rsid w:val="00D25ACE"/>
    <w:rsid w:val="00D25FCA"/>
    <w:rsid w:val="00D26404"/>
    <w:rsid w:val="00D26D65"/>
    <w:rsid w:val="00D27F3A"/>
    <w:rsid w:val="00D30149"/>
    <w:rsid w:val="00D32F0E"/>
    <w:rsid w:val="00D3327C"/>
    <w:rsid w:val="00D3362A"/>
    <w:rsid w:val="00D413C2"/>
    <w:rsid w:val="00D439A4"/>
    <w:rsid w:val="00D43D98"/>
    <w:rsid w:val="00D44FDD"/>
    <w:rsid w:val="00D471C2"/>
    <w:rsid w:val="00D47753"/>
    <w:rsid w:val="00D51829"/>
    <w:rsid w:val="00D52BA6"/>
    <w:rsid w:val="00D556C9"/>
    <w:rsid w:val="00D559E1"/>
    <w:rsid w:val="00D5691D"/>
    <w:rsid w:val="00D57E9C"/>
    <w:rsid w:val="00D60AC9"/>
    <w:rsid w:val="00D60BE1"/>
    <w:rsid w:val="00D624A3"/>
    <w:rsid w:val="00D644C1"/>
    <w:rsid w:val="00D64C68"/>
    <w:rsid w:val="00D66A75"/>
    <w:rsid w:val="00D71F46"/>
    <w:rsid w:val="00D7306C"/>
    <w:rsid w:val="00D76179"/>
    <w:rsid w:val="00D76A23"/>
    <w:rsid w:val="00D76FC1"/>
    <w:rsid w:val="00D83FFE"/>
    <w:rsid w:val="00D85479"/>
    <w:rsid w:val="00D86489"/>
    <w:rsid w:val="00D86E50"/>
    <w:rsid w:val="00D878AF"/>
    <w:rsid w:val="00D87B10"/>
    <w:rsid w:val="00D93AA9"/>
    <w:rsid w:val="00D93BCB"/>
    <w:rsid w:val="00D9497F"/>
    <w:rsid w:val="00D956F3"/>
    <w:rsid w:val="00D96F8E"/>
    <w:rsid w:val="00D97371"/>
    <w:rsid w:val="00DA107B"/>
    <w:rsid w:val="00DA3F24"/>
    <w:rsid w:val="00DB37A3"/>
    <w:rsid w:val="00DB3EE6"/>
    <w:rsid w:val="00DB47D9"/>
    <w:rsid w:val="00DB4E96"/>
    <w:rsid w:val="00DC0211"/>
    <w:rsid w:val="00DC0C9A"/>
    <w:rsid w:val="00DC2E62"/>
    <w:rsid w:val="00DD18DF"/>
    <w:rsid w:val="00DD307B"/>
    <w:rsid w:val="00DD4CFF"/>
    <w:rsid w:val="00DD617C"/>
    <w:rsid w:val="00DD7289"/>
    <w:rsid w:val="00DD7E22"/>
    <w:rsid w:val="00DD7FD5"/>
    <w:rsid w:val="00DE001D"/>
    <w:rsid w:val="00DE0947"/>
    <w:rsid w:val="00DE0ED2"/>
    <w:rsid w:val="00DE2535"/>
    <w:rsid w:val="00DE2961"/>
    <w:rsid w:val="00DE352C"/>
    <w:rsid w:val="00DE5232"/>
    <w:rsid w:val="00DE757E"/>
    <w:rsid w:val="00DF1918"/>
    <w:rsid w:val="00DF20BE"/>
    <w:rsid w:val="00DF30A9"/>
    <w:rsid w:val="00DF429A"/>
    <w:rsid w:val="00DF458E"/>
    <w:rsid w:val="00DF75CD"/>
    <w:rsid w:val="00E00357"/>
    <w:rsid w:val="00E00741"/>
    <w:rsid w:val="00E03518"/>
    <w:rsid w:val="00E04CDE"/>
    <w:rsid w:val="00E05A66"/>
    <w:rsid w:val="00E05B20"/>
    <w:rsid w:val="00E06527"/>
    <w:rsid w:val="00E12D4C"/>
    <w:rsid w:val="00E12E9D"/>
    <w:rsid w:val="00E133D1"/>
    <w:rsid w:val="00E15076"/>
    <w:rsid w:val="00E23E47"/>
    <w:rsid w:val="00E2471C"/>
    <w:rsid w:val="00E2536B"/>
    <w:rsid w:val="00E27910"/>
    <w:rsid w:val="00E30D4D"/>
    <w:rsid w:val="00E324E7"/>
    <w:rsid w:val="00E32E84"/>
    <w:rsid w:val="00E33BFF"/>
    <w:rsid w:val="00E33E08"/>
    <w:rsid w:val="00E3500E"/>
    <w:rsid w:val="00E35A6E"/>
    <w:rsid w:val="00E35F6F"/>
    <w:rsid w:val="00E36AD8"/>
    <w:rsid w:val="00E371E0"/>
    <w:rsid w:val="00E41C61"/>
    <w:rsid w:val="00E44402"/>
    <w:rsid w:val="00E44BCB"/>
    <w:rsid w:val="00E45C98"/>
    <w:rsid w:val="00E54AD2"/>
    <w:rsid w:val="00E574F6"/>
    <w:rsid w:val="00E60908"/>
    <w:rsid w:val="00E61C78"/>
    <w:rsid w:val="00E645BB"/>
    <w:rsid w:val="00E663C0"/>
    <w:rsid w:val="00E66F96"/>
    <w:rsid w:val="00E76D8D"/>
    <w:rsid w:val="00E7712F"/>
    <w:rsid w:val="00E82F2F"/>
    <w:rsid w:val="00E830C7"/>
    <w:rsid w:val="00E84DA3"/>
    <w:rsid w:val="00E87A14"/>
    <w:rsid w:val="00E87C36"/>
    <w:rsid w:val="00E9044D"/>
    <w:rsid w:val="00E90D91"/>
    <w:rsid w:val="00E945A6"/>
    <w:rsid w:val="00E975D6"/>
    <w:rsid w:val="00EA2542"/>
    <w:rsid w:val="00EA4220"/>
    <w:rsid w:val="00EA4A76"/>
    <w:rsid w:val="00EA6EBA"/>
    <w:rsid w:val="00EB088C"/>
    <w:rsid w:val="00EB1085"/>
    <w:rsid w:val="00EB2078"/>
    <w:rsid w:val="00EB2A1B"/>
    <w:rsid w:val="00EB566D"/>
    <w:rsid w:val="00EB5F95"/>
    <w:rsid w:val="00EB6C61"/>
    <w:rsid w:val="00EB7E62"/>
    <w:rsid w:val="00EC1E66"/>
    <w:rsid w:val="00EC3F0D"/>
    <w:rsid w:val="00EC60D5"/>
    <w:rsid w:val="00EC72A6"/>
    <w:rsid w:val="00ED04B0"/>
    <w:rsid w:val="00ED359F"/>
    <w:rsid w:val="00ED3AA3"/>
    <w:rsid w:val="00ED3EE8"/>
    <w:rsid w:val="00ED4443"/>
    <w:rsid w:val="00ED45B3"/>
    <w:rsid w:val="00ED5277"/>
    <w:rsid w:val="00ED557A"/>
    <w:rsid w:val="00ED658C"/>
    <w:rsid w:val="00ED69C3"/>
    <w:rsid w:val="00ED743A"/>
    <w:rsid w:val="00ED7BC4"/>
    <w:rsid w:val="00EE38DB"/>
    <w:rsid w:val="00EE3CCD"/>
    <w:rsid w:val="00EE5243"/>
    <w:rsid w:val="00EE5334"/>
    <w:rsid w:val="00EE5661"/>
    <w:rsid w:val="00EE5D45"/>
    <w:rsid w:val="00EE6AC2"/>
    <w:rsid w:val="00EE7747"/>
    <w:rsid w:val="00EF086A"/>
    <w:rsid w:val="00EF0D5D"/>
    <w:rsid w:val="00EF0DD7"/>
    <w:rsid w:val="00EF1AA6"/>
    <w:rsid w:val="00EF3DE1"/>
    <w:rsid w:val="00EF487A"/>
    <w:rsid w:val="00EF762E"/>
    <w:rsid w:val="00EF7632"/>
    <w:rsid w:val="00F02478"/>
    <w:rsid w:val="00F0326A"/>
    <w:rsid w:val="00F10D2F"/>
    <w:rsid w:val="00F1129C"/>
    <w:rsid w:val="00F13C90"/>
    <w:rsid w:val="00F16DDA"/>
    <w:rsid w:val="00F2001F"/>
    <w:rsid w:val="00F20DF7"/>
    <w:rsid w:val="00F21604"/>
    <w:rsid w:val="00F21F90"/>
    <w:rsid w:val="00F22957"/>
    <w:rsid w:val="00F32C88"/>
    <w:rsid w:val="00F35885"/>
    <w:rsid w:val="00F36BC2"/>
    <w:rsid w:val="00F37242"/>
    <w:rsid w:val="00F403C8"/>
    <w:rsid w:val="00F42474"/>
    <w:rsid w:val="00F42EB1"/>
    <w:rsid w:val="00F42F58"/>
    <w:rsid w:val="00F44963"/>
    <w:rsid w:val="00F453BF"/>
    <w:rsid w:val="00F46802"/>
    <w:rsid w:val="00F46E54"/>
    <w:rsid w:val="00F517A0"/>
    <w:rsid w:val="00F521AC"/>
    <w:rsid w:val="00F5287F"/>
    <w:rsid w:val="00F54790"/>
    <w:rsid w:val="00F55887"/>
    <w:rsid w:val="00F60E90"/>
    <w:rsid w:val="00F61D9F"/>
    <w:rsid w:val="00F62FE9"/>
    <w:rsid w:val="00F6486B"/>
    <w:rsid w:val="00F64BE0"/>
    <w:rsid w:val="00F651EE"/>
    <w:rsid w:val="00F6555B"/>
    <w:rsid w:val="00F65E30"/>
    <w:rsid w:val="00F6741E"/>
    <w:rsid w:val="00F745F6"/>
    <w:rsid w:val="00F80A75"/>
    <w:rsid w:val="00F8374D"/>
    <w:rsid w:val="00F83EB5"/>
    <w:rsid w:val="00F84080"/>
    <w:rsid w:val="00F85E7B"/>
    <w:rsid w:val="00F90243"/>
    <w:rsid w:val="00F93798"/>
    <w:rsid w:val="00F93D9D"/>
    <w:rsid w:val="00F948D7"/>
    <w:rsid w:val="00F96558"/>
    <w:rsid w:val="00FA0373"/>
    <w:rsid w:val="00FA13AC"/>
    <w:rsid w:val="00FA1A9F"/>
    <w:rsid w:val="00FA2DED"/>
    <w:rsid w:val="00FA576E"/>
    <w:rsid w:val="00FA5ACC"/>
    <w:rsid w:val="00FB1B4E"/>
    <w:rsid w:val="00FB1E56"/>
    <w:rsid w:val="00FB26C7"/>
    <w:rsid w:val="00FB475A"/>
    <w:rsid w:val="00FB51CA"/>
    <w:rsid w:val="00FC1B2D"/>
    <w:rsid w:val="00FC2C64"/>
    <w:rsid w:val="00FC5C2B"/>
    <w:rsid w:val="00FC66E0"/>
    <w:rsid w:val="00FC793E"/>
    <w:rsid w:val="00FD03A8"/>
    <w:rsid w:val="00FD2994"/>
    <w:rsid w:val="00FD4591"/>
    <w:rsid w:val="00FD56DD"/>
    <w:rsid w:val="00FD6E77"/>
    <w:rsid w:val="00FD6F43"/>
    <w:rsid w:val="00FE0BD8"/>
    <w:rsid w:val="00FE1A26"/>
    <w:rsid w:val="00FE301E"/>
    <w:rsid w:val="00FE3A6A"/>
    <w:rsid w:val="00FE4A53"/>
    <w:rsid w:val="00FE63BF"/>
    <w:rsid w:val="00FE72D4"/>
    <w:rsid w:val="00FE7C6C"/>
    <w:rsid w:val="00FF0CBD"/>
    <w:rsid w:val="00FF1032"/>
    <w:rsid w:val="00FF16B0"/>
    <w:rsid w:val="00FF24A0"/>
    <w:rsid w:val="00FF3431"/>
    <w:rsid w:val="00FF371A"/>
    <w:rsid w:val="00FF5161"/>
    <w:rsid w:val="00FF57FB"/>
    <w:rsid w:val="00FF584C"/>
    <w:rsid w:val="00FF6EA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54"/>
    <w:pPr>
      <w:framePr w:wrap="auto"/>
      <w:widowControl/>
      <w:autoSpaceDE/>
      <w:autoSpaceDN/>
      <w:adjustRightInd/>
      <w:spacing w:after="200" w:line="276" w:lineRule="auto"/>
      <w:ind w:left="0" w:right="0"/>
      <w:jc w:val="left"/>
      <w:textAlignment w:val="auto"/>
    </w:pPr>
    <w:rPr>
      <w:rFonts w:ascii="Arial Narrow" w:hAnsi="Arial Narrow" w:cstheme="minorBidi"/>
      <w:sz w:val="22"/>
      <w:szCs w:val="36"/>
      <w:rtl w:val="0"/>
      <w:cs w:val="0"/>
      <w:lang w:val="sk-SK" w:eastAsia="en-US" w:bidi="ar-SA"/>
    </w:rPr>
  </w:style>
  <w:style w:type="paragraph" w:styleId="Heading1">
    <w:name w:val="heading 1"/>
    <w:basedOn w:val="Normal"/>
    <w:next w:val="Normal"/>
    <w:link w:val="Heading1Char"/>
    <w:qFormat/>
    <w:rsid w:val="003A760D"/>
    <w:pPr>
      <w:keepNext/>
      <w:keepLines/>
      <w:numPr>
        <w:numId w:val="2"/>
      </w:numPr>
      <w:ind w:left="714" w:hanging="357"/>
      <w:jc w:val="left"/>
      <w:outlineLvl w:val="0"/>
    </w:pPr>
    <w:rPr>
      <w:rFonts w:ascii="Times New Roman" w:hAnsi="Times New Roman" w:eastAsiaTheme="majorEastAsia" w:cs="Times New Roman"/>
      <w:b/>
      <w:bCs/>
      <w:sz w:val="26"/>
      <w:szCs w:val="26"/>
    </w:rPr>
  </w:style>
  <w:style w:type="paragraph" w:styleId="Heading2">
    <w:name w:val="heading 2"/>
    <w:basedOn w:val="Normal"/>
    <w:next w:val="Normal"/>
    <w:link w:val="Heading2Char"/>
    <w:unhideWhenUsed/>
    <w:qFormat/>
    <w:rsid w:val="003A760D"/>
    <w:pPr>
      <w:keepNext/>
      <w:keepLines/>
      <w:numPr>
        <w:ilvl w:val="1"/>
        <w:numId w:val="2"/>
      </w:numPr>
      <w:spacing w:before="200" w:after="0"/>
      <w:ind w:left="8014" w:hanging="360"/>
      <w:jc w:val="left"/>
      <w:outlineLvl w:val="1"/>
    </w:pPr>
    <w:rPr>
      <w:rFonts w:ascii="Times New Roman" w:hAnsi="Times New Roman" w:eastAsiaTheme="majorEastAsia" w:cs="Times New Roman"/>
      <w:b/>
      <w:bCs/>
      <w:sz w:val="24"/>
      <w:szCs w:val="24"/>
    </w:rPr>
  </w:style>
  <w:style w:type="paragraph" w:styleId="Heading3">
    <w:name w:val="heading 3"/>
    <w:basedOn w:val="ListParagraph"/>
    <w:next w:val="Normal"/>
    <w:link w:val="Heading3Char"/>
    <w:uiPriority w:val="9"/>
    <w:qFormat/>
    <w:rsid w:val="00A66C04"/>
    <w:pPr>
      <w:numPr>
        <w:ilvl w:val="2"/>
        <w:numId w:val="3"/>
      </w:numPr>
      <w:spacing w:after="120" w:line="336" w:lineRule="auto"/>
      <w:ind w:left="1080" w:hanging="720"/>
      <w:jc w:val="both"/>
      <w:outlineLvl w:val="2"/>
    </w:pPr>
    <w:rPr>
      <w:rFonts w:ascii="Times New Roman" w:eastAsia="Cambria" w:hAnsi="Times New Roman" w:cs="Times New Roman"/>
      <w:b/>
    </w:rPr>
  </w:style>
  <w:style w:type="paragraph" w:styleId="Heading4">
    <w:name w:val="heading 4"/>
    <w:basedOn w:val="Normal"/>
    <w:next w:val="Normal"/>
    <w:link w:val="Heading4Char"/>
    <w:unhideWhenUsed/>
    <w:qFormat/>
    <w:rsid w:val="000F366E"/>
    <w:pPr>
      <w:spacing w:after="0" w:line="360" w:lineRule="auto"/>
      <w:jc w:val="both"/>
      <w:outlineLvl w:val="3"/>
    </w:pPr>
    <w:rPr>
      <w:rFonts w:ascii="Times New Roman" w:hAnsi="Times New Roman"/>
      <w:b/>
      <w:sz w:val="24"/>
      <w:szCs w:val="24"/>
    </w:rPr>
  </w:style>
  <w:style w:type="paragraph" w:styleId="Heading5">
    <w:name w:val="heading 5"/>
    <w:basedOn w:val="Normal"/>
    <w:next w:val="Normal"/>
    <w:link w:val="Heading5Char"/>
    <w:qFormat/>
    <w:rsid w:val="003F1365"/>
    <w:pPr>
      <w:keepNext/>
      <w:tabs>
        <w:tab w:val="num" w:pos="1008"/>
      </w:tabs>
      <w:spacing w:after="0" w:line="240" w:lineRule="auto"/>
      <w:ind w:left="1008" w:hanging="1008"/>
      <w:jc w:val="center"/>
      <w:outlineLvl w:val="4"/>
    </w:pPr>
    <w:rPr>
      <w:rFonts w:ascii="Times New Roman" w:hAnsi="Times New Roman" w:cs="Times New Roman"/>
      <w:b/>
      <w:bCs/>
      <w:sz w:val="20"/>
      <w:szCs w:val="20"/>
      <w:lang w:eastAsia="cs-CZ"/>
    </w:rPr>
  </w:style>
  <w:style w:type="paragraph" w:styleId="Heading6">
    <w:name w:val="heading 6"/>
    <w:basedOn w:val="Normal"/>
    <w:next w:val="Normal"/>
    <w:link w:val="Heading6Char"/>
    <w:qFormat/>
    <w:rsid w:val="003F1365"/>
    <w:pPr>
      <w:tabs>
        <w:tab w:val="num" w:pos="1152"/>
      </w:tabs>
      <w:spacing w:before="240" w:after="60" w:line="240" w:lineRule="auto"/>
      <w:ind w:left="1152" w:hanging="1152"/>
      <w:jc w:val="left"/>
      <w:outlineLvl w:val="5"/>
    </w:pPr>
    <w:rPr>
      <w:rFonts w:ascii="Times New Roman" w:hAnsi="Times New Roman" w:cs="Times New Roman"/>
      <w:b/>
      <w:bCs/>
      <w:sz w:val="20"/>
      <w:szCs w:val="22"/>
    </w:rPr>
  </w:style>
  <w:style w:type="paragraph" w:styleId="Heading7">
    <w:name w:val="heading 7"/>
    <w:basedOn w:val="Normal"/>
    <w:next w:val="Normal"/>
    <w:link w:val="Heading7Char"/>
    <w:qFormat/>
    <w:rsid w:val="003F1365"/>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Heading8">
    <w:name w:val="heading 8"/>
    <w:basedOn w:val="Normal"/>
    <w:next w:val="Normal"/>
    <w:link w:val="Heading8Char"/>
    <w:qFormat/>
    <w:rsid w:val="003F1365"/>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3F1365"/>
    <w:pPr>
      <w:tabs>
        <w:tab w:val="num" w:pos="1584"/>
      </w:tabs>
      <w:spacing w:before="240" w:after="60" w:line="240" w:lineRule="auto"/>
      <w:ind w:left="1584" w:hanging="1584"/>
      <w:jc w:val="left"/>
      <w:outlineLvl w:val="8"/>
    </w:pPr>
    <w:rPr>
      <w:rFonts w:ascii="Arial" w:hAnsi="Arial" w:cs="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aliases w:val="Footnote Text Char Char1 Char Char Char Char Char Char Char Char Char,Footnote Text Char1 Char,Footnote Text Char1 Char Char Char,Footnote Text Char2,Footnote Text Char2 Char Char,Footnote Text Char2 Char Char Char Char,Plonk"/>
    <w:basedOn w:val="Normal"/>
    <w:link w:val="FootnoteTextChar"/>
    <w:uiPriority w:val="99"/>
    <w:unhideWhenUsed/>
    <w:rsid w:val="007304A5"/>
    <w:pPr>
      <w:spacing w:after="0" w:line="240" w:lineRule="auto"/>
      <w:jc w:val="left"/>
    </w:pPr>
    <w:rPr>
      <w:sz w:val="20"/>
      <w:szCs w:val="20"/>
    </w:rPr>
  </w:style>
  <w:style w:type="character" w:customStyle="1" w:styleId="FootnoteTextChar">
    <w:name w:val="Footnote Text Char"/>
    <w:aliases w:val="Footnote Text Char1 Char Char,Footnote Text Char1 Char Char Char Char,Footnote Text Char2 Char,Footnote Text Char2 Char Char Char,Footnote Text Char2 Char Char Char Char Char,Plonk Char"/>
    <w:basedOn w:val="DefaultParagraphFont"/>
    <w:link w:val="FootnoteText"/>
    <w:uiPriority w:val="99"/>
    <w:locked/>
    <w:rsid w:val="007304A5"/>
    <w:rPr>
      <w:rFonts w:cs="Times New Roman"/>
      <w:sz w:val="20"/>
      <w:szCs w:val="20"/>
      <w:rtl w:val="0"/>
      <w:cs w:val="0"/>
    </w:rPr>
  </w:style>
  <w:style w:type="character" w:styleId="FootnoteReference">
    <w:name w:val="footnote reference"/>
    <w:basedOn w:val="DefaultParagraphFont"/>
    <w:uiPriority w:val="99"/>
    <w:unhideWhenUsed/>
    <w:rsid w:val="007304A5"/>
    <w:rPr>
      <w:rFonts w:cs="Times New Roman"/>
      <w:vertAlign w:val="superscript"/>
      <w:rtl w:val="0"/>
      <w:cs w:val="0"/>
    </w:rPr>
  </w:style>
  <w:style w:type="paragraph" w:styleId="Header">
    <w:name w:val="header"/>
    <w:basedOn w:val="Normal"/>
    <w:link w:val="HeaderChar"/>
    <w:uiPriority w:val="99"/>
    <w:unhideWhenUsed/>
    <w:rsid w:val="00B200F2"/>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B200F2"/>
    <w:rPr>
      <w:rFonts w:cs="Times New Roman"/>
      <w:rtl w:val="0"/>
      <w:cs w:val="0"/>
    </w:rPr>
  </w:style>
  <w:style w:type="paragraph" w:styleId="Footer">
    <w:name w:val="footer"/>
    <w:basedOn w:val="Normal"/>
    <w:link w:val="FooterChar"/>
    <w:uiPriority w:val="99"/>
    <w:unhideWhenUsed/>
    <w:rsid w:val="00B200F2"/>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B200F2"/>
    <w:rPr>
      <w:rFonts w:cs="Times New Roman"/>
      <w:rtl w:val="0"/>
      <w:cs w:val="0"/>
    </w:rPr>
  </w:style>
  <w:style w:type="paragraph" w:customStyle="1" w:styleId="NormalList">
    <w:name w:val="NormalList"/>
    <w:basedOn w:val="Normal"/>
    <w:rsid w:val="006B3B40"/>
    <w:pPr>
      <w:spacing w:after="0" w:line="240" w:lineRule="auto"/>
      <w:jc w:val="both"/>
    </w:pPr>
    <w:rPr>
      <w:rFonts w:cs="Book Antiqua"/>
      <w:szCs w:val="22"/>
    </w:rPr>
  </w:style>
  <w:style w:type="paragraph" w:styleId="ListParagraph">
    <w:name w:val="List Paragraph"/>
    <w:basedOn w:val="Normal"/>
    <w:link w:val="ListParagraphChar"/>
    <w:uiPriority w:val="34"/>
    <w:qFormat/>
    <w:rsid w:val="006B3B40"/>
    <w:pPr>
      <w:spacing w:after="0" w:line="240" w:lineRule="auto"/>
      <w:ind w:left="720"/>
      <w:contextualSpacing/>
      <w:jc w:val="left"/>
    </w:pPr>
    <w:rPr>
      <w:rFonts w:cs="Book Antiqua"/>
      <w:szCs w:val="22"/>
      <w:lang w:eastAsia="sk-SK"/>
    </w:rPr>
  </w:style>
  <w:style w:type="character" w:customStyle="1" w:styleId="Heading3Char">
    <w:name w:val="Heading 3 Char"/>
    <w:basedOn w:val="DefaultParagraphFont"/>
    <w:link w:val="Heading3"/>
    <w:uiPriority w:val="9"/>
    <w:locked/>
    <w:rsid w:val="00A66C04"/>
    <w:rPr>
      <w:rFonts w:ascii="Times New Roman" w:eastAsia="Cambria" w:hAnsi="Times New Roman" w:cs="Times New Roman"/>
      <w:b/>
      <w:sz w:val="22"/>
      <w:szCs w:val="22"/>
      <w:rtl w:val="0"/>
      <w:cs w:val="0"/>
      <w:lang w:val="x-none" w:eastAsia="sk-SK"/>
    </w:rPr>
  </w:style>
  <w:style w:type="character" w:styleId="CommentReference">
    <w:name w:val="annotation reference"/>
    <w:basedOn w:val="DefaultParagraphFont"/>
    <w:uiPriority w:val="99"/>
    <w:semiHidden/>
    <w:unhideWhenUsed/>
    <w:rsid w:val="006752EF"/>
    <w:rPr>
      <w:rFonts w:cs="Times New Roman"/>
      <w:sz w:val="16"/>
      <w:szCs w:val="16"/>
      <w:rtl w:val="0"/>
      <w:cs w:val="0"/>
    </w:rPr>
  </w:style>
  <w:style w:type="paragraph" w:styleId="CommentText">
    <w:name w:val="annotation text"/>
    <w:basedOn w:val="Normal"/>
    <w:link w:val="CommentTextChar"/>
    <w:uiPriority w:val="99"/>
    <w:semiHidden/>
    <w:unhideWhenUsed/>
    <w:rsid w:val="006752EF"/>
    <w:pPr>
      <w:spacing w:after="0" w:line="240" w:lineRule="auto"/>
      <w:jc w:val="left"/>
    </w:pPr>
    <w:rPr>
      <w:rFonts w:ascii="Times New Roman" w:hAnsi="Times New Roman" w:cs="Times New Roman"/>
      <w:sz w:val="20"/>
      <w:szCs w:val="20"/>
      <w:lang w:eastAsia="sk-SK"/>
    </w:rPr>
  </w:style>
  <w:style w:type="character" w:customStyle="1" w:styleId="CommentTextChar">
    <w:name w:val="Comment Text Char"/>
    <w:basedOn w:val="DefaultParagraphFont"/>
    <w:link w:val="CommentText"/>
    <w:uiPriority w:val="99"/>
    <w:semiHidden/>
    <w:locked/>
    <w:rsid w:val="006752EF"/>
    <w:rPr>
      <w:rFonts w:ascii="Times New Roman" w:hAnsi="Times New Roman" w:cs="Times New Roman"/>
      <w:sz w:val="20"/>
      <w:szCs w:val="20"/>
      <w:rtl w:val="0"/>
      <w:cs w:val="0"/>
      <w:lang w:val="x-none" w:eastAsia="sk-SK"/>
    </w:rPr>
  </w:style>
  <w:style w:type="paragraph" w:styleId="BalloonText">
    <w:name w:val="Balloon Text"/>
    <w:basedOn w:val="Normal"/>
    <w:link w:val="BalloonTextChar"/>
    <w:uiPriority w:val="99"/>
    <w:semiHidden/>
    <w:unhideWhenUsed/>
    <w:rsid w:val="006752EF"/>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52EF"/>
    <w:rPr>
      <w:rFonts w:ascii="Tahoma" w:hAnsi="Tahoma" w:cs="Tahoma"/>
      <w:sz w:val="16"/>
      <w:szCs w:val="16"/>
      <w:rtl w:val="0"/>
      <w:cs w:val="0"/>
    </w:rPr>
  </w:style>
  <w:style w:type="paragraph" w:styleId="CommentSubject">
    <w:name w:val="annotation subject"/>
    <w:basedOn w:val="CommentText"/>
    <w:next w:val="CommentText"/>
    <w:link w:val="CommentSubjectChar"/>
    <w:uiPriority w:val="99"/>
    <w:semiHidden/>
    <w:unhideWhenUsed/>
    <w:rsid w:val="009F701F"/>
    <w:pPr>
      <w:spacing w:after="200" w:line="240" w:lineRule="auto"/>
      <w:jc w:val="left"/>
    </w:pPr>
    <w:rPr>
      <w:rFonts w:ascii="Arial Narrow" w:hAnsi="Arial Narrow" w:cstheme="minorBidi"/>
      <w:b/>
      <w:bCs/>
      <w:lang w:eastAsia="en-US"/>
    </w:rPr>
  </w:style>
  <w:style w:type="character" w:customStyle="1" w:styleId="CommentSubjectChar">
    <w:name w:val="Comment Subject Char"/>
    <w:basedOn w:val="CommentTextChar"/>
    <w:link w:val="CommentSubject"/>
    <w:uiPriority w:val="99"/>
    <w:semiHidden/>
    <w:locked/>
    <w:rsid w:val="009F701F"/>
    <w:rPr>
      <w:b/>
      <w:bCs/>
    </w:rPr>
  </w:style>
  <w:style w:type="character" w:customStyle="1" w:styleId="Heading1Char">
    <w:name w:val="Heading 1 Char"/>
    <w:basedOn w:val="DefaultParagraphFont"/>
    <w:link w:val="Heading1"/>
    <w:locked/>
    <w:rsid w:val="003A760D"/>
    <w:rPr>
      <w:rFonts w:ascii="Times New Roman" w:hAnsi="Times New Roman" w:eastAsiaTheme="majorEastAsia" w:cs="Times New Roman"/>
      <w:b/>
      <w:bCs/>
      <w:sz w:val="26"/>
      <w:szCs w:val="26"/>
      <w:rtl w:val="0"/>
      <w:cs w:val="0"/>
    </w:rPr>
  </w:style>
  <w:style w:type="paragraph" w:styleId="BodyText">
    <w:name w:val="Body Text"/>
    <w:basedOn w:val="Normal"/>
    <w:link w:val="BodyTextChar"/>
    <w:rsid w:val="003A760D"/>
    <w:pPr>
      <w:spacing w:after="0" w:line="240" w:lineRule="auto"/>
      <w:jc w:val="both"/>
    </w:pPr>
    <w:rPr>
      <w:rFonts w:ascii="Times New Roman" w:hAnsi="Times New Roman" w:cs="Times New Roman"/>
      <w:sz w:val="24"/>
      <w:szCs w:val="20"/>
      <w:lang w:eastAsia="cs-CZ"/>
    </w:rPr>
  </w:style>
  <w:style w:type="character" w:customStyle="1" w:styleId="BodyTextChar">
    <w:name w:val="Body Text Char"/>
    <w:basedOn w:val="DefaultParagraphFont"/>
    <w:link w:val="BodyText"/>
    <w:locked/>
    <w:rsid w:val="003A760D"/>
    <w:rPr>
      <w:rFonts w:ascii="Times New Roman" w:hAnsi="Times New Roman" w:cs="Times New Roman"/>
      <w:sz w:val="20"/>
      <w:szCs w:val="20"/>
      <w:rtl w:val="0"/>
      <w:cs w:val="0"/>
      <w:lang w:val="x-none" w:eastAsia="cs-CZ"/>
    </w:rPr>
  </w:style>
  <w:style w:type="character" w:customStyle="1" w:styleId="Heading2Char">
    <w:name w:val="Heading 2 Char"/>
    <w:basedOn w:val="DefaultParagraphFont"/>
    <w:link w:val="Heading2"/>
    <w:locked/>
    <w:rsid w:val="003A760D"/>
    <w:rPr>
      <w:rFonts w:ascii="Times New Roman" w:hAnsi="Times New Roman" w:eastAsiaTheme="majorEastAsia" w:cs="Times New Roman"/>
      <w:b/>
      <w:bCs/>
      <w:sz w:val="24"/>
      <w:szCs w:val="24"/>
      <w:rtl w:val="0"/>
      <w:cs w:val="0"/>
    </w:rPr>
  </w:style>
  <w:style w:type="paragraph" w:styleId="Revision">
    <w:name w:val="Revision"/>
    <w:hidden/>
    <w:uiPriority w:val="99"/>
    <w:semiHidden/>
    <w:rsid w:val="003A760D"/>
    <w:pPr>
      <w:framePr w:wrap="auto"/>
      <w:widowControl/>
      <w:autoSpaceDE/>
      <w:autoSpaceDN/>
      <w:adjustRightInd/>
      <w:ind w:left="0" w:right="0"/>
      <w:jc w:val="left"/>
      <w:textAlignment w:val="auto"/>
    </w:pPr>
    <w:rPr>
      <w:rFonts w:ascii="Arial Narrow" w:eastAsia="Calibri" w:hAnsi="Arial Narrow" w:cs="Times New Roman"/>
      <w:sz w:val="22"/>
      <w:szCs w:val="36"/>
      <w:rtl w:val="0"/>
      <w:cs w:val="0"/>
      <w:lang w:val="sk-SK" w:eastAsia="en-US" w:bidi="ar-SA"/>
    </w:rPr>
  </w:style>
  <w:style w:type="character" w:styleId="Strong">
    <w:name w:val="Strong"/>
    <w:basedOn w:val="DefaultParagraphFont"/>
    <w:uiPriority w:val="22"/>
    <w:qFormat/>
    <w:rsid w:val="00D072E8"/>
    <w:rPr>
      <w:rFonts w:cs="Times New Roman"/>
      <w:bCs/>
      <w:rtl w:val="0"/>
      <w:cs w:val="0"/>
    </w:rPr>
  </w:style>
  <w:style w:type="character" w:customStyle="1" w:styleId="ListParagraphChar">
    <w:name w:val="List Paragraph Char"/>
    <w:link w:val="ListParagraph"/>
    <w:uiPriority w:val="34"/>
    <w:locked/>
    <w:rsid w:val="005D5220"/>
    <w:rPr>
      <w:rFonts w:eastAsia="Times New Roman"/>
      <w:sz w:val="22"/>
      <w:lang w:val="x-none" w:eastAsia="sk-SK"/>
    </w:rPr>
  </w:style>
  <w:style w:type="paragraph" w:customStyle="1" w:styleId="Pismenka">
    <w:name w:val="Pismenka"/>
    <w:basedOn w:val="BodyText"/>
    <w:uiPriority w:val="99"/>
    <w:rsid w:val="005D5220"/>
    <w:pPr>
      <w:tabs>
        <w:tab w:val="num" w:pos="426"/>
      </w:tabs>
      <w:spacing w:after="0" w:line="240" w:lineRule="auto"/>
      <w:ind w:left="426" w:hanging="426"/>
      <w:jc w:val="both"/>
    </w:pPr>
    <w:rPr>
      <w:rFonts w:ascii="Times New Roman" w:hAnsi="Times New Roman"/>
      <w:b/>
      <w:bCs/>
      <w:sz w:val="18"/>
      <w:szCs w:val="18"/>
      <w:lang w:eastAsia="sk-SK"/>
    </w:rPr>
  </w:style>
  <w:style w:type="paragraph" w:styleId="NoSpacing">
    <w:name w:val="No Spacing"/>
    <w:uiPriority w:val="1"/>
    <w:qFormat/>
    <w:rsid w:val="005D5220"/>
    <w:pPr>
      <w:framePr w:wrap="auto"/>
      <w:widowControl/>
      <w:autoSpaceDE/>
      <w:autoSpaceDN/>
      <w:adjustRightInd/>
      <w:ind w:left="0" w:right="0"/>
      <w:jc w:val="left"/>
      <w:textAlignment w:val="auto"/>
    </w:pPr>
    <w:rPr>
      <w:rFonts w:ascii="Arial Narrow" w:eastAsia="Calibri" w:hAnsi="Arial Narrow" w:cs="Times New Roman"/>
      <w:sz w:val="22"/>
      <w:szCs w:val="36"/>
      <w:rtl w:val="0"/>
      <w:cs w:val="0"/>
      <w:lang w:val="sk-SK" w:eastAsia="en-US" w:bidi="ar-SA"/>
    </w:rPr>
  </w:style>
  <w:style w:type="character" w:customStyle="1" w:styleId="Heading4Char">
    <w:name w:val="Heading 4 Char"/>
    <w:basedOn w:val="DefaultParagraphFont"/>
    <w:link w:val="Heading4"/>
    <w:locked/>
    <w:rsid w:val="000F366E"/>
    <w:rPr>
      <w:rFonts w:ascii="Times New Roman" w:hAnsi="Times New Roman" w:cs="Times New Roman"/>
      <w:b/>
      <w:sz w:val="24"/>
      <w:szCs w:val="24"/>
      <w:rtl w:val="0"/>
      <w:cs w:val="0"/>
    </w:rPr>
  </w:style>
  <w:style w:type="character" w:customStyle="1" w:styleId="Heading5Char">
    <w:name w:val="Heading 5 Char"/>
    <w:basedOn w:val="DefaultParagraphFont"/>
    <w:link w:val="Heading5"/>
    <w:locked/>
    <w:rsid w:val="003F1365"/>
    <w:rPr>
      <w:rFonts w:ascii="Times New Roman" w:hAnsi="Times New Roman" w:cs="Times New Roman"/>
      <w:b/>
      <w:bCs/>
      <w:sz w:val="20"/>
      <w:szCs w:val="20"/>
      <w:rtl w:val="0"/>
      <w:cs w:val="0"/>
      <w:lang w:val="x-none" w:eastAsia="cs-CZ"/>
    </w:rPr>
  </w:style>
  <w:style w:type="character" w:customStyle="1" w:styleId="Heading6Char">
    <w:name w:val="Heading 6 Char"/>
    <w:basedOn w:val="DefaultParagraphFont"/>
    <w:link w:val="Heading6"/>
    <w:locked/>
    <w:rsid w:val="003F1365"/>
    <w:rPr>
      <w:rFonts w:ascii="Times New Roman" w:hAnsi="Times New Roman" w:cs="Times New Roman"/>
      <w:b/>
      <w:bCs/>
      <w:sz w:val="22"/>
      <w:szCs w:val="22"/>
      <w:rtl w:val="0"/>
      <w:cs w:val="0"/>
      <w:lang w:val="x-none" w:eastAsia="x-none"/>
    </w:rPr>
  </w:style>
  <w:style w:type="character" w:customStyle="1" w:styleId="Heading7Char">
    <w:name w:val="Heading 7 Char"/>
    <w:basedOn w:val="DefaultParagraphFont"/>
    <w:link w:val="Heading7"/>
    <w:locked/>
    <w:rsid w:val="003F1365"/>
    <w:rPr>
      <w:rFonts w:ascii="Times New Roman" w:hAnsi="Times New Roman" w:cs="Times New Roman"/>
      <w:sz w:val="24"/>
      <w:szCs w:val="24"/>
      <w:rtl w:val="0"/>
      <w:cs w:val="0"/>
      <w:lang w:val="x-none" w:eastAsia="x-none"/>
    </w:rPr>
  </w:style>
  <w:style w:type="character" w:customStyle="1" w:styleId="Heading8Char">
    <w:name w:val="Heading 8 Char"/>
    <w:basedOn w:val="DefaultParagraphFont"/>
    <w:link w:val="Heading8"/>
    <w:locked/>
    <w:rsid w:val="003F1365"/>
    <w:rPr>
      <w:rFonts w:ascii="Times New Roman" w:hAnsi="Times New Roman" w:cs="Times New Roman"/>
      <w:i/>
      <w:iCs/>
      <w:sz w:val="24"/>
      <w:szCs w:val="24"/>
      <w:rtl w:val="0"/>
      <w:cs w:val="0"/>
      <w:lang w:val="x-none" w:eastAsia="x-none"/>
    </w:rPr>
  </w:style>
  <w:style w:type="character" w:customStyle="1" w:styleId="Heading9Char">
    <w:name w:val="Heading 9 Char"/>
    <w:basedOn w:val="DefaultParagraphFont"/>
    <w:link w:val="Heading9"/>
    <w:locked/>
    <w:rsid w:val="003F1365"/>
    <w:rPr>
      <w:rFonts w:ascii="Arial" w:hAnsi="Arial" w:cs="Times New Roman"/>
      <w:sz w:val="22"/>
      <w:szCs w:val="22"/>
      <w:rtl w:val="0"/>
      <w:cs w:val="0"/>
      <w:lang w:val="x-none" w:eastAsia="x-none"/>
    </w:rPr>
  </w:style>
  <w:style w:type="paragraph" w:styleId="NormalWeb">
    <w:name w:val="Normal (Web)"/>
    <w:basedOn w:val="Normal"/>
    <w:uiPriority w:val="99"/>
    <w:unhideWhenUsed/>
    <w:rsid w:val="003F1365"/>
    <w:pPr>
      <w:spacing w:after="100" w:afterAutospacing="1" w:line="240" w:lineRule="auto"/>
      <w:jc w:val="left"/>
    </w:pPr>
    <w:rPr>
      <w:rFonts w:ascii="Times New Roman" w:hAnsi="Times New Roman" w:cs="Times New Roman"/>
      <w:sz w:val="24"/>
      <w:szCs w:val="24"/>
      <w:lang w:eastAsia="sk-SK"/>
    </w:rPr>
  </w:style>
  <w:style w:type="character" w:styleId="Hyperlink">
    <w:name w:val="Hyperlink"/>
    <w:uiPriority w:val="99"/>
    <w:unhideWhenUsed/>
    <w:rsid w:val="003F1365"/>
    <w:rPr>
      <w:color w:val="9E150F"/>
      <w:u w:val="single"/>
    </w:rPr>
  </w:style>
  <w:style w:type="table" w:styleId="TableGrid">
    <w:name w:val="Table Grid"/>
    <w:basedOn w:val="TableNormal"/>
    <w:uiPriority w:val="59"/>
    <w:rsid w:val="003F1365"/>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3F1365"/>
  </w:style>
  <w:style w:type="paragraph" w:customStyle="1" w:styleId="Zkladntext1">
    <w:name w:val="Základní text1"/>
    <w:uiPriority w:val="99"/>
    <w:rsid w:val="003F1365"/>
    <w:pPr>
      <w:framePr w:wrap="auto"/>
      <w:widowControl/>
      <w:autoSpaceDE/>
      <w:autoSpaceDN/>
      <w:adjustRightInd/>
      <w:spacing w:before="144" w:after="144"/>
      <w:ind w:left="0" w:right="0" w:firstLine="709"/>
      <w:jc w:val="both"/>
      <w:textAlignment w:val="auto"/>
    </w:pPr>
    <w:rPr>
      <w:rFonts w:cs="Times New Roman"/>
      <w:color w:val="000000"/>
      <w:sz w:val="24"/>
      <w:szCs w:val="24"/>
      <w:rtl w:val="0"/>
      <w:cs w:val="0"/>
      <w:lang w:val="sk-SK" w:eastAsia="sk-SK" w:bidi="ar-SA"/>
    </w:rPr>
  </w:style>
  <w:style w:type="paragraph" w:customStyle="1" w:styleId="odstavec">
    <w:name w:val="odstavec"/>
    <w:basedOn w:val="Normal"/>
    <w:autoRedefine/>
    <w:rsid w:val="003F1365"/>
    <w:pPr>
      <w:spacing w:after="0" w:line="240" w:lineRule="auto"/>
      <w:ind w:right="-79"/>
      <w:jc w:val="both"/>
    </w:pPr>
    <w:rPr>
      <w:rFonts w:ascii="Times New Roman" w:hAnsi="Times New Roman" w:cs="Times New Roman"/>
      <w:sz w:val="20"/>
      <w:szCs w:val="24"/>
      <w:lang w:eastAsia="sk-SK"/>
    </w:rPr>
  </w:style>
  <w:style w:type="paragraph" w:customStyle="1" w:styleId="abc">
    <w:name w:val="abc"/>
    <w:basedOn w:val="Normal"/>
    <w:autoRedefine/>
    <w:rsid w:val="003F1365"/>
    <w:pPr>
      <w:numPr>
        <w:numId w:val="5"/>
      </w:numPr>
      <w:tabs>
        <w:tab w:val="num" w:pos="465"/>
      </w:tabs>
      <w:spacing w:before="60" w:after="120" w:line="240" w:lineRule="auto"/>
      <w:ind w:left="465" w:hanging="465"/>
      <w:jc w:val="both"/>
    </w:pPr>
    <w:rPr>
      <w:rFonts w:ascii="Times New Roman" w:hAnsi="Times New Roman" w:cs="Times New Roman"/>
      <w:b/>
      <w:sz w:val="20"/>
      <w:szCs w:val="20"/>
      <w:lang w:eastAsia="sk-SK"/>
    </w:rPr>
  </w:style>
  <w:style w:type="character" w:customStyle="1" w:styleId="spanr">
    <w:name w:val="span_r"/>
    <w:basedOn w:val="DefaultParagraphFont"/>
    <w:rsid w:val="003F1365"/>
    <w:rPr>
      <w:rFonts w:cs="Times New Roman"/>
      <w:rtl w:val="0"/>
      <w:cs w:val="0"/>
    </w:rPr>
  </w:style>
  <w:style w:type="paragraph" w:customStyle="1" w:styleId="CharChar1">
    <w:name w:val="Char Char1"/>
    <w:basedOn w:val="Normal"/>
    <w:rsid w:val="003F1365"/>
    <w:pPr>
      <w:spacing w:after="160" w:line="240" w:lineRule="exact"/>
      <w:jc w:val="left"/>
    </w:pPr>
    <w:rPr>
      <w:rFonts w:ascii="Tahoma" w:hAnsi="Tahoma" w:cs="Times New Roman"/>
      <w:sz w:val="20"/>
      <w:szCs w:val="20"/>
    </w:rPr>
  </w:style>
  <w:style w:type="character" w:customStyle="1" w:styleId="poradna-tl-reaguj1">
    <w:name w:val="poradna-tl-reaguj1"/>
    <w:rsid w:val="003F1365"/>
    <w:rPr>
      <w:color w:val="A55570"/>
      <w:sz w:val="20"/>
    </w:rPr>
  </w:style>
  <w:style w:type="paragraph" w:customStyle="1" w:styleId="Zakladnmtext">
    <w:name w:val="Z&lt;/a&gt;kladn&lt;/m&gt; text"/>
    <w:rsid w:val="003F1365"/>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Xadka">
    <w:name w:val="&lt;/X&gt;&lt;/a&gt;dka"/>
    <w:rsid w:val="003F1365"/>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Znahka">
    <w:name w:val="Zna&lt;/h&gt;ka"/>
    <w:rsid w:val="003F1365"/>
    <w:pPr>
      <w:framePr w:wrap="auto"/>
      <w:widowControl/>
      <w:autoSpaceDE/>
      <w:autoSpaceDN/>
      <w:adjustRightInd/>
      <w:ind w:left="288" w:right="0" w:hanging="288"/>
      <w:jc w:val="left"/>
      <w:textAlignment w:val="auto"/>
    </w:pPr>
    <w:rPr>
      <w:rFonts w:cs="Times New Roman"/>
      <w:color w:val="000000"/>
      <w:sz w:val="24"/>
      <w:szCs w:val="20"/>
      <w:rtl w:val="0"/>
      <w:cs w:val="0"/>
      <w:lang w:val="en-US" w:eastAsia="sk-SK" w:bidi="ar-SA"/>
    </w:rPr>
  </w:style>
  <w:style w:type="paragraph" w:customStyle="1" w:styleId="Znahka1">
    <w:name w:val="Zna&lt;/h&gt;ka 1"/>
    <w:rsid w:val="003F1365"/>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Hmsloseznamu">
    <w:name w:val="&lt;/H&gt;&lt;/m&gt;slo seznamu"/>
    <w:rsid w:val="003F1365"/>
    <w:pPr>
      <w:framePr w:wrap="auto"/>
      <w:widowControl/>
      <w:tabs>
        <w:tab w:val="left" w:pos="576"/>
      </w:tabs>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Podnadpis">
    <w:name w:val="Podnadpis"/>
    <w:rsid w:val="003F1365"/>
    <w:pPr>
      <w:framePr w:wrap="auto"/>
      <w:widowControl/>
      <w:autoSpaceDE/>
      <w:autoSpaceDN/>
      <w:adjustRightInd/>
      <w:ind w:left="0" w:right="0"/>
      <w:jc w:val="left"/>
      <w:textAlignment w:val="auto"/>
    </w:pPr>
    <w:rPr>
      <w:rFonts w:cs="Times New Roman"/>
      <w:b/>
      <w:i/>
      <w:color w:val="000000"/>
      <w:sz w:val="24"/>
      <w:szCs w:val="20"/>
      <w:rtl w:val="0"/>
      <w:cs w:val="0"/>
      <w:lang w:val="en-US" w:eastAsia="sk-SK" w:bidi="ar-SA"/>
    </w:rPr>
  </w:style>
  <w:style w:type="paragraph" w:customStyle="1" w:styleId="Nadpis">
    <w:name w:val="Nadpis"/>
    <w:rsid w:val="003F1365"/>
    <w:pPr>
      <w:framePr w:wrap="auto"/>
      <w:widowControl/>
      <w:autoSpaceDE/>
      <w:autoSpaceDN/>
      <w:adjustRightInd/>
      <w:ind w:left="0" w:right="0"/>
      <w:jc w:val="center"/>
      <w:textAlignment w:val="auto"/>
    </w:pPr>
    <w:rPr>
      <w:rFonts w:ascii="Arial" w:hAnsi="Arial" w:cs="Times New Roman"/>
      <w:b/>
      <w:color w:val="000000"/>
      <w:sz w:val="36"/>
      <w:szCs w:val="20"/>
      <w:rtl w:val="0"/>
      <w:cs w:val="0"/>
      <w:lang w:val="en-US" w:eastAsia="sk-SK" w:bidi="ar-SA"/>
    </w:rPr>
  </w:style>
  <w:style w:type="paragraph" w:customStyle="1" w:styleId="Zahlavm">
    <w:name w:val="Z&lt;/a&gt;hlav&lt;/m&gt;"/>
    <w:rsid w:val="003F1365"/>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Pata">
    <w:name w:val="Pata"/>
    <w:rsid w:val="003F1365"/>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Texttabulky">
    <w:name w:val="Text tabulky"/>
    <w:rsid w:val="003F1365"/>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Zkladntext10">
    <w:name w:val="Základný text1"/>
    <w:rsid w:val="003F1365"/>
    <w:pPr>
      <w:framePr w:wrap="auto"/>
      <w:widowControl/>
      <w:autoSpaceDE/>
      <w:autoSpaceDN/>
      <w:adjustRightInd/>
      <w:ind w:left="0" w:right="0"/>
      <w:jc w:val="left"/>
      <w:textAlignment w:val="auto"/>
    </w:pPr>
    <w:rPr>
      <w:rFonts w:ascii="Dutch801 SWC" w:hAnsi="Dutch801 SWC" w:cs="Times New Roman"/>
      <w:color w:val="000000"/>
      <w:sz w:val="24"/>
      <w:szCs w:val="20"/>
      <w:rtl w:val="0"/>
      <w:cs w:val="0"/>
      <w:lang w:val="en-US" w:eastAsia="sk-SK" w:bidi="ar-SA"/>
    </w:rPr>
  </w:style>
  <w:style w:type="paragraph" w:customStyle="1" w:styleId="Zkladntext">
    <w:name w:val="Základní text"/>
    <w:rsid w:val="003F1365"/>
    <w:pPr>
      <w:framePr w:wrap="auto"/>
      <w:widowControl/>
      <w:autoSpaceDE w:val="0"/>
      <w:autoSpaceDN w:val="0"/>
      <w:adjustRightInd w:val="0"/>
      <w:ind w:left="0" w:right="0"/>
      <w:jc w:val="left"/>
      <w:textAlignment w:val="auto"/>
    </w:pPr>
    <w:rPr>
      <w:rFonts w:cs="Times New Roman"/>
      <w:color w:val="000000"/>
      <w:sz w:val="20"/>
      <w:szCs w:val="24"/>
      <w:rtl w:val="0"/>
      <w:cs w:val="0"/>
      <w:lang w:val="sk-SK" w:eastAsia="sk-SK" w:bidi="ar-SA"/>
    </w:rPr>
  </w:style>
  <w:style w:type="character" w:customStyle="1" w:styleId="BodyText2Char">
    <w:name w:val="Body Text 2 Char"/>
    <w:aliases w:val="Char Char"/>
    <w:basedOn w:val="DefaultParagraphFont"/>
    <w:locked/>
    <w:rsid w:val="003F1365"/>
    <w:rPr>
      <w:rFonts w:ascii="Times New Roman" w:hAnsi="Times New Roman" w:cs="Times New Roman"/>
      <w:sz w:val="20"/>
      <w:szCs w:val="20"/>
      <w:rtl w:val="0"/>
      <w:cs w:val="0"/>
      <w:lang w:val="x-none" w:eastAsia="x-none"/>
    </w:rPr>
  </w:style>
  <w:style w:type="paragraph" w:styleId="BodyTextIndent">
    <w:name w:val="Body Text Indent"/>
    <w:basedOn w:val="Normal"/>
    <w:link w:val="BodyTextIndentChar"/>
    <w:rsid w:val="003F1365"/>
    <w:pPr>
      <w:spacing w:after="0" w:line="240" w:lineRule="auto"/>
      <w:ind w:firstLine="708"/>
      <w:jc w:val="both"/>
    </w:pPr>
    <w:rPr>
      <w:rFonts w:ascii="Dutch801 SWC" w:hAnsi="Dutch801 SWC" w:cs="Times New Roman"/>
      <w:sz w:val="24"/>
      <w:szCs w:val="20"/>
    </w:rPr>
  </w:style>
  <w:style w:type="character" w:customStyle="1" w:styleId="BodyTextIndentChar">
    <w:name w:val="Body Text Indent Char"/>
    <w:basedOn w:val="DefaultParagraphFont"/>
    <w:link w:val="BodyTextIndent"/>
    <w:locked/>
    <w:rsid w:val="003F1365"/>
    <w:rPr>
      <w:rFonts w:ascii="Dutch801 SWC" w:hAnsi="Dutch801 SWC" w:cs="Times New Roman"/>
      <w:sz w:val="20"/>
      <w:szCs w:val="20"/>
      <w:rtl w:val="0"/>
      <w:cs w:val="0"/>
      <w:lang w:val="x-none" w:eastAsia="x-none"/>
    </w:rPr>
  </w:style>
  <w:style w:type="paragraph" w:styleId="BodyText3">
    <w:name w:val="Body Text 3"/>
    <w:basedOn w:val="Normal"/>
    <w:link w:val="BodyText3Char"/>
    <w:rsid w:val="003F136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21" w:lineRule="atLeast"/>
      <w:jc w:val="left"/>
    </w:pPr>
    <w:rPr>
      <w:rFonts w:ascii="Times New Roman" w:hAnsi="Times New Roman" w:cs="Times New Roman"/>
      <w:b/>
      <w:bCs/>
      <w:sz w:val="28"/>
      <w:szCs w:val="24"/>
    </w:rPr>
  </w:style>
  <w:style w:type="character" w:customStyle="1" w:styleId="BodyText3Char">
    <w:name w:val="Body Text 3 Char"/>
    <w:basedOn w:val="DefaultParagraphFont"/>
    <w:link w:val="BodyText3"/>
    <w:locked/>
    <w:rsid w:val="003F1365"/>
    <w:rPr>
      <w:rFonts w:ascii="Times New Roman" w:hAnsi="Times New Roman" w:cs="Times New Roman"/>
      <w:b/>
      <w:bCs/>
      <w:sz w:val="24"/>
      <w:szCs w:val="24"/>
      <w:rtl w:val="0"/>
      <w:cs w:val="0"/>
      <w:lang w:val="x-none" w:eastAsia="x-none"/>
    </w:rPr>
  </w:style>
  <w:style w:type="paragraph" w:customStyle="1" w:styleId="Zkladntext21">
    <w:name w:val="Základný text 21"/>
    <w:basedOn w:val="Normal"/>
    <w:rsid w:val="003F1365"/>
    <w:pPr>
      <w:widowControl w:val="0"/>
      <w:spacing w:before="120" w:after="120" w:line="240" w:lineRule="auto"/>
      <w:ind w:left="426"/>
      <w:jc w:val="both"/>
    </w:pPr>
    <w:rPr>
      <w:rFonts w:ascii="Times New Roman" w:hAnsi="Times New Roman" w:cs="Times New Roman"/>
      <w:sz w:val="24"/>
      <w:szCs w:val="20"/>
      <w:lang w:val="cs-CZ"/>
    </w:rPr>
  </w:style>
  <w:style w:type="paragraph" w:customStyle="1" w:styleId="08Textsprvy">
    <w:name w:val="08. Text správy"/>
    <w:basedOn w:val="Normal"/>
    <w:rsid w:val="003F1365"/>
    <w:pPr>
      <w:spacing w:after="0" w:line="240" w:lineRule="auto"/>
      <w:jc w:val="both"/>
    </w:pPr>
    <w:rPr>
      <w:rFonts w:ascii="Times New Roman" w:hAnsi="Times New Roman" w:cs="Times New Roman"/>
      <w:sz w:val="24"/>
      <w:szCs w:val="20"/>
      <w:lang w:eastAsia="cs-CZ"/>
    </w:rPr>
  </w:style>
  <w:style w:type="table" w:customStyle="1" w:styleId="Mriekatabuky1">
    <w:name w:val="Mriežka tabuľky1"/>
    <w:basedOn w:val="TableNormal"/>
    <w:next w:val="TableGrid"/>
    <w:rsid w:val="003F1365"/>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3F1365"/>
    <w:pPr>
      <w:spacing w:after="160" w:line="240" w:lineRule="exact"/>
      <w:jc w:val="left"/>
    </w:pPr>
    <w:rPr>
      <w:rFonts w:ascii="Tahoma" w:hAnsi="Tahoma" w:cs="Times New Roman"/>
      <w:sz w:val="20"/>
      <w:szCs w:val="20"/>
    </w:rPr>
  </w:style>
  <w:style w:type="paragraph" w:customStyle="1" w:styleId="titulok">
    <w:name w:val="titulok"/>
    <w:basedOn w:val="Normal"/>
    <w:rsid w:val="003F1365"/>
    <w:pPr>
      <w:spacing w:before="100" w:beforeAutospacing="1" w:after="100" w:afterAutospacing="1" w:line="240" w:lineRule="auto"/>
      <w:jc w:val="center"/>
    </w:pPr>
    <w:rPr>
      <w:rFonts w:ascii="Arial" w:hAnsi="Arial" w:cs="Arial"/>
      <w:b/>
      <w:bCs/>
      <w:color w:val="007060"/>
      <w:sz w:val="24"/>
      <w:szCs w:val="24"/>
      <w:lang w:eastAsia="sk-SK"/>
    </w:rPr>
  </w:style>
  <w:style w:type="paragraph" w:customStyle="1" w:styleId="CharCharCharCharCharCharCharCharChar1Char">
    <w:name w:val="Char Char Char Char Char Char Char Char Char1 Char"/>
    <w:basedOn w:val="Normal"/>
    <w:rsid w:val="003F1365"/>
    <w:pPr>
      <w:spacing w:after="160" w:line="240" w:lineRule="exact"/>
      <w:jc w:val="left"/>
    </w:pPr>
    <w:rPr>
      <w:rFonts w:ascii="Tahoma" w:hAnsi="Tahoma" w:cs="Times New Roman"/>
      <w:sz w:val="20"/>
      <w:szCs w:val="20"/>
      <w:lang w:val="en-US"/>
    </w:rPr>
  </w:style>
  <w:style w:type="paragraph" w:customStyle="1" w:styleId="Char1">
    <w:name w:val="Char1"/>
    <w:basedOn w:val="Normal"/>
    <w:rsid w:val="003F1365"/>
    <w:pPr>
      <w:spacing w:after="160" w:line="240" w:lineRule="exact"/>
      <w:jc w:val="left"/>
    </w:pPr>
    <w:rPr>
      <w:rFonts w:ascii="Tahoma" w:hAnsi="Tahoma" w:cs="Tahoma"/>
      <w:sz w:val="20"/>
      <w:szCs w:val="20"/>
      <w:lang w:val="en-US"/>
    </w:rPr>
  </w:style>
  <w:style w:type="paragraph" w:customStyle="1" w:styleId="tlCharCharChar1CharCharCharChar">
    <w:name w:val="Štýl Char Char Char1 Char Char Char Char"/>
    <w:basedOn w:val="Normal"/>
    <w:rsid w:val="003F1365"/>
    <w:pPr>
      <w:spacing w:after="160" w:line="240" w:lineRule="exact"/>
      <w:jc w:val="left"/>
    </w:pPr>
    <w:rPr>
      <w:rFonts w:ascii="Tahoma" w:hAnsi="Tahoma" w:cs="Tahoma"/>
      <w:sz w:val="20"/>
      <w:szCs w:val="20"/>
      <w:lang w:val="en-US"/>
    </w:rPr>
  </w:style>
  <w:style w:type="paragraph" w:customStyle="1" w:styleId="AUTunVycentrovan">
    <w:name w:val="AU Tučné Vycentrované"/>
    <w:basedOn w:val="Normal"/>
    <w:rsid w:val="003F1365"/>
    <w:pPr>
      <w:spacing w:after="0" w:line="240" w:lineRule="auto"/>
      <w:jc w:val="center"/>
    </w:pPr>
    <w:rPr>
      <w:rFonts w:ascii="Times New Roman" w:hAnsi="Times New Roman" w:cs="Times New Roman"/>
      <w:b/>
      <w:bCs/>
      <w:sz w:val="24"/>
      <w:szCs w:val="20"/>
      <w:lang w:eastAsia="cs-CZ"/>
    </w:rPr>
  </w:style>
  <w:style w:type="paragraph" w:customStyle="1" w:styleId="AUODRAKA">
    <w:name w:val="AU ODRAŽKA"/>
    <w:basedOn w:val="Normal"/>
    <w:rsid w:val="003F1365"/>
    <w:pPr>
      <w:numPr>
        <w:numId w:val="6"/>
      </w:numPr>
      <w:tabs>
        <w:tab w:val="num" w:pos="284"/>
      </w:tabs>
      <w:spacing w:before="120" w:after="0" w:line="240" w:lineRule="auto"/>
      <w:ind w:left="284" w:hanging="284"/>
      <w:jc w:val="both"/>
    </w:pPr>
    <w:rPr>
      <w:rFonts w:ascii="Times New Roman" w:hAnsi="Times New Roman" w:cs="Times New Roman"/>
      <w:sz w:val="24"/>
      <w:szCs w:val="20"/>
      <w:lang w:eastAsia="cs-CZ"/>
    </w:rPr>
  </w:style>
  <w:style w:type="paragraph" w:customStyle="1" w:styleId="CharCharCharCharCharChar1">
    <w:name w:val="Char Char Char Char Char Char1"/>
    <w:basedOn w:val="Normal"/>
    <w:rsid w:val="003F1365"/>
    <w:pPr>
      <w:spacing w:after="160" w:line="240" w:lineRule="exact"/>
      <w:jc w:val="left"/>
    </w:pPr>
    <w:rPr>
      <w:rFonts w:ascii="Tahoma" w:hAnsi="Tahoma" w:cs="Tahoma"/>
      <w:sz w:val="20"/>
      <w:szCs w:val="20"/>
      <w:lang w:val="en-US"/>
    </w:rPr>
  </w:style>
  <w:style w:type="paragraph" w:customStyle="1" w:styleId="Zarkazkladnhotextu21">
    <w:name w:val="Zarážka základného textu 21"/>
    <w:basedOn w:val="Normal"/>
    <w:rsid w:val="003F1365"/>
    <w:pPr>
      <w:overflowPunct w:val="0"/>
      <w:autoSpaceDE w:val="0"/>
      <w:autoSpaceDN w:val="0"/>
      <w:adjustRightInd w:val="0"/>
      <w:spacing w:before="120" w:after="0" w:line="240" w:lineRule="auto"/>
      <w:ind w:left="284" w:hanging="284"/>
      <w:jc w:val="both"/>
      <w:textAlignment w:val="baseline"/>
    </w:pPr>
    <w:rPr>
      <w:rFonts w:cs="Times New Roman"/>
      <w:sz w:val="24"/>
      <w:szCs w:val="20"/>
      <w:lang w:eastAsia="cs-CZ"/>
    </w:rPr>
  </w:style>
  <w:style w:type="paragraph" w:customStyle="1" w:styleId="Char">
    <w:name w:val="Char"/>
    <w:basedOn w:val="Normal"/>
    <w:rsid w:val="003F1365"/>
    <w:pPr>
      <w:spacing w:after="160" w:line="240" w:lineRule="exact"/>
      <w:jc w:val="left"/>
    </w:pPr>
    <w:rPr>
      <w:rFonts w:ascii="Tahoma" w:hAnsi="Tahoma" w:cs="Tahoma"/>
      <w:sz w:val="20"/>
      <w:szCs w:val="20"/>
      <w:lang w:val="en-US"/>
    </w:rPr>
  </w:style>
  <w:style w:type="paragraph" w:styleId="ListBullet2">
    <w:name w:val="List Bullet 2"/>
    <w:basedOn w:val="Normal"/>
    <w:autoRedefine/>
    <w:rsid w:val="003F1365"/>
    <w:pPr>
      <w:numPr>
        <w:numId w:val="7"/>
      </w:numPr>
      <w:tabs>
        <w:tab w:val="num" w:pos="643"/>
      </w:tabs>
      <w:spacing w:after="0" w:line="240" w:lineRule="auto"/>
      <w:ind w:left="643" w:hanging="360"/>
      <w:jc w:val="left"/>
    </w:pPr>
    <w:rPr>
      <w:rFonts w:ascii="Courier" w:hAnsi="Courier" w:cs="Courier"/>
      <w:sz w:val="24"/>
      <w:szCs w:val="24"/>
      <w:lang w:eastAsia="cs-CZ"/>
    </w:rPr>
  </w:style>
  <w:style w:type="paragraph" w:customStyle="1" w:styleId="CharCharChar2CharCharCharCharChar">
    <w:name w:val="Char Char Char2 Char Char Char Char Char"/>
    <w:basedOn w:val="Normal"/>
    <w:rsid w:val="003F1365"/>
    <w:pPr>
      <w:spacing w:after="160" w:line="240" w:lineRule="exact"/>
      <w:jc w:val="left"/>
    </w:pPr>
    <w:rPr>
      <w:rFonts w:ascii="Tahoma" w:hAnsi="Tahoma" w:cs="Times New Roman"/>
      <w:sz w:val="20"/>
      <w:szCs w:val="20"/>
      <w:lang w:val="en-US"/>
    </w:rPr>
  </w:style>
  <w:style w:type="table" w:customStyle="1" w:styleId="Normlnatabuka1">
    <w:name w:val="Normálna tabuľka1"/>
    <w:next w:val="TableNormal"/>
    <w:semiHidden/>
    <w:unhideWhenUsed/>
    <w:qFormat/>
    <w:rsid w:val="003F1365"/>
    <w:pPr>
      <w:framePr w:wrap="auto"/>
      <w:widowControl/>
      <w:autoSpaceDE/>
      <w:autoSpaceDN/>
      <w:adjustRightInd/>
      <w:ind w:left="0" w:right="0"/>
      <w:jc w:val="left"/>
      <w:textAlignment w:val="auto"/>
    </w:pPr>
    <w:rPr>
      <w:rFonts w:ascii="Dutch801 SWC" w:hAnsi="Dutch801 SWC" w:cs="Times New Roman"/>
      <w:sz w:val="20"/>
      <w:szCs w:val="20"/>
      <w:rtl w:val="0"/>
      <w:cs w:val="0"/>
      <w:lang w:val="sk-SK" w:eastAsia="sk-SK" w:bidi="ar-SA"/>
    </w:rPr>
    <w:tblPr>
      <w:tblInd w:w="0" w:type="dxa"/>
      <w:tblCellMar>
        <w:top w:w="0" w:type="dxa"/>
        <w:left w:w="108" w:type="dxa"/>
        <w:bottom w:w="0" w:type="dxa"/>
        <w:right w:w="108" w:type="dxa"/>
      </w:tblCellMar>
    </w:tblPr>
  </w:style>
  <w:style w:type="paragraph" w:customStyle="1" w:styleId="CharChar0">
    <w:name w:val="Char Char_0"/>
    <w:basedOn w:val="Normal"/>
    <w:rsid w:val="003F1365"/>
    <w:pPr>
      <w:spacing w:after="160" w:line="240" w:lineRule="exact"/>
      <w:jc w:val="left"/>
    </w:pPr>
    <w:rPr>
      <w:rFonts w:ascii="Tahoma" w:hAnsi="Tahoma" w:cs="Tahoma"/>
      <w:sz w:val="20"/>
      <w:szCs w:val="20"/>
      <w:lang w:val="en-US"/>
    </w:rPr>
  </w:style>
  <w:style w:type="character" w:customStyle="1" w:styleId="ZkladntextodsazenChar">
    <w:name w:val="Základní text odsazený Char"/>
    <w:rsid w:val="003F1365"/>
    <w:rPr>
      <w:rFonts w:ascii="AT* Times New Roman" w:hAnsi="AT* Times New Roman" w:cs="AT* Times New Roman"/>
      <w:noProof/>
      <w:sz w:val="24"/>
      <w:lang w:val="sk-SK" w:eastAsia="cs-CZ"/>
    </w:rPr>
  </w:style>
  <w:style w:type="table" w:customStyle="1" w:styleId="Normlnatabuka2">
    <w:name w:val="Normálna tabuľka2"/>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3">
    <w:name w:val="Normálna tabuľka3"/>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4">
    <w:name w:val="Normálna tabuľka4"/>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5">
    <w:name w:val="Normálna tabuľka5"/>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6">
    <w:name w:val="Normálna tabuľka6"/>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7">
    <w:name w:val="Normálna tabuľka7"/>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8">
    <w:name w:val="Normálna tabuľka8"/>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9">
    <w:name w:val="Normálna tabuľka9"/>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0">
    <w:name w:val="Normálna tabuľka10"/>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1">
    <w:name w:val="Normálna tabuľka11"/>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2">
    <w:name w:val="Normálna tabuľka12"/>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3">
    <w:name w:val="Normálna tabuľka13"/>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4">
    <w:name w:val="Normálna tabuľka14"/>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paragraph" w:customStyle="1" w:styleId="CharCharCharChar1CharChar">
    <w:name w:val="Char Char Char Char1 Char Char"/>
    <w:basedOn w:val="Normal"/>
    <w:rsid w:val="003F1365"/>
    <w:pPr>
      <w:spacing w:after="160" w:line="240" w:lineRule="exact"/>
      <w:jc w:val="left"/>
    </w:pPr>
    <w:rPr>
      <w:rFonts w:ascii="Tahoma" w:hAnsi="Tahoma" w:cs="Tahoma"/>
      <w:sz w:val="20"/>
      <w:szCs w:val="20"/>
      <w:lang w:val="en-US"/>
    </w:rPr>
  </w:style>
  <w:style w:type="table" w:customStyle="1" w:styleId="Normlnatabuka15">
    <w:name w:val="Normálna tabuľka15"/>
    <w:next w:val="TableNormal"/>
    <w:semiHidden/>
    <w:unhideWhenUsed/>
    <w:qFormat/>
    <w:rsid w:val="003F1365"/>
    <w:pPr>
      <w:framePr w:wrap="auto"/>
      <w:widowControl/>
      <w:autoSpaceDE/>
      <w:autoSpaceDN/>
      <w:adjustRightInd/>
      <w:ind w:left="0" w:right="0"/>
      <w:jc w:val="left"/>
      <w:textAlignment w:val="auto"/>
    </w:pPr>
    <w:rPr>
      <w:rFonts w:ascii="Calibri" w:eastAsia="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paragraph" w:styleId="TOC1">
    <w:name w:val="toc 1"/>
    <w:basedOn w:val="Normal"/>
    <w:next w:val="Normal"/>
    <w:autoRedefine/>
    <w:uiPriority w:val="39"/>
    <w:unhideWhenUsed/>
    <w:rsid w:val="00802EEB"/>
    <w:pPr>
      <w:tabs>
        <w:tab w:val="left" w:pos="426"/>
        <w:tab w:val="right" w:leader="dot" w:pos="9062"/>
      </w:tabs>
      <w:spacing w:after="120" w:line="240" w:lineRule="auto"/>
      <w:jc w:val="left"/>
    </w:pPr>
    <w:rPr>
      <w:rFonts w:ascii="Courier" w:hAnsi="Courier" w:cs="Courier"/>
      <w:sz w:val="24"/>
      <w:szCs w:val="24"/>
      <w:lang w:eastAsia="cs-CZ"/>
    </w:rPr>
  </w:style>
  <w:style w:type="paragraph" w:styleId="PlainText">
    <w:name w:val="Plain Text"/>
    <w:basedOn w:val="Normal"/>
    <w:link w:val="PlainTextChar"/>
    <w:uiPriority w:val="99"/>
    <w:unhideWhenUsed/>
    <w:rsid w:val="003F1365"/>
    <w:pPr>
      <w:spacing w:after="0" w:line="240" w:lineRule="auto"/>
      <w:jc w:val="left"/>
    </w:pPr>
    <w:rPr>
      <w:rFonts w:eastAsia="Calibri" w:cs="Times New Roman"/>
      <w:szCs w:val="21"/>
    </w:rPr>
  </w:style>
  <w:style w:type="character" w:customStyle="1" w:styleId="PlainTextChar">
    <w:name w:val="Plain Text Char"/>
    <w:basedOn w:val="DefaultParagraphFont"/>
    <w:link w:val="PlainText"/>
    <w:uiPriority w:val="99"/>
    <w:locked/>
    <w:rsid w:val="003F1365"/>
    <w:rPr>
      <w:rFonts w:eastAsia="Calibri" w:cs="Times New Roman"/>
      <w:sz w:val="21"/>
      <w:szCs w:val="21"/>
      <w:rtl w:val="0"/>
      <w:cs w:val="0"/>
      <w:lang w:val="x-none" w:eastAsia="x-none"/>
    </w:rPr>
  </w:style>
  <w:style w:type="paragraph" w:customStyle="1" w:styleId="Default">
    <w:name w:val="Default"/>
    <w:rsid w:val="003F1365"/>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sk-SK" w:bidi="ar-SA"/>
    </w:rPr>
  </w:style>
  <w:style w:type="character" w:styleId="FollowedHyperlink">
    <w:name w:val="FollowedHyperlink"/>
    <w:uiPriority w:val="99"/>
    <w:semiHidden/>
    <w:unhideWhenUsed/>
    <w:rsid w:val="003F1365"/>
    <w:rPr>
      <w:color w:val="800080"/>
      <w:u w:val="single"/>
    </w:rPr>
  </w:style>
  <w:style w:type="paragraph" w:customStyle="1" w:styleId="xl687">
    <w:name w:val="xl687"/>
    <w:basedOn w:val="Normal"/>
    <w:rsid w:val="003F1365"/>
    <w:pP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688">
    <w:name w:val="xl688"/>
    <w:basedOn w:val="Normal"/>
    <w:rsid w:val="003F1365"/>
    <w:pP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689">
    <w:name w:val="xl689"/>
    <w:basedOn w:val="Normal"/>
    <w:rsid w:val="003F1365"/>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0">
    <w:name w:val="xl690"/>
    <w:basedOn w:val="Normal"/>
    <w:rsid w:val="003F1365"/>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691">
    <w:name w:val="xl691"/>
    <w:basedOn w:val="Normal"/>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hAnsi="Arial" w:cs="Arial"/>
      <w:sz w:val="20"/>
      <w:szCs w:val="20"/>
      <w:lang w:eastAsia="sk-SK"/>
    </w:rPr>
  </w:style>
  <w:style w:type="paragraph" w:customStyle="1" w:styleId="xl692">
    <w:name w:val="xl692"/>
    <w:basedOn w:val="Normal"/>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693">
    <w:name w:val="xl693"/>
    <w:basedOn w:val="Normal"/>
    <w:rsid w:val="003F1365"/>
    <w:pP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694">
    <w:name w:val="xl694"/>
    <w:basedOn w:val="Normal"/>
    <w:rsid w:val="003F1365"/>
    <w:pPr>
      <w:pBdr>
        <w:bottom w:val="single" w:sz="4" w:space="0" w:color="000000"/>
      </w:pBd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695">
    <w:name w:val="xl695"/>
    <w:basedOn w:val="Normal"/>
    <w:rsid w:val="003F1365"/>
    <w:pP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696">
    <w:name w:val="xl696"/>
    <w:basedOn w:val="Normal"/>
    <w:rsid w:val="003F1365"/>
    <w:pP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697">
    <w:name w:val="xl697"/>
    <w:basedOn w:val="Normal"/>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698">
    <w:name w:val="xl698"/>
    <w:basedOn w:val="Normal"/>
    <w:rsid w:val="003F1365"/>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9">
    <w:name w:val="xl699"/>
    <w:basedOn w:val="Normal"/>
    <w:rsid w:val="003F1365"/>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700">
    <w:name w:val="xl700"/>
    <w:basedOn w:val="Normal"/>
    <w:rsid w:val="003F1365"/>
    <w:pP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701">
    <w:name w:val="xl701"/>
    <w:basedOn w:val="Normal"/>
    <w:rsid w:val="003F1365"/>
    <w:pPr>
      <w:pBdr>
        <w:bottom w:val="single" w:sz="4" w:space="0" w:color="000000"/>
      </w:pBdr>
      <w:shd w:val="clear" w:color="000000" w:fill="FFFFFF"/>
      <w:spacing w:before="100" w:beforeAutospacing="1" w:after="100" w:afterAutospacing="1" w:line="240" w:lineRule="auto"/>
      <w:jc w:val="left"/>
      <w:textAlignment w:val="center"/>
    </w:pPr>
    <w:rPr>
      <w:rFonts w:ascii="Arial" w:hAnsi="Arial" w:cs="Arial"/>
      <w:sz w:val="20"/>
      <w:szCs w:val="20"/>
      <w:lang w:eastAsia="sk-SK"/>
    </w:rPr>
  </w:style>
  <w:style w:type="paragraph" w:customStyle="1" w:styleId="xl702">
    <w:name w:val="xl702"/>
    <w:basedOn w:val="Normal"/>
    <w:rsid w:val="003F1365"/>
    <w:pPr>
      <w:pBdr>
        <w:bottom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03">
    <w:name w:val="xl703"/>
    <w:basedOn w:val="Normal"/>
    <w:rsid w:val="003F1365"/>
    <w:pPr>
      <w:pBdr>
        <w:left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04">
    <w:name w:val="xl704"/>
    <w:basedOn w:val="Normal"/>
    <w:rsid w:val="003F1365"/>
    <w:pP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05">
    <w:name w:val="xl705"/>
    <w:basedOn w:val="Normal"/>
    <w:rsid w:val="003F1365"/>
    <w:pPr>
      <w:pBdr>
        <w:bottom w:val="single" w:sz="4" w:space="0" w:color="000000"/>
      </w:pBdr>
      <w:shd w:val="clear" w:color="000000" w:fill="FFFFFF"/>
      <w:spacing w:before="100" w:beforeAutospacing="1" w:after="100" w:afterAutospacing="1" w:line="240" w:lineRule="auto"/>
      <w:jc w:val="left"/>
      <w:textAlignment w:val="center"/>
    </w:pPr>
    <w:rPr>
      <w:rFonts w:ascii="Arial" w:hAnsi="Arial" w:cs="Arial"/>
      <w:sz w:val="20"/>
      <w:szCs w:val="20"/>
      <w:lang w:eastAsia="sk-SK"/>
    </w:rPr>
  </w:style>
  <w:style w:type="paragraph" w:customStyle="1" w:styleId="xl706">
    <w:name w:val="xl706"/>
    <w:basedOn w:val="Normal"/>
    <w:rsid w:val="003F136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07">
    <w:name w:val="xl707"/>
    <w:basedOn w:val="Normal"/>
    <w:rsid w:val="003F1365"/>
    <w:pPr>
      <w:pBdr>
        <w:top w:val="single" w:sz="4" w:space="0" w:color="000000"/>
        <w:left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08">
    <w:name w:val="xl708"/>
    <w:basedOn w:val="Normal"/>
    <w:rsid w:val="003F1365"/>
    <w:pPr>
      <w:pBdr>
        <w:top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09">
    <w:name w:val="xl709"/>
    <w:basedOn w:val="Normal"/>
    <w:rsid w:val="003F1365"/>
    <w:pPr>
      <w:pBdr>
        <w:top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10">
    <w:name w:val="xl710"/>
    <w:basedOn w:val="Normal"/>
    <w:rsid w:val="003F1365"/>
    <w:pPr>
      <w:pBdr>
        <w:left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11">
    <w:name w:val="xl711"/>
    <w:basedOn w:val="Normal"/>
    <w:rsid w:val="003F1365"/>
    <w:pP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12">
    <w:name w:val="xl712"/>
    <w:basedOn w:val="Normal"/>
    <w:rsid w:val="003F1365"/>
    <w:pPr>
      <w:pBdr>
        <w:right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13">
    <w:name w:val="xl713"/>
    <w:basedOn w:val="Normal"/>
    <w:rsid w:val="003F1365"/>
    <w:pPr>
      <w:spacing w:before="100" w:beforeAutospacing="1" w:after="100" w:afterAutospacing="1" w:line="240" w:lineRule="auto"/>
      <w:jc w:val="left"/>
      <w:textAlignment w:val="top"/>
    </w:pPr>
    <w:rPr>
      <w:rFonts w:ascii="Arial" w:hAnsi="Arial" w:cs="Arial"/>
      <w:sz w:val="20"/>
      <w:szCs w:val="20"/>
      <w:lang w:eastAsia="sk-SK"/>
    </w:rPr>
  </w:style>
  <w:style w:type="paragraph" w:customStyle="1" w:styleId="xl714">
    <w:name w:val="xl714"/>
    <w:basedOn w:val="Normal"/>
    <w:rsid w:val="003F1365"/>
    <w:pPr>
      <w:pBdr>
        <w:right w:val="single" w:sz="4" w:space="0" w:color="000000"/>
      </w:pBdr>
      <w:spacing w:before="100" w:beforeAutospacing="1" w:after="100" w:afterAutospacing="1" w:line="240" w:lineRule="auto"/>
      <w:jc w:val="left"/>
    </w:pPr>
    <w:rPr>
      <w:rFonts w:ascii="Arial" w:hAnsi="Arial" w:cs="Arial"/>
      <w:sz w:val="20"/>
      <w:szCs w:val="20"/>
      <w:lang w:eastAsia="sk-SK"/>
    </w:rPr>
  </w:style>
  <w:style w:type="paragraph" w:customStyle="1" w:styleId="xl715">
    <w:name w:val="xl715"/>
    <w:basedOn w:val="Normal"/>
    <w:rsid w:val="003F1365"/>
    <w:pPr>
      <w:pBdr>
        <w:lef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16">
    <w:name w:val="xl716"/>
    <w:basedOn w:val="Normal"/>
    <w:rsid w:val="003F1365"/>
    <w:pPr>
      <w:pBdr>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17">
    <w:name w:val="xl717"/>
    <w:basedOn w:val="Normal"/>
    <w:rsid w:val="003F1365"/>
    <w:pPr>
      <w:pBdr>
        <w:left w:val="single" w:sz="4" w:space="0" w:color="000000"/>
        <w:bottom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18">
    <w:name w:val="xl718"/>
    <w:basedOn w:val="Normal"/>
    <w:rsid w:val="003F1365"/>
    <w:pPr>
      <w:pBdr>
        <w:bottom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19">
    <w:name w:val="xl719"/>
    <w:basedOn w:val="Normal"/>
    <w:rsid w:val="003F1365"/>
    <w:pPr>
      <w:pBdr>
        <w:bottom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20">
    <w:name w:val="xl720"/>
    <w:basedOn w:val="Normal"/>
    <w:rsid w:val="003F1365"/>
    <w:pPr>
      <w:pBdr>
        <w:bottom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21">
    <w:name w:val="xl721"/>
    <w:basedOn w:val="Normal"/>
    <w:rsid w:val="003F1365"/>
    <w:pPr>
      <w:pBdr>
        <w:left w:val="single" w:sz="4" w:space="0" w:color="000000"/>
        <w:bottom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styleId="EndnoteText">
    <w:name w:val="endnote text"/>
    <w:basedOn w:val="Normal"/>
    <w:link w:val="EndnoteTextChar"/>
    <w:uiPriority w:val="99"/>
    <w:semiHidden/>
    <w:unhideWhenUsed/>
    <w:rsid w:val="00096FC8"/>
    <w:pPr>
      <w:spacing w:after="0" w:line="240" w:lineRule="auto"/>
      <w:jc w:val="left"/>
    </w:pPr>
    <w:rPr>
      <w:sz w:val="20"/>
      <w:szCs w:val="20"/>
    </w:rPr>
  </w:style>
  <w:style w:type="character" w:customStyle="1" w:styleId="EndnoteTextChar">
    <w:name w:val="Endnote Text Char"/>
    <w:basedOn w:val="DefaultParagraphFont"/>
    <w:link w:val="EndnoteText"/>
    <w:uiPriority w:val="99"/>
    <w:semiHidden/>
    <w:locked/>
    <w:rsid w:val="00096FC8"/>
    <w:rPr>
      <w:rFonts w:cs="Times New Roman"/>
      <w:sz w:val="20"/>
      <w:szCs w:val="20"/>
      <w:rtl w:val="0"/>
      <w:cs w:val="0"/>
    </w:rPr>
  </w:style>
  <w:style w:type="character" w:styleId="EndnoteReference">
    <w:name w:val="endnote reference"/>
    <w:basedOn w:val="DefaultParagraphFont"/>
    <w:uiPriority w:val="99"/>
    <w:semiHidden/>
    <w:unhideWhenUsed/>
    <w:rsid w:val="00096FC8"/>
    <w:rPr>
      <w:rFonts w:cs="Times New Roman"/>
      <w:vertAlign w:val="superscript"/>
      <w:rtl w:val="0"/>
      <w:cs w:val="0"/>
    </w:rPr>
  </w:style>
  <w:style w:type="paragraph" w:styleId="TOC2">
    <w:name w:val="toc 2"/>
    <w:basedOn w:val="Normal"/>
    <w:next w:val="Normal"/>
    <w:autoRedefine/>
    <w:uiPriority w:val="39"/>
    <w:unhideWhenUsed/>
    <w:rsid w:val="00FC793E"/>
    <w:pPr>
      <w:tabs>
        <w:tab w:val="left" w:pos="709"/>
        <w:tab w:val="right" w:leader="dot" w:pos="9062"/>
      </w:tabs>
      <w:spacing w:after="120" w:line="240" w:lineRule="auto"/>
      <w:ind w:left="709" w:hanging="488"/>
      <w:jc w:val="left"/>
    </w:pPr>
  </w:style>
  <w:style w:type="paragraph" w:styleId="TOC3">
    <w:name w:val="toc 3"/>
    <w:basedOn w:val="Normal"/>
    <w:next w:val="Normal"/>
    <w:autoRedefine/>
    <w:uiPriority w:val="39"/>
    <w:unhideWhenUsed/>
    <w:rsid w:val="00802EEB"/>
    <w:pPr>
      <w:tabs>
        <w:tab w:val="left" w:pos="1134"/>
        <w:tab w:val="right" w:leader="dot" w:pos="9062"/>
      </w:tabs>
      <w:spacing w:after="100" w:line="240" w:lineRule="auto"/>
      <w:ind w:left="440"/>
      <w:jc w:val="left"/>
    </w:pPr>
  </w:style>
  <w:style w:type="paragraph" w:styleId="TOCHeading">
    <w:name w:val="TOC Heading"/>
    <w:basedOn w:val="Heading1"/>
    <w:next w:val="Normal"/>
    <w:uiPriority w:val="39"/>
    <w:unhideWhenUsed/>
    <w:qFormat/>
    <w:rsid w:val="00B43103"/>
    <w:pPr>
      <w:numPr>
        <w:numId w:val="0"/>
      </w:numPr>
      <w:spacing w:before="480" w:after="0"/>
      <w:ind w:firstLine="0"/>
      <w:jc w:val="left"/>
      <w:outlineLvl w:val="9"/>
    </w:pPr>
    <w:rPr>
      <w:rFonts w:asciiTheme="majorHAnsi" w:hAnsiTheme="majorHAnsi" w:cstheme="majorBidi"/>
      <w:color w:val="365F91" w:themeColor="accent1" w:themeShade="BF"/>
      <w:sz w:val="28"/>
      <w:szCs w:val="28"/>
      <w:lang w:eastAsia="sk-SK"/>
    </w:rPr>
  </w:style>
  <w:style w:type="paragraph" w:customStyle="1" w:styleId="Pa14">
    <w:name w:val="Pa14"/>
    <w:basedOn w:val="Default"/>
    <w:next w:val="Default"/>
    <w:uiPriority w:val="99"/>
    <w:rsid w:val="00CE1C18"/>
    <w:pPr>
      <w:spacing w:line="181" w:lineRule="atLeast"/>
      <w:jc w:val="left"/>
    </w:pPr>
    <w:rPr>
      <w:rFonts w:ascii="Franklin Got Itc TCE" w:eastAsia="Times New Roman" w:hAnsi="Franklin Got Itc TCE" w:cstheme="minorBidi"/>
      <w:color w:val="auto"/>
      <w:lang w:eastAsia="en-U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image" Target="media/image3.png" /><Relationship Id="rId12" Type="http://schemas.openxmlformats.org/officeDocument/2006/relationships/hyperlink" Target="http://www.registeruz.sk" TargetMode="Externa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image" Target="media/image2.jpeg"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www.finance.gov.sk"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228C5-9C0A-4ABA-A2B9-597C6F4F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47</Pages>
  <Words>39752</Words>
  <Characters>226591</Characters>
  <Application>Microsoft Office Word</Application>
  <DocSecurity>0</DocSecurity>
  <Lines>0</Lines>
  <Paragraphs>0</Paragraphs>
  <ScaleCrop>false</ScaleCrop>
  <Company>MF SR</Company>
  <LinksUpToDate>false</LinksUpToDate>
  <CharactersWithSpaces>265812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zkrajcir</dc:creator>
  <cp:lastModifiedBy>Gašparíková, Jarmila</cp:lastModifiedBy>
  <cp:revision>2</cp:revision>
  <cp:lastPrinted>2015-10-26T13:56:00Z</cp:lastPrinted>
  <dcterms:created xsi:type="dcterms:W3CDTF">2015-11-03T10:03:00Z</dcterms:created>
  <dcterms:modified xsi:type="dcterms:W3CDTF">2015-11-03T10:03:00Z</dcterms:modified>
</cp:coreProperties>
</file>