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AD6B73">
        <w:rPr>
          <w:sz w:val="22"/>
          <w:szCs w:val="22"/>
        </w:rPr>
        <w:t>2050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0C251F">
        <w:rPr>
          <w:sz w:val="22"/>
          <w:szCs w:val="22"/>
        </w:rPr>
        <w:t>5</w:t>
      </w:r>
    </w:p>
    <w:p w:rsidR="00AD6B73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AD6B73">
        <w:t>1846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AD6B73">
        <w:rPr>
          <w:rFonts w:ascii="Arial" w:hAnsi="Arial" w:cs="Arial"/>
          <w:sz w:val="22"/>
          <w:szCs w:val="22"/>
        </w:rPr>
        <w:t> 26. októbra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51F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AD6B73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AD6B73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="0051787B">
        <w:rPr>
          <w:rFonts w:cs="Arial"/>
          <w:sz w:val="22"/>
          <w:szCs w:val="22"/>
          <w:lang w:val="sk-SK"/>
        </w:rPr>
        <w:t>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AD6B73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 xml:space="preserve">mení a dopĺňa </w:t>
      </w:r>
      <w:r w:rsidR="00AD6B73">
        <w:rPr>
          <w:rFonts w:cs="Arial"/>
          <w:szCs w:val="22"/>
        </w:rPr>
        <w:t>zákon Národnej rady Slovenskej republiky č. 350/1996 Z. z. o rokovacom poriadku Národnej rady Slovenskej republiky v znení neskorších predpisov</w:t>
      </w:r>
      <w:r w:rsidR="00484701">
        <w:rPr>
          <w:rFonts w:cs="Arial"/>
          <w:szCs w:val="22"/>
        </w:rPr>
        <w:t xml:space="preserve"> </w:t>
      </w:r>
      <w:r w:rsidR="00AD6B73">
        <w:rPr>
          <w:rFonts w:cs="Arial"/>
          <w:szCs w:val="22"/>
        </w:rPr>
        <w:br/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AD6B73">
        <w:rPr>
          <w:rFonts w:cs="Arial"/>
          <w:szCs w:val="22"/>
        </w:rPr>
        <w:t>1841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AD6B73">
        <w:rPr>
          <w:rFonts w:cs="Arial"/>
          <w:szCs w:val="22"/>
        </w:rPr>
        <w:t>23. októbra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51F">
        <w:rPr>
          <w:rFonts w:cs="Arial"/>
          <w:szCs w:val="22"/>
        </w:rPr>
        <w:t>5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66789" w:rsidRPr="00E66789" w:rsidP="00485E90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485E90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AD6B73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485E90">
        <w:rPr>
          <w:rFonts w:ascii="Arial" w:hAnsi="Arial" w:cs="Arial"/>
          <w:sz w:val="22"/>
        </w:rPr>
        <w:t xml:space="preserve">b) lehotu na prerokovanie návrhu zákona v druhom čítaní v gestorskom výbore </w:t>
      </w:r>
      <w:r w:rsidR="00AD6B73">
        <w:rPr>
          <w:rFonts w:ascii="Arial" w:hAnsi="Arial" w:cs="Arial"/>
          <w:sz w:val="22"/>
        </w:rPr>
        <w:t xml:space="preserve"> </w:t>
      </w:r>
      <w:r w:rsidR="00AD6B73">
        <w:rPr>
          <w:rFonts w:ascii="Arial" w:hAnsi="Arial" w:cs="Arial"/>
          <w:b/>
          <w:bCs/>
          <w:sz w:val="22"/>
          <w:u w:val="single"/>
        </w:rPr>
        <w:t>do 22. januára 2016</w:t>
      </w:r>
      <w:r w:rsidR="00AD6B73">
        <w:rPr>
          <w:rFonts w:ascii="Arial" w:hAnsi="Arial" w:cs="Arial"/>
          <w:bCs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485E90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485E90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</w:t>
      </w:r>
      <w:r w:rsidR="000C251F">
        <w:rPr>
          <w:rFonts w:ascii="Arial" w:hAnsi="Arial" w:cs="Arial"/>
          <w:sz w:val="22"/>
          <w:szCs w:val="22"/>
        </w:rPr>
        <w:t>eter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 xml:space="preserve">P </w:t>
      </w:r>
      <w:r w:rsidR="000C251F">
        <w:rPr>
          <w:rFonts w:ascii="Arial" w:hAnsi="Arial" w:cs="Arial"/>
          <w:sz w:val="22"/>
          <w:szCs w:val="22"/>
        </w:rPr>
        <w:t>e l l e g r i n i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85E90"/>
    <w:rsid w:val="00492F29"/>
    <w:rsid w:val="004E3D05"/>
    <w:rsid w:val="004F21D2"/>
    <w:rsid w:val="0051787B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AD443A"/>
    <w:rsid w:val="00AD6B73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148</Words>
  <Characters>849</Characters>
  <Application>Microsoft Office Word</Application>
  <DocSecurity>0</DocSecurity>
  <Lines>0</Lines>
  <Paragraphs>0</Paragraphs>
  <ScaleCrop>false</ScaleCrop>
  <Company>Kancelária NR SR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2015-10-27T13:25:00Z</cp:lastPrinted>
  <dcterms:created xsi:type="dcterms:W3CDTF">2015-10-30T17:48:00Z</dcterms:created>
  <dcterms:modified xsi:type="dcterms:W3CDTF">2015-10-30T17:48:00Z</dcterms:modified>
</cp:coreProperties>
</file>