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3475" w:rsidP="003B3475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Doložka vybraných vplyvov</w:t>
      </w:r>
    </w:p>
    <w:p w:rsidR="003B3475" w:rsidP="003B3475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3B3475" w:rsidP="003B347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3B3475" w:rsidP="003B347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A.1. Názov materiálu:</w:t>
      </w:r>
    </w:p>
    <w:p w:rsidR="00E2639E" w:rsidRPr="00950605" w:rsidP="00E2639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1D6B58"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</w:rPr>
        <w:t>N</w:t>
      </w:r>
      <w:r w:rsidRPr="00950605">
        <w:rPr>
          <w:rFonts w:ascii="Times New Roman" w:hAnsi="Times New Roman"/>
          <w:bCs/>
        </w:rPr>
        <w:t>ávrh na vyslovenie súhlasu s prítomnosťou zahraničných ozbrojených síl na území Slovenskej republiky v súvislosti s ich pôsobením v</w:t>
      </w:r>
      <w:r w:rsidR="000F45C2">
        <w:rPr>
          <w:rFonts w:ascii="Times New Roman" w:hAnsi="Times New Roman"/>
          <w:bCs/>
        </w:rPr>
        <w:t> tíme pre integráciu síl NATO/</w:t>
      </w:r>
      <w:r w:rsidRPr="00950605">
        <w:rPr>
          <w:rFonts w:ascii="Times New Roman" w:hAnsi="Times New Roman"/>
          <w:bCs/>
        </w:rPr>
        <w:t>NATO Force Integration Unit</w:t>
      </w:r>
      <w:r>
        <w:rPr>
          <w:rFonts w:ascii="Times New Roman" w:hAnsi="Times New Roman"/>
          <w:bCs/>
        </w:rPr>
        <w:t>.</w:t>
      </w:r>
      <w:r w:rsidR="00D97C52">
        <w:rPr>
          <w:rFonts w:ascii="Times New Roman" w:hAnsi="Times New Roman"/>
          <w:bCs/>
        </w:rPr>
        <w:t>.</w:t>
      </w:r>
    </w:p>
    <w:p w:rsidR="003B3475" w:rsidRPr="00E200C4" w:rsidP="003B347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200C4">
        <w:rPr>
          <w:rFonts w:ascii="Times New Roman" w:hAnsi="Times New Roman"/>
        </w:rPr>
        <w:t> </w:t>
      </w:r>
    </w:p>
    <w:p w:rsidR="004A3FCA" w:rsidP="004A3FC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="003B3475">
        <w:rPr>
          <w:rFonts w:ascii="Times New Roman" w:hAnsi="Times New Roman"/>
          <w:b/>
          <w:bCs/>
        </w:rPr>
        <w:t xml:space="preserve">Termín začatia a ukončenia PPK: </w:t>
      </w:r>
    </w:p>
    <w:p w:rsidR="003B3475" w:rsidP="003B347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3B3475" w:rsidP="003B347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3B3475" w:rsidP="003B347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9108" w:type="dxa"/>
        <w:tblCellMar>
          <w:left w:w="0" w:type="dxa"/>
          <w:right w:w="0" w:type="dxa"/>
        </w:tblCellMar>
        <w:tblLook w:val="04A0"/>
      </w:tblPr>
      <w:tblGrid>
        <w:gridCol w:w="5328"/>
        <w:gridCol w:w="1260"/>
        <w:gridCol w:w="1080"/>
        <w:gridCol w:w="1440"/>
      </w:tblGrid>
      <w:tr>
        <w:tblPrEx>
          <w:tblW w:w="9108" w:type="dxa"/>
          <w:tblCellMar>
            <w:left w:w="0" w:type="dxa"/>
            <w:right w:w="0" w:type="dxa"/>
          </w:tblCellMar>
          <w:tblLook w:val="04A0"/>
        </w:tblPrEx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  <w:tblLook w:val="04A0"/>
        </w:tblPrEx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E200C4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08" w:type="dxa"/>
          <w:tblCellMar>
            <w:left w:w="0" w:type="dxa"/>
            <w:right w:w="0" w:type="dxa"/>
          </w:tblCellMar>
          <w:tblLook w:val="04A0"/>
        </w:tblPrEx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  <w:tblLook w:val="04A0"/>
        </w:tblPrEx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Sociálne vplyvy </w:t>
            </w:r>
          </w:p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vplyvy  na hospodárenie obyvateľstva,</w:t>
            </w:r>
          </w:p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sociálnu exklúziu,</w:t>
            </w:r>
          </w:p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 rovnosť príležitostí a rodovú rovnosť a vplyvy na zamestnanosť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  <w:tblLook w:val="04A0"/>
        </w:tblPrEx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  <w:tblLook w:val="04A0"/>
        </w:tblPrEx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B3475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3B3475" w:rsidP="003B3475">
      <w:pPr>
        <w:pStyle w:val="NormalWeb"/>
        <w:bidi w:val="0"/>
        <w:spacing w:before="0"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3B3475" w:rsidP="003B3475">
      <w:pPr>
        <w:pStyle w:val="NormalWeb"/>
        <w:bidi w:val="0"/>
        <w:spacing w:before="0"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A.3. Poznámky</w:t>
      </w:r>
    </w:p>
    <w:p w:rsidR="00D97C52" w:rsidRPr="00D97C52" w:rsidP="00D97C52">
      <w:pPr>
        <w:pStyle w:val="ListParagraph"/>
        <w:bidi w:val="0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97C52" w:rsidR="001D6B58">
        <w:rPr>
          <w:rFonts w:ascii="Times New Roman" w:hAnsi="Times New Roman" w:cs="Times New Roman"/>
          <w:color w:val="1F497D"/>
          <w:sz w:val="24"/>
          <w:szCs w:val="24"/>
        </w:rPr>
        <w:t xml:space="preserve">        </w:t>
      </w:r>
      <w:r w:rsidRPr="00D97C52">
        <w:rPr>
          <w:rFonts w:ascii="Times New Roman" w:hAnsi="Times New Roman" w:cs="Times New Roman"/>
          <w:sz w:val="24"/>
          <w:szCs w:val="24"/>
        </w:rPr>
        <w:t>V</w:t>
      </w:r>
      <w:r w:rsidRPr="00D97C52">
        <w:rPr>
          <w:rFonts w:ascii="Times New Roman" w:hAnsi="Times New Roman" w:cs="Times New Roman" w:hint="default"/>
          <w:sz w:val="24"/>
          <w:szCs w:val="24"/>
        </w:rPr>
        <w:t>ý</w:t>
      </w:r>
      <w:r w:rsidRPr="00D97C52">
        <w:rPr>
          <w:rFonts w:ascii="Times New Roman" w:hAnsi="Times New Roman" w:cs="Times New Roman" w:hint="default"/>
          <w:sz w:val="24"/>
          <w:szCs w:val="24"/>
        </w:rPr>
        <w:t>davky spojené</w:t>
      </w:r>
      <w:r w:rsidRPr="00D97C52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D97C52">
        <w:rPr>
          <w:rFonts w:ascii="Times New Roman" w:hAnsi="Times New Roman" w:cs="Times New Roman" w:hint="default"/>
          <w:sz w:val="24"/>
          <w:szCs w:val="24"/>
        </w:rPr>
        <w:t>prijatí</w:t>
      </w:r>
      <w:r w:rsidRPr="00D97C52">
        <w:rPr>
          <w:rFonts w:ascii="Times New Roman" w:hAnsi="Times New Roman" w:cs="Times New Roman" w:hint="default"/>
          <w:sz w:val="24"/>
          <w:szCs w:val="24"/>
        </w:rPr>
        <w:t>m materiá</w:t>
      </w:r>
      <w:r w:rsidRPr="00D97C52">
        <w:rPr>
          <w:rFonts w:ascii="Times New Roman" w:hAnsi="Times New Roman" w:cs="Times New Roman" w:hint="default"/>
          <w:sz w:val="24"/>
          <w:szCs w:val="24"/>
        </w:rPr>
        <w:t>lu  </w:t>
      </w:r>
      <w:r w:rsidRPr="00D97C52">
        <w:rPr>
          <w:rFonts w:ascii="Times New Roman" w:hAnsi="Times New Roman" w:cs="Times New Roman" w:hint="default"/>
          <w:sz w:val="24"/>
          <w:szCs w:val="24"/>
        </w:rPr>
        <w:t>budú</w:t>
      </w:r>
      <w:r w:rsidRPr="00D97C52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D97C52">
        <w:rPr>
          <w:rFonts w:ascii="Times New Roman" w:hAnsi="Times New Roman" w:cs="Times New Roman" w:hint="default"/>
          <w:sz w:val="24"/>
          <w:szCs w:val="24"/>
        </w:rPr>
        <w:t>ené</w:t>
      </w:r>
      <w:r w:rsidRPr="00D97C52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D97C52">
        <w:rPr>
          <w:rFonts w:ascii="Times New Roman" w:hAnsi="Times New Roman" w:cs="Times New Roman" w:hint="default"/>
          <w:sz w:val="24"/>
          <w:szCs w:val="24"/>
        </w:rPr>
        <w:t>rá</w:t>
      </w:r>
      <w:r w:rsidRPr="00D97C52">
        <w:rPr>
          <w:rFonts w:ascii="Times New Roman" w:hAnsi="Times New Roman" w:cs="Times New Roman" w:hint="default"/>
          <w:sz w:val="24"/>
          <w:szCs w:val="24"/>
        </w:rPr>
        <w:t>mci schvá</w:t>
      </w:r>
      <w:r w:rsidRPr="00D97C52">
        <w:rPr>
          <w:rFonts w:ascii="Times New Roman" w:hAnsi="Times New Roman" w:cs="Times New Roman" w:hint="default"/>
          <w:sz w:val="24"/>
          <w:szCs w:val="24"/>
        </w:rPr>
        <w:t>lený</w:t>
      </w:r>
      <w:r w:rsidRPr="00D97C52">
        <w:rPr>
          <w:rFonts w:ascii="Times New Roman" w:hAnsi="Times New Roman" w:cs="Times New Roman" w:hint="default"/>
          <w:sz w:val="24"/>
          <w:szCs w:val="24"/>
        </w:rPr>
        <w:t>ch limitov vý</w:t>
      </w:r>
      <w:r w:rsidRPr="00D97C52">
        <w:rPr>
          <w:rFonts w:ascii="Times New Roman" w:hAnsi="Times New Roman" w:cs="Times New Roman" w:hint="default"/>
          <w:sz w:val="24"/>
          <w:szCs w:val="24"/>
        </w:rPr>
        <w:t>davkov kapitoly MO SR na prí</w:t>
      </w:r>
      <w:r w:rsidRPr="00D97C52">
        <w:rPr>
          <w:rFonts w:ascii="Times New Roman" w:hAnsi="Times New Roman" w:cs="Times New Roman" w:hint="default"/>
          <w:sz w:val="24"/>
          <w:szCs w:val="24"/>
        </w:rPr>
        <w:t>sluš</w:t>
      </w:r>
      <w:r w:rsidRPr="00D97C52">
        <w:rPr>
          <w:rFonts w:ascii="Times New Roman" w:hAnsi="Times New Roman" w:cs="Times New Roman" w:hint="default"/>
          <w:sz w:val="24"/>
          <w:szCs w:val="24"/>
        </w:rPr>
        <w:t>ný</w:t>
      </w:r>
      <w:r w:rsidRPr="00D97C52">
        <w:rPr>
          <w:rFonts w:ascii="Times New Roman" w:hAnsi="Times New Roman" w:cs="Times New Roman" w:hint="default"/>
          <w:sz w:val="24"/>
          <w:szCs w:val="24"/>
        </w:rPr>
        <w:t xml:space="preserve"> rozpoč</w:t>
      </w:r>
      <w:r w:rsidRPr="00D97C52">
        <w:rPr>
          <w:rFonts w:ascii="Times New Roman" w:hAnsi="Times New Roman" w:cs="Times New Roman" w:hint="default"/>
          <w:sz w:val="24"/>
          <w:szCs w:val="24"/>
        </w:rPr>
        <w:t>tový</w:t>
      </w:r>
      <w:r w:rsidRPr="00D97C52">
        <w:rPr>
          <w:rFonts w:ascii="Times New Roman" w:hAnsi="Times New Roman" w:cs="Times New Roman" w:hint="default"/>
          <w:sz w:val="24"/>
          <w:szCs w:val="24"/>
        </w:rPr>
        <w:t xml:space="preserve"> rok, bez zvýš</w:t>
      </w:r>
      <w:r w:rsidRPr="00D97C52">
        <w:rPr>
          <w:rFonts w:ascii="Times New Roman" w:hAnsi="Times New Roman" w:cs="Times New Roman" w:hint="default"/>
          <w:sz w:val="24"/>
          <w:szCs w:val="24"/>
        </w:rPr>
        <w:t>ený</w:t>
      </w:r>
      <w:r w:rsidRPr="00D97C52">
        <w:rPr>
          <w:rFonts w:ascii="Times New Roman" w:hAnsi="Times New Roman" w:cs="Times New Roman" w:hint="default"/>
          <w:sz w:val="24"/>
          <w:szCs w:val="24"/>
        </w:rPr>
        <w:t>ch finanč</w:t>
      </w:r>
      <w:r w:rsidRPr="00D97C52">
        <w:rPr>
          <w:rFonts w:ascii="Times New Roman" w:hAnsi="Times New Roman" w:cs="Times New Roman" w:hint="default"/>
          <w:sz w:val="24"/>
          <w:szCs w:val="24"/>
        </w:rPr>
        <w:t>ný</w:t>
      </w:r>
      <w:r w:rsidRPr="00D97C52">
        <w:rPr>
          <w:rFonts w:ascii="Times New Roman" w:hAnsi="Times New Roman" w:cs="Times New Roman" w:hint="default"/>
          <w:sz w:val="24"/>
          <w:szCs w:val="24"/>
        </w:rPr>
        <w:t>ch pož</w:t>
      </w:r>
      <w:r w:rsidRPr="00D97C52">
        <w:rPr>
          <w:rFonts w:ascii="Times New Roman" w:hAnsi="Times New Roman" w:cs="Times New Roman" w:hint="default"/>
          <w:sz w:val="24"/>
          <w:szCs w:val="24"/>
        </w:rPr>
        <w:t>iadaviek na rozpoč</w:t>
      </w:r>
      <w:r w:rsidRPr="00D97C52">
        <w:rPr>
          <w:rFonts w:ascii="Times New Roman" w:hAnsi="Times New Roman" w:cs="Times New Roman" w:hint="default"/>
          <w:sz w:val="24"/>
          <w:szCs w:val="24"/>
        </w:rPr>
        <w:t>et verejnej sprá</w:t>
      </w:r>
      <w:r w:rsidRPr="00D97C52">
        <w:rPr>
          <w:rFonts w:ascii="Times New Roman" w:hAnsi="Times New Roman" w:cs="Times New Roman" w:hint="default"/>
          <w:sz w:val="24"/>
          <w:szCs w:val="24"/>
        </w:rPr>
        <w:t>vy</w:t>
      </w:r>
      <w:r>
        <w:rPr>
          <w:rFonts w:ascii="Times New Roman" w:hAnsi="Times New Roman" w:cs="Times New Roman" w:hint="default"/>
          <w:sz w:val="24"/>
          <w:szCs w:val="24"/>
        </w:rPr>
        <w:t>. Dolož</w:t>
      </w:r>
      <w:r>
        <w:rPr>
          <w:rFonts w:ascii="Times New Roman" w:hAnsi="Times New Roman" w:cs="Times New Roman" w:hint="default"/>
          <w:sz w:val="24"/>
          <w:szCs w:val="24"/>
        </w:rPr>
        <w:t>ka vplyvov bola vypracovaná</w:t>
      </w:r>
      <w:r w:rsidRPr="00D97C52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D97C52">
        <w:rPr>
          <w:rFonts w:ascii="Times New Roman" w:hAnsi="Times New Roman" w:cs="Times New Roman" w:hint="default"/>
          <w:sz w:val="24"/>
          <w:szCs w:val="24"/>
        </w:rPr>
        <w:t>a aktualizovanej J</w:t>
      </w:r>
      <w:r w:rsidRPr="00D97C52">
        <w:rPr>
          <w:rFonts w:ascii="Times New Roman" w:hAnsi="Times New Roman" w:cs="Times New Roman" w:hint="default"/>
          <w:sz w:val="24"/>
          <w:szCs w:val="24"/>
        </w:rPr>
        <w:t>ednotnej metodiky na posudzovanie vybraný</w:t>
      </w:r>
      <w:r w:rsidRPr="00D97C52">
        <w:rPr>
          <w:rFonts w:ascii="Times New Roman" w:hAnsi="Times New Roman" w:cs="Times New Roman" w:hint="default"/>
          <w:sz w:val="24"/>
          <w:szCs w:val="24"/>
        </w:rPr>
        <w:t>ch vplyvov platnej do 30. 9. 2015   </w:t>
      </w:r>
      <w:r w:rsidRPr="00D97C52">
        <w:rPr>
          <w:rFonts w:ascii="Times New Roman" w:hAnsi="Times New Roman" w:cs="Times New Roman" w:hint="default"/>
          <w:sz w:val="24"/>
          <w:szCs w:val="24"/>
        </w:rPr>
        <w:t>z dô</w:t>
      </w:r>
      <w:r w:rsidRPr="00D97C52">
        <w:rPr>
          <w:rFonts w:ascii="Times New Roman" w:hAnsi="Times New Roman" w:cs="Times New Roman" w:hint="default"/>
          <w:sz w:val="24"/>
          <w:szCs w:val="24"/>
        </w:rPr>
        <w:t>vodu interné</w:t>
      </w:r>
      <w:r w:rsidRPr="00D97C52">
        <w:rPr>
          <w:rFonts w:ascii="Times New Roman" w:hAnsi="Times New Roman" w:cs="Times New Roman" w:hint="default"/>
          <w:sz w:val="24"/>
          <w:szCs w:val="24"/>
        </w:rPr>
        <w:t>ho prijatia materiá</w:t>
      </w:r>
      <w:r w:rsidRPr="00D97C52">
        <w:rPr>
          <w:rFonts w:ascii="Times New Roman" w:hAnsi="Times New Roman" w:cs="Times New Roman" w:hint="default"/>
          <w:sz w:val="24"/>
          <w:szCs w:val="24"/>
        </w:rPr>
        <w:t>lov pred zavedení</w:t>
      </w:r>
      <w:r w:rsidRPr="00D97C52">
        <w:rPr>
          <w:rFonts w:ascii="Times New Roman" w:hAnsi="Times New Roman" w:cs="Times New Roman" w:hint="default"/>
          <w:sz w:val="24"/>
          <w:szCs w:val="24"/>
        </w:rPr>
        <w:t>m novej Jednotnej metodiky na posudzovanie vybraný</w:t>
      </w:r>
      <w:r w:rsidRPr="00D97C52">
        <w:rPr>
          <w:rFonts w:ascii="Times New Roman" w:hAnsi="Times New Roman" w:cs="Times New Roman" w:hint="default"/>
          <w:sz w:val="24"/>
          <w:szCs w:val="24"/>
        </w:rPr>
        <w:t>ch vplyvov, ktorá</w:t>
      </w:r>
      <w:r w:rsidRPr="00D97C52">
        <w:rPr>
          <w:rFonts w:ascii="Times New Roman" w:hAnsi="Times New Roman" w:cs="Times New Roman" w:hint="default"/>
          <w:sz w:val="24"/>
          <w:szCs w:val="24"/>
        </w:rPr>
        <w:t xml:space="preserve"> je úč</w:t>
      </w:r>
      <w:r w:rsidRPr="00D97C52">
        <w:rPr>
          <w:rFonts w:ascii="Times New Roman" w:hAnsi="Times New Roman" w:cs="Times New Roman" w:hint="default"/>
          <w:sz w:val="24"/>
          <w:szCs w:val="24"/>
        </w:rPr>
        <w:t>inná</w:t>
      </w:r>
      <w:r w:rsidRPr="00D97C52">
        <w:rPr>
          <w:rFonts w:ascii="Times New Roman" w:hAnsi="Times New Roman" w:cs="Times New Roman" w:hint="default"/>
          <w:sz w:val="24"/>
          <w:szCs w:val="24"/>
        </w:rPr>
        <w:t xml:space="preserve"> od 1.10.2015.</w:t>
      </w:r>
    </w:p>
    <w:p w:rsidR="00D97C52" w:rsidRPr="00D97C52" w:rsidP="00D97C52">
      <w:pPr>
        <w:pStyle w:val="ListParagraph"/>
        <w:bidi w:val="0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3475" w:rsidRPr="00D97C52" w:rsidP="00D97C52">
      <w:pPr>
        <w:pStyle w:val="ListParagraph"/>
        <w:bidi w:val="0"/>
        <w:ind w:left="0"/>
        <w:rPr>
          <w:rFonts w:ascii="Times New Roman" w:hAnsi="Times New Roman" w:cs="Times New Roman" w:hint="default"/>
          <w:b/>
          <w:sz w:val="24"/>
          <w:szCs w:val="24"/>
        </w:rPr>
      </w:pPr>
      <w:r w:rsidRPr="00D97C52">
        <w:rPr>
          <w:rFonts w:ascii="Times New Roman" w:hAnsi="Times New Roman" w:cs="Times New Roman" w:hint="default"/>
          <w:b/>
          <w:sz w:val="24"/>
          <w:szCs w:val="24"/>
        </w:rPr>
        <w:t>A.4. Alternatí</w:t>
      </w:r>
      <w:r w:rsidRPr="00D97C52">
        <w:rPr>
          <w:rFonts w:ascii="Times New Roman" w:hAnsi="Times New Roman" w:cs="Times New Roman" w:hint="default"/>
          <w:b/>
          <w:sz w:val="24"/>
          <w:szCs w:val="24"/>
        </w:rPr>
        <w:t>vne rieš</w:t>
      </w:r>
      <w:r w:rsidRPr="00D97C52">
        <w:rPr>
          <w:rFonts w:ascii="Times New Roman" w:hAnsi="Times New Roman" w:cs="Times New Roman" w:hint="default"/>
          <w:b/>
          <w:sz w:val="24"/>
          <w:szCs w:val="24"/>
        </w:rPr>
        <w:t>enia</w:t>
      </w:r>
    </w:p>
    <w:p w:rsidR="003B3475" w:rsidRPr="00D97C52" w:rsidP="003B347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97C52" w:rsidR="001D6B58">
        <w:rPr>
          <w:rFonts w:ascii="Times New Roman" w:hAnsi="Times New Roman"/>
        </w:rPr>
        <w:t xml:space="preserve">        </w:t>
      </w:r>
      <w:r w:rsidRPr="00D97C52">
        <w:rPr>
          <w:rFonts w:ascii="Times New Roman" w:hAnsi="Times New Roman"/>
        </w:rPr>
        <w:t>N</w:t>
      </w:r>
      <w:r w:rsidRPr="00D97C52" w:rsidR="00E200C4">
        <w:rPr>
          <w:rFonts w:ascii="Times New Roman" w:hAnsi="Times New Roman"/>
        </w:rPr>
        <w:t>eboli zvažované.</w:t>
      </w:r>
    </w:p>
    <w:p w:rsidR="003B3475" w:rsidRPr="00D97C52" w:rsidP="003B3475">
      <w:pPr>
        <w:pStyle w:val="NormalWeb"/>
        <w:bidi w:val="0"/>
        <w:spacing w:before="0" w:beforeAutospacing="0" w:after="120" w:afterAutospacing="0"/>
        <w:jc w:val="both"/>
        <w:rPr>
          <w:rFonts w:ascii="Times New Roman" w:hAnsi="Times New Roman"/>
        </w:rPr>
      </w:pPr>
      <w:r w:rsidRPr="00D97C52">
        <w:rPr>
          <w:rFonts w:ascii="Times New Roman" w:hAnsi="Times New Roman"/>
          <w:b/>
          <w:bCs/>
        </w:rPr>
        <w:t> </w:t>
      </w:r>
    </w:p>
    <w:p w:rsidR="00D97C52" w:rsidP="00D97C52">
      <w:pPr>
        <w:pStyle w:val="NormalWeb"/>
        <w:bidi w:val="0"/>
        <w:spacing w:before="0" w:beforeAutospacing="0" w:after="120" w:afterAutospacing="0" w:line="480" w:lineRule="auto"/>
        <w:jc w:val="both"/>
        <w:rPr>
          <w:rFonts w:ascii="Times New Roman" w:hAnsi="Times New Roman"/>
        </w:rPr>
      </w:pPr>
      <w:r w:rsidR="003B3475">
        <w:rPr>
          <w:rFonts w:ascii="Times New Roman" w:hAnsi="Times New Roman"/>
          <w:b/>
          <w:bCs/>
        </w:rPr>
        <w:t xml:space="preserve">A.5. Stanovisko gestorov </w:t>
      </w:r>
    </w:p>
    <w:p w:rsidR="00E200C4" w:rsidP="00D97C52">
      <w:pPr>
        <w:pStyle w:val="NormalWeb"/>
        <w:bidi w:val="0"/>
        <w:spacing w:before="0" w:beforeAutospacing="0" w:after="120" w:afterAutospacing="0" w:line="480" w:lineRule="auto"/>
        <w:jc w:val="both"/>
        <w:rPr>
          <w:rFonts w:ascii="Times New Roman" w:hAnsi="Times New Roman"/>
        </w:rPr>
      </w:pPr>
      <w:r w:rsidR="001D6B58">
        <w:rPr>
          <w:rFonts w:ascii="Times New Roman" w:hAnsi="Times New Roman"/>
        </w:rPr>
        <w:t xml:space="preserve">  Gestori s doložkou vplyvov súhlasia.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9589B"/>
    <w:multiLevelType w:val="hybridMultilevel"/>
    <w:tmpl w:val="5B52DB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D5A17"/>
    <w:rsid w:val="00086546"/>
    <w:rsid w:val="000C1304"/>
    <w:rsid w:val="000C6CF5"/>
    <w:rsid w:val="000F45C2"/>
    <w:rsid w:val="001000F1"/>
    <w:rsid w:val="001A3BAE"/>
    <w:rsid w:val="001D6B58"/>
    <w:rsid w:val="00235C3D"/>
    <w:rsid w:val="0031401E"/>
    <w:rsid w:val="00323F9D"/>
    <w:rsid w:val="00345126"/>
    <w:rsid w:val="003B3475"/>
    <w:rsid w:val="004A3FCA"/>
    <w:rsid w:val="00551A33"/>
    <w:rsid w:val="005932C7"/>
    <w:rsid w:val="006164ED"/>
    <w:rsid w:val="00627971"/>
    <w:rsid w:val="0064488E"/>
    <w:rsid w:val="00657B0C"/>
    <w:rsid w:val="00681FC5"/>
    <w:rsid w:val="006B1906"/>
    <w:rsid w:val="006E3E3F"/>
    <w:rsid w:val="006F7214"/>
    <w:rsid w:val="007E16AD"/>
    <w:rsid w:val="00877F7B"/>
    <w:rsid w:val="008A64BF"/>
    <w:rsid w:val="008F3628"/>
    <w:rsid w:val="00933314"/>
    <w:rsid w:val="00950605"/>
    <w:rsid w:val="009730FB"/>
    <w:rsid w:val="009C12C8"/>
    <w:rsid w:val="009E43C3"/>
    <w:rsid w:val="00A24D0D"/>
    <w:rsid w:val="00A42D04"/>
    <w:rsid w:val="00A971B3"/>
    <w:rsid w:val="00AB19E0"/>
    <w:rsid w:val="00AD5A17"/>
    <w:rsid w:val="00AE6C8B"/>
    <w:rsid w:val="00B16793"/>
    <w:rsid w:val="00B831EB"/>
    <w:rsid w:val="00BC4756"/>
    <w:rsid w:val="00C1453B"/>
    <w:rsid w:val="00C625CA"/>
    <w:rsid w:val="00C642D7"/>
    <w:rsid w:val="00C644B1"/>
    <w:rsid w:val="00C8189D"/>
    <w:rsid w:val="00CB0843"/>
    <w:rsid w:val="00CE2CA3"/>
    <w:rsid w:val="00D97C52"/>
    <w:rsid w:val="00DB175C"/>
    <w:rsid w:val="00E07AD4"/>
    <w:rsid w:val="00E11243"/>
    <w:rsid w:val="00E11C17"/>
    <w:rsid w:val="00E200C4"/>
    <w:rsid w:val="00E2639E"/>
    <w:rsid w:val="00EE111C"/>
    <w:rsid w:val="00FD20A7"/>
    <w:rsid w:val="00FD77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B19E0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8189D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AD5A17"/>
    <w:pPr>
      <w:spacing w:before="240" w:after="60"/>
      <w:jc w:val="left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AD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AD4"/>
    <w:pPr>
      <w:jc w:val="left"/>
    </w:pPr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AB19E0"/>
    <w:pPr>
      <w:ind w:left="283" w:hanging="283"/>
      <w:jc w:val="left"/>
    </w:pPr>
  </w:style>
  <w:style w:type="paragraph" w:styleId="BodyText">
    <w:name w:val="Body Text"/>
    <w:basedOn w:val="Normal"/>
    <w:rsid w:val="00AB19E0"/>
    <w:pPr>
      <w:spacing w:after="120"/>
      <w:jc w:val="left"/>
    </w:pPr>
  </w:style>
  <w:style w:type="character" w:customStyle="1" w:styleId="Heading2Char">
    <w:name w:val="Heading 2 Char"/>
    <w:link w:val="Heading2"/>
    <w:semiHidden/>
    <w:locked/>
    <w:rsid w:val="00C8189D"/>
    <w:rPr>
      <w:rFonts w:ascii="Cambria" w:hAnsi="Cambria" w:cs="Cambria"/>
      <w:b/>
      <w:i/>
      <w:sz w:val="28"/>
    </w:rPr>
  </w:style>
  <w:style w:type="paragraph" w:styleId="NormalWeb">
    <w:name w:val="Normal (Web)"/>
    <w:basedOn w:val="Normal"/>
    <w:uiPriority w:val="99"/>
    <w:unhideWhenUsed/>
    <w:rsid w:val="00C8189D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34"/>
    <w:qFormat/>
    <w:rsid w:val="001D6B58"/>
    <w:pPr>
      <w:ind w:left="720"/>
      <w:jc w:val="lef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199</Words>
  <Characters>1137</Characters>
  <Application>Microsoft Office Word</Application>
  <DocSecurity>0</DocSecurity>
  <Lines>0</Lines>
  <Paragraphs>0</Paragraphs>
  <ScaleCrop>false</ScaleCrop>
  <Company>MOSR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creator>kostkovaj</dc:creator>
  <cp:lastModifiedBy>Gašparíková, Jarmila</cp:lastModifiedBy>
  <cp:revision>2</cp:revision>
  <cp:lastPrinted>2015-10-19T12:50:00Z</cp:lastPrinted>
  <dcterms:created xsi:type="dcterms:W3CDTF">2015-10-30T12:24:00Z</dcterms:created>
  <dcterms:modified xsi:type="dcterms:W3CDTF">2015-10-30T12:24:00Z</dcterms:modified>
</cp:coreProperties>
</file>