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35A1" w:rsidP="00B76784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7578CB">
        <w:rPr>
          <w:rFonts w:ascii="Times New Roman" w:hAnsi="Times New Roman"/>
          <w:b/>
          <w:sz w:val="24"/>
          <w:szCs w:val="24"/>
        </w:rPr>
        <w:t>Dôvodová správa</w:t>
      </w:r>
    </w:p>
    <w:p w:rsidR="007578CB" w:rsidP="00B76784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7578CB" w:rsidRPr="007578CB" w:rsidP="00B76784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Všeobecná časť</w:t>
      </w:r>
    </w:p>
    <w:p w:rsidR="007578CB" w:rsidP="00B7678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zákona, ktorým sa mení a dopĺňa zákon č. 595/2003 Z. z. o dani z príjmov v znení neskorších predpisov, predkladá skupina poslancov Národnej rady Slovenskej republiky.</w:t>
      </w:r>
    </w:p>
    <w:p w:rsidR="007578CB" w:rsidRPr="007578CB" w:rsidP="00B7678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7578CB">
        <w:rPr>
          <w:rFonts w:ascii="Times New Roman" w:hAnsi="Times New Roman"/>
          <w:sz w:val="24"/>
          <w:szCs w:val="24"/>
        </w:rPr>
        <w:t>Cieľom navrhovanej úpravy je:</w:t>
      </w:r>
    </w:p>
    <w:p w:rsidR="007578CB" w:rsidRPr="007578CB" w:rsidP="00B76784">
      <w:pPr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8CB">
        <w:rPr>
          <w:rFonts w:ascii="Times New Roman" w:hAnsi="Times New Roman"/>
          <w:sz w:val="24"/>
          <w:szCs w:val="24"/>
        </w:rPr>
        <w:t>podpora mladých rodín s dieťaťom, resp. s deťmi v predškolskom veku</w:t>
      </w:r>
      <w:r>
        <w:rPr>
          <w:rFonts w:ascii="Times New Roman" w:hAnsi="Times New Roman"/>
          <w:sz w:val="24"/>
          <w:szCs w:val="24"/>
        </w:rPr>
        <w:t>,</w:t>
      </w:r>
    </w:p>
    <w:p w:rsidR="007578CB" w:rsidRPr="007578CB" w:rsidP="00B76784">
      <w:pPr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8CB">
        <w:rPr>
          <w:rFonts w:ascii="Times New Roman" w:hAnsi="Times New Roman"/>
          <w:sz w:val="24"/>
          <w:szCs w:val="24"/>
        </w:rPr>
        <w:t>zvýšenie adresnosti daňových úľav</w:t>
      </w:r>
      <w:r>
        <w:rPr>
          <w:rFonts w:ascii="Times New Roman" w:hAnsi="Times New Roman"/>
          <w:sz w:val="24"/>
          <w:szCs w:val="24"/>
        </w:rPr>
        <w:t xml:space="preserve"> na dani z príjmu pri fyzických osobách,</w:t>
      </w:r>
    </w:p>
    <w:p w:rsidR="007578CB" w:rsidRPr="007578CB" w:rsidP="00B76784">
      <w:pPr>
        <w:numPr>
          <w:numId w:val="2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8CB">
        <w:rPr>
          <w:rFonts w:ascii="Times New Roman" w:hAnsi="Times New Roman"/>
          <w:sz w:val="24"/>
          <w:szCs w:val="24"/>
        </w:rPr>
        <w:t>výrazné zjednodušenie poskytovania daňových úľav vo forme nezdaniteľnej časti základu dane ročne na manžela (manželku)</w:t>
      </w:r>
      <w:r>
        <w:rPr>
          <w:rFonts w:ascii="Times New Roman" w:hAnsi="Times New Roman"/>
          <w:sz w:val="24"/>
          <w:szCs w:val="24"/>
        </w:rPr>
        <w:t>.</w:t>
      </w:r>
    </w:p>
    <w:p w:rsidR="007578CB" w:rsidRPr="007578CB" w:rsidP="00B7678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578CB" w:rsidRPr="007578CB" w:rsidP="00B7678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7578CB">
        <w:rPr>
          <w:rFonts w:ascii="Times New Roman" w:hAnsi="Times New Roman"/>
          <w:sz w:val="24"/>
          <w:szCs w:val="24"/>
        </w:rPr>
        <w:t>Súčasná práva úprava umožňuje uplatniť si nezdaniteľnú časť základu dane ročne na manželku (manžela) až do výšky základu dane daňovníka 34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8CB">
        <w:rPr>
          <w:rFonts w:ascii="Times New Roman" w:hAnsi="Times New Roman"/>
          <w:sz w:val="24"/>
          <w:szCs w:val="24"/>
        </w:rPr>
        <w:t>401,74 eura. V takomto prípade je nezdaniteľná časť základu dane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8CB">
        <w:rPr>
          <w:rFonts w:ascii="Times New Roman" w:hAnsi="Times New Roman"/>
          <w:sz w:val="24"/>
          <w:szCs w:val="24"/>
        </w:rPr>
        <w:t>735,94 eura a postupne klesá až do základu dane daňovníka 49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8CB">
        <w:rPr>
          <w:rFonts w:ascii="Times New Roman" w:hAnsi="Times New Roman"/>
          <w:sz w:val="24"/>
          <w:szCs w:val="24"/>
        </w:rPr>
        <w:t>345,49 eura, kedy nezdaniteľná časť základu dane na manželku (manžela) sa rovná nule. Navyše, nezda</w:t>
      </w:r>
      <w:r>
        <w:rPr>
          <w:rFonts w:ascii="Times New Roman" w:hAnsi="Times New Roman"/>
          <w:sz w:val="24"/>
          <w:szCs w:val="24"/>
        </w:rPr>
        <w:t>niteľná časť základu dane sa zni</w:t>
      </w:r>
      <w:r w:rsidRPr="007578CB">
        <w:rPr>
          <w:rFonts w:ascii="Times New Roman" w:hAnsi="Times New Roman"/>
          <w:sz w:val="24"/>
          <w:szCs w:val="24"/>
        </w:rPr>
        <w:t>žuje o príjem manželky (manžela).</w:t>
      </w:r>
    </w:p>
    <w:p w:rsidR="007578CB" w:rsidRPr="007578CB" w:rsidP="00B7678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578CB" w:rsidRPr="007578CB" w:rsidP="00B7678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7578CB">
        <w:rPr>
          <w:rFonts w:ascii="Times New Roman" w:hAnsi="Times New Roman"/>
          <w:sz w:val="24"/>
          <w:szCs w:val="24"/>
        </w:rPr>
        <w:t>Predložený návrh zn</w:t>
      </w:r>
      <w:r>
        <w:rPr>
          <w:rFonts w:ascii="Times New Roman" w:hAnsi="Times New Roman"/>
          <w:sz w:val="24"/>
          <w:szCs w:val="24"/>
        </w:rPr>
        <w:t>i</w:t>
      </w:r>
      <w:r w:rsidRPr="007578CB">
        <w:rPr>
          <w:rFonts w:ascii="Times New Roman" w:hAnsi="Times New Roman"/>
          <w:sz w:val="24"/>
          <w:szCs w:val="24"/>
        </w:rPr>
        <w:t>žuje výšku základu dane</w:t>
      </w:r>
      <w:r>
        <w:rPr>
          <w:rFonts w:ascii="Times New Roman" w:hAnsi="Times New Roman"/>
          <w:sz w:val="24"/>
          <w:szCs w:val="24"/>
        </w:rPr>
        <w:t>,</w:t>
      </w:r>
      <w:r w:rsidRPr="007578CB">
        <w:rPr>
          <w:rFonts w:ascii="Times New Roman" w:hAnsi="Times New Roman"/>
          <w:sz w:val="24"/>
          <w:szCs w:val="24"/>
        </w:rPr>
        <w:t xml:space="preserve"> pri ktorej si možno uplatniť maximálnu nezdaniteľnú časť na manžela (manželku) z</w:t>
      </w:r>
      <w:r>
        <w:rPr>
          <w:rFonts w:ascii="Times New Roman" w:hAnsi="Times New Roman"/>
          <w:sz w:val="24"/>
          <w:szCs w:val="24"/>
        </w:rPr>
        <w:t> </w:t>
      </w:r>
      <w:r w:rsidRPr="007578CB"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8CB">
        <w:rPr>
          <w:rFonts w:ascii="Times New Roman" w:hAnsi="Times New Roman"/>
          <w:sz w:val="24"/>
          <w:szCs w:val="24"/>
        </w:rPr>
        <w:t>401,74 eura na 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8CB">
        <w:rPr>
          <w:rFonts w:ascii="Times New Roman" w:hAnsi="Times New Roman"/>
          <w:sz w:val="24"/>
          <w:szCs w:val="24"/>
        </w:rPr>
        <w:t>000 eur. V takomto prípade zostáva nezdaniteľná časť základu dane na súčasnej úrovni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8CB">
        <w:rPr>
          <w:rFonts w:ascii="Times New Roman" w:hAnsi="Times New Roman"/>
          <w:sz w:val="24"/>
          <w:szCs w:val="24"/>
        </w:rPr>
        <w:t>735,94 eura a postupne klesá až do základu dane daňovníka 34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8CB">
        <w:rPr>
          <w:rFonts w:ascii="Times New Roman" w:hAnsi="Times New Roman"/>
          <w:sz w:val="24"/>
          <w:szCs w:val="24"/>
        </w:rPr>
        <w:t>943,76 eura (v súčasnej úprave je to 49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8CB">
        <w:rPr>
          <w:rFonts w:ascii="Times New Roman" w:hAnsi="Times New Roman"/>
          <w:sz w:val="24"/>
          <w:szCs w:val="24"/>
        </w:rPr>
        <w:t>345,49 eura), kedy nezdaniteľná časť základu dane na manželku (manžela) sa rovná nule.</w:t>
      </w:r>
    </w:p>
    <w:p w:rsidR="007578CB" w:rsidRPr="007578CB" w:rsidP="00B7678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578CB" w:rsidRPr="007578CB" w:rsidP="00B7678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Týmto návrhom sa zni</w:t>
      </w:r>
      <w:r w:rsidRPr="007578CB">
        <w:rPr>
          <w:rFonts w:ascii="Times New Roman" w:hAnsi="Times New Roman"/>
          <w:sz w:val="24"/>
          <w:szCs w:val="24"/>
        </w:rPr>
        <w:t>žuje možnosť uplatnenia nezdaniteľnej časti základu dane pre vysokopríjmové skupiny obyvateľstva.</w:t>
      </w:r>
      <w:r w:rsidR="00DD70A4">
        <w:rPr>
          <w:rFonts w:ascii="Times New Roman" w:hAnsi="Times New Roman"/>
          <w:sz w:val="24"/>
          <w:szCs w:val="24"/>
        </w:rPr>
        <w:t xml:space="preserve"> Zároveň návrh takto zabezpečuje príjmy pre ustanovenia, ktoré nasledujú, t.j. pre možnosť odpočítať si nezdaniteľnú časť dane vo vyššej výške pre nízkopríjmové skupiny obyvateľstva.</w:t>
      </w:r>
    </w:p>
    <w:p w:rsidR="007578CB" w:rsidRPr="007578CB" w:rsidP="00B7678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578CB" w:rsidRPr="007578CB" w:rsidP="00B7678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7578CB">
        <w:rPr>
          <w:rFonts w:ascii="Times New Roman" w:hAnsi="Times New Roman"/>
          <w:sz w:val="24"/>
          <w:szCs w:val="24"/>
        </w:rPr>
        <w:t xml:space="preserve">V prípade, že sa manželia starajú o vyživované maloleté dieťa (deti) v predškolskom veku, </w:t>
      </w:r>
      <w:r>
        <w:rPr>
          <w:rFonts w:ascii="Times New Roman" w:hAnsi="Times New Roman"/>
          <w:sz w:val="24"/>
          <w:szCs w:val="24"/>
        </w:rPr>
        <w:t xml:space="preserve">resp. do začatia plnenia povinnej školskej dochádzky, </w:t>
      </w:r>
      <w:r w:rsidRPr="007578CB">
        <w:rPr>
          <w:rFonts w:ascii="Times New Roman" w:hAnsi="Times New Roman"/>
          <w:sz w:val="24"/>
          <w:szCs w:val="24"/>
        </w:rPr>
        <w:t>potom sa nezdaniteľná časť základu dane navrhuje až vo výške 7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8CB">
        <w:rPr>
          <w:rFonts w:ascii="Times New Roman" w:hAnsi="Times New Roman"/>
          <w:sz w:val="24"/>
          <w:szCs w:val="24"/>
        </w:rPr>
        <w:t>200 eur, avšak je uplatňovaná len do výšky spoločného základu dane manželov 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8CB">
        <w:rPr>
          <w:rFonts w:ascii="Times New Roman" w:hAnsi="Times New Roman"/>
          <w:sz w:val="24"/>
          <w:szCs w:val="24"/>
        </w:rPr>
        <w:t>000 eur ročne (v súčasnosti 34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8CB">
        <w:rPr>
          <w:rFonts w:ascii="Times New Roman" w:hAnsi="Times New Roman"/>
          <w:sz w:val="24"/>
          <w:szCs w:val="24"/>
        </w:rPr>
        <w:t>401,74 eura).</w:t>
      </w:r>
      <w:r>
        <w:rPr>
          <w:rFonts w:ascii="Times New Roman" w:hAnsi="Times New Roman"/>
          <w:sz w:val="24"/>
          <w:szCs w:val="24"/>
        </w:rPr>
        <w:t xml:space="preserve"> Tým sa výrazne zvy</w:t>
      </w:r>
      <w:r w:rsidRPr="007578CB">
        <w:rPr>
          <w:rFonts w:ascii="Times New Roman" w:hAnsi="Times New Roman"/>
          <w:sz w:val="24"/>
          <w:szCs w:val="24"/>
        </w:rPr>
        <w:t>šuje adresnosť poskytovania takejto daňovej úľavy.</w:t>
      </w:r>
    </w:p>
    <w:p w:rsidR="007578CB" w:rsidRPr="007578CB" w:rsidP="00B7678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578CB" w:rsidRPr="007578CB" w:rsidP="00B7678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7578CB">
        <w:rPr>
          <w:rFonts w:ascii="Times New Roman" w:hAnsi="Times New Roman"/>
          <w:sz w:val="24"/>
          <w:szCs w:val="24"/>
        </w:rPr>
        <w:t>Nezdaniteľná časť základu</w:t>
      </w:r>
      <w:r>
        <w:rPr>
          <w:rFonts w:ascii="Times New Roman" w:hAnsi="Times New Roman"/>
          <w:sz w:val="24"/>
          <w:szCs w:val="24"/>
        </w:rPr>
        <w:t xml:space="preserve"> dane sa v takomto prípade nezni</w:t>
      </w:r>
      <w:r w:rsidRPr="007578CB">
        <w:rPr>
          <w:rFonts w:ascii="Times New Roman" w:hAnsi="Times New Roman"/>
          <w:sz w:val="24"/>
          <w:szCs w:val="24"/>
        </w:rPr>
        <w:t>žuje o príjem manželky (manžela), keďže manželia podávajú spoločné ročné daňové prizna</w:t>
      </w:r>
      <w:r>
        <w:rPr>
          <w:rFonts w:ascii="Times New Roman" w:hAnsi="Times New Roman"/>
          <w:sz w:val="24"/>
          <w:szCs w:val="24"/>
        </w:rPr>
        <w:t>nie, čo výrazne zjednodušuje a s</w:t>
      </w:r>
      <w:r w:rsidRPr="007578CB">
        <w:rPr>
          <w:rFonts w:ascii="Times New Roman" w:hAnsi="Times New Roman"/>
          <w:sz w:val="24"/>
          <w:szCs w:val="24"/>
        </w:rPr>
        <w:t>priehľadňuje celý systém.</w:t>
      </w:r>
    </w:p>
    <w:p w:rsidR="007578CB" w:rsidRPr="007578CB" w:rsidP="00B7678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7578CB">
        <w:rPr>
          <w:rFonts w:ascii="Times New Roman" w:hAnsi="Times New Roman"/>
          <w:sz w:val="24"/>
          <w:szCs w:val="24"/>
        </w:rPr>
        <w:t>Uplatnenie nezdaniteľnej časti základu dane vo výške 7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8CB">
        <w:rPr>
          <w:rFonts w:ascii="Times New Roman" w:hAnsi="Times New Roman"/>
          <w:sz w:val="24"/>
          <w:szCs w:val="24"/>
        </w:rPr>
        <w:t>200 eur je navyše viazané na starostlivosť o vyživované maloleté dieťa (deti) v predškolskom veku. Navrhovanou právnou úpravou sa podporujú mladé rodiny s deťmi. Táto skupina je ekonomicky pomerne zraniteľnou, keďže sa nachádza v tzv. „štartovacej“ fáze, kedy na jednej strane má pomerne vysoké náklady na založenie rodiny (predovšetkým náklady spojené s bývaním) a na druhej strane často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8CB">
        <w:rPr>
          <w:rFonts w:ascii="Times New Roman" w:hAnsi="Times New Roman"/>
          <w:sz w:val="24"/>
          <w:szCs w:val="24"/>
        </w:rPr>
        <w:t>krát pracuje iba jeden z manželov, zatiaľ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8CB">
        <w:rPr>
          <w:rFonts w:ascii="Times New Roman" w:hAnsi="Times New Roman"/>
          <w:sz w:val="24"/>
          <w:szCs w:val="24"/>
        </w:rPr>
        <w:t>čo druhý sa stará o maloleté dieťa a buď nepracuje vôbec, alebo iba na čiastočný úväzok.</w:t>
      </w:r>
    </w:p>
    <w:p w:rsidR="007578CB" w:rsidRPr="007578CB" w:rsidP="00B7678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578CB" w:rsidRPr="007578CB" w:rsidP="00B7678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7578CB">
        <w:rPr>
          <w:rFonts w:ascii="Times New Roman" w:hAnsi="Times New Roman"/>
          <w:sz w:val="24"/>
          <w:szCs w:val="24"/>
        </w:rPr>
        <w:t xml:space="preserve">Vzhľadom na: </w:t>
      </w:r>
    </w:p>
    <w:p w:rsidR="007578CB" w:rsidRPr="007578CB" w:rsidP="00B76784">
      <w:pPr>
        <w:numPr>
          <w:numId w:val="3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8CB">
        <w:rPr>
          <w:rFonts w:ascii="Times New Roman" w:hAnsi="Times New Roman"/>
          <w:sz w:val="24"/>
          <w:szCs w:val="24"/>
        </w:rPr>
        <w:t>zníženie hranice základu dane daňovníka, pri dosiahnutí ktorej je nezdaniteľná časť základu dane na manželku (manžela) v maximálnej výške (t.j.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8CB">
        <w:rPr>
          <w:rFonts w:ascii="Times New Roman" w:hAnsi="Times New Roman"/>
          <w:sz w:val="24"/>
          <w:szCs w:val="24"/>
        </w:rPr>
        <w:t>735,94 eura) zo súčasnej úrovne 34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8CB">
        <w:rPr>
          <w:rFonts w:ascii="Times New Roman" w:hAnsi="Times New Roman"/>
          <w:sz w:val="24"/>
          <w:szCs w:val="24"/>
        </w:rPr>
        <w:t>401,74 eura na navrhovanú úroveň 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8CB">
        <w:rPr>
          <w:rFonts w:ascii="Times New Roman" w:hAnsi="Times New Roman"/>
          <w:sz w:val="24"/>
          <w:szCs w:val="24"/>
        </w:rPr>
        <w:t>000 eur</w:t>
      </w:r>
      <w:r>
        <w:rPr>
          <w:rFonts w:ascii="Times New Roman" w:hAnsi="Times New Roman"/>
          <w:sz w:val="24"/>
          <w:szCs w:val="24"/>
        </w:rPr>
        <w:t>,</w:t>
      </w:r>
      <w:r w:rsidRPr="007578CB">
        <w:rPr>
          <w:rFonts w:ascii="Times New Roman" w:hAnsi="Times New Roman"/>
          <w:sz w:val="24"/>
          <w:szCs w:val="24"/>
        </w:rPr>
        <w:t xml:space="preserve"> </w:t>
      </w:r>
    </w:p>
    <w:p w:rsidR="007578CB" w:rsidRPr="007578CB" w:rsidP="00B76784">
      <w:pPr>
        <w:numPr>
          <w:numId w:val="3"/>
        </w:num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578CB">
        <w:rPr>
          <w:rFonts w:ascii="Times New Roman" w:hAnsi="Times New Roman"/>
          <w:sz w:val="24"/>
          <w:szCs w:val="24"/>
        </w:rPr>
        <w:t>zníženie hranice základu dane daňovníka, pri dosiahnutí ktorej je nezdaniteľná časť základu dane na manželku (manžela) nula, zo súčasnej úrovne 49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8CB">
        <w:rPr>
          <w:rFonts w:ascii="Times New Roman" w:hAnsi="Times New Roman"/>
          <w:sz w:val="24"/>
          <w:szCs w:val="24"/>
        </w:rPr>
        <w:t>345,49 eura na navrhovanú úroveň 34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8CB">
        <w:rPr>
          <w:rFonts w:ascii="Times New Roman" w:hAnsi="Times New Roman"/>
          <w:sz w:val="24"/>
          <w:szCs w:val="24"/>
        </w:rPr>
        <w:t>943,76 eura</w:t>
      </w:r>
      <w:r>
        <w:rPr>
          <w:rFonts w:ascii="Times New Roman" w:hAnsi="Times New Roman"/>
          <w:sz w:val="24"/>
          <w:szCs w:val="24"/>
        </w:rPr>
        <w:t>,</w:t>
      </w:r>
    </w:p>
    <w:p w:rsidR="007578CB" w:rsidP="00B7678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7578CB">
        <w:rPr>
          <w:rFonts w:ascii="Times New Roman" w:hAnsi="Times New Roman"/>
          <w:sz w:val="24"/>
          <w:szCs w:val="24"/>
        </w:rPr>
        <w:t>dopad na verejné financie predpokladáme plusový, t.j. bude zn</w:t>
      </w:r>
      <w:r>
        <w:rPr>
          <w:rFonts w:ascii="Times New Roman" w:hAnsi="Times New Roman"/>
          <w:sz w:val="24"/>
          <w:szCs w:val="24"/>
        </w:rPr>
        <w:t>i</w:t>
      </w:r>
      <w:r w:rsidRPr="007578CB">
        <w:rPr>
          <w:rFonts w:ascii="Times New Roman" w:hAnsi="Times New Roman"/>
          <w:sz w:val="24"/>
          <w:szCs w:val="24"/>
        </w:rPr>
        <w:t>žovať výdavky rozpočtu.</w:t>
      </w:r>
    </w:p>
    <w:p w:rsidR="007578CB" w:rsidRPr="00F219EA" w:rsidP="00B76784">
      <w:pPr>
        <w:bidi w:val="0"/>
        <w:jc w:val="both"/>
        <w:rPr>
          <w:rFonts w:ascii="Times New Roman" w:hAnsi="Times New Roman"/>
          <w:sz w:val="24"/>
          <w:szCs w:val="24"/>
        </w:rPr>
      </w:pPr>
      <w:r w:rsidRPr="00F219EA">
        <w:rPr>
          <w:rFonts w:ascii="Times New Roman" w:hAnsi="Times New Roman"/>
          <w:sz w:val="24"/>
          <w:szCs w:val="24"/>
        </w:rPr>
        <w:t xml:space="preserve">Znenie </w:t>
      </w:r>
      <w:r>
        <w:rPr>
          <w:rFonts w:ascii="Times New Roman" w:hAnsi="Times New Roman"/>
          <w:sz w:val="24"/>
          <w:szCs w:val="24"/>
        </w:rPr>
        <w:t>návrhu zákona</w:t>
      </w:r>
      <w:r w:rsidRPr="00F219EA">
        <w:rPr>
          <w:rFonts w:ascii="Times New Roman" w:hAnsi="Times New Roman"/>
          <w:sz w:val="24"/>
          <w:szCs w:val="24"/>
        </w:rPr>
        <w:t xml:space="preserve"> je v súlade s Ústavou SR, ústavnými zákonmi SR, zákonmi a všeobecne záväznými právnymi predpismi, medzinárodnými zmluvami, ktorými je Slovenská republika viazaná a inými medzinárodnými dokumentmi, ktorými je S</w:t>
      </w:r>
      <w:r>
        <w:rPr>
          <w:rFonts w:ascii="Times New Roman" w:hAnsi="Times New Roman"/>
          <w:sz w:val="24"/>
          <w:szCs w:val="24"/>
        </w:rPr>
        <w:t>lovenská republika</w:t>
      </w:r>
      <w:r w:rsidRPr="00F219EA">
        <w:rPr>
          <w:rFonts w:ascii="Times New Roman" w:hAnsi="Times New Roman"/>
          <w:sz w:val="24"/>
          <w:szCs w:val="24"/>
        </w:rPr>
        <w:t xml:space="preserve"> viazaná. </w:t>
      </w:r>
    </w:p>
    <w:p w:rsidR="007578CB" w:rsidRPr="00F219EA" w:rsidP="00B76784">
      <w:pPr>
        <w:bidi w:val="0"/>
        <w:jc w:val="both"/>
        <w:rPr>
          <w:rFonts w:ascii="Times New Roman" w:hAnsi="Times New Roman"/>
          <w:sz w:val="24"/>
          <w:szCs w:val="24"/>
        </w:rPr>
      </w:pPr>
      <w:r w:rsidR="00B76784">
        <w:rPr>
          <w:rFonts w:ascii="Times New Roman" w:hAnsi="Times New Roman"/>
          <w:sz w:val="24"/>
          <w:szCs w:val="24"/>
        </w:rPr>
        <w:t xml:space="preserve">Predložený návrh </w:t>
      </w:r>
      <w:r w:rsidRPr="00F219EA">
        <w:rPr>
          <w:rFonts w:ascii="Times New Roman" w:hAnsi="Times New Roman"/>
          <w:sz w:val="24"/>
          <w:szCs w:val="24"/>
        </w:rPr>
        <w:t>má</w:t>
      </w:r>
      <w:r w:rsidR="00B76784">
        <w:rPr>
          <w:rFonts w:ascii="Times New Roman" w:hAnsi="Times New Roman"/>
          <w:sz w:val="24"/>
          <w:szCs w:val="24"/>
        </w:rPr>
        <w:t xml:space="preserve"> pozitívny</w:t>
      </w:r>
      <w:r w:rsidRPr="00F219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vplyv na rozpočet verejnej správy.  </w:t>
      </w:r>
    </w:p>
    <w:p w:rsidR="007578CB" w:rsidP="00B76784">
      <w:pPr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F219EA">
        <w:rPr>
          <w:rFonts w:ascii="Times New Roman" w:hAnsi="Times New Roman"/>
          <w:color w:val="000000"/>
          <w:sz w:val="24"/>
          <w:szCs w:val="24"/>
        </w:rPr>
        <w:t>Predložený návrh právnej úpravy nepredpokladá negatívny dopad na životné prostredie na miestnej, regionálnej i celoslovenskej úrovni.</w:t>
      </w:r>
      <w:r w:rsidRPr="00F219EA">
        <w:rPr>
          <w:rFonts w:ascii="Times New Roman" w:hAnsi="Times New Roman"/>
          <w:sz w:val="24"/>
          <w:szCs w:val="24"/>
        </w:rPr>
        <w:t xml:space="preserve"> </w:t>
      </w:r>
      <w:r w:rsidRPr="00F219EA">
        <w:rPr>
          <w:rFonts w:ascii="Times New Roman" w:hAnsi="Times New Roman"/>
          <w:color w:val="000000"/>
          <w:sz w:val="24"/>
          <w:szCs w:val="24"/>
        </w:rPr>
        <w:t>Návrh nezakladá nároky na tvorbu nových pracovných miest vo verejnej správe, ani nepredpokladá vplyv na informatizáciu spoločnosti.</w:t>
      </w:r>
    </w:p>
    <w:p w:rsidR="007578CB" w:rsidP="007578C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B76784" w:rsidP="00B76784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Osobitná časť</w:t>
      </w:r>
    </w:p>
    <w:p w:rsidR="00B76784" w:rsidP="00B76784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</w:t>
      </w:r>
    </w:p>
    <w:p w:rsidR="00B76784" w:rsidP="00B76784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Bod 1. – 3.</w:t>
      </w:r>
    </w:p>
    <w:p w:rsidR="00B76784" w:rsidP="00B7678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Menia sa násobky životného minima, na základe ktorých sa vypočítavajú odpočítateľné položky na manžela / manželku na daň z príjmu fyzických osôb. Nové násobky, ktoré sa zavádzajú v návrhu, sú nastavené tak, aby sa spĺňali stanovené parametre, t.j.:</w:t>
      </w:r>
    </w:p>
    <w:p w:rsidR="00B76784" w:rsidP="00B76784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hranica základu dane daňovníka, pri dosiahnutí ktorej je nezdaniteľná časť základu dane na manžela / manželku najvyššia, sa znižuje z dnešných 34 401,74 € na navrhovaných 20 000 €,</w:t>
      </w:r>
    </w:p>
    <w:p w:rsidR="00B76784" w:rsidP="00B76784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7578CB">
        <w:rPr>
          <w:rFonts w:ascii="Times New Roman" w:hAnsi="Times New Roman"/>
          <w:sz w:val="24"/>
          <w:szCs w:val="24"/>
        </w:rPr>
        <w:t>hranic</w:t>
      </w:r>
      <w:r>
        <w:rPr>
          <w:rFonts w:ascii="Times New Roman" w:hAnsi="Times New Roman"/>
          <w:sz w:val="24"/>
          <w:szCs w:val="24"/>
        </w:rPr>
        <w:t>a</w:t>
      </w:r>
      <w:r w:rsidRPr="007578CB">
        <w:rPr>
          <w:rFonts w:ascii="Times New Roman" w:hAnsi="Times New Roman"/>
          <w:sz w:val="24"/>
          <w:szCs w:val="24"/>
        </w:rPr>
        <w:t xml:space="preserve"> základu dane daňovníka, pri dosiahnutí ktorej je nezdaniteľná</w:t>
      </w:r>
      <w:r>
        <w:rPr>
          <w:rFonts w:ascii="Times New Roman" w:hAnsi="Times New Roman"/>
          <w:sz w:val="24"/>
          <w:szCs w:val="24"/>
        </w:rPr>
        <w:t xml:space="preserve"> časť základu dane na manželku / </w:t>
      </w:r>
      <w:r w:rsidRPr="007578CB">
        <w:rPr>
          <w:rFonts w:ascii="Times New Roman" w:hAnsi="Times New Roman"/>
          <w:sz w:val="24"/>
          <w:szCs w:val="24"/>
        </w:rPr>
        <w:t>manžela nula,</w:t>
      </w:r>
      <w:r>
        <w:rPr>
          <w:rFonts w:ascii="Times New Roman" w:hAnsi="Times New Roman"/>
          <w:sz w:val="24"/>
          <w:szCs w:val="24"/>
        </w:rPr>
        <w:t xml:space="preserve"> sa</w:t>
      </w:r>
      <w:r w:rsidRPr="007578CB">
        <w:rPr>
          <w:rFonts w:ascii="Times New Roman" w:hAnsi="Times New Roman"/>
          <w:sz w:val="24"/>
          <w:szCs w:val="24"/>
        </w:rPr>
        <w:t xml:space="preserve"> zo súčasnej úrovne 49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8CB">
        <w:rPr>
          <w:rFonts w:ascii="Times New Roman" w:hAnsi="Times New Roman"/>
          <w:sz w:val="24"/>
          <w:szCs w:val="24"/>
        </w:rPr>
        <w:t xml:space="preserve">345,49 </w:t>
      </w:r>
      <w:r>
        <w:rPr>
          <w:rFonts w:ascii="Times New Roman" w:hAnsi="Times New Roman"/>
          <w:sz w:val="24"/>
          <w:szCs w:val="24"/>
        </w:rPr>
        <w:t>€ znižuje</w:t>
      </w:r>
      <w:r w:rsidRPr="007578CB">
        <w:rPr>
          <w:rFonts w:ascii="Times New Roman" w:hAnsi="Times New Roman"/>
          <w:sz w:val="24"/>
          <w:szCs w:val="24"/>
        </w:rPr>
        <w:t xml:space="preserve"> na navrhovanú úroveň 34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78CB">
        <w:rPr>
          <w:rFonts w:ascii="Times New Roman" w:hAnsi="Times New Roman"/>
          <w:sz w:val="24"/>
          <w:szCs w:val="24"/>
        </w:rPr>
        <w:t xml:space="preserve">943,76 </w:t>
      </w:r>
      <w:r>
        <w:rPr>
          <w:rFonts w:ascii="Times New Roman" w:hAnsi="Times New Roman"/>
          <w:sz w:val="24"/>
          <w:szCs w:val="24"/>
        </w:rPr>
        <w:t>€.</w:t>
      </w:r>
    </w:p>
    <w:p w:rsidR="00B76784" w:rsidP="00B76784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Bod 4</w:t>
      </w:r>
    </w:p>
    <w:p w:rsidR="00B76784" w:rsidP="00B7678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zaviesť spoločné daňové priznanie, ktoré môžu podávať manželia, ktorí spĺňajú stanovené podmienky, a to:</w:t>
      </w:r>
    </w:p>
    <w:p w:rsidR="00B76784" w:rsidP="00B76784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spoločný ročný základ dane manželov je maximálne 20 000 €,</w:t>
      </w:r>
    </w:p>
    <w:p w:rsidR="00B76784" w:rsidP="00B76784">
      <w:pPr>
        <w:pStyle w:val="ListParagraph"/>
        <w:numPr>
          <w:numId w:val="3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manželia vychovávajú aspoň jedno dieťa až do jeho začatia plnenia povinnej školskej dochádzky</w:t>
      </w:r>
      <w:r w:rsidR="00F16D94">
        <w:rPr>
          <w:rFonts w:ascii="Times New Roman" w:hAnsi="Times New Roman"/>
          <w:sz w:val="24"/>
          <w:szCs w:val="24"/>
        </w:rPr>
        <w:t>.</w:t>
      </w:r>
    </w:p>
    <w:p w:rsidR="00F16D94" w:rsidP="00F16D9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takomto prípade sa navrhuje odpočítateľná položka pri spoločnom daňovom priznaní až do výšky 7 200 €, čím sa zníži daňový základ a podporia sa tak nízkopríjmové, najmä mladé rodiny s deťmi. Ustanovenia o podávaní daňového priznania sa pri spoločnom daňovom priznaní použijú primerane.</w:t>
      </w:r>
    </w:p>
    <w:p w:rsidR="00F16D94" w:rsidP="00F16D94">
      <w:pPr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F16D94" w:rsidP="00F16D94">
      <w:p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F16D94" w:rsidRPr="00F16D94" w:rsidP="00F16D9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Stanovuje sa účinnosť zákona na 1. </w:t>
      </w:r>
      <w:r w:rsidR="00B37153">
        <w:rPr>
          <w:rFonts w:ascii="Times New Roman" w:hAnsi="Times New Roman"/>
          <w:sz w:val="24"/>
          <w:szCs w:val="24"/>
        </w:rPr>
        <w:t>apríl</w:t>
      </w:r>
      <w:r>
        <w:rPr>
          <w:rFonts w:ascii="Times New Roman" w:hAnsi="Times New Roman"/>
          <w:sz w:val="24"/>
          <w:szCs w:val="24"/>
        </w:rPr>
        <w:t xml:space="preserve"> 201</w:t>
      </w:r>
      <w:r w:rsidR="00B3715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14E8"/>
    <w:multiLevelType w:val="hybridMultilevel"/>
    <w:tmpl w:val="0F0491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68119FB"/>
    <w:multiLevelType w:val="hybridMultilevel"/>
    <w:tmpl w:val="4D54F3E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8E52B7E"/>
    <w:multiLevelType w:val="hybridMultilevel"/>
    <w:tmpl w:val="E3A25D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doNotTrackMoves/>
  <w:defaultTabStop w:val="708"/>
  <w:hyphenationZone w:val="425"/>
  <w:characterSpacingControl w:val="doNotCompress"/>
  <w:compat/>
  <w:rsids>
    <w:rsidRoot w:val="00E5505E"/>
    <w:rsid w:val="001C6A29"/>
    <w:rsid w:val="003C35A1"/>
    <w:rsid w:val="005A02B4"/>
    <w:rsid w:val="005A0F4F"/>
    <w:rsid w:val="007578CB"/>
    <w:rsid w:val="00B37153"/>
    <w:rsid w:val="00B646E1"/>
    <w:rsid w:val="00B76784"/>
    <w:rsid w:val="00D84087"/>
    <w:rsid w:val="00DD70A4"/>
    <w:rsid w:val="00E5505E"/>
    <w:rsid w:val="00F16D94"/>
    <w:rsid w:val="00F219E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78C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779</Words>
  <Characters>4446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2015-10-23T16:58:00Z</dcterms:created>
  <dcterms:modified xsi:type="dcterms:W3CDTF">2015-10-23T16:58:00Z</dcterms:modified>
</cp:coreProperties>
</file>