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742FD8">
      <w:pPr>
        <w:pStyle w:val="NormalWeb"/>
        <w:bidi w:val="0"/>
        <w:spacing w:before="120" w:after="0" w:line="276" w:lineRule="auto"/>
        <w:jc w:val="center"/>
        <w:rPr>
          <w:rFonts w:ascii="Book Antiqua" w:hAnsi="Book Antiqua" w:cs="Book Antiqua"/>
          <w:bCs/>
          <w:sz w:val="22"/>
          <w:szCs w:val="22"/>
        </w:rPr>
      </w:pPr>
      <w:r>
        <w:rPr>
          <w:rFonts w:ascii="Book Antiqua" w:hAnsi="Book Antiqua" w:cs="Book Antiqua"/>
          <w:b/>
          <w:bCs/>
          <w:caps/>
          <w:spacing w:val="30"/>
          <w:sz w:val="22"/>
          <w:szCs w:val="22"/>
        </w:rPr>
        <w:t>Dôvodová správa</w:t>
      </w:r>
    </w:p>
    <w:p w:rsidR="00742FD8">
      <w:pPr>
        <w:pStyle w:val="Heading1"/>
        <w:bidi w:val="0"/>
        <w:spacing w:before="120" w:line="276" w:lineRule="auto"/>
        <w:rPr>
          <w:rFonts w:ascii="Book Antiqua" w:hAnsi="Book Antiqua" w:cs="Book Antiqua"/>
          <w:sz w:val="22"/>
          <w:szCs w:val="22"/>
        </w:rPr>
      </w:pPr>
      <w:r>
        <w:rPr>
          <w:rFonts w:ascii="Book Antiqua" w:hAnsi="Book Antiqua" w:cs="Book Antiqua"/>
          <w:b w:val="0"/>
          <w:bCs/>
          <w:sz w:val="22"/>
          <w:szCs w:val="22"/>
        </w:rPr>
        <w:t> </w:t>
      </w:r>
    </w:p>
    <w:p w:rsidR="00742FD8">
      <w:pPr>
        <w:pStyle w:val="Heading1"/>
        <w:bidi w:val="0"/>
        <w:spacing w:before="120" w:line="276" w:lineRule="auto"/>
        <w:jc w:val="left"/>
        <w:rPr>
          <w:rFonts w:ascii="Book Antiqua" w:hAnsi="Book Antiqua" w:cs="Book Antiqua"/>
          <w:sz w:val="22"/>
        </w:rPr>
      </w:pPr>
      <w:r>
        <w:rPr>
          <w:rFonts w:ascii="Book Antiqua" w:hAnsi="Book Antiqua" w:cs="Book Antiqua"/>
          <w:sz w:val="22"/>
          <w:szCs w:val="22"/>
        </w:rPr>
        <w:t>A. Všeobecná časť</w:t>
      </w:r>
    </w:p>
    <w:p w:rsidR="00742FD8">
      <w:pPr>
        <w:bidi w:val="0"/>
        <w:spacing w:line="276" w:lineRule="auto"/>
        <w:jc w:val="center"/>
        <w:rPr>
          <w:rFonts w:ascii="Book Antiqua" w:hAnsi="Book Antiqua" w:cs="Book Antiqua"/>
          <w:b/>
          <w:sz w:val="22"/>
        </w:rPr>
      </w:pPr>
    </w:p>
    <w:p w:rsidR="00742FD8">
      <w:pPr>
        <w:bidi w:val="0"/>
        <w:spacing w:line="276" w:lineRule="auto"/>
        <w:ind w:firstLine="708"/>
        <w:jc w:val="both"/>
        <w:rPr>
          <w:rFonts w:ascii="Book Antiqua" w:hAnsi="Book Antiqua" w:cs="Arial"/>
          <w:sz w:val="22"/>
          <w:szCs w:val="22"/>
        </w:rPr>
      </w:pPr>
      <w:r>
        <w:rPr>
          <w:rFonts w:ascii="Book Antiqua" w:hAnsi="Book Antiqua" w:cs="Book Antiqua"/>
          <w:sz w:val="22"/>
        </w:rPr>
        <w:t xml:space="preserve">Zákon, ktorým sa mení a dopĺňa zákon č. 101/2010 Z. z. o preukazovaní pôvodu majetku </w:t>
      </w:r>
      <w:r>
        <w:rPr>
          <w:rFonts w:ascii="Book Antiqua" w:hAnsi="Book Antiqua" w:cs="Book Antiqua"/>
          <w:sz w:val="22"/>
          <w:szCs w:val="22"/>
        </w:rPr>
        <w:t>(ďalej len „návrh zákona“) predkladá skupina poslancov Národnej rady Slovenskej republiky (ďalej len „NR SR“) za hnutie OBYČAJNÍ ĽUDIA a nezávislé osobnosti.</w:t>
      </w:r>
    </w:p>
    <w:p w:rsidR="00742FD8">
      <w:pPr>
        <w:pStyle w:val="NormalWeb"/>
        <w:bidi w:val="0"/>
        <w:spacing w:before="120" w:after="0" w:line="276" w:lineRule="auto"/>
        <w:jc w:val="both"/>
        <w:rPr>
          <w:rFonts w:ascii="Book Antiqua" w:hAnsi="Book Antiqua" w:cs="Book Antiqua"/>
          <w:sz w:val="22"/>
        </w:rPr>
      </w:pPr>
      <w:r>
        <w:rPr>
          <w:rFonts w:ascii="Book Antiqua" w:hAnsi="Book Antiqua" w:cs="Arial"/>
          <w:sz w:val="22"/>
          <w:szCs w:val="22"/>
        </w:rPr>
        <w:tab/>
      </w:r>
      <w:r>
        <w:rPr>
          <w:rFonts w:ascii="Book Antiqua" w:hAnsi="Book Antiqua" w:cs="Arial"/>
          <w:b/>
          <w:sz w:val="22"/>
          <w:szCs w:val="22"/>
        </w:rPr>
        <w:t xml:space="preserve">Hlavným účelom návrhu zákona je sfunkčnenie </w:t>
      </w:r>
      <w:r>
        <w:rPr>
          <w:rFonts w:ascii="Book Antiqua" w:hAnsi="Book Antiqua" w:cs="Book Antiqua"/>
          <w:b/>
          <w:sz w:val="22"/>
        </w:rPr>
        <w:t>zákona č. 101/2010 Z. z. o preukazovaní pôvodu majetku (ďalej len „zákon o preukazovaní pôvodu majetku“) po niekoľkých rokoch od jeho prijatia a vytvorenie účinného nástroja postihujúceho osoby, ktoré si užívajú veľký majetok, na ktorý si nezarobili legálnym spôsobom.</w:t>
      </w:r>
    </w:p>
    <w:p w:rsidR="00742FD8">
      <w:pPr>
        <w:pStyle w:val="NormalWeb"/>
        <w:bidi w:val="0"/>
        <w:spacing w:before="120" w:after="0" w:line="276" w:lineRule="auto"/>
        <w:jc w:val="both"/>
        <w:rPr>
          <w:rFonts w:ascii="Book Antiqua" w:hAnsi="Book Antiqua" w:cs="Book Antiqua"/>
          <w:sz w:val="22"/>
        </w:rPr>
      </w:pPr>
      <w:r>
        <w:rPr>
          <w:rFonts w:ascii="Book Antiqua" w:hAnsi="Book Antiqua" w:cs="Book Antiqua"/>
          <w:sz w:val="22"/>
        </w:rPr>
        <w:tab/>
        <w:t>Zákon o preukazovaní majetku bol prvýkrát prijatý v roku 2005 ako nástroj na zhabanie majetku voči osobám, ktoré nevedeli preukázať jeho získanie legálnym spôsobom. Následne bola táto právna norma napadnutá na Ústavnom súde SR, ktorý vyslovil jeho nesúlad s Ústavou SR. Poslanci v roku 2010 prijali nielen zmenu Ústavy SR, ale súčasne prijali aj novú právnu úpravu, ktorou sa mal vyššie uvedený problém protiústavnosti riešiť. Tento zákon bol prezentovaný ako nepriestrelný nástroj voči všetkým, ktorí užívajú veľké majetky, no nevedia získanie financií na nich dokázať.</w:t>
      </w:r>
    </w:p>
    <w:p w:rsidR="00742FD8">
      <w:pPr>
        <w:pStyle w:val="NormalWeb"/>
        <w:bidi w:val="0"/>
        <w:spacing w:before="120" w:after="0" w:line="276" w:lineRule="auto"/>
        <w:jc w:val="both"/>
        <w:rPr>
          <w:rFonts w:ascii="Book Antiqua" w:hAnsi="Book Antiqua" w:cs="Book Antiqua"/>
          <w:sz w:val="22"/>
        </w:rPr>
      </w:pPr>
      <w:r>
        <w:rPr>
          <w:rFonts w:ascii="Book Antiqua" w:hAnsi="Book Antiqua" w:cs="Book Antiqua"/>
          <w:sz w:val="22"/>
        </w:rPr>
        <w:tab/>
        <w:t xml:space="preserve">Po takmer štyroch rokov od účinnosti nového zákona o preukazovaní pôvodu majetku vidíme, a prax nám to potvrdila, že </w:t>
      </w:r>
      <w:r>
        <w:rPr>
          <w:rFonts w:ascii="Book Antiqua" w:hAnsi="Book Antiqua" w:cs="Book Antiqua"/>
          <w:b/>
          <w:sz w:val="22"/>
        </w:rPr>
        <w:t>zákon ako taký je úplne neúčinný, čo však nie je spôsobené legálnosťou všetkého majetku nachádzajúceho sa na našom území, ale bezzubosťou súčasného zákona. Tento fakt potvrdil dokonca aj Generálny prokurátor SR pri prezentovaní svojej výročnej správy v NR SR.</w:t>
      </w:r>
      <w:r>
        <w:rPr>
          <w:rFonts w:ascii="Book Antiqua" w:hAnsi="Book Antiqua" w:cs="Book Antiqua"/>
          <w:sz w:val="22"/>
        </w:rPr>
        <w:t xml:space="preserve"> </w:t>
      </w:r>
    </w:p>
    <w:p w:rsidR="00742FD8">
      <w:pPr>
        <w:pStyle w:val="NormalWeb"/>
        <w:bidi w:val="0"/>
        <w:spacing w:before="120" w:after="0" w:line="276" w:lineRule="auto"/>
        <w:jc w:val="both"/>
        <w:rPr>
          <w:rFonts w:ascii="Book Antiqua" w:hAnsi="Book Antiqua" w:cs="Book Antiqua"/>
          <w:sz w:val="22"/>
        </w:rPr>
      </w:pPr>
      <w:r>
        <w:rPr>
          <w:rFonts w:ascii="Book Antiqua" w:hAnsi="Book Antiqua" w:cs="Book Antiqua"/>
          <w:sz w:val="22"/>
        </w:rPr>
        <w:tab/>
      </w:r>
      <w:r>
        <w:rPr>
          <w:rFonts w:ascii="Book Antiqua" w:hAnsi="Book Antiqua" w:cs="Book Antiqua"/>
          <w:b/>
          <w:sz w:val="22"/>
        </w:rPr>
        <w:t>Návrhom zákona sa chce riešiť najzásadnejší okruh problémov, po odstránení ktorých, by bolo možné odoberať nelegálne získaný majetok a súčasne urýchliť celý proces od podania návrhu až po finálne rozhodnutie súdu</w:t>
      </w:r>
      <w:r>
        <w:rPr>
          <w:rFonts w:ascii="Book Antiqua" w:hAnsi="Book Antiqua" w:cs="Book Antiqua"/>
          <w:sz w:val="22"/>
        </w:rPr>
        <w:t xml:space="preserve">. </w:t>
      </w:r>
      <w:r>
        <w:rPr>
          <w:rFonts w:ascii="Book Antiqua" w:hAnsi="Book Antiqua" w:cs="Book Antiqua"/>
          <w:b/>
          <w:sz w:val="22"/>
        </w:rPr>
        <w:t xml:space="preserve">Predovšetkým sa navrhuje zníženie limitu majetkového prírastku z 1500-násobku </w:t>
      </w:r>
      <w:r w:rsidR="00C6611C">
        <w:rPr>
          <w:rFonts w:ascii="Book Antiqua" w:hAnsi="Book Antiqua" w:cs="Book Antiqua"/>
          <w:b/>
          <w:sz w:val="22"/>
        </w:rPr>
        <w:t xml:space="preserve">minimálnej mzdy </w:t>
      </w:r>
      <w:r>
        <w:rPr>
          <w:rFonts w:ascii="Book Antiqua" w:hAnsi="Book Antiqua" w:cs="Book Antiqua"/>
          <w:b/>
          <w:sz w:val="22"/>
        </w:rPr>
        <w:t xml:space="preserve">na </w:t>
      </w:r>
      <w:r w:rsidR="00C6611C">
        <w:rPr>
          <w:rFonts w:ascii="Book Antiqua" w:hAnsi="Book Antiqua" w:cs="Book Antiqua"/>
          <w:b/>
          <w:sz w:val="22"/>
        </w:rPr>
        <w:t>1</w:t>
      </w:r>
      <w:r>
        <w:rPr>
          <w:rFonts w:ascii="Book Antiqua" w:hAnsi="Book Antiqua" w:cs="Book Antiqua"/>
          <w:b/>
          <w:sz w:val="22"/>
        </w:rPr>
        <w:t xml:space="preserve">500-násobok sumy životného minima, ktorý nevie majiteľ preukázať. </w:t>
      </w:r>
      <w:r>
        <w:rPr>
          <w:rFonts w:ascii="Book Antiqua" w:hAnsi="Book Antiqua" w:cs="Book Antiqua"/>
          <w:sz w:val="22"/>
        </w:rPr>
        <w:t xml:space="preserve">To znamená, že pokiaľ niekto vlastní veľkú nehnuteľnosť, a nevie preukázať </w:t>
      </w:r>
      <w:r w:rsidR="00C6611C">
        <w:rPr>
          <w:rFonts w:ascii="Book Antiqua" w:hAnsi="Book Antiqua" w:cs="Book Antiqua"/>
          <w:sz w:val="22"/>
        </w:rPr>
        <w:t>takmer 300</w:t>
      </w:r>
      <w:r>
        <w:rPr>
          <w:rFonts w:ascii="Book Antiqua" w:hAnsi="Book Antiqua" w:cs="Book Antiqua"/>
          <w:sz w:val="22"/>
        </w:rPr>
        <w:t xml:space="preserve">.000 eur a viac, ktoré použil na obstaranie daného majetku, začne sa voči nemu konanie. </w:t>
      </w:r>
      <w:r>
        <w:rPr>
          <w:rFonts w:ascii="Book Antiqua" w:hAnsi="Book Antiqua" w:cs="Book Antiqua"/>
          <w:b/>
          <w:sz w:val="22"/>
        </w:rPr>
        <w:t>Rovnako sa prenáša dôkazné bremeno z finančnej polície na osobu, ktorej majetok patrí. Podozrivá osoba by tak musela vyvracať podozrenie, že majetok nenadobudla nelegálne, ale za vlastné finančné prostriedky, príjmy alebo iné zdroje, ktoré vie doložiť.</w:t>
      </w:r>
    </w:p>
    <w:p w:rsidR="00742FD8">
      <w:pPr>
        <w:pStyle w:val="NormalWeb"/>
        <w:bidi w:val="0"/>
        <w:spacing w:before="120" w:after="0" w:line="276" w:lineRule="auto"/>
        <w:jc w:val="both"/>
        <w:rPr>
          <w:rFonts w:ascii="Book Antiqua" w:hAnsi="Book Antiqua" w:cs="Book Antiqua"/>
          <w:sz w:val="22"/>
        </w:rPr>
      </w:pPr>
      <w:r>
        <w:rPr>
          <w:rFonts w:ascii="Book Antiqua" w:hAnsi="Book Antiqua" w:cs="Book Antiqua"/>
          <w:sz w:val="22"/>
        </w:rPr>
        <w:tab/>
      </w:r>
      <w:r>
        <w:rPr>
          <w:rFonts w:ascii="Book Antiqua" w:hAnsi="Book Antiqua" w:cs="Book Antiqua"/>
          <w:b/>
          <w:sz w:val="22"/>
        </w:rPr>
        <w:t>Ďalší významný nástroj, ktorým chceme zefektívniť celé konanie je priamo v návrhu zákona zakotviť moment, od ktorého sa bude počítať hodnota majetku vo všetkých štádiách konania.</w:t>
      </w:r>
      <w:r>
        <w:rPr>
          <w:rFonts w:ascii="Book Antiqua" w:hAnsi="Book Antiqua" w:cs="Book Antiqua"/>
          <w:sz w:val="22"/>
        </w:rPr>
        <w:t xml:space="preserve"> Súčasný zákon pôsobil neefektívne aj preto, že osoby, voči ktorým sa začalo konanie, previedli svoje majetky na iné osoby a následne z dôvodu ich nemajetnosti musela finančná polícia alebo prokuratúra celé konanie zastaviť a prípad nešiel ani pred súd.</w:t>
      </w:r>
    </w:p>
    <w:p w:rsidR="00742FD8">
      <w:pPr>
        <w:pStyle w:val="NormalWeb"/>
        <w:bidi w:val="0"/>
        <w:spacing w:before="120" w:after="0" w:line="276" w:lineRule="auto"/>
        <w:jc w:val="both"/>
        <w:rPr>
          <w:rFonts w:ascii="Book Antiqua" w:hAnsi="Book Antiqua" w:cs="Book Antiqua"/>
          <w:sz w:val="22"/>
        </w:rPr>
      </w:pPr>
      <w:r>
        <w:rPr>
          <w:rFonts w:ascii="Book Antiqua" w:hAnsi="Book Antiqua" w:cs="Book Antiqua"/>
          <w:sz w:val="22"/>
        </w:rPr>
        <w:tab/>
        <w:t xml:space="preserve">Posledná časť opatrení je zameraná na </w:t>
      </w:r>
      <w:r>
        <w:rPr>
          <w:rFonts w:ascii="Book Antiqua" w:hAnsi="Book Antiqua" w:cs="Book Antiqua"/>
          <w:b/>
          <w:sz w:val="22"/>
        </w:rPr>
        <w:t>zrýchlenie celého procesu a to prostredníctvom presnej lehoty pre prokuratúru, v ktorej má podať návrh na začatie konania o vyslovenie nadobudnutia majetku z nelegálnych príjmov na súd  a rovnako stanovením lehoty pre súd, v ktorej má vydať finálne rozhodnutie, a to buď v podobe prepadnutia majetku alebo zastavení konania.</w:t>
      </w:r>
    </w:p>
    <w:p w:rsidR="00742FD8">
      <w:pPr>
        <w:pStyle w:val="NormalWeb"/>
        <w:bidi w:val="0"/>
        <w:spacing w:before="120" w:after="0" w:line="276" w:lineRule="auto"/>
        <w:jc w:val="both"/>
        <w:rPr>
          <w:rFonts w:ascii="Book Antiqua" w:hAnsi="Book Antiqua" w:cs="Book Antiqua"/>
          <w:sz w:val="22"/>
          <w:szCs w:val="22"/>
        </w:rPr>
      </w:pPr>
      <w:r>
        <w:rPr>
          <w:rFonts w:ascii="Book Antiqua" w:hAnsi="Book Antiqua" w:cs="Book Antiqua"/>
          <w:sz w:val="22"/>
        </w:rPr>
        <w:tab/>
        <w:t>Po prijatí nášho návrhu zákona by sa mal celý proces preukazovania pôvodu majetku nielen zefektívniť, ale aj urýchliť a tak vytvoriť na území Slovenskej republiky stav, v ktorom ústavnú ochranu majetku požíva len legálne získaný majetok a tie osoby, ktoré nevedia preukázať nad zákonom stanovenú hranicu svoj pôvod majetku, dôjde k jeho prepadnutiu v prospech štátu.</w:t>
      </w:r>
    </w:p>
    <w:p w:rsidR="00742FD8">
      <w:pPr>
        <w:pStyle w:val="NormalWeb"/>
        <w:bidi w:val="0"/>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 xml:space="preserve">Predkladaný návrh zákona nemá vplyv na rozpočet verejnej správy, nevyvoláva sociálne vplyvy (rovnosť príležitostí), nemá vplyv na podnikateľskú sféru, nevyvoláva vplyvy na životné prostredie a ani vplyvy na informatizáciu spoločnosti. </w:t>
      </w:r>
    </w:p>
    <w:p w:rsidR="00742FD8">
      <w:pPr>
        <w:pStyle w:val="NormalWeb"/>
        <w:bidi w:val="0"/>
        <w:spacing w:before="120" w:after="0" w:line="276" w:lineRule="auto"/>
        <w:ind w:firstLine="708"/>
        <w:jc w:val="both"/>
        <w:rPr>
          <w:rFonts w:ascii="Book Antiqua" w:hAnsi="Book Antiqua" w:cs="Book Antiqua"/>
          <w:b/>
          <w:bCs/>
          <w:sz w:val="22"/>
          <w:szCs w:val="22"/>
        </w:rPr>
      </w:pPr>
      <w:r>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742FD8">
      <w:pPr>
        <w:pStyle w:val="NormalWeb"/>
        <w:pageBreakBefore/>
        <w:bidi w:val="0"/>
        <w:spacing w:before="120" w:after="0" w:line="276" w:lineRule="auto"/>
        <w:jc w:val="both"/>
        <w:rPr>
          <w:rFonts w:ascii="Book Antiqua" w:hAnsi="Book Antiqua" w:cs="Book Antiqua"/>
          <w:sz w:val="22"/>
          <w:szCs w:val="22"/>
        </w:rPr>
      </w:pPr>
      <w:r>
        <w:rPr>
          <w:rFonts w:ascii="Book Antiqua" w:hAnsi="Book Antiqua" w:cs="Book Antiqua"/>
          <w:b/>
          <w:bCs/>
          <w:sz w:val="22"/>
          <w:szCs w:val="22"/>
        </w:rPr>
        <w:t>B. Osobitná časť</w:t>
      </w:r>
    </w:p>
    <w:p w:rsidR="00742FD8">
      <w:pPr>
        <w:pStyle w:val="NormalWeb"/>
        <w:bidi w:val="0"/>
        <w:spacing w:before="120" w:after="0" w:line="276" w:lineRule="auto"/>
        <w:jc w:val="both"/>
        <w:rPr>
          <w:rFonts w:ascii="Book Antiqua" w:hAnsi="Book Antiqua" w:cs="Book Antiqua"/>
          <w:sz w:val="22"/>
          <w:szCs w:val="22"/>
        </w:rPr>
      </w:pPr>
    </w:p>
    <w:p w:rsidR="00742FD8">
      <w:pPr>
        <w:pStyle w:val="NormalWeb"/>
        <w:bidi w:val="0"/>
        <w:spacing w:before="120" w:after="0" w:line="276" w:lineRule="auto"/>
        <w:jc w:val="both"/>
        <w:rPr>
          <w:rFonts w:ascii="Book Antiqua" w:hAnsi="Book Antiqua" w:cs="Book Antiqua"/>
          <w:bCs/>
          <w:sz w:val="22"/>
          <w:szCs w:val="22"/>
          <w:u w:val="single"/>
        </w:rPr>
      </w:pPr>
      <w:r>
        <w:rPr>
          <w:rFonts w:ascii="Book Antiqua" w:hAnsi="Book Antiqua" w:cs="Book Antiqua"/>
          <w:b/>
          <w:bCs/>
          <w:sz w:val="22"/>
          <w:szCs w:val="22"/>
        </w:rPr>
        <w:t>K Čl. I</w:t>
      </w:r>
    </w:p>
    <w:p w:rsidR="00742FD8">
      <w:pPr>
        <w:pStyle w:val="NormalWeb"/>
        <w:bidi w:val="0"/>
        <w:spacing w:before="120" w:after="0" w:line="276" w:lineRule="auto"/>
        <w:jc w:val="both"/>
        <w:rPr>
          <w:rFonts w:ascii="Book Antiqua" w:hAnsi="Book Antiqua" w:cs="Book Antiqua"/>
          <w:b/>
          <w:bCs/>
          <w:sz w:val="22"/>
          <w:szCs w:val="22"/>
        </w:rPr>
      </w:pPr>
      <w:r>
        <w:rPr>
          <w:rFonts w:ascii="Book Antiqua" w:hAnsi="Book Antiqua" w:cs="Book Antiqua"/>
          <w:bCs/>
          <w:sz w:val="22"/>
          <w:szCs w:val="22"/>
          <w:u w:val="single"/>
        </w:rPr>
        <w:t>K bodom 1 a 3</w:t>
      </w:r>
    </w:p>
    <w:p w:rsidR="00742FD8">
      <w:pPr>
        <w:pStyle w:val="NormalWeb"/>
        <w:bidi w:val="0"/>
        <w:spacing w:before="120" w:after="0" w:line="276" w:lineRule="auto"/>
        <w:jc w:val="both"/>
        <w:rPr>
          <w:rFonts w:ascii="Book Antiqua" w:hAnsi="Book Antiqua" w:cs="Book Antiqua"/>
          <w:bCs/>
          <w:sz w:val="22"/>
          <w:szCs w:val="22"/>
        </w:rPr>
      </w:pPr>
      <w:r>
        <w:rPr>
          <w:rFonts w:ascii="Book Antiqua" w:hAnsi="Book Antiqua" w:cs="Book Antiqua"/>
          <w:b/>
          <w:bCs/>
          <w:sz w:val="22"/>
          <w:szCs w:val="22"/>
        </w:rPr>
        <w:tab/>
      </w:r>
      <w:r>
        <w:rPr>
          <w:rFonts w:ascii="Book Antiqua" w:hAnsi="Book Antiqua" w:cs="Book Antiqua"/>
          <w:bCs/>
          <w:sz w:val="22"/>
          <w:szCs w:val="22"/>
        </w:rPr>
        <w:t xml:space="preserve">Návrhom zákona sa prenáša dôkazné bremeno z finančnej polície na osobu, ktorá by mala preukazovať legálnosť príjmov na obstaranie jej majetku. Súčasnú právnu úpravu, v zmysle ktorej mala práve finančná polícia dokazovať, že majetok nie je legálne získaný, označovalo viacero odborníkov za nedostatočnú a s spôsobujúcu neúčinnosť celého procesu. </w:t>
      </w:r>
    </w:p>
    <w:p w:rsidR="00742FD8">
      <w:pPr>
        <w:pStyle w:val="NormalWeb"/>
        <w:bidi w:val="0"/>
        <w:spacing w:before="120" w:after="0" w:line="276" w:lineRule="auto"/>
        <w:jc w:val="both"/>
        <w:rPr>
          <w:rFonts w:ascii="Book Antiqua" w:hAnsi="Book Antiqua" w:cs="Book Antiqua"/>
          <w:sz w:val="22"/>
          <w:szCs w:val="22"/>
        </w:rPr>
      </w:pPr>
      <w:r>
        <w:rPr>
          <w:rFonts w:ascii="Book Antiqua" w:hAnsi="Book Antiqua" w:cs="Book Antiqua"/>
          <w:bCs/>
          <w:sz w:val="22"/>
          <w:szCs w:val="22"/>
        </w:rPr>
        <w:tab/>
        <w:t>V zmysle návrhu zákona teda f</w:t>
      </w:r>
      <w:r>
        <w:rPr>
          <w:rFonts w:ascii="Book Antiqua" w:hAnsi="Book Antiqua" w:cs="Book Antiqua"/>
          <w:sz w:val="22"/>
          <w:szCs w:val="22"/>
        </w:rPr>
        <w:t>inančná polícia vyzve osobu, proti ktorej oznámenie smeruje (ďalej len „osoba“), aby v lehote 30 dní od doručenia výzvy, jej podala hodnoverné vysvetlenie legálneho pôvodu a spôsobu nadobudnutia majetku. Dokazovať to bude môcť buď prostredníctvom daňových priznaní, výpisov z účtu, či poskytnutím pôžičiek a úverov. Následne bude tieto dokumenty vyhodnocovať finančná polícia.</w:t>
      </w:r>
    </w:p>
    <w:p w:rsidR="00742FD8">
      <w:pPr>
        <w:pStyle w:val="NormalWeb"/>
        <w:bidi w:val="0"/>
        <w:spacing w:before="120" w:after="0" w:line="276" w:lineRule="auto"/>
        <w:jc w:val="both"/>
        <w:rPr>
          <w:rFonts w:ascii="Book Antiqua" w:hAnsi="Book Antiqua" w:cs="Book Antiqua"/>
          <w:sz w:val="22"/>
          <w:szCs w:val="22"/>
        </w:rPr>
      </w:pPr>
      <w:r>
        <w:rPr>
          <w:rFonts w:ascii="Book Antiqua" w:hAnsi="Book Antiqua" w:cs="Book Antiqua"/>
          <w:sz w:val="22"/>
          <w:szCs w:val="22"/>
        </w:rPr>
        <w:tab/>
        <w:t xml:space="preserve"> Ak táto osoba, bez opodstatnených dôvodov požadované vysvetlenie v uvedenej lehote nepodá alebo ak vo vysvetlení hodnoverne nepreukáže legálny pôvod (t.j. pôvod svojho majetku z legálnych príjmov) a spôsob nadobudnutia majetku označeného vo výzve a naďalej pretrvávajú dôvodné pochybnosti o zákonnosti a čestnosti nadobudnutia takéhoto majetku, finančná polícia podá prokurátori podnet na začatie konania.</w:t>
      </w:r>
    </w:p>
    <w:p w:rsidR="00742FD8">
      <w:pPr>
        <w:pStyle w:val="NormalWeb"/>
        <w:bidi w:val="0"/>
        <w:spacing w:before="120" w:after="0" w:line="276" w:lineRule="auto"/>
        <w:jc w:val="both"/>
        <w:rPr>
          <w:rFonts w:ascii="Book Antiqua" w:hAnsi="Book Antiqua" w:cs="Book Antiqua"/>
          <w:sz w:val="22"/>
          <w:szCs w:val="22"/>
          <w:u w:val="single"/>
        </w:rPr>
      </w:pPr>
      <w:r>
        <w:rPr>
          <w:rFonts w:ascii="Book Antiqua" w:hAnsi="Book Antiqua" w:cs="Book Antiqua"/>
          <w:sz w:val="22"/>
          <w:szCs w:val="22"/>
        </w:rPr>
        <w:tab/>
        <w:t xml:space="preserve">Aby sme zamedzili špekulatívnym prevodom majetku, priamo v zákone je zakotvené, že osoba nemôže majetok označený vo výzve prevádzať na iné osoby, a pokiaľ by tak aj spravila, bol by tento prevod neplatný. </w:t>
      </w:r>
    </w:p>
    <w:p w:rsidR="00742FD8">
      <w:pPr>
        <w:pStyle w:val="NormalWeb"/>
        <w:bidi w:val="0"/>
        <w:spacing w:before="120" w:after="0" w:line="276" w:lineRule="auto"/>
        <w:jc w:val="both"/>
        <w:rPr>
          <w:rFonts w:ascii="Book Antiqua" w:hAnsi="Book Antiqua" w:cs="Book Antiqua"/>
          <w:sz w:val="22"/>
          <w:szCs w:val="22"/>
        </w:rPr>
      </w:pPr>
      <w:r>
        <w:rPr>
          <w:rFonts w:ascii="Book Antiqua" w:hAnsi="Book Antiqua" w:cs="Book Antiqua"/>
          <w:sz w:val="22"/>
          <w:szCs w:val="22"/>
          <w:u w:val="single"/>
        </w:rPr>
        <w:t>K bodu 2</w:t>
      </w:r>
    </w:p>
    <w:p w:rsidR="00742FD8">
      <w:pPr>
        <w:pStyle w:val="NormalWeb"/>
        <w:bidi w:val="0"/>
        <w:spacing w:before="120" w:after="0" w:line="276" w:lineRule="auto"/>
        <w:ind w:firstLine="708"/>
        <w:jc w:val="both"/>
        <w:rPr>
          <w:rFonts w:ascii="Book Antiqua" w:hAnsi="Book Antiqua" w:cs="Book Antiqua"/>
          <w:sz w:val="22"/>
          <w:u w:val="single"/>
        </w:rPr>
      </w:pPr>
      <w:r>
        <w:rPr>
          <w:rFonts w:ascii="Book Antiqua" w:hAnsi="Book Antiqua" w:cs="Book Antiqua"/>
          <w:sz w:val="22"/>
          <w:szCs w:val="22"/>
        </w:rPr>
        <w:t>Terajšie znenie zákona o preukazovaní pôvodu majetku obsahovalo definíciu hodnoty majetku, no pre vylúčenie aplikačných problémov v návrhu zákona sa ustanovuje</w:t>
      </w:r>
      <w:r>
        <w:rPr>
          <w:rFonts w:ascii="Book Antiqua" w:hAnsi="Book Antiqua" w:cs="Book Antiqua"/>
          <w:sz w:val="22"/>
        </w:rPr>
        <w:t>, že hodnota majetku sa počas celého konania bude posudzovať ku dňu začatia celého konania. Takouto právnou úpravou predídeme rôznym pokusom o obchádzanie zákona z dôvodu zmenšovania majetku v jednotlivých štádiách konania podľa zákona o preukazovaní majetku.</w:t>
      </w:r>
    </w:p>
    <w:p w:rsidR="00742FD8">
      <w:pPr>
        <w:bidi w:val="0"/>
        <w:spacing w:before="120" w:line="276" w:lineRule="auto"/>
        <w:rPr>
          <w:rFonts w:ascii="Book Antiqua" w:hAnsi="Book Antiqua" w:cs="Book Antiqua"/>
          <w:sz w:val="22"/>
        </w:rPr>
      </w:pPr>
      <w:r>
        <w:rPr>
          <w:rFonts w:ascii="Book Antiqua" w:hAnsi="Book Antiqua" w:cs="Book Antiqua"/>
          <w:sz w:val="22"/>
          <w:u w:val="single"/>
        </w:rPr>
        <w:t>K bodom 4 a </w:t>
      </w:r>
      <w:r w:rsidR="00C6611C">
        <w:rPr>
          <w:rFonts w:ascii="Book Antiqua" w:hAnsi="Book Antiqua" w:cs="Book Antiqua"/>
          <w:sz w:val="22"/>
          <w:u w:val="single"/>
        </w:rPr>
        <w:t>9</w:t>
      </w:r>
    </w:p>
    <w:p w:rsidR="00742FD8">
      <w:pPr>
        <w:bidi w:val="0"/>
        <w:spacing w:before="120" w:line="276" w:lineRule="auto"/>
        <w:jc w:val="both"/>
        <w:rPr>
          <w:rFonts w:ascii="Book Antiqua" w:hAnsi="Book Antiqua" w:cs="Book Antiqua"/>
          <w:sz w:val="22"/>
          <w:u w:val="single"/>
        </w:rPr>
      </w:pPr>
      <w:r>
        <w:rPr>
          <w:rFonts w:ascii="Book Antiqua" w:hAnsi="Book Antiqua" w:cs="Book Antiqua"/>
          <w:sz w:val="22"/>
        </w:rPr>
        <w:tab/>
      </w:r>
      <w:r w:rsidRPr="00C6611C" w:rsidR="00C6611C">
        <w:rPr>
          <w:rFonts w:ascii="Book Antiqua" w:hAnsi="Book Antiqua" w:cs="Book Antiqua"/>
          <w:sz w:val="22"/>
        </w:rPr>
        <w:t>Navrhuje zníženie limitu majetkového prírastku z 1500-násobku minimálnej mzdy na 1500-násobok sumy životného minima, ktorý nevie majiteľ preukázať.</w:t>
      </w:r>
      <w:r w:rsidR="00C6611C">
        <w:rPr>
          <w:rFonts w:ascii="Book Antiqua" w:hAnsi="Book Antiqua" w:cs="Book Antiqua"/>
          <w:b/>
          <w:sz w:val="22"/>
        </w:rPr>
        <w:t xml:space="preserve"> </w:t>
      </w:r>
      <w:r w:rsidR="00C6611C">
        <w:rPr>
          <w:rFonts w:ascii="Book Antiqua" w:hAnsi="Book Antiqua" w:cs="Book Antiqua"/>
          <w:sz w:val="22"/>
        </w:rPr>
        <w:t>To znamená, že pokiaľ niekto vlastní veľkú nehnuteľnosť, a nevie preukázať takmer 300.000 eur a viac, ktoré použil na obstaranie daného majetku, začne sa voči nemu konanie. Súčasný limit na úrovni takmer 57</w:t>
      </w:r>
      <w:r>
        <w:rPr>
          <w:rFonts w:ascii="Book Antiqua" w:hAnsi="Book Antiqua" w:cs="Book Antiqua"/>
          <w:sz w:val="22"/>
        </w:rPr>
        <w:t>0.000 eur sme považovali za neprimerane vysoký. V určitých prípadoch mohla daná suma tvoriť hodnotu majetku, ktorú osoba nelegálne nadobudla a nevedela by k tomu vydokladovať reálne príjmy.</w:t>
      </w:r>
    </w:p>
    <w:p w:rsidR="00C6611C">
      <w:pPr>
        <w:bidi w:val="0"/>
        <w:spacing w:before="120" w:line="276" w:lineRule="auto"/>
        <w:jc w:val="both"/>
        <w:rPr>
          <w:rFonts w:ascii="Book Antiqua" w:hAnsi="Book Antiqua" w:cs="Book Antiqua"/>
          <w:sz w:val="22"/>
          <w:u w:val="single"/>
        </w:rPr>
      </w:pPr>
    </w:p>
    <w:p w:rsidR="00C6611C">
      <w:pPr>
        <w:bidi w:val="0"/>
        <w:spacing w:before="120" w:line="276" w:lineRule="auto"/>
        <w:jc w:val="both"/>
        <w:rPr>
          <w:rFonts w:ascii="Book Antiqua" w:hAnsi="Book Antiqua" w:cs="Book Antiqua"/>
          <w:sz w:val="22"/>
          <w:u w:val="single"/>
        </w:rPr>
      </w:pPr>
    </w:p>
    <w:p w:rsidR="00C6611C">
      <w:pPr>
        <w:bidi w:val="0"/>
        <w:spacing w:before="120" w:line="276" w:lineRule="auto"/>
        <w:jc w:val="both"/>
        <w:rPr>
          <w:rFonts w:ascii="Book Antiqua" w:hAnsi="Book Antiqua" w:cs="Book Antiqua"/>
          <w:sz w:val="22"/>
          <w:u w:val="single"/>
        </w:rPr>
      </w:pPr>
    </w:p>
    <w:p w:rsidR="00742FD8">
      <w:pPr>
        <w:bidi w:val="0"/>
        <w:spacing w:before="120" w:line="276" w:lineRule="auto"/>
        <w:jc w:val="both"/>
        <w:rPr>
          <w:rFonts w:ascii="Book Antiqua" w:hAnsi="Book Antiqua" w:cs="Book Antiqua"/>
          <w:sz w:val="22"/>
          <w:u w:val="single"/>
        </w:rPr>
      </w:pPr>
      <w:r>
        <w:rPr>
          <w:rFonts w:ascii="Book Antiqua" w:hAnsi="Book Antiqua" w:cs="Book Antiqua"/>
          <w:sz w:val="22"/>
          <w:u w:val="single"/>
        </w:rPr>
        <w:t>K bodu 5</w:t>
      </w:r>
    </w:p>
    <w:p w:rsidR="00FA6A07" w:rsidRPr="00FA6A07" w:rsidP="00FA6A07">
      <w:pPr>
        <w:bidi w:val="0"/>
        <w:spacing w:before="120" w:line="276" w:lineRule="auto"/>
        <w:ind w:firstLine="708"/>
        <w:jc w:val="both"/>
        <w:rPr>
          <w:rFonts w:ascii="Book Antiqua" w:hAnsi="Book Antiqua" w:cs="Book Antiqua"/>
          <w:sz w:val="22"/>
          <w:u w:val="single"/>
        </w:rPr>
      </w:pPr>
      <w:r>
        <w:rPr>
          <w:rFonts w:ascii="Book Antiqua" w:hAnsi="Book Antiqua" w:cs="Book Antiqua"/>
          <w:sz w:val="22"/>
        </w:rPr>
        <w:t>Ide o legislatívno-technickú úpravu bezprostredne súvisiacu s bodom 4 tohto návrhu zákona.</w:t>
      </w:r>
    </w:p>
    <w:p w:rsidR="00FA6A07">
      <w:pPr>
        <w:bidi w:val="0"/>
        <w:spacing w:before="120" w:line="276" w:lineRule="auto"/>
        <w:jc w:val="both"/>
        <w:rPr>
          <w:rFonts w:ascii="Book Antiqua" w:hAnsi="Book Antiqua" w:cs="Book Antiqua"/>
          <w:sz w:val="22"/>
        </w:rPr>
      </w:pPr>
      <w:r>
        <w:rPr>
          <w:rFonts w:ascii="Book Antiqua" w:hAnsi="Book Antiqua" w:cs="Book Antiqua"/>
          <w:sz w:val="22"/>
          <w:u w:val="single"/>
        </w:rPr>
        <w:t>K bodu 6</w:t>
      </w:r>
    </w:p>
    <w:p w:rsidR="00742FD8">
      <w:pPr>
        <w:bidi w:val="0"/>
        <w:spacing w:before="120" w:line="276" w:lineRule="auto"/>
        <w:ind w:firstLine="705"/>
        <w:jc w:val="both"/>
        <w:rPr>
          <w:rFonts w:ascii="Book Antiqua" w:hAnsi="Book Antiqua" w:cs="Book Antiqua"/>
          <w:sz w:val="22"/>
          <w:u w:val="single"/>
        </w:rPr>
      </w:pPr>
      <w:r>
        <w:rPr>
          <w:rFonts w:ascii="Book Antiqua" w:hAnsi="Book Antiqua" w:cs="Book Antiqua"/>
          <w:sz w:val="22"/>
        </w:rPr>
        <w:t>Súčasťou návrhu, ktorý podáva finančná polícia prokuratúre na začatie konania bude aj vysvetlenie osoby, ktorá je označená vo výzve a má preukazovať legálnosť nadobudnutia jej majetku. Táto právna úprava nadväzuje na zmenu v osobe, ktorá nesie dôkazné bremeno.</w:t>
      </w:r>
    </w:p>
    <w:p w:rsidR="00742FD8">
      <w:pPr>
        <w:bidi w:val="0"/>
        <w:spacing w:before="120" w:line="276" w:lineRule="auto"/>
        <w:ind w:left="705" w:hanging="705"/>
        <w:jc w:val="both"/>
        <w:rPr>
          <w:rFonts w:ascii="Book Antiqua" w:hAnsi="Book Antiqua" w:cs="Book Antiqua"/>
          <w:sz w:val="22"/>
        </w:rPr>
      </w:pPr>
      <w:r>
        <w:rPr>
          <w:rFonts w:ascii="Book Antiqua" w:hAnsi="Book Antiqua" w:cs="Book Antiqua"/>
          <w:sz w:val="22"/>
          <w:u w:val="single"/>
        </w:rPr>
        <w:t xml:space="preserve">K bodu </w:t>
      </w:r>
      <w:r w:rsidR="00C6611C">
        <w:rPr>
          <w:rFonts w:ascii="Book Antiqua" w:hAnsi="Book Antiqua" w:cs="Book Antiqua"/>
          <w:sz w:val="22"/>
          <w:u w:val="single"/>
        </w:rPr>
        <w:t>7</w:t>
      </w:r>
    </w:p>
    <w:p w:rsidR="00742FD8">
      <w:pPr>
        <w:bidi w:val="0"/>
        <w:spacing w:before="120" w:line="276" w:lineRule="auto"/>
        <w:jc w:val="both"/>
        <w:rPr>
          <w:rFonts w:ascii="Book Antiqua" w:hAnsi="Book Antiqua" w:cs="Book Antiqua"/>
          <w:sz w:val="22"/>
          <w:u w:val="single"/>
        </w:rPr>
      </w:pPr>
      <w:r>
        <w:rPr>
          <w:rFonts w:ascii="Book Antiqua" w:hAnsi="Book Antiqua" w:cs="Book Antiqua"/>
          <w:sz w:val="22"/>
        </w:rPr>
        <w:tab/>
        <w:t>Ide o legislatívno-technickú úpravu b</w:t>
      </w:r>
      <w:r w:rsidR="00FA6A07">
        <w:rPr>
          <w:rFonts w:ascii="Book Antiqua" w:hAnsi="Book Antiqua" w:cs="Book Antiqua"/>
          <w:sz w:val="22"/>
        </w:rPr>
        <w:t>ezprostredne súvisiacu s bodom 6</w:t>
      </w:r>
      <w:r>
        <w:rPr>
          <w:rFonts w:ascii="Book Antiqua" w:hAnsi="Book Antiqua" w:cs="Book Antiqua"/>
          <w:sz w:val="22"/>
        </w:rPr>
        <w:t xml:space="preserve"> tohto návrhu zákona.</w:t>
      </w:r>
    </w:p>
    <w:p w:rsidR="00742FD8">
      <w:pPr>
        <w:bidi w:val="0"/>
        <w:spacing w:before="120" w:line="276" w:lineRule="auto"/>
        <w:ind w:left="705" w:hanging="705"/>
        <w:jc w:val="both"/>
        <w:rPr>
          <w:rFonts w:ascii="Book Antiqua" w:hAnsi="Book Antiqua" w:cs="Book Antiqua"/>
          <w:sz w:val="22"/>
        </w:rPr>
      </w:pPr>
      <w:r>
        <w:rPr>
          <w:rFonts w:ascii="Book Antiqua" w:hAnsi="Book Antiqua" w:cs="Book Antiqua"/>
          <w:sz w:val="22"/>
          <w:u w:val="single"/>
        </w:rPr>
        <w:t xml:space="preserve">K bodu </w:t>
      </w:r>
      <w:r w:rsidR="00C6611C">
        <w:rPr>
          <w:rFonts w:ascii="Book Antiqua" w:hAnsi="Book Antiqua" w:cs="Book Antiqua"/>
          <w:sz w:val="22"/>
          <w:u w:val="single"/>
        </w:rPr>
        <w:t>8</w:t>
      </w:r>
    </w:p>
    <w:p w:rsidR="00742FD8">
      <w:pPr>
        <w:bidi w:val="0"/>
        <w:spacing w:before="120" w:line="276" w:lineRule="auto"/>
        <w:ind w:firstLine="705"/>
        <w:jc w:val="both"/>
        <w:rPr>
          <w:rFonts w:ascii="Book Antiqua" w:hAnsi="Book Antiqua" w:cs="Book Antiqua"/>
          <w:sz w:val="22"/>
          <w:u w:val="single"/>
        </w:rPr>
      </w:pPr>
      <w:r>
        <w:rPr>
          <w:rFonts w:ascii="Book Antiqua" w:hAnsi="Book Antiqua" w:cs="Book Antiqua"/>
          <w:sz w:val="22"/>
        </w:rPr>
        <w:t>Navrhuje sa spresniť postup prokurátora v konaní, ktoré predchádza podaniu jeho návrhu na súd na začatie konania, a to vzhľadom na nové znenie § 4 ods. 1 zákona o preukazovaní pôvodu majetku s cieľom vylúčiť duplicitné podávanie vysvetlení osobou, proti ktorej smeruje oznámenie, najmä v prípade, ak prokurátor považuje vysvetlenie tejto osoby, najmä v podobe predložených dôkazov, podané finančnej polícii už v skoršej fáze konania podľa tohto zákona za dostatočné.</w:t>
      </w:r>
    </w:p>
    <w:p w:rsidR="00742FD8">
      <w:pPr>
        <w:bidi w:val="0"/>
        <w:spacing w:before="120" w:line="276" w:lineRule="auto"/>
        <w:jc w:val="both"/>
        <w:rPr>
          <w:rFonts w:ascii="Book Antiqua" w:hAnsi="Book Antiqua" w:cs="Book Antiqua"/>
          <w:sz w:val="22"/>
        </w:rPr>
      </w:pPr>
      <w:r>
        <w:rPr>
          <w:rFonts w:ascii="Book Antiqua" w:hAnsi="Book Antiqua" w:cs="Book Antiqua"/>
          <w:sz w:val="22"/>
          <w:u w:val="single"/>
        </w:rPr>
        <w:t xml:space="preserve">K bodu </w:t>
      </w:r>
      <w:r w:rsidR="00C6611C">
        <w:rPr>
          <w:rFonts w:ascii="Book Antiqua" w:hAnsi="Book Antiqua" w:cs="Book Antiqua"/>
          <w:sz w:val="22"/>
          <w:u w:val="single"/>
        </w:rPr>
        <w:t>10</w:t>
      </w:r>
    </w:p>
    <w:p w:rsidR="00742FD8">
      <w:pPr>
        <w:bidi w:val="0"/>
        <w:spacing w:before="120" w:line="276" w:lineRule="auto"/>
        <w:jc w:val="both"/>
        <w:rPr>
          <w:rFonts w:ascii="Book Antiqua" w:hAnsi="Book Antiqua" w:cs="Book Antiqua"/>
          <w:sz w:val="22"/>
          <w:u w:val="single"/>
        </w:rPr>
      </w:pPr>
      <w:r>
        <w:rPr>
          <w:rFonts w:ascii="Book Antiqua" w:hAnsi="Book Antiqua" w:cs="Book Antiqua"/>
          <w:sz w:val="22"/>
        </w:rPr>
        <w:tab/>
        <w:t>Ide o legislatívno-technickú úpravu bezprostredne súvisiacu s bodom 1 tohto návrhu zákona.</w:t>
      </w:r>
    </w:p>
    <w:p w:rsidR="00742FD8">
      <w:pPr>
        <w:bidi w:val="0"/>
        <w:spacing w:before="120" w:line="276" w:lineRule="auto"/>
        <w:ind w:left="705" w:hanging="705"/>
        <w:jc w:val="both"/>
        <w:rPr>
          <w:rFonts w:ascii="Book Antiqua" w:hAnsi="Book Antiqua" w:cs="Book Antiqua"/>
          <w:sz w:val="22"/>
        </w:rPr>
      </w:pPr>
      <w:r>
        <w:rPr>
          <w:rFonts w:ascii="Book Antiqua" w:hAnsi="Book Antiqua" w:cs="Book Antiqua"/>
          <w:sz w:val="22"/>
          <w:u w:val="single"/>
        </w:rPr>
        <w:t>K bodu 1</w:t>
      </w:r>
      <w:r w:rsidR="00C6611C">
        <w:rPr>
          <w:rFonts w:ascii="Book Antiqua" w:hAnsi="Book Antiqua" w:cs="Book Antiqua"/>
          <w:sz w:val="22"/>
          <w:u w:val="single"/>
        </w:rPr>
        <w:t>1</w:t>
      </w:r>
    </w:p>
    <w:p w:rsidR="00742FD8">
      <w:pPr>
        <w:bidi w:val="0"/>
        <w:spacing w:before="120" w:line="276" w:lineRule="auto"/>
        <w:ind w:firstLine="705"/>
        <w:jc w:val="both"/>
        <w:rPr>
          <w:rFonts w:ascii="Book Antiqua" w:hAnsi="Book Antiqua" w:cs="Book Antiqua"/>
          <w:sz w:val="22"/>
          <w:u w:val="single"/>
        </w:rPr>
      </w:pPr>
      <w:r>
        <w:rPr>
          <w:rFonts w:ascii="Book Antiqua" w:hAnsi="Book Antiqua" w:cs="Book Antiqua"/>
          <w:sz w:val="22"/>
        </w:rPr>
        <w:t>Keďže jedným z hlavných cieľov návrhu zákona je zakotviť princíp rýchlosti konania, stanovuje sa nová lehota pre prokurátora, v ktorej musí podať návrh na súd, a to  najneskôr do troch mesiacov odo dňa doručenia podnetu od finančnej polície. Keďže v rámci konania môže prokurátor požiadať o doplnenie alebo ďalšie preskúmanie prípadu finančnú políciu alebo požiadať danú osobu  o podanie vysvetlenia alebo predloženie dôkazov, táto lehota sa predĺži o lehotu, ktorú tomuto okruhu osôb stanovil prokurátor na obstaranie nových dôkazov alebo poskytnutia vysvetlenia.</w:t>
      </w:r>
    </w:p>
    <w:p w:rsidR="00742FD8">
      <w:pPr>
        <w:bidi w:val="0"/>
        <w:spacing w:before="120" w:line="276" w:lineRule="auto"/>
        <w:ind w:left="705" w:hanging="705"/>
        <w:jc w:val="both"/>
        <w:rPr>
          <w:rFonts w:ascii="Book Antiqua" w:hAnsi="Book Antiqua" w:cs="Book Antiqua"/>
          <w:sz w:val="22"/>
        </w:rPr>
      </w:pPr>
      <w:r>
        <w:rPr>
          <w:rFonts w:ascii="Book Antiqua" w:hAnsi="Book Antiqua" w:cs="Book Antiqua"/>
          <w:sz w:val="22"/>
          <w:u w:val="single"/>
        </w:rPr>
        <w:t>K bodu 1</w:t>
      </w:r>
      <w:r w:rsidR="00C6611C">
        <w:rPr>
          <w:rFonts w:ascii="Book Antiqua" w:hAnsi="Book Antiqua" w:cs="Book Antiqua"/>
          <w:sz w:val="22"/>
          <w:u w:val="single"/>
        </w:rPr>
        <w:t>2</w:t>
      </w:r>
    </w:p>
    <w:p w:rsidR="00742FD8">
      <w:pPr>
        <w:bidi w:val="0"/>
        <w:spacing w:before="120" w:line="276" w:lineRule="auto"/>
        <w:ind w:firstLine="705"/>
        <w:jc w:val="both"/>
        <w:rPr>
          <w:rFonts w:ascii="Book Antiqua" w:hAnsi="Book Antiqua" w:cs="Book Antiqua"/>
          <w:sz w:val="22"/>
        </w:rPr>
      </w:pPr>
      <w:r>
        <w:rPr>
          <w:rFonts w:ascii="Book Antiqua" w:hAnsi="Book Antiqua" w:cs="Book Antiqua"/>
          <w:sz w:val="22"/>
        </w:rPr>
        <w:t>V zmysle návrhu zákona bude osoba v pozícii odporcu povinná preukazovať legálnosť svojho majetku a v prípade, ak sa jej to nepodarí, súd rozsudkom môže rozhodnúť o prepadnutí rozdielu v majetku, ktorý nevedela osoba preukázať, a to v prospech štátu. Pokiaľ sa však osobe podarí presvedčiť na podklade listinných dôkazov súd o legálnosti svojho majetku, súd v danom prípade konanie zastaví.</w:t>
      </w:r>
    </w:p>
    <w:p w:rsidR="00742FD8">
      <w:pPr>
        <w:bidi w:val="0"/>
        <w:spacing w:before="120" w:line="276" w:lineRule="auto"/>
        <w:ind w:firstLine="705"/>
        <w:jc w:val="both"/>
        <w:rPr>
          <w:rFonts w:ascii="Book Antiqua" w:hAnsi="Book Antiqua" w:cs="Book Antiqua"/>
          <w:sz w:val="22"/>
          <w:u w:val="single"/>
        </w:rPr>
      </w:pPr>
      <w:r>
        <w:rPr>
          <w:rFonts w:ascii="Book Antiqua" w:hAnsi="Book Antiqua" w:cs="Book Antiqua"/>
          <w:sz w:val="22"/>
        </w:rPr>
        <w:t>Keďže návrhom zákona sa chce urýchliť celý proces preukazovania pôvodu majetku od prvého podania až do momentu vydania rozhodnutia súdu, zavádza sa aj pre súd lehota na rozhodnutie buď v podobe rozsudku na prepadnutie majetku alebo v podobe zamietnutia návrhu, a to do 12 mesiacov od doručenia návrhu zo strany prokurátora na súd na začatie konania. Keďže v danom prípade je dokazovanie postavené na vopred získaných jednoznačných dôkazoch, lehota v danom prípade sa javí ako dostatočná, aby mohol súd vydať kvalifikované rozhodnutie a súčasne tak celé konanie netrvalo neúmerne dlho, neraz aj niekoľko rokov.</w:t>
      </w:r>
    </w:p>
    <w:p w:rsidR="00742FD8">
      <w:pPr>
        <w:bidi w:val="0"/>
        <w:spacing w:before="120" w:line="276" w:lineRule="auto"/>
        <w:jc w:val="both"/>
        <w:rPr>
          <w:rFonts w:ascii="Book Antiqua" w:hAnsi="Book Antiqua" w:cs="Book Antiqua"/>
          <w:sz w:val="22"/>
        </w:rPr>
      </w:pPr>
      <w:r>
        <w:rPr>
          <w:rFonts w:ascii="Book Antiqua" w:hAnsi="Book Antiqua" w:cs="Book Antiqua"/>
          <w:sz w:val="22"/>
          <w:u w:val="single"/>
        </w:rPr>
        <w:t>K bodu 1</w:t>
      </w:r>
      <w:r w:rsidR="00C6611C">
        <w:rPr>
          <w:rFonts w:ascii="Book Antiqua" w:hAnsi="Book Antiqua" w:cs="Book Antiqua"/>
          <w:sz w:val="22"/>
          <w:u w:val="single"/>
        </w:rPr>
        <w:t>3</w:t>
      </w:r>
    </w:p>
    <w:p w:rsidR="00742FD8">
      <w:pPr>
        <w:bidi w:val="0"/>
        <w:spacing w:before="120" w:line="276" w:lineRule="auto"/>
        <w:jc w:val="both"/>
        <w:rPr>
          <w:rFonts w:ascii="Book Antiqua" w:hAnsi="Book Antiqua" w:cs="Book Antiqua"/>
          <w:sz w:val="22"/>
        </w:rPr>
      </w:pPr>
      <w:r>
        <w:rPr>
          <w:rFonts w:ascii="Book Antiqua" w:hAnsi="Book Antiqua" w:cs="Book Antiqua"/>
          <w:sz w:val="22"/>
        </w:rPr>
        <w:tab/>
        <w:t>Aby sa návrhom zákona zabránilo retroaktivite v jednotlivých konaniach začatých pred účinnosťou zákona, a to v rôznych fázach, navrhuje sa, aby sa návrh zákona vzťahoval len na konania, ktoré sa začnú od nadobudnutia účinnosti tohto zákona. To znamená, že všetky konania prebiehajúce a právoplatne neskončené do nadobudnutia účinnosti tohto zákona sa budú spravovať podľa doterajších predpisov.</w:t>
      </w:r>
    </w:p>
    <w:p w:rsidR="00742FD8">
      <w:pPr>
        <w:bidi w:val="0"/>
        <w:spacing w:before="120" w:line="276" w:lineRule="auto"/>
        <w:ind w:left="705"/>
        <w:jc w:val="both"/>
        <w:rPr>
          <w:rFonts w:ascii="Book Antiqua" w:hAnsi="Book Antiqua" w:cs="Book Antiqua"/>
          <w:sz w:val="22"/>
        </w:rPr>
      </w:pPr>
    </w:p>
    <w:p w:rsidR="00742FD8">
      <w:pPr>
        <w:pStyle w:val="NormalWeb"/>
        <w:bidi w:val="0"/>
        <w:spacing w:before="120" w:after="0" w:line="276" w:lineRule="auto"/>
        <w:jc w:val="both"/>
        <w:rPr>
          <w:rFonts w:ascii="Book Antiqua" w:hAnsi="Book Antiqua" w:cs="Book Antiqua"/>
          <w:sz w:val="22"/>
          <w:szCs w:val="22"/>
        </w:rPr>
      </w:pPr>
      <w:r>
        <w:rPr>
          <w:rFonts w:ascii="Book Antiqua" w:hAnsi="Book Antiqua" w:cs="Book Antiqua"/>
          <w:b/>
          <w:sz w:val="22"/>
          <w:szCs w:val="22"/>
        </w:rPr>
        <w:t>K Čl. II</w:t>
      </w:r>
    </w:p>
    <w:p w:rsidR="00742FD8">
      <w:pPr>
        <w:pStyle w:val="NormalWeb"/>
        <w:bidi w:val="0"/>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 xml:space="preserve">Navrhuje sa účinnosť predkladaného zákona so zohľadnením legisvakančnej lehoty, a to od 1. marca 2016. </w:t>
      </w:r>
    </w:p>
    <w:p w:rsidR="00742FD8">
      <w:pPr>
        <w:pStyle w:val="NormalWeb"/>
        <w:bidi w:val="0"/>
        <w:spacing w:before="120" w:after="0" w:line="276" w:lineRule="auto"/>
        <w:jc w:val="both"/>
        <w:rPr>
          <w:rFonts w:ascii="Book Antiqua" w:hAnsi="Book Antiqua" w:cs="Book Antiqua"/>
          <w:sz w:val="22"/>
          <w:szCs w:val="22"/>
        </w:rPr>
      </w:pPr>
    </w:p>
    <w:p w:rsidR="00742FD8">
      <w:pPr>
        <w:pStyle w:val="NormalWeb"/>
        <w:pageBreakBefore/>
        <w:bidi w:val="0"/>
        <w:spacing w:before="120" w:after="0" w:line="276" w:lineRule="auto"/>
        <w:jc w:val="center"/>
        <w:rPr>
          <w:rFonts w:ascii="Book Antiqua" w:hAnsi="Book Antiqua" w:cs="Book Antiqua"/>
          <w:b/>
          <w:bCs/>
          <w:sz w:val="22"/>
          <w:szCs w:val="22"/>
        </w:rPr>
      </w:pPr>
      <w:r>
        <w:rPr>
          <w:rFonts w:ascii="Book Antiqua" w:hAnsi="Book Antiqua" w:cs="Book Antiqua"/>
          <w:b/>
          <w:bCs/>
          <w:caps/>
          <w:spacing w:val="30"/>
          <w:sz w:val="22"/>
          <w:szCs w:val="22"/>
        </w:rPr>
        <w:t>DOLOŽKA ZLUČITEĽNOSTI</w:t>
      </w:r>
    </w:p>
    <w:p w:rsidR="00742FD8">
      <w:pPr>
        <w:pStyle w:val="NormalWeb"/>
        <w:bidi w:val="0"/>
        <w:spacing w:before="120" w:after="0" w:line="276" w:lineRule="auto"/>
        <w:jc w:val="center"/>
        <w:rPr>
          <w:rFonts w:ascii="Book Antiqua" w:hAnsi="Book Antiqua" w:cs="Book Antiqua"/>
          <w:sz w:val="22"/>
          <w:szCs w:val="22"/>
        </w:rPr>
      </w:pPr>
      <w:r>
        <w:rPr>
          <w:rFonts w:ascii="Book Antiqua" w:hAnsi="Book Antiqua" w:cs="Book Antiqua"/>
          <w:b/>
          <w:bCs/>
          <w:sz w:val="22"/>
          <w:szCs w:val="22"/>
        </w:rPr>
        <w:t>návrhu zákona</w:t>
      </w:r>
      <w:r>
        <w:rPr>
          <w:rFonts w:ascii="Book Antiqua" w:hAnsi="Book Antiqua" w:cs="Book Antiqua"/>
          <w:sz w:val="22"/>
          <w:szCs w:val="22"/>
        </w:rPr>
        <w:t xml:space="preserve"> </w:t>
      </w:r>
      <w:r>
        <w:rPr>
          <w:rFonts w:ascii="Book Antiqua" w:hAnsi="Book Antiqua" w:cs="Book Antiqua"/>
          <w:b/>
          <w:bCs/>
          <w:sz w:val="22"/>
          <w:szCs w:val="22"/>
        </w:rPr>
        <w:t>s právom Európskej únie</w:t>
      </w:r>
    </w:p>
    <w:p w:rsidR="00742FD8">
      <w:pPr>
        <w:pStyle w:val="NormalWeb"/>
        <w:bidi w:val="0"/>
        <w:spacing w:before="120" w:after="0" w:line="276" w:lineRule="auto"/>
        <w:jc w:val="both"/>
        <w:rPr>
          <w:rFonts w:ascii="Book Antiqua" w:hAnsi="Book Antiqua" w:cs="Book Antiqua"/>
          <w:b/>
          <w:bCs/>
          <w:sz w:val="22"/>
          <w:szCs w:val="22"/>
        </w:rPr>
      </w:pPr>
      <w:r>
        <w:rPr>
          <w:rFonts w:ascii="Book Antiqua" w:hAnsi="Book Antiqua" w:cs="Book Antiqua"/>
          <w:sz w:val="22"/>
          <w:szCs w:val="22"/>
        </w:rPr>
        <w:t> </w:t>
      </w:r>
    </w:p>
    <w:p w:rsidR="00742FD8">
      <w:pPr>
        <w:pStyle w:val="NormalWeb"/>
        <w:bidi w:val="0"/>
        <w:spacing w:before="120" w:after="0" w:line="276" w:lineRule="auto"/>
        <w:jc w:val="both"/>
        <w:rPr>
          <w:rFonts w:ascii="Book Antiqua" w:hAnsi="Book Antiqua" w:cs="Book Antiqua"/>
          <w:sz w:val="22"/>
          <w:szCs w:val="22"/>
        </w:rPr>
      </w:pPr>
      <w:r>
        <w:rPr>
          <w:rFonts w:ascii="Book Antiqua" w:hAnsi="Book Antiqua" w:cs="Book Antiqua"/>
          <w:b/>
          <w:bCs/>
          <w:sz w:val="22"/>
          <w:szCs w:val="22"/>
        </w:rPr>
        <w:t>1. Navrhovateľ zákona:</w:t>
      </w:r>
      <w:r>
        <w:rPr>
          <w:rFonts w:ascii="Book Antiqua" w:hAnsi="Book Antiqua" w:cs="Book Antiqua"/>
          <w:sz w:val="22"/>
          <w:szCs w:val="22"/>
        </w:rPr>
        <w:t xml:space="preserve"> skupina poslancov Národnej rady Slovenskej republiky </w:t>
      </w:r>
    </w:p>
    <w:p w:rsidR="00742FD8">
      <w:pPr>
        <w:pStyle w:val="NormalWeb"/>
        <w:bidi w:val="0"/>
        <w:spacing w:before="120" w:after="0" w:line="276" w:lineRule="auto"/>
        <w:jc w:val="both"/>
        <w:rPr>
          <w:rFonts w:ascii="Book Antiqua" w:hAnsi="Book Antiqua" w:cs="Book Antiqua"/>
          <w:b/>
          <w:bCs/>
          <w:sz w:val="22"/>
          <w:szCs w:val="22"/>
        </w:rPr>
      </w:pPr>
      <w:r>
        <w:rPr>
          <w:rFonts w:ascii="Book Antiqua" w:hAnsi="Book Antiqua" w:cs="Book Antiqua"/>
          <w:sz w:val="22"/>
          <w:szCs w:val="22"/>
        </w:rPr>
        <w:t> </w:t>
      </w:r>
    </w:p>
    <w:p w:rsidR="00742FD8">
      <w:pPr>
        <w:bidi w:val="0"/>
        <w:spacing w:before="120" w:line="276" w:lineRule="auto"/>
        <w:jc w:val="both"/>
        <w:rPr>
          <w:rFonts w:ascii="Book Antiqua" w:hAnsi="Book Antiqua" w:cs="Book Antiqua"/>
          <w:sz w:val="22"/>
          <w:szCs w:val="22"/>
        </w:rPr>
      </w:pPr>
      <w:r>
        <w:rPr>
          <w:rFonts w:ascii="Book Antiqua" w:hAnsi="Book Antiqua" w:cs="Book Antiqua"/>
          <w:b/>
          <w:bCs/>
          <w:sz w:val="22"/>
          <w:szCs w:val="22"/>
        </w:rPr>
        <w:t xml:space="preserve">2. Názov návrhu zákona: </w:t>
      </w:r>
      <w:r>
        <w:rPr>
          <w:rFonts w:ascii="Book Antiqua" w:hAnsi="Book Antiqua" w:cs="Book Antiqua"/>
          <w:sz w:val="22"/>
          <w:szCs w:val="22"/>
        </w:rPr>
        <w:t xml:space="preserve"> </w:t>
      </w:r>
      <w:r w:rsidR="00092100">
        <w:rPr>
          <w:rFonts w:ascii="Book Antiqua" w:hAnsi="Book Antiqua" w:cs="Book Antiqua"/>
          <w:sz w:val="22"/>
          <w:szCs w:val="22"/>
        </w:rPr>
        <w:t xml:space="preserve">návrh </w:t>
      </w:r>
      <w:r>
        <w:rPr>
          <w:rFonts w:ascii="Book Antiqua" w:hAnsi="Book Antiqua" w:cs="Book Antiqua"/>
          <w:sz w:val="22"/>
          <w:szCs w:val="22"/>
        </w:rPr>
        <w:t>z</w:t>
      </w:r>
      <w:r>
        <w:rPr>
          <w:rFonts w:ascii="Book Antiqua" w:hAnsi="Book Antiqua" w:cs="Book Antiqua"/>
          <w:sz w:val="22"/>
        </w:rPr>
        <w:t>ákon</w:t>
      </w:r>
      <w:r w:rsidR="00092100">
        <w:rPr>
          <w:rFonts w:ascii="Book Antiqua" w:hAnsi="Book Antiqua" w:cs="Book Antiqua"/>
          <w:sz w:val="22"/>
        </w:rPr>
        <w:t>a</w:t>
      </w:r>
      <w:r>
        <w:rPr>
          <w:rFonts w:ascii="Book Antiqua" w:hAnsi="Book Antiqua" w:cs="Book Antiqua"/>
          <w:sz w:val="22"/>
        </w:rPr>
        <w:t>, ktorým sa mení a dopĺňa zákon č. 101/2010 Z. z. o preukazovaní pôvodu majetku</w:t>
      </w:r>
    </w:p>
    <w:p w:rsidR="00742FD8">
      <w:pPr>
        <w:bidi w:val="0"/>
        <w:spacing w:before="120" w:line="276" w:lineRule="auto"/>
        <w:jc w:val="both"/>
        <w:rPr>
          <w:rFonts w:ascii="Book Antiqua" w:hAnsi="Book Antiqua" w:cs="Book Antiqua"/>
          <w:sz w:val="22"/>
          <w:szCs w:val="22"/>
        </w:rPr>
      </w:pPr>
    </w:p>
    <w:p w:rsidR="00742FD8">
      <w:pPr>
        <w:pStyle w:val="NormalWeb"/>
        <w:bidi w:val="0"/>
        <w:spacing w:before="120" w:after="0" w:line="276" w:lineRule="auto"/>
        <w:jc w:val="both"/>
        <w:rPr>
          <w:rFonts w:ascii="Book Antiqua" w:hAnsi="Book Antiqua" w:cs="Book Antiqua"/>
          <w:bCs/>
          <w:sz w:val="22"/>
          <w:szCs w:val="22"/>
        </w:rPr>
      </w:pPr>
      <w:r>
        <w:rPr>
          <w:rFonts w:ascii="Book Antiqua" w:hAnsi="Book Antiqua" w:cs="Book Antiqua"/>
          <w:b/>
          <w:bCs/>
          <w:sz w:val="22"/>
          <w:szCs w:val="22"/>
        </w:rPr>
        <w:t>3. Predmet návrhu zákona:</w:t>
      </w:r>
    </w:p>
    <w:p w:rsidR="00742FD8">
      <w:pPr>
        <w:pStyle w:val="NormalWeb"/>
        <w:numPr>
          <w:ilvl w:val="0"/>
          <w:numId w:val="3"/>
        </w:numPr>
        <w:bidi w:val="0"/>
        <w:spacing w:before="120" w:after="0" w:line="276" w:lineRule="auto"/>
        <w:jc w:val="both"/>
        <w:rPr>
          <w:rFonts w:ascii="Book Antiqua" w:hAnsi="Book Antiqua" w:cs="Book Antiqua"/>
          <w:bCs/>
          <w:sz w:val="22"/>
          <w:szCs w:val="22"/>
        </w:rPr>
      </w:pPr>
      <w:r>
        <w:rPr>
          <w:rFonts w:ascii="Book Antiqua" w:hAnsi="Book Antiqua" w:cs="Book Antiqua"/>
          <w:bCs/>
          <w:sz w:val="22"/>
          <w:szCs w:val="22"/>
        </w:rPr>
        <w:t>nie je upravený v primárnom práve Európskej únie,</w:t>
      </w:r>
    </w:p>
    <w:p w:rsidR="00742FD8">
      <w:pPr>
        <w:pStyle w:val="NormalWeb"/>
        <w:numPr>
          <w:ilvl w:val="0"/>
          <w:numId w:val="3"/>
        </w:numPr>
        <w:bidi w:val="0"/>
        <w:spacing w:before="120" w:after="0" w:line="276" w:lineRule="auto"/>
        <w:jc w:val="both"/>
        <w:rPr>
          <w:rFonts w:ascii="Book Antiqua" w:hAnsi="Book Antiqua" w:cs="Book Antiqua"/>
          <w:bCs/>
          <w:sz w:val="22"/>
          <w:szCs w:val="22"/>
        </w:rPr>
      </w:pPr>
      <w:r>
        <w:rPr>
          <w:rFonts w:ascii="Book Antiqua" w:hAnsi="Book Antiqua" w:cs="Book Antiqua"/>
          <w:bCs/>
          <w:sz w:val="22"/>
          <w:szCs w:val="22"/>
        </w:rPr>
        <w:t>nie je upravený v sekundárnom práve Európskej únie</w:t>
      </w:r>
      <w:r>
        <w:rPr>
          <w:rFonts w:ascii="Book Antiqua" w:hAnsi="Book Antiqua" w:cs="Arial"/>
          <w:sz w:val="22"/>
          <w:szCs w:val="22"/>
        </w:rPr>
        <w:t xml:space="preserve">, </w:t>
      </w:r>
    </w:p>
    <w:p w:rsidR="00742FD8">
      <w:pPr>
        <w:pStyle w:val="NormalWeb"/>
        <w:numPr>
          <w:ilvl w:val="0"/>
          <w:numId w:val="3"/>
        </w:numPr>
        <w:bidi w:val="0"/>
        <w:spacing w:before="120" w:after="0" w:line="276" w:lineRule="auto"/>
        <w:jc w:val="both"/>
        <w:rPr>
          <w:rFonts w:ascii="Book Antiqua" w:hAnsi="Book Antiqua" w:cs="Book Antiqua"/>
          <w:bCs/>
          <w:sz w:val="22"/>
          <w:szCs w:val="22"/>
        </w:rPr>
      </w:pPr>
      <w:r>
        <w:rPr>
          <w:rFonts w:ascii="Book Antiqua" w:hAnsi="Book Antiqua" w:cs="Book Antiqua"/>
          <w:bCs/>
          <w:sz w:val="22"/>
          <w:szCs w:val="22"/>
        </w:rPr>
        <w:t>nie je obsiahnutý v judikatúre Súdneho dvora Európskej únie.</w:t>
      </w:r>
    </w:p>
    <w:p w:rsidR="00742FD8">
      <w:pPr>
        <w:pStyle w:val="NormalWeb"/>
        <w:bidi w:val="0"/>
        <w:spacing w:before="120" w:after="0" w:line="276" w:lineRule="auto"/>
        <w:ind w:left="720"/>
        <w:jc w:val="both"/>
        <w:rPr>
          <w:rFonts w:ascii="Book Antiqua" w:hAnsi="Book Antiqua" w:cs="Book Antiqua"/>
          <w:bCs/>
          <w:sz w:val="22"/>
          <w:szCs w:val="22"/>
        </w:rPr>
      </w:pPr>
    </w:p>
    <w:p w:rsidR="00742FD8">
      <w:pPr>
        <w:bidi w:val="0"/>
        <w:spacing w:before="120" w:line="276" w:lineRule="auto"/>
        <w:jc w:val="both"/>
        <w:rPr>
          <w:rFonts w:ascii="Book Antiqua" w:hAnsi="Book Antiqua" w:cs="Book Antiqua"/>
          <w:b/>
          <w:bCs/>
          <w:caps/>
          <w:color w:val="000000"/>
          <w:spacing w:val="30"/>
          <w:sz w:val="22"/>
          <w:szCs w:val="22"/>
        </w:rPr>
      </w:pPr>
      <w:r>
        <w:rPr>
          <w:rFonts w:ascii="Book Antiqua" w:hAnsi="Book Antiqua" w:cs="Book Antiqua"/>
          <w:b/>
          <w:bCs/>
          <w:sz w:val="22"/>
          <w:szCs w:val="22"/>
        </w:rPr>
        <w:t>Vzhľadom na to, že predmet návrhu zákona nie je upravený v práve Európskej únie, je bezpredmetné vyjadrovať sa k bodom 4. a 5.</w:t>
      </w:r>
    </w:p>
    <w:p w:rsidR="00742FD8">
      <w:pPr>
        <w:pStyle w:val="NormalWeb"/>
        <w:pageBreakBefore/>
        <w:bidi w:val="0"/>
        <w:spacing w:before="120" w:after="0" w:line="276" w:lineRule="auto"/>
        <w:jc w:val="center"/>
        <w:rPr>
          <w:rFonts w:ascii="Book Antiqua" w:hAnsi="Book Antiqua" w:cs="Book Antiqua"/>
          <w:b/>
          <w:bCs/>
          <w:color w:val="000000"/>
          <w:sz w:val="22"/>
          <w:szCs w:val="22"/>
        </w:rPr>
      </w:pPr>
      <w:r>
        <w:rPr>
          <w:rFonts w:ascii="Book Antiqua" w:hAnsi="Book Antiqua" w:cs="Book Antiqua"/>
          <w:b/>
          <w:bCs/>
          <w:caps/>
          <w:color w:val="000000"/>
          <w:spacing w:val="30"/>
          <w:sz w:val="22"/>
          <w:szCs w:val="22"/>
        </w:rPr>
        <w:t>Doložka</w:t>
      </w:r>
    </w:p>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b/>
          <w:bCs/>
          <w:color w:val="000000"/>
          <w:sz w:val="22"/>
          <w:szCs w:val="22"/>
        </w:rPr>
        <w:t>vybraných vplyvov</w:t>
      </w:r>
    </w:p>
    <w:p w:rsidR="00742FD8">
      <w:pPr>
        <w:pStyle w:val="NormalWeb"/>
        <w:bidi w:val="0"/>
        <w:spacing w:before="120" w:after="0" w:line="276" w:lineRule="auto"/>
        <w:rPr>
          <w:rFonts w:ascii="Book Antiqua" w:hAnsi="Book Antiqua" w:cs="Book Antiqua"/>
          <w:b/>
          <w:bCs/>
          <w:color w:val="000000"/>
          <w:sz w:val="22"/>
          <w:szCs w:val="22"/>
        </w:rPr>
      </w:pPr>
      <w:r>
        <w:rPr>
          <w:rFonts w:ascii="Book Antiqua" w:hAnsi="Book Antiqua" w:cs="Book Antiqua"/>
          <w:color w:val="000000"/>
          <w:sz w:val="22"/>
          <w:szCs w:val="22"/>
        </w:rPr>
        <w:t> </w:t>
      </w:r>
    </w:p>
    <w:p w:rsidR="00742FD8">
      <w:pPr>
        <w:pStyle w:val="NormalWeb"/>
        <w:bidi w:val="0"/>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 xml:space="preserve">A.1. Názov materiálu: </w:t>
      </w:r>
      <w:r w:rsidR="00092100">
        <w:rPr>
          <w:rFonts w:ascii="Book Antiqua" w:hAnsi="Book Antiqua" w:cs="Book Antiqua"/>
          <w:sz w:val="22"/>
        </w:rPr>
        <w:t>návrh zákona</w:t>
      </w:r>
      <w:r>
        <w:rPr>
          <w:rFonts w:ascii="Book Antiqua" w:hAnsi="Book Antiqua" w:cs="Book Antiqua"/>
          <w:sz w:val="22"/>
        </w:rPr>
        <w:t>, ktorým sa mení a dopĺňa zákon č. 101/2010 Z. z. o preukazovaní pôvodu majetku</w:t>
      </w:r>
    </w:p>
    <w:p w:rsidR="00092100">
      <w:pPr>
        <w:pStyle w:val="NormalWeb"/>
        <w:bidi w:val="0"/>
        <w:spacing w:before="120" w:after="0" w:line="276" w:lineRule="auto"/>
        <w:jc w:val="both"/>
        <w:rPr>
          <w:rFonts w:ascii="Book Antiqua" w:eastAsia="Book Antiqua" w:hAnsi="Book Antiqua" w:cs="Book Antiqua"/>
          <w:b/>
          <w:bCs/>
          <w:color w:val="000000"/>
          <w:sz w:val="22"/>
          <w:szCs w:val="22"/>
        </w:rPr>
      </w:pPr>
      <w:r w:rsidR="00742FD8">
        <w:rPr>
          <w:rFonts w:ascii="Book Antiqua" w:hAnsi="Book Antiqua" w:cs="Book Antiqua"/>
          <w:b/>
          <w:bCs/>
          <w:color w:val="000000"/>
          <w:sz w:val="22"/>
          <w:szCs w:val="22"/>
        </w:rPr>
        <w:t>       </w:t>
      </w:r>
      <w:r w:rsidR="00742FD8">
        <w:rPr>
          <w:rFonts w:ascii="Book Antiqua" w:eastAsia="Book Antiqua" w:hAnsi="Book Antiqua" w:cs="Book Antiqua"/>
          <w:b/>
          <w:bCs/>
          <w:color w:val="000000"/>
          <w:sz w:val="22"/>
          <w:szCs w:val="22"/>
        </w:rPr>
        <w:t xml:space="preserve"> </w:t>
      </w:r>
    </w:p>
    <w:p w:rsidR="00742FD8">
      <w:pPr>
        <w:pStyle w:val="NormalWeb"/>
        <w:bidi w:val="0"/>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Termín začatia a ukončenia PPK:</w:t>
      </w:r>
      <w:r>
        <w:rPr>
          <w:rFonts w:ascii="Book Antiqua" w:hAnsi="Book Antiqua" w:cs="Book Antiqua"/>
          <w:color w:val="000000"/>
          <w:sz w:val="22"/>
          <w:szCs w:val="22"/>
        </w:rPr>
        <w:t xml:space="preserve"> </w:t>
      </w:r>
      <w:r>
        <w:rPr>
          <w:rFonts w:ascii="Book Antiqua" w:hAnsi="Book Antiqua" w:cs="Book Antiqua"/>
          <w:i/>
          <w:iCs/>
          <w:color w:val="000000"/>
          <w:sz w:val="22"/>
          <w:szCs w:val="22"/>
        </w:rPr>
        <w:t>bezpredmetné</w:t>
      </w:r>
    </w:p>
    <w:p w:rsidR="00742FD8">
      <w:pPr>
        <w:pStyle w:val="NormalWeb"/>
        <w:bidi w:val="0"/>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 </w:t>
      </w:r>
    </w:p>
    <w:p w:rsidR="00742FD8">
      <w:pPr>
        <w:pStyle w:val="NormalWeb"/>
        <w:bidi w:val="0"/>
        <w:spacing w:before="120" w:after="0" w:line="276" w:lineRule="auto"/>
        <w:jc w:val="both"/>
        <w:rPr>
          <w:rFonts w:ascii="Book Antiqua" w:hAnsi="Book Antiqua" w:cs="Book Antiqua"/>
          <w:color w:val="000000"/>
          <w:sz w:val="22"/>
          <w:szCs w:val="22"/>
        </w:rPr>
      </w:pPr>
      <w:r>
        <w:rPr>
          <w:rFonts w:ascii="Book Antiqua" w:hAnsi="Book Antiqua" w:cs="Book Antiqua"/>
          <w:b/>
          <w:bCs/>
          <w:color w:val="000000"/>
          <w:sz w:val="22"/>
          <w:szCs w:val="22"/>
        </w:rPr>
        <w:t>A.2. Vplyvy:</w:t>
      </w:r>
    </w:p>
    <w:tbl>
      <w:tblPr>
        <w:tblStyle w:val="TableNormal"/>
        <w:tblW w:w="0" w:type="auto"/>
        <w:tblInd w:w="-7" w:type="dxa"/>
        <w:tblLayout w:type="fixed"/>
        <w:tblCellMar>
          <w:left w:w="0" w:type="dxa"/>
          <w:right w:w="0" w:type="dxa"/>
        </w:tblCellMar>
      </w:tblPr>
      <w:tblGrid>
        <w:gridCol w:w="5518"/>
        <w:gridCol w:w="1192"/>
        <w:gridCol w:w="1181"/>
        <w:gridCol w:w="1212"/>
      </w:tblGrid>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Pozitívne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Žiadne </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jc w:val="center"/>
              <w:rPr>
                <w:rFonts w:ascii="Times New Roman" w:hAnsi="Times New Roman"/>
              </w:rPr>
            </w:pPr>
            <w:r>
              <w:rPr>
                <w:rFonts w:ascii="Book Antiqua" w:hAnsi="Book Antiqua" w:cs="Book Antiqua"/>
                <w:color w:val="000000"/>
                <w:sz w:val="22"/>
                <w:szCs w:val="22"/>
              </w:rPr>
              <w:t> Negatívne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jc w:val="center"/>
              <w:rPr>
                <w:rFonts w:ascii="Times New Roman" w:hAnsi="Times New Roman"/>
              </w:rP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sz w:val="22"/>
                <w:szCs w:val="22"/>
              </w:rPr>
            </w:pPr>
            <w:r>
              <w:rPr>
                <w:rFonts w:ascii="Book Antiqua" w:hAnsi="Book Antiqua" w:cs="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napToGrid w:val="0"/>
              <w:spacing w:before="120" w:after="0" w:line="276" w:lineRule="auto"/>
              <w:jc w:val="center"/>
              <w:rPr>
                <w:rFonts w:ascii="Book Antiqua" w:hAnsi="Book Antiqua" w:cs="Book Antiqua"/>
                <w:sz w:val="22"/>
                <w:szCs w:val="22"/>
              </w:rPr>
            </w:pP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sz w:val="22"/>
                <w:szCs w:val="22"/>
              </w:rPr>
            </w:pPr>
            <w:r>
              <w:rPr>
                <w:rFonts w:ascii="Book Antiqua" w:hAnsi="Book Antiqua" w:cs="Book Antiqua"/>
                <w:color w:val="000000"/>
                <w:sz w:val="22"/>
                <w:szCs w:val="22"/>
              </w:rPr>
              <w:t>3. Sociálne vplyvy</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napToGrid w:val="0"/>
              <w:spacing w:before="120" w:after="0" w:line="276" w:lineRule="auto"/>
              <w:jc w:val="center"/>
              <w:rPr>
                <w:rFonts w:ascii="Book Antiqua" w:hAnsi="Book Antiqua" w:cs="Book Antiqua"/>
                <w:sz w:val="22"/>
                <w:szCs w:val="22"/>
              </w:rPr>
            </w:pP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rPr>
                <w:rFonts w:ascii="Times New Roman" w:hAnsi="Times New Roman"/>
              </w:rP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sz w:val="22"/>
                <w:szCs w:val="22"/>
              </w:rPr>
            </w:pPr>
            <w:r>
              <w:rPr>
                <w:rFonts w:ascii="Book Antiqua" w:eastAsia="Book Antiqua" w:hAnsi="Book Antiqua" w:cs="Book Antiqua" w:hint="default"/>
                <w:color w:val="000000"/>
                <w:sz w:val="22"/>
                <w:szCs w:val="22"/>
              </w:rPr>
              <w:t>–</w:t>
            </w:r>
            <w:r>
              <w:rPr>
                <w:rFonts w:ascii="Book Antiqua" w:eastAsia="Book Antiqua" w:hAnsi="Book Antiqua" w:cs="Book Antiqua" w:hint="default"/>
                <w:color w:val="000000"/>
                <w:sz w:val="22"/>
                <w:szCs w:val="22"/>
              </w:rPr>
              <w:t xml:space="preserve"> </w:t>
            </w:r>
            <w:r>
              <w:rPr>
                <w:rFonts w:ascii="Book Antiqua" w:hAnsi="Book Antiqua" w:cs="Book Antiqua"/>
                <w:color w:val="000000"/>
                <w:sz w:val="22"/>
                <w:szCs w:val="22"/>
              </w:rPr>
              <w:t>vplyvy na hospodárenie obyvateľstva,</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napToGrid w:val="0"/>
              <w:spacing w:before="120" w:after="0" w:line="276" w:lineRule="auto"/>
              <w:jc w:val="center"/>
              <w:rPr>
                <w:rFonts w:ascii="Book Antiqua" w:hAnsi="Book Antiqua" w:cs="Book Antiqua"/>
                <w:sz w:val="22"/>
                <w:szCs w:val="22"/>
              </w:rPr>
            </w:pP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jc w:val="center"/>
              <w:rPr>
                <w:rFonts w:ascii="Times New Roman" w:hAnsi="Times New Roman"/>
              </w:rP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color w:val="000000"/>
                <w:sz w:val="22"/>
                <w:szCs w:val="22"/>
              </w:rPr>
            </w:pPr>
            <w:r>
              <w:rPr>
                <w:rFonts w:ascii="Book Antiqua" w:eastAsia="Book Antiqua" w:hAnsi="Book Antiqua" w:cs="Book Antiqua" w:hint="default"/>
                <w:color w:val="000000"/>
                <w:sz w:val="22"/>
                <w:szCs w:val="22"/>
              </w:rPr>
              <w:t>–</w:t>
            </w:r>
            <w:r>
              <w:rPr>
                <w:rFonts w:ascii="Book Antiqua" w:eastAsia="Book Antiqua" w:hAnsi="Book Antiqua" w:cs="Book Antiqua" w:hint="default"/>
                <w:color w:val="000000"/>
                <w:sz w:val="22"/>
                <w:szCs w:val="22"/>
              </w:rPr>
              <w:t xml:space="preserve"> </w:t>
            </w:r>
            <w:r>
              <w:rPr>
                <w:rFonts w:ascii="Book Antiqua" w:hAnsi="Book Antiqua" w:cs="Book Antiqua"/>
                <w:color w:val="000000"/>
                <w:sz w:val="22"/>
                <w:szCs w:val="22"/>
              </w:rPr>
              <w:t>sociálnu exklúziu,</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jc w:val="center"/>
              <w:rPr>
                <w:rFonts w:ascii="Times New Roman" w:hAnsi="Times New Roman"/>
              </w:rP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sz w:val="22"/>
                <w:szCs w:val="22"/>
              </w:rPr>
            </w:pPr>
            <w:r>
              <w:rPr>
                <w:rFonts w:ascii="Book Antiqua" w:eastAsia="Book Antiqua" w:hAnsi="Book Antiqua" w:cs="Book Antiqua" w:hint="default"/>
                <w:color w:val="000000"/>
                <w:sz w:val="22"/>
                <w:szCs w:val="22"/>
              </w:rPr>
              <w:t>–</w:t>
            </w:r>
            <w:r>
              <w:rPr>
                <w:rFonts w:ascii="Book Antiqua" w:eastAsia="Book Antiqua" w:hAnsi="Book Antiqua" w:cs="Book Antiqua" w:hint="default"/>
                <w:color w:val="000000"/>
                <w:sz w:val="22"/>
                <w:szCs w:val="22"/>
              </w:rPr>
              <w:t xml:space="preserve"> </w:t>
            </w:r>
            <w:r>
              <w:rPr>
                <w:rFonts w:ascii="Book Antiqua" w:hAnsi="Book Antiqua" w:cs="Book Antiqua"/>
                <w:color w:val="000000"/>
                <w:sz w:val="22"/>
                <w:szCs w:val="22"/>
              </w:rPr>
              <w:t>rovnosť príležitostí a rodovú rovnosť a vplyvy na zamestnanosť</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napToGrid w:val="0"/>
              <w:spacing w:before="120" w:after="0" w:line="276" w:lineRule="auto"/>
              <w:jc w:val="center"/>
              <w:rPr>
                <w:rFonts w:ascii="Book Antiqua" w:hAnsi="Book Antiqua" w:cs="Book Antiqua"/>
                <w:sz w:val="22"/>
                <w:szCs w:val="22"/>
              </w:rPr>
            </w:pP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jc w:val="center"/>
              <w:rPr>
                <w:rFonts w:ascii="Times New Roman" w:hAnsi="Times New Roman"/>
              </w:rP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jc w:val="center"/>
              <w:rPr>
                <w:rFonts w:ascii="Times New Roman" w:hAnsi="Times New Roman"/>
              </w:rP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742FD8">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742FD8">
            <w:pPr>
              <w:pStyle w:val="NormalWeb"/>
              <w:bidi w:val="0"/>
              <w:spacing w:before="120" w:after="0" w:line="276" w:lineRule="auto"/>
              <w:jc w:val="center"/>
              <w:rPr>
                <w:rFonts w:ascii="Times New Roman" w:hAnsi="Times New Roman"/>
              </w:rPr>
            </w:pPr>
            <w:r>
              <w:rPr>
                <w:rFonts w:ascii="Book Antiqua" w:hAnsi="Book Antiqua" w:cs="Book Antiqua"/>
                <w:color w:val="000000"/>
                <w:sz w:val="22"/>
                <w:szCs w:val="22"/>
              </w:rPr>
              <w:t> </w:t>
            </w:r>
          </w:p>
        </w:tc>
      </w:tr>
    </w:tbl>
    <w:p w:rsidR="00742FD8">
      <w:pPr>
        <w:pStyle w:val="NormalWeb"/>
        <w:bidi w:val="0"/>
        <w:spacing w:before="120" w:after="0" w:line="276" w:lineRule="auto"/>
        <w:rPr>
          <w:rFonts w:ascii="Book Antiqua" w:hAnsi="Book Antiqua" w:cs="Book Antiqua"/>
          <w:b/>
          <w:bCs/>
          <w:color w:val="000000"/>
          <w:sz w:val="22"/>
          <w:szCs w:val="22"/>
        </w:rPr>
      </w:pPr>
      <w:r>
        <w:rPr>
          <w:rFonts w:ascii="Book Antiqua" w:hAnsi="Book Antiqua" w:cs="Book Antiqua"/>
          <w:color w:val="000000"/>
          <w:sz w:val="22"/>
          <w:szCs w:val="22"/>
        </w:rPr>
        <w:t> </w:t>
      </w:r>
    </w:p>
    <w:p w:rsidR="00742FD8">
      <w:pPr>
        <w:pStyle w:val="NormalWeb"/>
        <w:bidi w:val="0"/>
        <w:spacing w:before="120" w:after="0" w:line="276" w:lineRule="auto"/>
        <w:jc w:val="both"/>
        <w:rPr>
          <w:rFonts w:ascii="Book Antiqua" w:hAnsi="Book Antiqua" w:cs="Book Antiqua"/>
          <w:i/>
          <w:sz w:val="22"/>
          <w:szCs w:val="22"/>
        </w:rPr>
      </w:pPr>
      <w:r>
        <w:rPr>
          <w:rFonts w:ascii="Book Antiqua" w:hAnsi="Book Antiqua" w:cs="Book Antiqua"/>
          <w:b/>
          <w:bCs/>
          <w:color w:val="000000"/>
          <w:sz w:val="22"/>
          <w:szCs w:val="22"/>
        </w:rPr>
        <w:t>A.3. Poznámky</w:t>
      </w:r>
    </w:p>
    <w:p w:rsidR="00742FD8">
      <w:pPr>
        <w:pStyle w:val="NormalWeb"/>
        <w:bidi w:val="0"/>
        <w:spacing w:before="120" w:after="0" w:line="276" w:lineRule="auto"/>
        <w:jc w:val="both"/>
        <w:rPr>
          <w:rFonts w:ascii="Book Antiqua" w:hAnsi="Book Antiqua" w:cs="Book Antiqua"/>
          <w:b/>
          <w:bCs/>
          <w:color w:val="000000"/>
          <w:sz w:val="22"/>
          <w:szCs w:val="22"/>
        </w:rPr>
      </w:pPr>
      <w:r>
        <w:rPr>
          <w:rFonts w:ascii="Book Antiqua" w:hAnsi="Book Antiqua" w:cs="Book Antiqua"/>
          <w:i/>
          <w:sz w:val="22"/>
          <w:szCs w:val="22"/>
        </w:rPr>
        <w:t>bezpredmetné</w:t>
      </w:r>
    </w:p>
    <w:p w:rsidR="00742FD8">
      <w:pPr>
        <w:pStyle w:val="NormalWeb"/>
        <w:bidi w:val="0"/>
        <w:spacing w:before="120" w:after="0" w:line="276" w:lineRule="auto"/>
        <w:jc w:val="both"/>
        <w:rPr>
          <w:rFonts w:ascii="Book Antiqua" w:hAnsi="Book Antiqua" w:cs="Book Antiqua"/>
          <w:b/>
          <w:bCs/>
          <w:color w:val="000000"/>
          <w:sz w:val="22"/>
          <w:szCs w:val="22"/>
        </w:rPr>
      </w:pPr>
    </w:p>
    <w:p w:rsidR="00742FD8">
      <w:pPr>
        <w:pStyle w:val="NormalWeb"/>
        <w:bidi w:val="0"/>
        <w:spacing w:before="120" w:after="0" w:line="276" w:lineRule="auto"/>
        <w:jc w:val="both"/>
        <w:rPr>
          <w:rFonts w:ascii="Book Antiqua" w:hAnsi="Book Antiqua" w:cs="Book Antiqua"/>
          <w:i/>
          <w:iCs/>
          <w:color w:val="000000"/>
          <w:sz w:val="22"/>
          <w:szCs w:val="22"/>
        </w:rPr>
      </w:pPr>
      <w:r>
        <w:rPr>
          <w:rFonts w:ascii="Book Antiqua" w:hAnsi="Book Antiqua" w:cs="Book Antiqua"/>
          <w:b/>
          <w:bCs/>
          <w:color w:val="000000"/>
          <w:sz w:val="22"/>
          <w:szCs w:val="22"/>
        </w:rPr>
        <w:t>A.4. Alternatívne riešenia</w:t>
      </w:r>
    </w:p>
    <w:p w:rsidR="00742FD8">
      <w:pPr>
        <w:pStyle w:val="NormalWeb"/>
        <w:bidi w:val="0"/>
        <w:spacing w:before="120" w:after="0" w:line="276" w:lineRule="auto"/>
        <w:jc w:val="both"/>
        <w:rPr>
          <w:rFonts w:ascii="Book Antiqua" w:hAnsi="Book Antiqua" w:cs="Book Antiqua"/>
          <w:b/>
          <w:bCs/>
          <w:color w:val="000000"/>
          <w:sz w:val="22"/>
          <w:szCs w:val="22"/>
        </w:rPr>
      </w:pPr>
      <w:r>
        <w:rPr>
          <w:rFonts w:ascii="Book Antiqua" w:hAnsi="Book Antiqua" w:cs="Book Antiqua"/>
          <w:i/>
          <w:iCs/>
          <w:color w:val="000000"/>
          <w:sz w:val="22"/>
          <w:szCs w:val="22"/>
        </w:rPr>
        <w:t>bezpredmetné</w:t>
      </w:r>
    </w:p>
    <w:p w:rsidR="00742FD8">
      <w:pPr>
        <w:pStyle w:val="NormalWeb"/>
        <w:bidi w:val="0"/>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 </w:t>
      </w:r>
    </w:p>
    <w:p w:rsidR="00742FD8">
      <w:pPr>
        <w:pStyle w:val="NormalWeb"/>
        <w:bidi w:val="0"/>
        <w:spacing w:before="120" w:after="0" w:line="276" w:lineRule="auto"/>
        <w:jc w:val="both"/>
        <w:rPr>
          <w:rFonts w:ascii="Book Antiqua" w:hAnsi="Book Antiqua" w:cs="Book Antiqua"/>
          <w:i/>
          <w:iCs/>
          <w:color w:val="000000"/>
          <w:sz w:val="22"/>
          <w:szCs w:val="22"/>
        </w:rPr>
      </w:pPr>
      <w:r>
        <w:rPr>
          <w:rFonts w:ascii="Book Antiqua" w:hAnsi="Book Antiqua" w:cs="Book Antiqua"/>
          <w:b/>
          <w:bCs/>
          <w:color w:val="000000"/>
          <w:sz w:val="22"/>
          <w:szCs w:val="22"/>
        </w:rPr>
        <w:t>A.5. Stanovisko gestorov</w:t>
      </w:r>
    </w:p>
    <w:p w:rsidR="00742FD8">
      <w:pPr>
        <w:pStyle w:val="NormalWeb"/>
        <w:bidi w:val="0"/>
        <w:spacing w:before="120" w:after="0" w:line="276" w:lineRule="auto"/>
        <w:jc w:val="both"/>
        <w:rPr>
          <w:rFonts w:ascii="Times New Roman" w:hAnsi="Times New Roman"/>
        </w:rPr>
      </w:pPr>
      <w:r>
        <w:rPr>
          <w:rFonts w:ascii="Book Antiqua" w:hAnsi="Book Antiqua" w:cs="Book Antiqua"/>
          <w:i/>
          <w:iCs/>
          <w:color w:val="000000"/>
          <w:sz w:val="22"/>
          <w:szCs w:val="22"/>
        </w:rPr>
        <w:t>Návrh zákona bol zaslaný na vyjadrenie Ministerstvu financií SR a stanovisko tohto ministerstva tvorí súčasť predkladaného materiálu.</w:t>
      </w:r>
    </w:p>
    <w:sectPr>
      <w:footerReference w:type="default" r:id="rId4"/>
      <w:footerReference w:type="firs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Liberation Sans">
    <w:altName w:val="Arial"/>
    <w:charset w:val="EE"/>
    <w:family w:val="swiss"/>
    <w:pitch w:val="variable"/>
    <w:sig w:usb0="00000000" w:usb1="00000000" w:usb2="00000000" w:usb3="00000000" w:csb0="00000002"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D8">
    <w:pPr>
      <w:pStyle w:val="Footer"/>
      <w:bidi w:val="0"/>
      <w:ind w:right="360"/>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2049" type="#_x0000_t202" style="width:1.1pt;height:27.55pt;margin-top:0.05pt;margin-left:523.3pt;mso-position-horizontal-relative:page;mso-wrap-distance-left:0;mso-wrap-distance-right:0;position:absolute;z-index:251658240" stroked="f">
          <v:fill opacity="0" color2="black"/>
          <v:textbox inset="0,0,0,0">
            <w:txbxContent>
              <w:p w:rsidR="00742FD8">
                <w:pPr>
                  <w:pStyle w:val="Footer"/>
                  <w:bidi w:val="0"/>
                  <w:rPr>
                    <w:rFonts w:ascii="Times New Roman" w:hAnsi="Times New Roman"/>
                  </w:rPr>
                </w:pPr>
              </w:p>
              <w:p w:rsidR="00742FD8">
                <w:pPr>
                  <w:pStyle w:val="Footer"/>
                  <w:bidi w:val="0"/>
                  <w:rPr>
                    <w:rFonts w:ascii="Times New Roman" w:hAnsi="Times New Roman"/>
                  </w:rPr>
                </w:pP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D8">
    <w:pP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suff w:val="nothing"/>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suff w:val="nothing"/>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firstLine="0"/>
      </w:pPr>
      <w:rPr>
        <w:rFonts w:cs="Times New Roman" w:hint="default"/>
        <w:rtl w:val="0"/>
        <w:cs w:val="0"/>
      </w:rPr>
    </w:lvl>
    <w:lvl w:ilvl="5">
      <w:start w:val="1"/>
      <w:numFmt w:val="lowerLetter"/>
      <w:lvlText w:val="(%6)"/>
      <w:lvlJc w:val="left"/>
      <w:pPr>
        <w:tabs>
          <w:tab w:val="num" w:pos="3960"/>
        </w:tabs>
        <w:ind w:left="3600" w:firstLine="0"/>
      </w:pPr>
      <w:rPr>
        <w:rFonts w:cs="Times New Roman" w:hint="default"/>
        <w:rtl w:val="0"/>
        <w:cs w:val="0"/>
      </w:rPr>
    </w:lvl>
    <w:lvl w:ilvl="6">
      <w:start w:val="1"/>
      <w:numFmt w:val="lowerRoman"/>
      <w:lvlText w:val="(%7)"/>
      <w:lvlJc w:val="left"/>
      <w:pPr>
        <w:tabs>
          <w:tab w:val="num" w:pos="4680"/>
        </w:tabs>
        <w:ind w:left="4320" w:firstLine="0"/>
      </w:pPr>
      <w:rPr>
        <w:rFonts w:cs="Times New Roman" w:hint="default"/>
        <w:rtl w:val="0"/>
        <w:cs w:val="0"/>
      </w:rPr>
    </w:lvl>
    <w:lvl w:ilvl="7">
      <w:start w:val="1"/>
      <w:numFmt w:val="lowerLetter"/>
      <w:lvlText w:val="(%8)"/>
      <w:lvlJc w:val="left"/>
      <w:pPr>
        <w:tabs>
          <w:tab w:val="num" w:pos="5400"/>
        </w:tabs>
        <w:ind w:left="5040" w:firstLine="0"/>
      </w:pPr>
      <w:rPr>
        <w:rFonts w:cs="Times New Roman" w:hint="default"/>
        <w:rtl w:val="0"/>
        <w:cs w:val="0"/>
      </w:rPr>
    </w:lvl>
    <w:lvl w:ilvl="8">
      <w:start w:val="1"/>
      <w:numFmt w:val="lowerRoman"/>
      <w:lvlText w:val="(%9)"/>
      <w:lvlJc w:val="left"/>
      <w:pPr>
        <w:tabs>
          <w:tab w:val="num" w:pos="6120"/>
        </w:tabs>
        <w:ind w:left="5760" w:firstLine="0"/>
      </w:pPr>
      <w:rPr>
        <w:rFonts w:cs="Times New Roman" w:hint="default"/>
        <w:rtl w:val="0"/>
        <w:cs w:val="0"/>
      </w:rPr>
    </w:lvl>
  </w:abstractNum>
  <w:abstractNum w:abstractNumId="1">
    <w:nsid w:val="00000002"/>
    <w:multiLevelType w:val="multilevel"/>
    <w:tmpl w:val="00000002"/>
    <w:name w:val="WW8Num4"/>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pStyle w:val="Nadpis3Podloha"/>
      <w:suff w:val="nothing"/>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suff w:val="nothing"/>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firstLine="0"/>
      </w:pPr>
      <w:rPr>
        <w:rFonts w:cs="Times New Roman" w:hint="default"/>
        <w:rtl w:val="0"/>
        <w:cs w:val="0"/>
      </w:rPr>
    </w:lvl>
    <w:lvl w:ilvl="5">
      <w:start w:val="1"/>
      <w:numFmt w:val="lowerLetter"/>
      <w:pStyle w:val="Heading6"/>
      <w:lvlText w:val="(%6)"/>
      <w:lvlJc w:val="left"/>
      <w:pPr>
        <w:tabs>
          <w:tab w:val="num" w:pos="3960"/>
        </w:tabs>
        <w:ind w:left="3600" w:firstLine="0"/>
      </w:pPr>
      <w:rPr>
        <w:rFonts w:cs="Times New Roman" w:hint="default"/>
        <w:rtl w:val="0"/>
        <w:cs w:val="0"/>
      </w:rPr>
    </w:lvl>
    <w:lvl w:ilvl="6">
      <w:start w:val="1"/>
      <w:numFmt w:val="lowerRoman"/>
      <w:pStyle w:val="Heading7"/>
      <w:lvlText w:val="(%7)"/>
      <w:lvlJc w:val="left"/>
      <w:pPr>
        <w:tabs>
          <w:tab w:val="num" w:pos="4680"/>
        </w:tabs>
        <w:ind w:left="4320" w:firstLine="0"/>
      </w:pPr>
      <w:rPr>
        <w:rFonts w:cs="Times New Roman" w:hint="default"/>
        <w:rtl w:val="0"/>
        <w:cs w:val="0"/>
      </w:rPr>
    </w:lvl>
    <w:lvl w:ilvl="7">
      <w:start w:val="1"/>
      <w:numFmt w:val="lowerLetter"/>
      <w:pStyle w:val="Heading8"/>
      <w:lvlText w:val="(%8)"/>
      <w:lvlJc w:val="left"/>
      <w:pPr>
        <w:tabs>
          <w:tab w:val="num" w:pos="5400"/>
        </w:tabs>
        <w:ind w:left="5040" w:firstLine="0"/>
      </w:pPr>
      <w:rPr>
        <w:rFonts w:cs="Times New Roman" w:hint="default"/>
        <w:rtl w:val="0"/>
        <w:cs w:val="0"/>
      </w:rPr>
    </w:lvl>
    <w:lvl w:ilvl="8">
      <w:start w:val="1"/>
      <w:numFmt w:val="lowerRoman"/>
      <w:pStyle w:val="Heading9"/>
      <w:lvlText w:val="(%9)"/>
      <w:lvlJc w:val="left"/>
      <w:pPr>
        <w:tabs>
          <w:tab w:val="num" w:pos="6120"/>
        </w:tabs>
        <w:ind w:left="5760" w:firstLine="0"/>
      </w:pPr>
      <w:rPr>
        <w:rFonts w:cs="Times New Roman" w:hint="default"/>
        <w:rtl w:val="0"/>
        <w:cs w:val="0"/>
      </w:rPr>
    </w:lvl>
  </w:abstractNum>
  <w:abstractNum w:abstractNumId="2">
    <w:nsid w:val="00000003"/>
    <w:multiLevelType w:val="singleLevel"/>
    <w:tmpl w:val="00000003"/>
    <w:name w:val="WW8Num19"/>
    <w:lvl w:ilvl="0">
      <w:start w:val="1"/>
      <w:numFmt w:val="lowerLetter"/>
      <w:lvlText w:val="%1)"/>
      <w:lvlJc w:val="left"/>
      <w:pPr>
        <w:tabs>
          <w:tab w:val="num" w:pos="0"/>
        </w:tabs>
        <w:ind w:left="720" w:hanging="360"/>
      </w:pPr>
      <w:rPr>
        <w:rFonts w:ascii="Book Antiqua" w:hAnsi="Book Antiqua" w:cs="Times New Roman"/>
        <w:bCs/>
        <w:sz w:val="22"/>
        <w:szCs w:val="22"/>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characterSpacingControl w:val="doNotCompress"/>
  <w:compat/>
  <w:rsids>
    <w:rsidRoot w:val="00C6611C"/>
    <w:rsid w:val="000575DD"/>
    <w:rsid w:val="00092100"/>
    <w:rsid w:val="0040399B"/>
    <w:rsid w:val="00625B28"/>
    <w:rsid w:val="00742FD8"/>
    <w:rsid w:val="009706E9"/>
    <w:rsid w:val="00C6611C"/>
    <w:rsid w:val="00DB3624"/>
    <w:rsid w:val="00FA6A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zh-CN" w:bidi="ar-SA"/>
    </w:rPr>
  </w:style>
  <w:style w:type="paragraph" w:styleId="Heading1">
    <w:name w:val="heading 1"/>
    <w:basedOn w:val="Normal"/>
    <w:next w:val="Normal"/>
    <w:qFormat/>
    <w:pPr>
      <w:keepNext/>
      <w:autoSpaceDE w:val="0"/>
      <w:jc w:val="center"/>
      <w:outlineLvl w:val="0"/>
    </w:pPr>
    <w:rPr>
      <w:rFonts w:ascii="Cambria" w:hAnsi="Cambria" w:cs="Cambria"/>
      <w:b/>
      <w:kern w:val="1"/>
      <w:sz w:val="32"/>
      <w:szCs w:val="20"/>
    </w:rPr>
  </w:style>
  <w:style w:type="paragraph" w:styleId="Heading3">
    <w:name w:val="heading 3"/>
    <w:basedOn w:val="Normal"/>
    <w:next w:val="Normal"/>
    <w:qFormat/>
    <w:pPr>
      <w:keepNext/>
      <w:spacing w:before="240" w:after="60"/>
      <w:jc w:val="left"/>
      <w:outlineLvl w:val="2"/>
    </w:pPr>
    <w:rPr>
      <w:rFonts w:ascii="Cambria" w:hAnsi="Cambria" w:cs="Cambria"/>
      <w:b/>
      <w:sz w:val="26"/>
      <w:szCs w:val="20"/>
    </w:rPr>
  </w:style>
  <w:style w:type="paragraph" w:styleId="Heading5">
    <w:name w:val="heading 5"/>
    <w:basedOn w:val="Normal"/>
    <w:next w:val="Normal"/>
    <w:qFormat/>
    <w:pPr>
      <w:numPr>
        <w:ilvl w:val="4"/>
        <w:numId w:val="2"/>
      </w:numPr>
      <w:tabs>
        <w:tab w:val="num" w:pos="3240"/>
      </w:tabs>
      <w:autoSpaceDE w:val="0"/>
      <w:spacing w:before="240" w:after="60"/>
      <w:ind w:left="2880"/>
      <w:jc w:val="left"/>
      <w:outlineLvl w:val="4"/>
    </w:pPr>
    <w:rPr>
      <w:b/>
      <w:bCs/>
      <w:i/>
      <w:iCs/>
      <w:sz w:val="26"/>
      <w:szCs w:val="26"/>
    </w:rPr>
  </w:style>
  <w:style w:type="paragraph" w:styleId="Heading6">
    <w:name w:val="heading 6"/>
    <w:basedOn w:val="Normal"/>
    <w:next w:val="Normal"/>
    <w:qFormat/>
    <w:pPr>
      <w:numPr>
        <w:ilvl w:val="5"/>
        <w:numId w:val="2"/>
      </w:numPr>
      <w:tabs>
        <w:tab w:val="num" w:pos="3960"/>
      </w:tabs>
      <w:autoSpaceDE w:val="0"/>
      <w:spacing w:before="240" w:after="60"/>
      <w:ind w:left="3600"/>
      <w:jc w:val="left"/>
      <w:outlineLvl w:val="5"/>
    </w:pPr>
    <w:rPr>
      <w:b/>
      <w:bCs/>
      <w:sz w:val="22"/>
      <w:szCs w:val="22"/>
    </w:rPr>
  </w:style>
  <w:style w:type="paragraph" w:styleId="Heading7">
    <w:name w:val="heading 7"/>
    <w:basedOn w:val="Normal"/>
    <w:next w:val="Normal"/>
    <w:qFormat/>
    <w:pPr>
      <w:numPr>
        <w:ilvl w:val="6"/>
        <w:numId w:val="2"/>
      </w:numPr>
      <w:tabs>
        <w:tab w:val="num" w:pos="4680"/>
      </w:tabs>
      <w:autoSpaceDE w:val="0"/>
      <w:spacing w:before="240" w:after="60"/>
      <w:ind w:left="4320"/>
      <w:jc w:val="left"/>
      <w:outlineLvl w:val="6"/>
    </w:pPr>
  </w:style>
  <w:style w:type="paragraph" w:styleId="Heading8">
    <w:name w:val="heading 8"/>
    <w:basedOn w:val="Normal"/>
    <w:next w:val="Normal"/>
    <w:qFormat/>
    <w:pPr>
      <w:numPr>
        <w:ilvl w:val="7"/>
        <w:numId w:val="2"/>
      </w:numPr>
      <w:tabs>
        <w:tab w:val="num" w:pos="5400"/>
      </w:tabs>
      <w:autoSpaceDE w:val="0"/>
      <w:spacing w:before="240" w:after="60"/>
      <w:ind w:left="5040"/>
      <w:jc w:val="left"/>
      <w:outlineLvl w:val="7"/>
    </w:pPr>
    <w:rPr>
      <w:i/>
      <w:iCs/>
    </w:rPr>
  </w:style>
  <w:style w:type="paragraph" w:styleId="Heading9">
    <w:name w:val="heading 9"/>
    <w:basedOn w:val="Normal"/>
    <w:next w:val="Normal"/>
    <w:qFormat/>
    <w:pPr>
      <w:numPr>
        <w:ilvl w:val="8"/>
        <w:numId w:val="2"/>
      </w:numPr>
      <w:tabs>
        <w:tab w:val="num" w:pos="6120"/>
      </w:tabs>
      <w:autoSpaceDE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i w:val="0"/>
    </w:rPr>
  </w:style>
  <w:style w:type="character" w:customStyle="1" w:styleId="WW8Num3z1">
    <w:name w:val="WW8Num3z1"/>
  </w:style>
  <w:style w:type="character" w:customStyle="1" w:styleId="WW8Num4z0">
    <w:name w:val="WW8Num4z0"/>
    <w:rPr>
      <w:rFonts w:ascii="Times New Roman" w:hAnsi="Times New Roman" w:cs="Times New Roman"/>
      <w:b/>
      <w:i w:val="0"/>
      <w:sz w:val="28"/>
    </w:rPr>
  </w:style>
  <w:style w:type="character" w:customStyle="1" w:styleId="WW8Num4z1">
    <w:name w:val="WW8Num4z1"/>
    <w:rPr>
      <w:rFonts w:ascii="Times New Roman" w:hAnsi="Times New Roman" w:cs="Times New Roman"/>
      <w:b w:val="0"/>
      <w:i w:val="0"/>
      <w:sz w:val="24"/>
    </w:rPr>
  </w:style>
  <w:style w:type="character" w:customStyle="1" w:styleId="WW8Num4z3">
    <w:name w:val="WW8Num4z3"/>
    <w:rPr>
      <w:rFonts w:ascii="Times New Roman" w:hAnsi="Times New Roman" w:cs="Times New Roman"/>
      <w:b w:val="0"/>
      <w:i/>
      <w:sz w:val="24"/>
    </w:rPr>
  </w:style>
  <w:style w:type="character" w:customStyle="1" w:styleId="WW8Num4z4">
    <w:name w:val="WW8Num4z4"/>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b/>
    </w:rPr>
  </w:style>
  <w:style w:type="character" w:customStyle="1" w:styleId="WW8Num6z1">
    <w:name w:val="WW8Num6z1"/>
  </w:style>
  <w:style w:type="character" w:customStyle="1" w:styleId="WW8Num7z0">
    <w:name w:val="WW8Num7z0"/>
    <w:rPr>
      <w:i w:val="0"/>
    </w:rPr>
  </w:style>
  <w:style w:type="character" w:customStyle="1" w:styleId="WW8Num7z1">
    <w:name w:val="WW8Num7z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b/>
      <w:i w:val="0"/>
    </w:rPr>
  </w:style>
  <w:style w:type="character" w:customStyle="1" w:styleId="WW8Num14z2">
    <w:name w:val="WW8Num14z2"/>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7z0">
    <w:name w:val="WW8Num17z0"/>
  </w:style>
  <w:style w:type="character" w:customStyle="1" w:styleId="WW8Num17z1">
    <w:name w:val="WW8Num17z1"/>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Book Antiqua" w:hAnsi="Book Antiqua" w:cs="Book Antiqua"/>
      <w:sz w:val="22"/>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b w:val="0"/>
      <w:i w:val="0"/>
    </w:rPr>
  </w:style>
  <w:style w:type="character" w:customStyle="1" w:styleId="WW8Num20z3">
    <w:name w:val="WW8Num20z3"/>
    <w:rPr>
      <w:b/>
      <w:i w:val="0"/>
    </w:rPr>
  </w:style>
  <w:style w:type="character" w:customStyle="1" w:styleId="WW8Num20z5">
    <w:name w:val="WW8Num20z5"/>
    <w:rPr>
      <w:rFonts w:ascii="Wingdings" w:hAnsi="Wingdings" w:cs="Wingdings"/>
    </w:rPr>
  </w:style>
  <w:style w:type="character" w:customStyle="1" w:styleId="WW8Num21z0">
    <w:name w:val="WW8Num21z0"/>
  </w:style>
  <w:style w:type="character" w:customStyle="1" w:styleId="WW8Num22z0">
    <w:name w:val="WW8Num22z0"/>
    <w:rPr>
      <w:rFonts w:ascii="Times New Roman" w:hAnsi="Times New Roman"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Predvolenpsmoodseku1">
    <w:name w:val="Predvolené písmo odseku1"/>
  </w:style>
  <w:style w:type="character" w:customStyle="1" w:styleId="Nadpis3Char">
    <w:name w:val="Nadpis 3 Char"/>
    <w:rPr>
      <w:rFonts w:ascii="Cambria" w:hAnsi="Cambria" w:cs="Cambria"/>
      <w:b/>
      <w:sz w:val="26"/>
    </w:rPr>
  </w:style>
  <w:style w:type="character" w:customStyle="1" w:styleId="Nadpis1Char">
    <w:name w:val="Nadpis 1 Char"/>
    <w:rPr>
      <w:rFonts w:ascii="Cambria" w:hAnsi="Cambria" w:cs="Cambria"/>
      <w:b/>
      <w:kern w:val="1"/>
      <w:sz w:val="32"/>
    </w:rPr>
  </w:style>
  <w:style w:type="character" w:customStyle="1" w:styleId="TextbublinyChar">
    <w:name w:val="Text bubliny Char"/>
    <w:rPr>
      <w:rFonts w:ascii="Tahoma" w:hAnsi="Tahoma" w:cs="Tahoma"/>
      <w:sz w:val="16"/>
    </w:rPr>
  </w:style>
  <w:style w:type="character" w:styleId="PageNumber">
    <w:name w:val="page number"/>
    <w:basedOn w:val="Predvolenpsmoodseku1"/>
    <w:rPr>
      <w:rFonts w:cs="Times New Roman"/>
      <w:rtl w:val="0"/>
      <w:cs w:val="0"/>
    </w:rPr>
  </w:style>
  <w:style w:type="character" w:customStyle="1" w:styleId="PtaChar">
    <w:name w:val="Päta Char"/>
    <w:rPr>
      <w:sz w:val="24"/>
    </w:rPr>
  </w:style>
  <w:style w:type="character" w:customStyle="1" w:styleId="apple-converted-space">
    <w:name w:val="apple-converted-space"/>
  </w:style>
  <w:style w:type="character" w:styleId="Hyperlink">
    <w:name w:val="Hyperlink"/>
    <w:rPr>
      <w:color w:val="0000FF"/>
      <w:u w:val="single"/>
    </w:rPr>
  </w:style>
  <w:style w:type="character" w:styleId="Emphasis">
    <w:name w:val="Emphasis"/>
    <w:qFormat/>
    <w:rPr>
      <w:i/>
    </w:rPr>
  </w:style>
  <w:style w:type="character" w:customStyle="1" w:styleId="Nadpis5Char">
    <w:name w:val="Nadpis 5 Char"/>
    <w:rPr>
      <w:b/>
      <w:i/>
      <w:sz w:val="26"/>
    </w:rPr>
  </w:style>
  <w:style w:type="character" w:customStyle="1" w:styleId="Nadpis6Char">
    <w:name w:val="Nadpis 6 Char"/>
    <w:rPr>
      <w:b/>
      <w:sz w:val="22"/>
    </w:rPr>
  </w:style>
  <w:style w:type="character" w:customStyle="1" w:styleId="Nadpis7Char">
    <w:name w:val="Nadpis 7 Char"/>
    <w:rPr>
      <w:sz w:val="24"/>
    </w:rPr>
  </w:style>
  <w:style w:type="character" w:customStyle="1" w:styleId="Nadpis8Char">
    <w:name w:val="Nadpis 8 Char"/>
    <w:rPr>
      <w:i/>
      <w:sz w:val="24"/>
    </w:rPr>
  </w:style>
  <w:style w:type="character" w:customStyle="1" w:styleId="Nadpis9Char">
    <w:name w:val="Nadpis 9 Char"/>
    <w:rPr>
      <w:rFonts w:ascii="Arial" w:hAnsi="Arial" w:cs="Arial"/>
      <w:sz w:val="22"/>
    </w:rPr>
  </w:style>
  <w:style w:type="character" w:customStyle="1" w:styleId="ZkladntextChar">
    <w:name w:val="Základný text Char"/>
  </w:style>
  <w:style w:type="character" w:customStyle="1" w:styleId="HlavikaChar">
    <w:name w:val="Hlavička Char"/>
    <w:rPr>
      <w:sz w:val="24"/>
    </w:rPr>
  </w:style>
  <w:style w:type="character" w:customStyle="1" w:styleId="Odkaznakomentr1">
    <w:name w:val="Odkaz na komentár1"/>
    <w:rPr>
      <w:sz w:val="16"/>
    </w:rPr>
  </w:style>
  <w:style w:type="character" w:customStyle="1" w:styleId="TextkomentraChar">
    <w:name w:val="Text komentára Char"/>
    <w:basedOn w:val="Predvolenpsmoodseku1"/>
    <w:rPr>
      <w:rFonts w:cs="Times New Roman"/>
      <w:rtl w:val="0"/>
      <w:cs w:val="0"/>
    </w:rPr>
  </w:style>
  <w:style w:type="character" w:customStyle="1" w:styleId="PredmetkomentraChar">
    <w:name w:val="Predmet komentára Char"/>
    <w:rPr>
      <w:b/>
    </w:rPr>
  </w:style>
  <w:style w:type="character" w:customStyle="1" w:styleId="TextpoznmkypodiarouChar">
    <w:name w:val="Text poznámky pod čiarou Char"/>
    <w:basedOn w:val="Predvolenpsmoodseku1"/>
    <w:rPr>
      <w:rFonts w:cs="Times New Roman"/>
      <w:rtl w:val="0"/>
      <w:cs w:val="0"/>
    </w:rPr>
  </w:style>
  <w:style w:type="character" w:customStyle="1" w:styleId="Znakyprepoznmkupodiarou">
    <w:name w:val="Znaky pre poznámku pod čiarou"/>
  </w:style>
  <w:style w:type="paragraph" w:customStyle="1" w:styleId="Nadpis">
    <w:name w:val="Nadpis"/>
    <w:basedOn w:val="Normal"/>
    <w:next w:val="BodyText"/>
    <w:pPr>
      <w:keepNext/>
      <w:spacing w:before="240" w:after="120"/>
      <w:jc w:val="left"/>
    </w:pPr>
    <w:rPr>
      <w:rFonts w:ascii="Liberation Sans" w:eastAsia="Microsoft YaHei" w:hAnsi="Liberation Sans" w:cs="Mangal"/>
      <w:sz w:val="28"/>
      <w:szCs w:val="28"/>
    </w:rPr>
  </w:style>
  <w:style w:type="paragraph" w:styleId="BodyText">
    <w:name w:val="Body Text"/>
    <w:basedOn w:val="Normal"/>
    <w:pPr>
      <w:autoSpaceDE w:val="0"/>
      <w:jc w:val="both"/>
    </w:pPr>
    <w:rPr>
      <w:sz w:val="20"/>
      <w:szCs w:val="20"/>
    </w:rPr>
  </w:style>
  <w:style w:type="paragraph" w:styleId="List">
    <w:name w:val="List"/>
    <w:basedOn w:val="BodyText"/>
    <w:pPr>
      <w:jc w:val="both"/>
    </w:pPr>
    <w:rPr>
      <w:rFonts w:cs="Mangal"/>
    </w:rPr>
  </w:style>
  <w:style w:type="paragraph" w:styleId="Caption">
    <w:name w:val="caption"/>
    <w:basedOn w:val="Normal"/>
    <w:qFormat/>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BalloonText">
    <w:name w:val="Balloon Text"/>
    <w:basedOn w:val="Normal"/>
    <w:pPr>
      <w:jc w:val="left"/>
    </w:pPr>
    <w:rPr>
      <w:rFonts w:ascii="Tahoma" w:hAnsi="Tahoma" w:cs="Tahoma"/>
      <w:sz w:val="16"/>
      <w:szCs w:val="20"/>
    </w:rPr>
  </w:style>
  <w:style w:type="paragraph" w:styleId="Footer">
    <w:name w:val="footer"/>
    <w:basedOn w:val="Normal"/>
    <w:pPr>
      <w:tabs>
        <w:tab w:val="center" w:pos="4536"/>
        <w:tab w:val="right" w:pos="9072"/>
      </w:tabs>
      <w:jc w:val="left"/>
    </w:pPr>
    <w:rPr>
      <w:szCs w:val="20"/>
    </w:rPr>
  </w:style>
  <w:style w:type="paragraph" w:customStyle="1" w:styleId="titulok">
    <w:name w:val="titulok"/>
    <w:basedOn w:val="Normal"/>
    <w:pPr>
      <w:spacing w:before="280" w:after="280"/>
      <w:jc w:val="center"/>
    </w:pPr>
    <w:rPr>
      <w:rFonts w:ascii="Arial" w:hAnsi="Arial" w:cs="Arial"/>
      <w:b/>
      <w:bCs/>
      <w:color w:val="007060"/>
    </w:rPr>
  </w:style>
  <w:style w:type="paragraph" w:styleId="NormalWeb">
    <w:name w:val="Normal (Web)"/>
    <w:basedOn w:val="Normal"/>
    <w:pPr>
      <w:spacing w:before="280" w:after="280"/>
      <w:jc w:val="left"/>
    </w:pPr>
  </w:style>
  <w:style w:type="paragraph" w:customStyle="1" w:styleId="Nadpis1orobas">
    <w:name w:val="Nadpis 1.Čo robí (časť)"/>
    <w:basedOn w:val="Normal"/>
    <w:next w:val="Normal"/>
    <w:pPr>
      <w:keepNext/>
      <w:numPr>
        <w:numId w:val="2"/>
      </w:numPr>
      <w:tabs>
        <w:tab w:val="num" w:pos="567"/>
      </w:tabs>
      <w:autoSpaceDE w:val="0"/>
      <w:spacing w:before="360"/>
      <w:ind w:left="567" w:hanging="567"/>
      <w:jc w:val="left"/>
      <w:outlineLvl w:val="0"/>
    </w:pPr>
    <w:rPr>
      <w:b/>
      <w:bCs/>
      <w:kern w:val="1"/>
      <w:sz w:val="28"/>
      <w:szCs w:val="28"/>
    </w:rPr>
  </w:style>
  <w:style w:type="paragraph" w:customStyle="1" w:styleId="Nadpis2loha">
    <w:name w:val="Nadpis 2.Úloha"/>
    <w:basedOn w:val="Normal"/>
    <w:pPr>
      <w:numPr>
        <w:ilvl w:val="1"/>
        <w:numId w:val="2"/>
      </w:numPr>
      <w:tabs>
        <w:tab w:val="num" w:pos="1418"/>
      </w:tabs>
      <w:autoSpaceDE w:val="0"/>
      <w:spacing w:before="120"/>
      <w:ind w:left="1418" w:hanging="851"/>
      <w:jc w:val="both"/>
      <w:outlineLvl w:val="1"/>
    </w:pPr>
  </w:style>
  <w:style w:type="paragraph" w:customStyle="1" w:styleId="Nadpis3Podloha">
    <w:name w:val="Nadpis 3.Podúloha"/>
    <w:basedOn w:val="Normal"/>
    <w:pPr>
      <w:keepNext/>
      <w:numPr>
        <w:ilvl w:val="2"/>
        <w:numId w:val="2"/>
      </w:numPr>
      <w:tabs>
        <w:tab w:val="num" w:pos="1418"/>
      </w:tabs>
      <w:autoSpaceDE w:val="0"/>
      <w:spacing w:before="120"/>
      <w:ind w:left="2269"/>
      <w:jc w:val="left"/>
      <w:outlineLvl w:val="2"/>
    </w:pPr>
  </w:style>
  <w:style w:type="paragraph" w:customStyle="1" w:styleId="Nadpis4Termn">
    <w:name w:val="Nadpis 4.Termín"/>
    <w:basedOn w:val="Normal"/>
    <w:next w:val="Nadpis2loha"/>
    <w:pPr>
      <w:numPr>
        <w:ilvl w:val="3"/>
        <w:numId w:val="2"/>
      </w:numPr>
      <w:tabs>
        <w:tab w:val="num" w:pos="1418"/>
      </w:tabs>
      <w:autoSpaceDE w:val="0"/>
      <w:spacing w:before="120" w:after="120"/>
      <w:ind w:left="1418" w:hanging="1418"/>
      <w:jc w:val="left"/>
      <w:outlineLvl w:val="3"/>
    </w:pPr>
    <w:rPr>
      <w:i/>
      <w:iCs/>
    </w:rPr>
  </w:style>
  <w:style w:type="paragraph" w:styleId="Header">
    <w:name w:val="header"/>
    <w:basedOn w:val="Normal"/>
    <w:pPr>
      <w:tabs>
        <w:tab w:val="center" w:pos="4536"/>
        <w:tab w:val="right" w:pos="9072"/>
      </w:tabs>
      <w:jc w:val="left"/>
    </w:p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bCs/>
    </w:rPr>
  </w:style>
  <w:style w:type="paragraph" w:styleId="FootnoteText">
    <w:name w:val="footnote text"/>
    <w:basedOn w:val="Normal"/>
    <w:pPr>
      <w:jc w:val="left"/>
    </w:pPr>
    <w:rPr>
      <w:sz w:val="20"/>
      <w:szCs w:val="20"/>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Normal"/>
    <w:pPr>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1645</Words>
  <Characters>9383</Characters>
  <Application>Microsoft Office Word</Application>
  <DocSecurity>0</DocSecurity>
  <Lines>0</Lines>
  <Paragraphs>0</Paragraphs>
  <ScaleCrop>false</ScaleCrop>
  <Company>Kancelaria NR SR</Company>
  <LinksUpToDate>false</LinksUpToDate>
  <CharactersWithSpaces>11006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2015-10-23T15:37:00Z</cp:lastPrinted>
  <dcterms:created xsi:type="dcterms:W3CDTF">2015-10-23T15:47:00Z</dcterms:created>
  <dcterms:modified xsi:type="dcterms:W3CDTF">2015-10-23T15:47:00Z</dcterms:modified>
</cp:coreProperties>
</file>