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18B8">
      <w:pPr>
        <w:pBdr>
          <w:top w:val="nil"/>
          <w:left w:val="nil"/>
          <w:bottom w:val="single" w:sz="12" w:space="1" w:color="000000"/>
          <w:right w:val="nil"/>
        </w:pBd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</w:rPr>
      </w:pPr>
      <w:r>
        <w:rPr>
          <w:rFonts w:ascii="Book Antiqua" w:hAnsi="Book Antiqua" w:cs="Book Antiqua"/>
          <w:b/>
          <w:bCs/>
          <w:spacing w:val="20"/>
          <w:sz w:val="22"/>
        </w:rPr>
        <w:t>NÁRODNÁ  RADA  SLOVENSKEJ  REPUBLIKY</w:t>
      </w:r>
    </w:p>
    <w:p w:rsidR="00DE18B8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</w:rPr>
      </w:pPr>
    </w:p>
    <w:p w:rsidR="00DE18B8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</w:rPr>
      </w:pPr>
      <w:r>
        <w:rPr>
          <w:rFonts w:ascii="Book Antiqua" w:hAnsi="Book Antiqua" w:cs="Book Antiqua"/>
          <w:spacing w:val="20"/>
          <w:sz w:val="22"/>
        </w:rPr>
        <w:t>VI. volebné obdobie</w:t>
      </w:r>
    </w:p>
    <w:p w:rsidR="00DE18B8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</w:rPr>
      </w:pPr>
    </w:p>
    <w:p w:rsidR="00DE18B8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</w:rPr>
      </w:pPr>
      <w:r>
        <w:rPr>
          <w:rFonts w:ascii="Book Antiqua" w:hAnsi="Book Antiqua" w:cs="Book Antiqua"/>
          <w:b/>
          <w:bCs/>
          <w:spacing w:val="30"/>
          <w:sz w:val="22"/>
        </w:rPr>
        <w:t xml:space="preserve">Návrh </w:t>
      </w:r>
    </w:p>
    <w:p w:rsidR="00DE18B8">
      <w:pPr>
        <w:tabs>
          <w:tab w:val="left" w:pos="6120"/>
        </w:tabs>
        <w:bidi w:val="0"/>
        <w:spacing w:before="120" w:line="276" w:lineRule="auto"/>
        <w:jc w:val="left"/>
        <w:rPr>
          <w:rFonts w:ascii="Book Antiqua" w:hAnsi="Book Antiqua" w:cs="Book Antiqua"/>
          <w:b/>
          <w:bCs/>
          <w:caps/>
          <w:spacing w:val="30"/>
          <w:sz w:val="22"/>
        </w:rPr>
      </w:pPr>
      <w:r>
        <w:rPr>
          <w:rFonts w:ascii="Book Antiqua" w:hAnsi="Book Antiqua" w:cs="Book Antiqua"/>
          <w:b/>
          <w:bCs/>
          <w:spacing w:val="30"/>
          <w:sz w:val="22"/>
        </w:rPr>
        <w:tab/>
      </w:r>
    </w:p>
    <w:p w:rsidR="00DE18B8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</w:rPr>
        <w:t>zákon</w:t>
      </w:r>
    </w:p>
    <w:p w:rsidR="00DE18B8">
      <w:pPr>
        <w:bidi w:val="0"/>
        <w:spacing w:before="120" w:line="276" w:lineRule="auto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>z ... 2016,</w:t>
      </w:r>
    </w:p>
    <w:p w:rsidR="00DE18B8">
      <w:pPr>
        <w:bidi w:val="0"/>
        <w:spacing w:before="120" w:line="276" w:lineRule="auto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b/>
          <w:sz w:val="22"/>
        </w:rPr>
        <w:t xml:space="preserve">ktorým sa mení a dopĺňa zákon č. 101/2010 Z. z. o preukazovaní pôvodu majetku </w:t>
      </w:r>
    </w:p>
    <w:p w:rsidR="00DE18B8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>Národná rada Slovenskej republiky sa uzniesla na tomto zákone:</w:t>
      </w:r>
    </w:p>
    <w:p w:rsidR="00DE18B8">
      <w:pPr>
        <w:bidi w:val="0"/>
        <w:spacing w:before="120" w:line="276" w:lineRule="auto"/>
        <w:rPr>
          <w:rFonts w:ascii="Book Antiqua" w:hAnsi="Book Antiqua" w:cs="Book Antiqua"/>
          <w:sz w:val="22"/>
        </w:rPr>
      </w:pPr>
    </w:p>
    <w:p w:rsidR="00DE18B8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eastAsia="Book Antiqua" w:hAnsi="Book Antiqua" w:cs="Book Antiqua"/>
          <w:sz w:val="22"/>
        </w:rPr>
      </w:pPr>
      <w:r>
        <w:rPr>
          <w:rFonts w:ascii="Book Antiqua" w:hAnsi="Book Antiqua" w:cs="Book Antiqua"/>
          <w:b/>
          <w:sz w:val="22"/>
        </w:rPr>
        <w:t>Čl. I</w:t>
      </w:r>
    </w:p>
    <w:p w:rsidR="00DE18B8">
      <w:pPr>
        <w:bidi w:val="0"/>
        <w:spacing w:before="120" w:line="276" w:lineRule="auto"/>
        <w:rPr>
          <w:rFonts w:ascii="Book Antiqua" w:hAnsi="Book Antiqua" w:cs="Book Antiqua"/>
          <w:sz w:val="22"/>
        </w:rPr>
      </w:pPr>
      <w:r>
        <w:rPr>
          <w:rFonts w:ascii="Book Antiqua" w:eastAsia="Book Antiqua" w:hAnsi="Book Antiqua" w:cs="Book Antiqua"/>
          <w:sz w:val="22"/>
        </w:rPr>
        <w:t xml:space="preserve">       </w:t>
      </w:r>
      <w:r>
        <w:rPr>
          <w:rFonts w:ascii="Book Antiqua" w:hAnsi="Book Antiqua" w:cs="Book Antiqua"/>
          <w:sz w:val="22"/>
        </w:rPr>
        <w:t>Zákon č. 101/2010 Z. z. o preukazovaní pôvodu majetku sa mení a dopĺňa takto:</w:t>
      </w:r>
    </w:p>
    <w:p w:rsidR="00DE18B8">
      <w:pPr>
        <w:bidi w:val="0"/>
        <w:spacing w:before="120" w:line="276" w:lineRule="auto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ind w:left="851" w:hanging="425"/>
        <w:rPr>
          <w:rFonts w:ascii="Book Antiqua" w:eastAsia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 xml:space="preserve">1. </w:t>
        <w:tab/>
        <w:t>V § 4 odsek 1 znie:</w:t>
      </w:r>
    </w:p>
    <w:p w:rsidR="00DE18B8">
      <w:pPr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</w:rPr>
      </w:pPr>
      <w:r>
        <w:rPr>
          <w:rFonts w:ascii="Book Antiqua" w:eastAsia="Book Antiqua" w:hAnsi="Book Antiqua" w:cs="Book Antiqua" w:hint="default"/>
          <w:sz w:val="22"/>
        </w:rPr>
        <w:t>„</w:t>
      </w:r>
      <w:r>
        <w:rPr>
          <w:rFonts w:ascii="Book Antiqua" w:hAnsi="Book Antiqua" w:cs="Book Antiqua"/>
          <w:sz w:val="22"/>
        </w:rPr>
        <w:t xml:space="preserve">(1) </w:t>
        <w:tab/>
        <w:t xml:space="preserve">Finančná polícia na základe písomného oznámenia alebo z vlastného podnetu podľa § 3 vyzve osobu, proti ktorej oznámenie smeruje, o podanie vysvetlenia, akým spôsobom nadobudla majetok uvedený v oznámení a hodnotu tohto majetku; táto osoba </w:t>
      </w:r>
      <w:r>
        <w:rPr>
          <w:rFonts w:ascii="Book Antiqua" w:hAnsi="Book Antiqua" w:cs="Segoe UI"/>
          <w:sz w:val="22"/>
          <w:shd w:val="clear" w:color="auto" w:fill="FFFFFF"/>
        </w:rPr>
        <w:t>je povinná žiadosti finančnej polície vyhovieť do 30 dní odo dňa doručenia výzvy. Vysvetlením sa rozumie najmä predloženie listín a označenie iných dôkazov potvrdzujúcich spôsob nadobudnutia majetku a jeho hodnotu.“.</w:t>
      </w:r>
    </w:p>
    <w:p w:rsidR="00DE18B8">
      <w:pPr>
        <w:pStyle w:val="BodyText"/>
        <w:widowControl/>
        <w:bidi w:val="0"/>
        <w:spacing w:before="120" w:line="276" w:lineRule="auto"/>
        <w:ind w:left="705" w:firstLine="4"/>
        <w:rPr>
          <w:rFonts w:ascii="Book Antiqua" w:hAnsi="Book Antiqua" w:cs="Book Antiqua"/>
          <w:sz w:val="22"/>
          <w:szCs w:val="22"/>
        </w:rPr>
      </w:pPr>
    </w:p>
    <w:p w:rsidR="00DE18B8">
      <w:pPr>
        <w:pStyle w:val="BodyText"/>
        <w:widowControl/>
        <w:bidi w:val="0"/>
        <w:spacing w:before="120" w:line="276" w:lineRule="auto"/>
        <w:ind w:left="851" w:hanging="42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2. </w:t>
        <w:tab/>
        <w:t>V § 4 ods. 2 sa na konci pripája táto veta: „Hodnota majetku sa počas celého konania podľa tohto zákona posudzuje ku dňu doručenia písomného oznámenia finančnej polície alebo ku dňu začatia konania finančnej polície z vlastného podnetu podľa § 3 ods. 1, ku dňu podania oznamovateľa podľa § 3 ods. 2 alebo ku dňu podania písomného oznámenia podľa § 3 ods. 4.“.</w:t>
      </w:r>
    </w:p>
    <w:p w:rsidR="00DE18B8">
      <w:pPr>
        <w:pStyle w:val="BodyText"/>
        <w:widowControl/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:rsidR="00DE18B8">
      <w:pPr>
        <w:pStyle w:val="BodyText"/>
        <w:widowControl/>
        <w:bidi w:val="0"/>
        <w:spacing w:before="120" w:line="276" w:lineRule="auto"/>
        <w:ind w:left="851" w:hanging="425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3.</w:t>
        <w:tab/>
        <w:t>V § 4 sa za odsek 2 vkladajú nové odseky 3 a 4, ktoré znejú:</w:t>
      </w:r>
    </w:p>
    <w:p w:rsidR="00DE18B8">
      <w:pPr>
        <w:pStyle w:val="BodyText"/>
        <w:widowControl/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 w:hint="default"/>
          <w:sz w:val="22"/>
          <w:szCs w:val="22"/>
        </w:rPr>
        <w:t>„</w:t>
      </w:r>
      <w:r>
        <w:rPr>
          <w:rFonts w:ascii="Book Antiqua" w:hAnsi="Book Antiqua" w:cs="Book Antiqua"/>
          <w:sz w:val="22"/>
          <w:szCs w:val="22"/>
        </w:rPr>
        <w:t xml:space="preserve">(3) </w:t>
        <w:tab/>
        <w:t>Ak osoba, proti ktorej oznámenie smeruje, bez opodstatnených dôvodov nepodá požadované vysvetlenie v lehote uvedenej v odseku 1 alebo ak vo vysvetlení hodnoverne nepreukáže pôvod svojho majetku z legálnych príjmov, pričom naďalej pretrvávajú dôvodné pochybnosti o zákonnosti a čestnosti nadobudnutia tohto majetku, finančná polícia podá prokurátorovi podnet na podanie návrhu na začatie konania podľa § 6.</w:t>
      </w:r>
    </w:p>
    <w:p w:rsidR="00DE18B8">
      <w:pPr>
        <w:pStyle w:val="BodyText"/>
        <w:widowControl/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  <w:szCs w:val="22"/>
        </w:rPr>
        <w:t xml:space="preserve">(4) </w:t>
        <w:tab/>
        <w:t>Ak osoba, proti ktorej oznámenie smeruje, v období od doručenia výzvy podľa odseku 1 do podania podnetu finančnej polície na podanie návrhu prokurátorovi podľa § 6 prevedie majetok označený vo výzve na tretiu osobu, právne úkony spojené s takýmto prevodom sú neplatné.</w:t>
      </w:r>
    </w:p>
    <w:p w:rsidR="00DE18B8">
      <w:pPr>
        <w:bidi w:val="0"/>
        <w:spacing w:before="120" w:line="276" w:lineRule="auto"/>
        <w:ind w:left="851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>Doterajšie odseky 3 až 5 sa označujú ako odseky 5 až 7.</w:t>
      </w:r>
    </w:p>
    <w:p w:rsidR="00DE18B8">
      <w:pPr>
        <w:bidi w:val="0"/>
        <w:spacing w:before="120" w:line="276" w:lineRule="auto"/>
        <w:ind w:left="705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>4.</w:t>
        <w:tab/>
      </w:r>
      <w:r w:rsidRPr="00165F15">
        <w:rPr>
          <w:rFonts w:ascii="Book Antiqua" w:hAnsi="Book Antiqua" w:cs="Book Antiqua"/>
          <w:sz w:val="22"/>
        </w:rPr>
        <w:t>V § 6 ods. 1 sa slová „</w:t>
      </w:r>
      <w:r w:rsidRPr="00165F15" w:rsidR="00165F15">
        <w:rPr>
          <w:rFonts w:ascii="Book Antiqua" w:hAnsi="Book Antiqua"/>
          <w:color w:val="000000"/>
          <w:sz w:val="22"/>
        </w:rPr>
        <w:t>minimálnej mzdy</w:t>
      </w:r>
      <w:r w:rsidRPr="002D53C4" w:rsidR="00165F15">
        <w:rPr>
          <w:rFonts w:ascii="Book Antiqua" w:hAnsi="Book Antiqua"/>
          <w:color w:val="000000"/>
          <w:sz w:val="22"/>
          <w:vertAlign w:val="superscript"/>
        </w:rPr>
        <w:t>6)</w:t>
      </w:r>
      <w:r w:rsidRPr="00165F15">
        <w:rPr>
          <w:rFonts w:ascii="Book Antiqua" w:hAnsi="Book Antiqua" w:cs="Book Antiqua"/>
          <w:sz w:val="22"/>
        </w:rPr>
        <w:t>“ nahrádzajú slovami „</w:t>
      </w:r>
      <w:r w:rsidRPr="00165F15" w:rsidR="00165F15">
        <w:rPr>
          <w:rFonts w:ascii="Book Antiqua" w:hAnsi="Book Antiqua" w:cs="Book Antiqua"/>
          <w:sz w:val="22"/>
        </w:rPr>
        <w:t>sumy životného minima</w:t>
      </w:r>
      <w:r w:rsidRPr="002D53C4" w:rsidR="00165F15">
        <w:rPr>
          <w:rFonts w:ascii="Book Antiqua" w:hAnsi="Book Antiqua" w:cs="Book Antiqua"/>
          <w:sz w:val="22"/>
          <w:vertAlign w:val="superscript"/>
        </w:rPr>
        <w:t>6)</w:t>
      </w:r>
      <w:r w:rsidRPr="00165F15">
        <w:rPr>
          <w:rFonts w:ascii="Book Antiqua" w:hAnsi="Book Antiqua" w:cs="Book Antiqua"/>
          <w:sz w:val="22"/>
        </w:rPr>
        <w:t>“</w:t>
      </w:r>
      <w:r w:rsidR="00165F15">
        <w:rPr>
          <w:rFonts w:ascii="Book Antiqua" w:hAnsi="Book Antiqua" w:cs="Book Antiqua"/>
          <w:sz w:val="22"/>
        </w:rPr>
        <w:t xml:space="preserve"> </w:t>
      </w:r>
      <w:r w:rsidRPr="00165F15" w:rsidR="00165F15">
        <w:rPr>
          <w:rFonts w:ascii="Book Antiqua" w:hAnsi="Book Antiqua" w:cs="Book Antiqua"/>
          <w:sz w:val="22"/>
        </w:rPr>
        <w:t>a</w:t>
      </w:r>
      <w:r w:rsidR="00165F15">
        <w:rPr>
          <w:rFonts w:ascii="Book Antiqua" w:hAnsi="Book Antiqua" w:cs="Book Antiqua"/>
          <w:sz w:val="22"/>
        </w:rPr>
        <w:t xml:space="preserve"> v </w:t>
      </w:r>
      <w:r w:rsidR="002D53C4">
        <w:rPr>
          <w:rFonts w:ascii="Book Antiqua" w:hAnsi="Book Antiqua" w:cs="Book Antiqua"/>
          <w:sz w:val="22"/>
        </w:rPr>
        <w:t>odseku</w:t>
      </w:r>
      <w:r w:rsidRPr="00165F15" w:rsidR="00165F15">
        <w:rPr>
          <w:rFonts w:ascii="Book Antiqua" w:hAnsi="Book Antiqua" w:cs="Book Antiqua"/>
          <w:sz w:val="22"/>
        </w:rPr>
        <w:t xml:space="preserve"> 2 písm. d)</w:t>
      </w:r>
      <w:r w:rsidR="00165F15">
        <w:rPr>
          <w:rFonts w:ascii="Book Antiqua" w:hAnsi="Book Antiqua" w:cs="Book Antiqua"/>
          <w:sz w:val="22"/>
        </w:rPr>
        <w:t xml:space="preserve"> sa slová </w:t>
      </w:r>
      <w:r w:rsidRPr="00165F15" w:rsidR="00165F15">
        <w:rPr>
          <w:rFonts w:ascii="Book Antiqua" w:hAnsi="Book Antiqua" w:cs="Book Antiqua"/>
          <w:sz w:val="22"/>
        </w:rPr>
        <w:t>„</w:t>
      </w:r>
      <w:r w:rsidRPr="00165F15" w:rsidR="00165F15">
        <w:rPr>
          <w:rFonts w:ascii="Book Antiqua" w:hAnsi="Book Antiqua"/>
          <w:color w:val="000000"/>
          <w:sz w:val="22"/>
        </w:rPr>
        <w:t>minimálnej mzd</w:t>
      </w:r>
      <w:r w:rsidR="00165F15">
        <w:rPr>
          <w:rFonts w:ascii="Book Antiqua" w:hAnsi="Book Antiqua"/>
          <w:color w:val="000000"/>
          <w:sz w:val="22"/>
        </w:rPr>
        <w:t>y</w:t>
      </w:r>
      <w:r w:rsidRPr="00165F15" w:rsidR="00165F15">
        <w:rPr>
          <w:rFonts w:ascii="Book Antiqua" w:hAnsi="Book Antiqua" w:cs="Book Antiqua"/>
          <w:sz w:val="22"/>
        </w:rPr>
        <w:t>“ nahrádzajú slovami „sumy životného minima</w:t>
      </w:r>
      <w:r w:rsidRPr="002D53C4" w:rsidR="00165F15">
        <w:rPr>
          <w:rFonts w:ascii="Book Antiqua" w:hAnsi="Book Antiqua" w:cs="Book Antiqua"/>
          <w:sz w:val="22"/>
          <w:vertAlign w:val="superscript"/>
        </w:rPr>
        <w:t>6)</w:t>
      </w:r>
      <w:r w:rsidRPr="00165F15" w:rsidR="00165F15">
        <w:rPr>
          <w:rFonts w:ascii="Book Antiqua" w:hAnsi="Book Antiqua" w:cs="Book Antiqua"/>
          <w:sz w:val="22"/>
        </w:rPr>
        <w:t>“</w:t>
      </w:r>
      <w:r w:rsidRPr="00165F15">
        <w:rPr>
          <w:rFonts w:ascii="Book Antiqua" w:hAnsi="Book Antiqua" w:cs="Book Antiqua"/>
          <w:sz w:val="22"/>
        </w:rPr>
        <w:t>.</w:t>
      </w:r>
    </w:p>
    <w:p w:rsidR="00165F15" w:rsidRPr="00165F15">
      <w:pPr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</w:rPr>
      </w:pPr>
    </w:p>
    <w:p w:rsidR="00165F15" w:rsidRPr="00165F15">
      <w:pPr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</w:rPr>
      </w:pPr>
      <w:r w:rsidRPr="00165F15">
        <w:rPr>
          <w:rFonts w:ascii="Book Antiqua" w:hAnsi="Book Antiqua" w:cs="Book Antiqua"/>
          <w:sz w:val="22"/>
        </w:rPr>
        <w:t>5.</w:t>
        <w:tab/>
        <w:t>Poznámka pod čiarou k odkazu 6 znie:</w:t>
      </w:r>
    </w:p>
    <w:p w:rsidR="00165F15" w:rsidRPr="00165F15">
      <w:pPr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</w:rPr>
      </w:pPr>
      <w:r w:rsidRPr="00165F15">
        <w:rPr>
          <w:rFonts w:ascii="Book Antiqua" w:hAnsi="Book Antiqua" w:cs="Book Antiqua"/>
          <w:sz w:val="22"/>
        </w:rPr>
        <w:tab/>
        <w:t>„</w:t>
      </w:r>
      <w:r w:rsidRPr="00165F15">
        <w:rPr>
          <w:rFonts w:ascii="Book Antiqua" w:hAnsi="Book Antiqua" w:cs="Book Antiqua"/>
          <w:sz w:val="22"/>
          <w:vertAlign w:val="superscript"/>
        </w:rPr>
        <w:t xml:space="preserve">6) </w:t>
      </w:r>
      <w:r w:rsidRPr="00165F15">
        <w:rPr>
          <w:rFonts w:ascii="Book Antiqua" w:hAnsi="Book Antiqua" w:cs="Book Antiqua"/>
          <w:sz w:val="22"/>
        </w:rPr>
        <w:t>§ 2 písm. a) zákona č. 601/2003 Z.</w:t>
      </w:r>
      <w:r>
        <w:rPr>
          <w:rFonts w:ascii="Book Antiqua" w:hAnsi="Book Antiqua" w:cs="Book Antiqua"/>
          <w:sz w:val="22"/>
        </w:rPr>
        <w:t xml:space="preserve"> </w:t>
      </w:r>
      <w:r w:rsidRPr="00165F15">
        <w:rPr>
          <w:rFonts w:ascii="Book Antiqua" w:hAnsi="Book Antiqua" w:cs="Book Antiqua"/>
          <w:sz w:val="22"/>
        </w:rPr>
        <w:t>z. o životnom minime a o zmene a doplnení niektorých zákonov</w:t>
      </w:r>
      <w:r>
        <w:rPr>
          <w:rFonts w:ascii="Book Antiqua" w:hAnsi="Book Antiqua" w:cs="Book Antiqua"/>
          <w:sz w:val="22"/>
        </w:rPr>
        <w:t xml:space="preserve"> v znení neskorších predpisov</w:t>
      </w:r>
      <w:r w:rsidRPr="00165F15">
        <w:rPr>
          <w:rFonts w:ascii="Book Antiqua" w:hAnsi="Book Antiqua" w:cs="Book Antiqua"/>
          <w:sz w:val="22"/>
        </w:rPr>
        <w:t>.</w:t>
      </w:r>
      <w:r>
        <w:rPr>
          <w:rFonts w:ascii="Book Antiqua" w:hAnsi="Book Antiqua" w:cs="Book Antiqua"/>
          <w:sz w:val="22"/>
        </w:rPr>
        <w:t>“.</w:t>
      </w:r>
    </w:p>
    <w:p w:rsidR="00DE18B8">
      <w:pPr>
        <w:bidi w:val="0"/>
        <w:spacing w:before="120" w:line="276" w:lineRule="auto"/>
        <w:ind w:left="705" w:hanging="705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ind w:left="851" w:hanging="425"/>
        <w:rPr>
          <w:rFonts w:ascii="Book Antiqua" w:eastAsia="Book Antiqua" w:hAnsi="Book Antiqua" w:cs="Book Antiqua"/>
          <w:sz w:val="22"/>
        </w:rPr>
      </w:pPr>
      <w:r w:rsidR="00165F15">
        <w:rPr>
          <w:rFonts w:ascii="Book Antiqua" w:hAnsi="Book Antiqua" w:cs="Book Antiqua"/>
          <w:sz w:val="22"/>
        </w:rPr>
        <w:t>6</w:t>
      </w:r>
      <w:r>
        <w:rPr>
          <w:rFonts w:ascii="Book Antiqua" w:hAnsi="Book Antiqua" w:cs="Book Antiqua"/>
          <w:sz w:val="22"/>
        </w:rPr>
        <w:t xml:space="preserve">. </w:t>
        <w:tab/>
        <w:t>V § 6 ods. 2 sa za písm. b) vkladá nové písm. c), ktoré znie:</w:t>
      </w:r>
    </w:p>
    <w:p w:rsidR="00DE18B8">
      <w:pPr>
        <w:bidi w:val="0"/>
        <w:spacing w:before="120" w:line="276" w:lineRule="auto"/>
        <w:ind w:left="851"/>
        <w:rPr>
          <w:rFonts w:ascii="Book Antiqua" w:hAnsi="Book Antiqua" w:cs="Book Antiqua"/>
          <w:sz w:val="22"/>
        </w:rPr>
      </w:pPr>
      <w:r>
        <w:rPr>
          <w:rFonts w:ascii="Book Antiqua" w:eastAsia="Book Antiqua" w:hAnsi="Book Antiqua" w:cs="Book Antiqua" w:hint="default"/>
          <w:sz w:val="22"/>
        </w:rPr>
        <w:t>„</w:t>
      </w:r>
      <w:r>
        <w:rPr>
          <w:rFonts w:ascii="Book Antiqua" w:hAnsi="Book Antiqua" w:cs="Book Antiqua"/>
          <w:sz w:val="22"/>
        </w:rPr>
        <w:t>c) vysvetlenie osoby podľa § 4 ods. 1,“.</w:t>
      </w:r>
    </w:p>
    <w:p w:rsidR="00DE18B8">
      <w:pPr>
        <w:bidi w:val="0"/>
        <w:spacing w:before="120" w:line="276" w:lineRule="auto"/>
        <w:ind w:left="851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>Doterajšie písmena c) až f) sa označujú ako písmena d) až g).</w:t>
      </w:r>
    </w:p>
    <w:p w:rsidR="00DE18B8">
      <w:pPr>
        <w:bidi w:val="0"/>
        <w:spacing w:before="120" w:line="276" w:lineRule="auto"/>
        <w:ind w:left="705" w:hanging="705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</w:rPr>
      </w:pPr>
      <w:r w:rsidR="00165F15">
        <w:rPr>
          <w:rFonts w:ascii="Book Antiqua" w:hAnsi="Book Antiqua" w:cs="Book Antiqua"/>
          <w:sz w:val="22"/>
        </w:rPr>
        <w:t>7</w:t>
      </w:r>
      <w:r>
        <w:rPr>
          <w:rFonts w:ascii="Book Antiqua" w:hAnsi="Book Antiqua" w:cs="Book Antiqua"/>
          <w:sz w:val="22"/>
        </w:rPr>
        <w:t xml:space="preserve">. </w:t>
        <w:tab/>
        <w:t>V § 7 ods. 1 sa slová „§ 6 ods. 2 písm. c) a d)“ nahrádzajú slovami „§ 6 ods. 2 písm. c) až e)“.</w:t>
      </w:r>
    </w:p>
    <w:p w:rsidR="00DE18B8">
      <w:pPr>
        <w:bidi w:val="0"/>
        <w:spacing w:before="120" w:line="276" w:lineRule="auto"/>
        <w:ind w:left="705" w:hanging="705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</w:rPr>
      </w:pPr>
      <w:r w:rsidR="00165F15">
        <w:rPr>
          <w:rFonts w:ascii="Book Antiqua" w:hAnsi="Book Antiqua" w:cs="Book Antiqua"/>
          <w:sz w:val="22"/>
        </w:rPr>
        <w:t>8</w:t>
      </w:r>
      <w:r>
        <w:rPr>
          <w:rFonts w:ascii="Book Antiqua" w:hAnsi="Book Antiqua" w:cs="Book Antiqua"/>
          <w:sz w:val="22"/>
        </w:rPr>
        <w:t xml:space="preserve">. </w:t>
        <w:tab/>
        <w:t>V § 7 ods. 2 vete pred bodkočiarkou sa za slovo „majetku“ vkladá čiarka a slová „ak dôkaz podľa § 6 ods. 2 písm. c) nepovažuje za dostatočný“.</w:t>
      </w:r>
    </w:p>
    <w:p w:rsidR="00DE18B8">
      <w:pPr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</w:rPr>
      </w:pPr>
    </w:p>
    <w:p w:rsidR="00165F15" w:rsidP="00165F15">
      <w:pPr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>9</w:t>
      </w:r>
      <w:r w:rsidR="00DE18B8">
        <w:rPr>
          <w:rFonts w:ascii="Book Antiqua" w:hAnsi="Book Antiqua" w:cs="Book Antiqua"/>
          <w:sz w:val="22"/>
        </w:rPr>
        <w:t>.</w:t>
        <w:tab/>
        <w:t>V  § 8 ods. 1 písm. a) sa slová „</w:t>
      </w:r>
      <w:r w:rsidRPr="00165F15">
        <w:rPr>
          <w:rFonts w:ascii="Book Antiqua" w:hAnsi="Book Antiqua"/>
          <w:color w:val="000000"/>
          <w:sz w:val="22"/>
        </w:rPr>
        <w:t>minimálnej mzdy</w:t>
      </w:r>
      <w:r w:rsidRPr="00165F15">
        <w:rPr>
          <w:rFonts w:ascii="Book Antiqua" w:hAnsi="Book Antiqua" w:cs="Book Antiqua"/>
          <w:sz w:val="22"/>
        </w:rPr>
        <w:t>“ nahrádzajú slovami                      „sumy životného minima</w:t>
      </w:r>
      <w:r w:rsidRPr="002D53C4">
        <w:rPr>
          <w:rFonts w:ascii="Book Antiqua" w:hAnsi="Book Antiqua" w:cs="Book Antiqua"/>
          <w:sz w:val="22"/>
          <w:vertAlign w:val="superscript"/>
        </w:rPr>
        <w:t>6)</w:t>
      </w:r>
      <w:r w:rsidRPr="00165F15">
        <w:rPr>
          <w:rFonts w:ascii="Book Antiqua" w:hAnsi="Book Antiqua" w:cs="Book Antiqua"/>
          <w:sz w:val="22"/>
        </w:rPr>
        <w:t>“.</w:t>
      </w:r>
    </w:p>
    <w:p w:rsidR="00DE18B8" w:rsidP="00165F15">
      <w:pPr>
        <w:bidi w:val="0"/>
        <w:spacing w:before="120" w:line="276" w:lineRule="auto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ind w:left="851" w:hanging="425"/>
        <w:rPr>
          <w:rFonts w:ascii="Book Antiqua" w:hAnsi="Book Antiqua" w:cs="Book Antiqua"/>
          <w:sz w:val="22"/>
        </w:rPr>
      </w:pPr>
      <w:r w:rsidR="00165F15">
        <w:rPr>
          <w:rFonts w:ascii="Book Antiqua" w:hAnsi="Book Antiqua" w:cs="Book Antiqua"/>
          <w:sz w:val="22"/>
        </w:rPr>
        <w:t>10</w:t>
      </w:r>
      <w:r>
        <w:rPr>
          <w:rFonts w:ascii="Book Antiqua" w:hAnsi="Book Antiqua" w:cs="Book Antiqua"/>
          <w:sz w:val="22"/>
        </w:rPr>
        <w:t xml:space="preserve">. </w:t>
        <w:tab/>
        <w:t>V § 8 ods. 1 písm. b) sa slová „§ 7 ods. 2“ nahrádzajú slovami „§ 4 ods. 1 alebo § 7 ods. 2“.</w:t>
      </w:r>
    </w:p>
    <w:p w:rsidR="00DE18B8">
      <w:pPr>
        <w:bidi w:val="0"/>
        <w:spacing w:before="120" w:line="276" w:lineRule="auto"/>
        <w:ind w:left="705" w:hanging="705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ind w:left="851" w:hanging="425"/>
        <w:rPr>
          <w:rFonts w:ascii="Book Antiqua" w:eastAsia="Book Antiqua" w:hAnsi="Book Antiqua" w:cs="Book Antiqua"/>
          <w:sz w:val="22"/>
        </w:rPr>
      </w:pPr>
      <w:r w:rsidR="00165F15">
        <w:rPr>
          <w:rFonts w:ascii="Book Antiqua" w:hAnsi="Book Antiqua" w:cs="Book Antiqua"/>
          <w:sz w:val="22"/>
        </w:rPr>
        <w:t>11</w:t>
      </w:r>
      <w:r>
        <w:rPr>
          <w:rFonts w:ascii="Book Antiqua" w:hAnsi="Book Antiqua" w:cs="Book Antiqua"/>
          <w:sz w:val="22"/>
        </w:rPr>
        <w:t xml:space="preserve">. </w:t>
        <w:tab/>
        <w:t>V § 8 sa za odsek 1 vkladá nový odsek 2, ktorý znie:</w:t>
      </w:r>
    </w:p>
    <w:p w:rsidR="00DE18B8">
      <w:pPr>
        <w:bidi w:val="0"/>
        <w:spacing w:before="120" w:line="276" w:lineRule="auto"/>
        <w:ind w:left="1418" w:hanging="567"/>
        <w:rPr>
          <w:rFonts w:ascii="Book Antiqua" w:hAnsi="Book Antiqua" w:cs="Book Antiqua"/>
          <w:sz w:val="22"/>
        </w:rPr>
      </w:pPr>
      <w:r>
        <w:rPr>
          <w:rFonts w:ascii="Book Antiqua" w:eastAsia="Book Antiqua" w:hAnsi="Book Antiqua" w:cs="Book Antiqua" w:hint="default"/>
          <w:sz w:val="22"/>
        </w:rPr>
        <w:t>„</w:t>
      </w:r>
      <w:r>
        <w:rPr>
          <w:rFonts w:ascii="Book Antiqua" w:hAnsi="Book Antiqua" w:cs="Book Antiqua"/>
          <w:sz w:val="22"/>
        </w:rPr>
        <w:t xml:space="preserve">(2) </w:t>
        <w:tab/>
        <w:t>Prokurátor musí podať návrh podľa odseku 1 najneskôr do troch mesiacov odo dňa doručenia podnetu na podanie návrhu na začatie konania podľa § 6 ods. 1. Ak prokurátor požiadal o doplnenie alebo ďalšie preskúmanie finančnú políciu podľa § 7 ods. 1 alebo požiadal osobu označenú v podnete o podanie vysvetlenia alebo predloženie dôkazov podľa § 7 ods. 2, lehota troch mesiacov na podanie návrhu podľa prvej vety sa predlžuje o lehotu určenú podľa § 7 ods. 1 tretej vety alebo lehotu podľa § 7 ods. 2 prvej vety.“.</w:t>
      </w:r>
    </w:p>
    <w:p w:rsidR="00DE18B8">
      <w:pPr>
        <w:bidi w:val="0"/>
        <w:spacing w:before="120" w:line="276" w:lineRule="auto"/>
        <w:ind w:left="851"/>
      </w:pPr>
      <w:r>
        <w:rPr>
          <w:rFonts w:ascii="Book Antiqua" w:hAnsi="Book Antiqua" w:cs="Book Antiqua"/>
          <w:sz w:val="22"/>
        </w:rPr>
        <w:t>Doterajšie odseky 2 a 3 sa označujú ako odseky 3 a 4.</w:t>
      </w:r>
    </w:p>
    <w:p w:rsidR="00DE18B8">
      <w:pPr>
        <w:bidi w:val="0"/>
        <w:spacing w:before="120" w:line="276" w:lineRule="auto"/>
        <w:ind w:left="851"/>
      </w:pPr>
    </w:p>
    <w:p w:rsidR="002D53C4" w:rsidP="002D53C4">
      <w:pPr>
        <w:bidi w:val="0"/>
        <w:spacing w:before="120" w:line="276" w:lineRule="auto"/>
        <w:ind w:left="851" w:hanging="425"/>
        <w:rPr>
          <w:rFonts w:ascii="Book Antiqua" w:eastAsia="Book Antiqua" w:hAnsi="Book Antiqua" w:cs="Book Antiqua"/>
          <w:sz w:val="22"/>
        </w:rPr>
      </w:pPr>
      <w:r w:rsidR="00165F15">
        <w:rPr>
          <w:rFonts w:ascii="Book Antiqua" w:hAnsi="Book Antiqua" w:cs="Book Antiqua"/>
          <w:sz w:val="22"/>
        </w:rPr>
        <w:t>12</w:t>
      </w:r>
      <w:r w:rsidR="00DE18B8">
        <w:rPr>
          <w:rFonts w:ascii="Book Antiqua" w:hAnsi="Book Antiqua" w:cs="Book Antiqua"/>
          <w:sz w:val="22"/>
        </w:rPr>
        <w:t xml:space="preserve">. </w:t>
        <w:tab/>
        <w:t>V § 9 odsek 1 znie:</w:t>
      </w:r>
    </w:p>
    <w:p w:rsidR="00DE18B8" w:rsidRPr="002D53C4" w:rsidP="002D53C4">
      <w:pPr>
        <w:bidi w:val="0"/>
        <w:spacing w:before="120" w:line="276" w:lineRule="auto"/>
        <w:ind w:left="851"/>
        <w:rPr>
          <w:rFonts w:ascii="Book Antiqua" w:eastAsia="Book Antiqua" w:hAnsi="Book Antiqua" w:cs="Book Antiqua"/>
          <w:sz w:val="22"/>
        </w:rPr>
      </w:pPr>
      <w:r>
        <w:rPr>
          <w:rFonts w:ascii="Book Antiqua" w:eastAsia="Book Antiqua" w:hAnsi="Book Antiqua" w:cs="Book Antiqua" w:hint="default"/>
          <w:sz w:val="22"/>
        </w:rPr>
        <w:t>„</w:t>
      </w:r>
      <w:r>
        <w:rPr>
          <w:rFonts w:ascii="Book Antiqua" w:hAnsi="Book Antiqua" w:cs="Book Antiqua"/>
          <w:sz w:val="22"/>
        </w:rPr>
        <w:t xml:space="preserve">(1) Ak odporca v konaní pred súdom nevie preukázať existenciu rozdielu vo výške minimálne </w:t>
      </w:r>
      <w:r w:rsidR="00165F15">
        <w:rPr>
          <w:rFonts w:ascii="Book Antiqua" w:hAnsi="Book Antiqua" w:cs="Book Antiqua"/>
          <w:sz w:val="22"/>
        </w:rPr>
        <w:t>1</w:t>
      </w:r>
      <w:r>
        <w:rPr>
          <w:rFonts w:ascii="Book Antiqua" w:hAnsi="Book Antiqua" w:cs="Book Antiqua"/>
          <w:sz w:val="22"/>
        </w:rPr>
        <w:t xml:space="preserve">500-násobku </w:t>
      </w:r>
      <w:r w:rsidRPr="00165F15" w:rsidR="00165F15">
        <w:rPr>
          <w:rFonts w:ascii="Book Antiqua" w:hAnsi="Book Antiqua" w:cs="Book Antiqua"/>
          <w:sz w:val="22"/>
        </w:rPr>
        <w:t>sumy životného minima</w:t>
      </w:r>
      <w:r w:rsidRPr="002D53C4" w:rsidR="00165F15">
        <w:rPr>
          <w:rFonts w:ascii="Book Antiqua" w:hAnsi="Book Antiqua" w:cs="Book Antiqua"/>
          <w:sz w:val="22"/>
          <w:vertAlign w:val="superscript"/>
        </w:rPr>
        <w:t>6)</w:t>
      </w:r>
      <w:r w:rsidR="00165F15">
        <w:rPr>
          <w:rFonts w:ascii="Book Antiqua" w:hAnsi="Book Antiqua" w:cs="Book Antiqua"/>
          <w:sz w:val="22"/>
        </w:rPr>
        <w:t xml:space="preserve"> </w:t>
      </w:r>
      <w:r>
        <w:rPr>
          <w:rFonts w:ascii="Book Antiqua" w:hAnsi="Book Antiqua" w:cs="Book Antiqua"/>
          <w:sz w:val="22"/>
        </w:rPr>
        <w:t xml:space="preserve">medzi jeho preukázateľnými príjmami, ktoré mohol dosiahnuť, a hodnotou jeho majetku podľa § 4 ods. 2, súd rozhodnutím vysloví, že tento majetkový rozdiel uvedený v návrhu podľa § 8 ods. </w:t>
      </w:r>
      <w:r w:rsidR="002D53C4">
        <w:rPr>
          <w:rFonts w:ascii="Book Antiqua" w:hAnsi="Book Antiqua" w:cs="Book Antiqua"/>
          <w:bCs/>
          <w:sz w:val="22"/>
        </w:rPr>
        <w:t>3</w:t>
      </w:r>
      <w:r>
        <w:rPr>
          <w:rFonts w:ascii="Book Antiqua" w:hAnsi="Book Antiqua" w:cs="Book Antiqua"/>
          <w:sz w:val="22"/>
        </w:rPr>
        <w:t xml:space="preserve"> odporca nadobudol z nelegálnych príjmov a prepadá v prospech štátu. Ak v konaní pred súdom odporca preukáže opak, súd návrh podľa </w:t>
      </w:r>
      <w:r w:rsidR="002D53C4">
        <w:rPr>
          <w:rFonts w:ascii="Book Antiqua" w:hAnsi="Book Antiqua" w:cs="Book Antiqua"/>
          <w:bCs/>
          <w:sz w:val="22"/>
        </w:rPr>
        <w:t xml:space="preserve">§ </w:t>
      </w:r>
      <w:r>
        <w:rPr>
          <w:rFonts w:ascii="Book Antiqua" w:hAnsi="Book Antiqua" w:cs="Book Antiqua"/>
          <w:sz w:val="22"/>
        </w:rPr>
        <w:t>8 ods. 3 zamietne. Súd vydá rozhodnutie podľa prvej a druhej vety do 12 mes</w:t>
      </w:r>
      <w:r w:rsidR="002D53C4">
        <w:rPr>
          <w:rFonts w:ascii="Book Antiqua" w:hAnsi="Book Antiqua" w:cs="Book Antiqua"/>
          <w:sz w:val="22"/>
        </w:rPr>
        <w:t>iacov od doručenia návrhu podľa</w:t>
      </w:r>
      <w:r>
        <w:rPr>
          <w:rFonts w:ascii="Book Antiqua" w:hAnsi="Book Antiqua" w:cs="Book Antiqua"/>
          <w:sz w:val="22"/>
        </w:rPr>
        <w:t xml:space="preserve"> § 8 ods. 3.“.</w:t>
      </w:r>
    </w:p>
    <w:p w:rsidR="00DE18B8">
      <w:pPr>
        <w:bidi w:val="0"/>
        <w:spacing w:before="120" w:line="276" w:lineRule="auto"/>
        <w:ind w:left="705"/>
        <w:rPr>
          <w:rFonts w:ascii="Book Antiqua" w:hAnsi="Book Antiqua" w:cs="Book Antiqua"/>
          <w:sz w:val="22"/>
        </w:rPr>
      </w:pPr>
    </w:p>
    <w:p w:rsidR="00DE18B8">
      <w:pPr>
        <w:bidi w:val="0"/>
        <w:spacing w:before="120" w:line="276" w:lineRule="auto"/>
        <w:ind w:left="851" w:hanging="425"/>
        <w:rPr>
          <w:rFonts w:ascii="Book Antiqua" w:eastAsia="Book Antiqua" w:hAnsi="Book Antiqua" w:cs="Book Antiqua"/>
          <w:b/>
          <w:sz w:val="22"/>
        </w:rPr>
      </w:pPr>
      <w:r w:rsidR="00165F15">
        <w:rPr>
          <w:rFonts w:ascii="Book Antiqua" w:hAnsi="Book Antiqua" w:cs="Book Antiqua"/>
          <w:sz w:val="22"/>
        </w:rPr>
        <w:t>13</w:t>
      </w:r>
      <w:r>
        <w:rPr>
          <w:rFonts w:ascii="Book Antiqua" w:hAnsi="Book Antiqua" w:cs="Book Antiqua"/>
          <w:sz w:val="22"/>
        </w:rPr>
        <w:t xml:space="preserve">. </w:t>
        <w:tab/>
        <w:t>Za § 11 sa vkladá § 11a, ktorý vrátane nadpisu znie:</w:t>
      </w:r>
    </w:p>
    <w:p w:rsidR="00DE18B8">
      <w:pPr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</w:rPr>
      </w:pPr>
      <w:r>
        <w:rPr>
          <w:rFonts w:ascii="Book Antiqua" w:eastAsia="Book Antiqua" w:hAnsi="Book Antiqua" w:cs="Book Antiqua" w:hint="default"/>
          <w:b/>
          <w:sz w:val="22"/>
        </w:rPr>
        <w:t>„</w:t>
      </w:r>
      <w:r>
        <w:rPr>
          <w:rFonts w:ascii="Book Antiqua" w:hAnsi="Book Antiqua" w:cs="Book Antiqua"/>
          <w:b/>
          <w:sz w:val="22"/>
        </w:rPr>
        <w:t>§ 11a</w:t>
      </w:r>
    </w:p>
    <w:p w:rsidR="00DE18B8">
      <w:pPr>
        <w:bidi w:val="0"/>
        <w:spacing w:before="120" w:line="276" w:lineRule="auto"/>
        <w:ind w:left="851"/>
        <w:jc w:val="center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b/>
          <w:sz w:val="22"/>
        </w:rPr>
        <w:t>Prechodné ustanovenie</w:t>
      </w:r>
    </w:p>
    <w:p w:rsidR="00DE18B8">
      <w:pPr>
        <w:bidi w:val="0"/>
        <w:spacing w:before="120" w:line="276" w:lineRule="auto"/>
        <w:ind w:left="142" w:firstLine="709"/>
        <w:rPr>
          <w:rFonts w:ascii="Book Antiqua" w:hAnsi="Book Antiqua" w:cs="Book Antiqua"/>
          <w:bCs/>
          <w:sz w:val="22"/>
        </w:rPr>
      </w:pPr>
      <w:r>
        <w:rPr>
          <w:rFonts w:ascii="Book Antiqua" w:hAnsi="Book Antiqua" w:cs="Book Antiqua"/>
          <w:sz w:val="22"/>
        </w:rPr>
        <w:t>Konania začaté do 29. februára 2016 sa dokončia podľa doterajších predpisov.“.</w:t>
      </w:r>
    </w:p>
    <w:p w:rsidR="00DE18B8">
      <w:pPr>
        <w:tabs>
          <w:tab w:val="left" w:pos="7630"/>
        </w:tabs>
        <w:bidi w:val="0"/>
        <w:spacing w:before="120" w:line="276" w:lineRule="auto"/>
        <w:rPr>
          <w:rFonts w:ascii="Book Antiqua" w:hAnsi="Book Antiqua" w:cs="Book Antiqua"/>
          <w:bCs/>
          <w:sz w:val="22"/>
        </w:rPr>
      </w:pPr>
    </w:p>
    <w:p w:rsidR="00DE18B8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b/>
          <w:sz w:val="22"/>
        </w:rPr>
        <w:t>Čl. II</w:t>
      </w:r>
    </w:p>
    <w:p w:rsidR="00DE18B8">
      <w:pPr>
        <w:bidi w:val="0"/>
        <w:spacing w:before="120" w:line="276" w:lineRule="auto"/>
        <w:ind w:firstLine="708"/>
        <w:rPr>
          <w:rFonts w:ascii="Book Antiqua" w:hAnsi="Book Antiqua" w:cs="Book Antiqua"/>
          <w:sz w:val="22"/>
        </w:rPr>
      </w:pPr>
      <w:r>
        <w:rPr>
          <w:rFonts w:ascii="Book Antiqua" w:hAnsi="Book Antiqua" w:cs="Book Antiqua"/>
          <w:sz w:val="22"/>
        </w:rPr>
        <w:t xml:space="preserve">Tento zákon nadobúda účinnosť 1. </w:t>
      </w:r>
      <w:r>
        <w:rPr>
          <w:rFonts w:ascii="Book Antiqua" w:hAnsi="Book Antiqua" w:cs="Book Antiqua"/>
          <w:bCs/>
          <w:sz w:val="22"/>
        </w:rPr>
        <w:t>marca 2016</w:t>
      </w:r>
      <w:r>
        <w:rPr>
          <w:rFonts w:ascii="Book Antiqua" w:hAnsi="Book Antiqua" w:cs="Book Antiqua"/>
          <w:sz w:val="22"/>
        </w:rPr>
        <w:t>.</w:t>
      </w:r>
    </w:p>
    <w:p w:rsidR="00DE18B8">
      <w:pPr>
        <w:bidi w:val="0"/>
        <w:spacing w:before="120" w:line="276" w:lineRule="auto"/>
        <w:ind w:firstLine="708"/>
      </w:pPr>
    </w:p>
    <w:sectPr>
      <w:footerReference w:type="default" r:id="rId4"/>
      <w:foot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B8">
    <w:pPr>
      <w:pStyle w:val="Footer"/>
      <w:bidi w:val="0"/>
      <w:jc w:val="right"/>
    </w:pPr>
    <w:r w:rsidR="00F206AE">
      <w:fldChar w:fldCharType="begin"/>
    </w:r>
    <w:r w:rsidR="00F206AE">
      <w:instrText xml:space="preserve"> PAGE </w:instrText>
    </w:r>
    <w:r w:rsidR="00F206AE">
      <w:fldChar w:fldCharType="separate"/>
    </w:r>
    <w:r w:rsidR="006A3ADF">
      <w:rPr>
        <w:noProof/>
      </w:rPr>
      <w:t>1</w:t>
    </w:r>
    <w:r w:rsidR="00F206AE">
      <w:fldChar w:fldCharType="end"/>
    </w:r>
  </w:p>
  <w:p w:rsidR="00DE18B8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8B8">
    <w:pPr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165F15"/>
    <w:rsid w:val="00161E66"/>
    <w:rsid w:val="00165F15"/>
    <w:rsid w:val="00215C47"/>
    <w:rsid w:val="002D53C4"/>
    <w:rsid w:val="003D5179"/>
    <w:rsid w:val="005D4503"/>
    <w:rsid w:val="006A3ADF"/>
    <w:rsid w:val="008E1423"/>
    <w:rsid w:val="00DE18B8"/>
    <w:rsid w:val="00F206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zh-CN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1008"/>
      </w:tabs>
      <w:spacing w:before="240" w:after="60"/>
      <w:ind w:left="1008" w:hanging="1008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  <w:b w:val="0"/>
    </w:rPr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8z0">
    <w:name w:val="WW8Num8z0"/>
    <w:rPr>
      <w:i w:val="0"/>
    </w:rPr>
  </w:style>
  <w:style w:type="character" w:customStyle="1" w:styleId="WW8Num8z1">
    <w:name w:val="WW8Num8z1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Predvolenpsmoodseku1">
    <w:name w:val="Predvolené písmo odseku1"/>
  </w:style>
  <w:style w:type="character" w:customStyle="1" w:styleId="Nadpis5Char">
    <w:name w:val="Nadpis 5 Char"/>
    <w:rPr>
      <w:rFonts w:ascii="Calibri" w:hAnsi="Calibri" w:cs="Calibri"/>
      <w:b/>
      <w:i/>
      <w:sz w:val="26"/>
    </w:rPr>
  </w:style>
  <w:style w:type="character" w:customStyle="1" w:styleId="PtaChar">
    <w:name w:val="Päta Char"/>
    <w:rPr>
      <w:rFonts w:ascii="Verdana" w:hAnsi="Verdana" w:cs="Verdana"/>
      <w:sz w:val="20"/>
    </w:rPr>
  </w:style>
  <w:style w:type="character" w:customStyle="1" w:styleId="Odkaznakomentr1">
    <w:name w:val="Odkaz na komentár1"/>
    <w:rPr>
      <w:sz w:val="16"/>
    </w:rPr>
  </w:style>
  <w:style w:type="character" w:customStyle="1" w:styleId="TextkomentraChar">
    <w:name w:val="Text komentára Char"/>
    <w:rPr>
      <w:rFonts w:ascii="Verdana" w:hAnsi="Verdana" w:cs="Verdana"/>
      <w:sz w:val="20"/>
    </w:rPr>
  </w:style>
  <w:style w:type="character" w:customStyle="1" w:styleId="PredmetkomentraChar">
    <w:name w:val="Predmet komentára Char"/>
    <w:rPr>
      <w:rFonts w:ascii="Verdana" w:hAnsi="Verdana" w:cs="Verdana"/>
      <w:b/>
      <w:sz w:val="20"/>
    </w:rPr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HlavikaChar">
    <w:name w:val="Hlavička Char"/>
    <w:rPr>
      <w:rFonts w:ascii="Verdana" w:hAnsi="Verdana" w:cs="Verdana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Hyperlink">
    <w:name w:val="Hyperlink"/>
    <w:rPr>
      <w:color w:val="000080"/>
      <w:u w:val="single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both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spacing w:line="240" w:lineRule="auto"/>
      <w:jc w:val="both"/>
    </w:pPr>
    <w:rPr>
      <w:rFonts w:ascii="Times New Roman" w:hAnsi="Times New Roman"/>
      <w:sz w:val="28"/>
      <w:szCs w:val="24"/>
    </w:rPr>
  </w:style>
  <w:style w:type="paragraph" w:styleId="List">
    <w:name w:val="List"/>
    <w:basedOn w:val="BodyText"/>
    <w:pPr>
      <w:spacing w:line="240" w:lineRule="auto"/>
      <w:jc w:val="both"/>
    </w:pPr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  <w:jc w:val="both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both"/>
    </w:pPr>
    <w:rPr>
      <w:rFonts w:cs="Mangal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ListParagraph">
    <w:name w:val="List Paragraph"/>
    <w:basedOn w:val="Normal"/>
    <w:qFormat/>
    <w:pPr>
      <w:ind w:left="720"/>
      <w:contextualSpacing/>
      <w:jc w:val="both"/>
    </w:pPr>
  </w:style>
  <w:style w:type="paragraph" w:customStyle="1" w:styleId="Textkomentra1">
    <w:name w:val="Text komentára1"/>
    <w:basedOn w:val="Normal"/>
    <w:pPr>
      <w:spacing w:line="240" w:lineRule="auto"/>
      <w:jc w:val="both"/>
    </w:pPr>
    <w:rPr>
      <w:szCs w:val="20"/>
    </w:rPr>
  </w:style>
  <w:style w:type="paragraph" w:styleId="CommentSubject">
    <w:name w:val="annotation subject"/>
    <w:basedOn w:val="Textkomentra1"/>
    <w:next w:val="Textkomentra1"/>
    <w:pPr>
      <w:spacing w:line="240" w:lineRule="auto"/>
      <w:jc w:val="both"/>
    </w:pPr>
    <w:rPr>
      <w:b/>
      <w:bCs/>
    </w:rPr>
  </w:style>
  <w:style w:type="paragraph" w:styleId="BalloonText">
    <w:name w:val="Balloon Text"/>
    <w:basedOn w:val="Normal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NormalWeb">
    <w:name w:val="Normal (Web)"/>
    <w:basedOn w:val="Normal"/>
    <w:pPr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661</Words>
  <Characters>3770</Characters>
  <Application>Microsoft Office Word</Application>
  <DocSecurity>0</DocSecurity>
  <Lines>0</Lines>
  <Paragraphs>0</Paragraphs>
  <ScaleCrop>false</ScaleCrop>
  <Company>Kancelaria NR SR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Peter_Pollak</dc:creator>
  <cp:lastModifiedBy>Gašparíková, Jarmila</cp:lastModifiedBy>
  <cp:revision>2</cp:revision>
  <cp:lastPrinted>2015-10-23T15:33:00Z</cp:lastPrinted>
  <dcterms:created xsi:type="dcterms:W3CDTF">2015-10-23T15:47:00Z</dcterms:created>
  <dcterms:modified xsi:type="dcterms:W3CDTF">2015-10-23T15:47:00Z</dcterms:modified>
</cp:coreProperties>
</file>