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061D">
      <w:pPr>
        <w:bidi w:val="0"/>
        <w:ind w:right="-7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NÁRODNÁ RADA SLOVENSKEJ REPUBLIKY</w:t>
      </w:r>
    </w:p>
    <w:p w:rsidR="0090061D">
      <w:pPr>
        <w:bidi w:val="0"/>
        <w:ind w:right="-7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VI. volebné obdobie</w:t>
      </w:r>
    </w:p>
    <w:p w:rsidR="0090061D">
      <w:pPr>
        <w:bidi w:val="0"/>
        <w:ind w:right="-7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________________________________________________________________________________</w:t>
      </w:r>
    </w:p>
    <w:p w:rsidR="0090061D">
      <w:pPr>
        <w:bidi w:val="0"/>
        <w:ind w:right="-7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Návrh</w:t>
      </w:r>
    </w:p>
    <w:p w:rsidR="0090061D">
      <w:pPr>
        <w:bidi w:val="0"/>
        <w:ind w:right="-7"/>
        <w:jc w:val="center"/>
        <w:rPr>
          <w:rFonts w:ascii="Times New Roman" w:hAnsi="Times New Roman"/>
          <w:b/>
          <w:lang w:val="sk-SK"/>
        </w:rPr>
      </w:pPr>
    </w:p>
    <w:p w:rsidR="0090061D">
      <w:pPr>
        <w:bidi w:val="0"/>
        <w:spacing w:line="360" w:lineRule="auto"/>
        <w:ind w:right="-7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Zákon</w:t>
      </w:r>
    </w:p>
    <w:p w:rsidR="0090061D">
      <w:pPr>
        <w:bidi w:val="0"/>
        <w:spacing w:line="360" w:lineRule="auto"/>
        <w:ind w:right="-7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z  ............... 2015,</w:t>
      </w:r>
    </w:p>
    <w:p w:rsidR="0090061D">
      <w:pPr>
        <w:bidi w:val="0"/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ktorým sa mení a dopĺňa zákon Národnej rady Slovenskej republiky č. 147/2001 Z.z. o reklame </w:t>
      </w:r>
      <w:r>
        <w:rPr>
          <w:rStyle w:val="PlaceholderText"/>
          <w:rFonts w:ascii="Times New Roman" w:hAnsi="Times New Roman"/>
          <w:color w:val="000000"/>
          <w:lang w:val="sk-SK"/>
        </w:rPr>
        <w:t>a o zmene a doplnení niektorých zákonov v znení neskorších predpisov.</w:t>
      </w:r>
    </w:p>
    <w:p w:rsidR="0090061D">
      <w:pPr>
        <w:bidi w:val="0"/>
        <w:spacing w:line="360" w:lineRule="auto"/>
        <w:ind w:left="720"/>
        <w:jc w:val="center"/>
        <w:rPr>
          <w:rFonts w:ascii="Times New Roman" w:hAnsi="Times New Roman"/>
        </w:rPr>
      </w:pPr>
    </w:p>
    <w:p w:rsidR="0090061D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Style w:val="PlaceholderText"/>
          <w:rFonts w:ascii="Times New Roman" w:hAnsi="Times New Roman"/>
          <w:color w:val="000000"/>
          <w:lang w:val="sk-SK"/>
        </w:rPr>
        <w:t>Národná rada Slovenskej republiky sa uzniesla na tomto zákone:</w:t>
      </w:r>
    </w:p>
    <w:p w:rsidR="0090061D">
      <w:pPr>
        <w:bidi w:val="0"/>
        <w:spacing w:line="360" w:lineRule="auto"/>
        <w:ind w:right="-7"/>
        <w:jc w:val="center"/>
        <w:rPr>
          <w:rFonts w:ascii="Times New Roman" w:hAnsi="Times New Roman"/>
        </w:rPr>
      </w:pPr>
    </w:p>
    <w:p w:rsidR="0090061D">
      <w:pPr>
        <w:bidi w:val="0"/>
        <w:spacing w:line="360" w:lineRule="auto"/>
        <w:ind w:right="-7"/>
        <w:jc w:val="center"/>
        <w:rPr>
          <w:rFonts w:ascii="Times New Roman" w:hAnsi="Times New Roman"/>
        </w:rPr>
      </w:pPr>
      <w:r>
        <w:rPr>
          <w:rStyle w:val="PlaceholderText"/>
          <w:rFonts w:ascii="Times New Roman" w:hAnsi="Times New Roman"/>
          <w:b/>
          <w:color w:val="000000"/>
          <w:lang w:val="sk-SK"/>
        </w:rPr>
        <w:t xml:space="preserve">Čl. I </w:t>
      </w:r>
    </w:p>
    <w:p w:rsidR="0090061D">
      <w:pPr>
        <w:bidi w:val="0"/>
        <w:spacing w:line="360" w:lineRule="auto"/>
        <w:ind w:right="-7"/>
        <w:jc w:val="center"/>
        <w:rPr>
          <w:rFonts w:ascii="Times New Roman" w:hAnsi="Times New Roman"/>
        </w:rPr>
      </w:pPr>
    </w:p>
    <w:p w:rsidR="0090061D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  <w:r>
        <w:rPr>
          <w:rStyle w:val="PlaceholderText"/>
          <w:rFonts w:ascii="Times New Roman" w:hAnsi="Times New Roman"/>
          <w:color w:val="000000"/>
          <w:lang w:val="sk-SK"/>
        </w:rPr>
        <w:t xml:space="preserve">Zákon Národnej rady Slovenskej republiky č. 147/2001 Z.z. o reklame a o zmene a doplnení niektorých zákonov v znení neskorších predpisov sa mení a dopĺňa takto: </w:t>
      </w:r>
    </w:p>
    <w:p w:rsidR="0090061D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90061D">
      <w:pPr>
        <w:bidi w:val="0"/>
        <w:spacing w:line="360" w:lineRule="auto"/>
        <w:ind w:left="72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V</w:t>
      </w:r>
      <w:r>
        <w:rPr>
          <w:rFonts w:ascii="Times New Roman" w:hAnsi="Times New Roman"/>
          <w:color w:val="000000"/>
          <w:lang w:val="sk-SK"/>
        </w:rPr>
        <w:t xml:space="preserve"> čl. I §</w:t>
      </w:r>
      <w:r>
        <w:rPr>
          <w:rFonts w:ascii="Times New Roman" w:hAnsi="Times New Roman"/>
          <w:lang w:val="sk-SK"/>
        </w:rPr>
        <w:t xml:space="preserve"> 5 sa za odsek 2 dopĺňa odsek 3, ktorý znie nasledovne: </w:t>
      </w:r>
    </w:p>
    <w:p w:rsidR="0090061D">
      <w:pPr>
        <w:bidi w:val="0"/>
        <w:ind w:right="-7"/>
        <w:jc w:val="both"/>
        <w:rPr>
          <w:rFonts w:ascii="Times New Roman" w:hAnsi="Times New Roman"/>
          <w:b/>
          <w:lang w:val="sk-SK"/>
        </w:rPr>
      </w:pPr>
    </w:p>
    <w:p w:rsidR="0090061D">
      <w:pPr>
        <w:bidi w:val="0"/>
        <w:ind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 xml:space="preserve">„(3) </w:t>
      </w:r>
      <w:r>
        <w:rPr>
          <w:rStyle w:val="PlaceholderText"/>
          <w:rFonts w:ascii="Times New Roman" w:hAnsi="Times New Roman"/>
          <w:color w:val="000000"/>
          <w:lang w:val="sk-SK"/>
        </w:rPr>
        <w:t xml:space="preserve">„Obce môžu vo svojich územných obvodoch alebo v určitých častiach svojho územného </w:t>
        <w:tab/>
        <w:t xml:space="preserve">obvodu  obmedziť alebo zakázať umiestňovanie reklamy alkoholických nápojov na reklamných </w:t>
        <w:tab/>
        <w:t>stavbách</w:t>
      </w:r>
      <w:r>
        <w:rPr>
          <w:rStyle w:val="PlaceholderText"/>
          <w:rFonts w:ascii="Times New Roman" w:hAnsi="Times New Roman"/>
          <w:color w:val="000000"/>
          <w:vertAlign w:val="superscript"/>
          <w:lang w:val="sk-SK"/>
        </w:rPr>
        <w:t>11a)</w:t>
      </w:r>
      <w:r>
        <w:rPr>
          <w:rStyle w:val="PlaceholderText"/>
          <w:rFonts w:ascii="Times New Roman" w:hAnsi="Times New Roman"/>
          <w:color w:val="000000"/>
          <w:lang w:val="sk-SK"/>
        </w:rPr>
        <w:t>.</w:t>
      </w:r>
      <w:r>
        <w:rPr>
          <w:rFonts w:ascii="Times New Roman" w:hAnsi="Times New Roman"/>
          <w:lang w:val="sk-SK"/>
        </w:rPr>
        <w:t>“</w:t>
        <w:tab/>
      </w:r>
    </w:p>
    <w:p w:rsidR="0090061D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90061D">
      <w:pPr>
        <w:bidi w:val="0"/>
        <w:ind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 xml:space="preserve">Poznámka pod čiarou číslo 11a), znie nasledovne: </w:t>
      </w:r>
    </w:p>
    <w:p w:rsidR="0090061D">
      <w:pPr>
        <w:bidi w:val="0"/>
        <w:ind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</w:p>
    <w:p w:rsidR="0090061D">
      <w:pPr>
        <w:bidi w:val="0"/>
        <w:ind w:right="-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ab/>
        <w:t xml:space="preserve">„11a) § 43 ods. 2 zákona č. 50/1976 Zb. o územnom plánovaní a stavebnom poriadku </w:t>
        <w:tab/>
        <w:t>(stavebný zákon).</w:t>
      </w:r>
    </w:p>
    <w:p w:rsidR="0090061D">
      <w:pPr>
        <w:bidi w:val="0"/>
        <w:ind w:right="-7"/>
        <w:jc w:val="both"/>
        <w:rPr>
          <w:rFonts w:ascii="Times New Roman" w:hAnsi="Times New Roman"/>
        </w:rPr>
      </w:pPr>
    </w:p>
    <w:p w:rsidR="0090061D">
      <w:pPr>
        <w:bidi w:val="0"/>
        <w:ind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>2</w:t>
      </w:r>
      <w:r>
        <w:rPr>
          <w:rFonts w:ascii="Times New Roman" w:hAnsi="Times New Roman"/>
          <w:b/>
          <w:color w:val="000000"/>
          <w:lang w:val="sk-SK"/>
        </w:rPr>
        <w:t>.</w:t>
      </w:r>
      <w:r>
        <w:rPr>
          <w:rFonts w:ascii="Times New Roman" w:hAnsi="Times New Roman"/>
          <w:color w:val="000000"/>
          <w:lang w:val="sk-SK"/>
        </w:rPr>
        <w:t xml:space="preserve"> V čl. I §</w:t>
      </w:r>
      <w:r>
        <w:rPr>
          <w:rFonts w:ascii="Times New Roman" w:hAnsi="Times New Roman"/>
          <w:lang w:val="sk-SK"/>
        </w:rPr>
        <w:t xml:space="preserve"> 10 sa doterajšie písm. f) bude všade v texte označovať novým písm. g) a nové znenie </w:t>
        <w:tab/>
        <w:t>písm. f) bude nasledovné:</w:t>
      </w:r>
    </w:p>
    <w:p w:rsidR="0090061D">
      <w:pPr>
        <w:bidi w:val="0"/>
        <w:ind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  <w:tab/>
      </w:r>
    </w:p>
    <w:p w:rsidR="0090061D">
      <w:pPr>
        <w:bidi w:val="0"/>
        <w:ind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„obce nad dodržiavaním obmedzení alebo zákazov podľa § 5 ods. 3,“</w:t>
      </w:r>
    </w:p>
    <w:p w:rsidR="0090061D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90061D">
      <w:pPr>
        <w:bidi w:val="0"/>
        <w:ind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>3.</w:t>
      </w:r>
      <w:r>
        <w:rPr>
          <w:rFonts w:ascii="Times New Roman" w:hAnsi="Times New Roman"/>
          <w:lang w:val="sk-SK"/>
        </w:rPr>
        <w:t xml:space="preserve"> V čl. I § 11 sa v odseku 3 písm. d) za slovné spojenie „</w:t>
      </w:r>
      <w:r>
        <w:rPr>
          <w:rFonts w:ascii="Times New Roman" w:hAnsi="Times New Roman"/>
          <w:i/>
          <w:color w:val="000000"/>
        </w:rPr>
        <w:t>podľa § 3 ods. 1 písm. b) a c),</w:t>
      </w:r>
      <w:r>
        <w:rPr>
          <w:rFonts w:ascii="Times New Roman" w:hAnsi="Times New Roman"/>
          <w:color w:val="000000"/>
          <w:lang w:val="sk-SK"/>
        </w:rPr>
        <w:t xml:space="preserve">“ </w:t>
        <w:tab/>
        <w:t>dopĺňa  slovné spojenie „a</w:t>
      </w:r>
      <w:r>
        <w:rPr>
          <w:rFonts w:ascii="Times New Roman" w:hAnsi="Times New Roman"/>
          <w:i/>
          <w:color w:val="000000"/>
          <w:lang w:val="sk-SK"/>
        </w:rPr>
        <w:t xml:space="preserve"> za porušenie obmedzenia alebo zákazu podľa § 5 ods. 3,</w:t>
      </w:r>
      <w:r>
        <w:rPr>
          <w:rFonts w:ascii="Times New Roman" w:hAnsi="Times New Roman"/>
          <w:color w:val="000000"/>
          <w:lang w:val="sk-SK"/>
        </w:rPr>
        <w:t>“.</w:t>
      </w:r>
    </w:p>
    <w:p w:rsidR="0090061D">
      <w:pPr>
        <w:bidi w:val="0"/>
        <w:ind w:right="-7" w:firstLine="360"/>
        <w:jc w:val="both"/>
        <w:rPr>
          <w:rFonts w:ascii="Times New Roman" w:hAnsi="Times New Roman"/>
          <w:lang w:val="sk-SK"/>
        </w:rPr>
      </w:pPr>
    </w:p>
    <w:p w:rsidR="0090061D">
      <w:pPr>
        <w:bidi w:val="0"/>
        <w:ind w:right="-7" w:firstLine="360"/>
        <w:jc w:val="both"/>
        <w:rPr>
          <w:rFonts w:ascii="Times New Roman" w:hAnsi="Times New Roman"/>
          <w:lang w:val="sk-SK"/>
        </w:rPr>
      </w:pPr>
    </w:p>
    <w:p w:rsidR="0090061D">
      <w:pPr>
        <w:bidi w:val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sk-SK"/>
        </w:rPr>
        <w:t>Čl. II</w:t>
      </w:r>
    </w:p>
    <w:p w:rsidR="0090061D">
      <w:pPr>
        <w:bidi w:val="0"/>
        <w:ind w:right="-7"/>
        <w:jc w:val="center"/>
        <w:rPr>
          <w:rFonts w:ascii="Times New Roman" w:hAnsi="Times New Roman"/>
        </w:rPr>
      </w:pPr>
    </w:p>
    <w:p w:rsidR="0090061D">
      <w:pPr>
        <w:bidi w:val="0"/>
        <w:spacing w:line="360" w:lineRule="auto"/>
        <w:ind w:right="-7" w:firstLine="360"/>
        <w:jc w:val="both"/>
        <w:rPr>
          <w:rFonts w:ascii="Times New Roman" w:hAnsi="Times New Roman"/>
        </w:rPr>
      </w:pPr>
      <w:r>
        <w:rPr>
          <w:rStyle w:val="PlaceholderText"/>
          <w:rFonts w:ascii="Times New Roman" w:hAnsi="Times New Roman"/>
          <w:color w:val="000000"/>
          <w:lang w:val="sk-SK"/>
        </w:rPr>
        <w:tab/>
        <w:t>Tento zákon nadobúda účinnosť 1. apríla 2016.</w:t>
      </w:r>
    </w:p>
    <w:p w:rsidR="0090061D">
      <w:pPr>
        <w:bidi w:val="0"/>
        <w:spacing w:line="100" w:lineRule="atLeast"/>
        <w:ind w:right="-7" w:firstLine="360"/>
        <w:jc w:val="both"/>
        <w:rPr>
          <w:rFonts w:ascii="Times New Roman" w:hAnsi="Times New Roman"/>
        </w:rPr>
      </w:pPr>
    </w:p>
    <w:sectPr>
      <w:pgSz w:w="12240" w:h="15840"/>
      <w:pgMar w:top="1134" w:right="1134" w:bottom="1134" w:left="1134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45532E"/>
    <w:rsid w:val="0045532E"/>
    <w:rsid w:val="009006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kern w:val="1"/>
      <w:sz w:val="24"/>
      <w:szCs w:val="20"/>
      <w:rtl w:val="0"/>
      <w:cs w:val="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</w:style>
  <w:style w:type="character" w:styleId="PlaceholderText">
    <w:name w:val="Placeholder Text"/>
    <w:rPr>
      <w:color w:val="808080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Arial"/>
      <w:sz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</w:rPr>
  </w:style>
  <w:style w:type="paragraph" w:customStyle="1" w:styleId="Index">
    <w:name w:val="Index"/>
    <w:basedOn w:val="Normal"/>
    <w:pPr>
      <w:suppressLineNumbers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212</Words>
  <Characters>1212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</dc:creator>
  <cp:lastModifiedBy>Gašparíková, Jarmila</cp:lastModifiedBy>
  <cp:revision>2</cp:revision>
  <dcterms:created xsi:type="dcterms:W3CDTF">2015-10-23T08:59:00Z</dcterms:created>
  <dcterms:modified xsi:type="dcterms:W3CDTF">2015-10-23T08:59:00Z</dcterms:modified>
</cp:coreProperties>
</file>