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859CD" w:rsidP="003859CD">
      <w:pPr>
        <w:bidi w:val="0"/>
        <w:spacing w:line="300" w:lineRule="auto"/>
        <w:jc w:val="center"/>
        <w:rPr>
          <w:rFonts w:ascii="Times New Roman" w:hAnsi="Times New Roman"/>
          <w:b/>
          <w:bCs/>
          <w:sz w:val="56"/>
          <w:szCs w:val="56"/>
        </w:rPr>
      </w:pPr>
      <w:bookmarkStart w:id="0" w:name="_Toc252456193"/>
      <w:bookmarkStart w:id="1" w:name="_Toc252805695"/>
      <w:bookmarkStart w:id="2" w:name="_Toc275948223"/>
      <w:bookmarkStart w:id="3" w:name="_Toc384124252"/>
      <w:bookmarkStart w:id="4" w:name="_Toc394471503"/>
    </w:p>
    <w:p w:rsidR="003859CD" w:rsidP="003859CD">
      <w:pPr>
        <w:bidi w:val="0"/>
        <w:spacing w:line="300" w:lineRule="auto"/>
        <w:jc w:val="center"/>
        <w:rPr>
          <w:rFonts w:ascii="Times New Roman" w:hAnsi="Times New Roman"/>
          <w:b/>
          <w:bCs/>
          <w:sz w:val="56"/>
          <w:szCs w:val="56"/>
        </w:rPr>
      </w:pPr>
    </w:p>
    <w:p w:rsidR="003859CD" w:rsidRPr="0019148E" w:rsidP="003859CD">
      <w:pPr>
        <w:bidi w:val="0"/>
        <w:spacing w:line="300" w:lineRule="auto"/>
        <w:jc w:val="center"/>
        <w:rPr>
          <w:rFonts w:ascii="Times New Roman" w:hAnsi="Times New Roman"/>
          <w:b/>
          <w:bCs/>
          <w:sz w:val="56"/>
          <w:szCs w:val="56"/>
        </w:rPr>
      </w:pPr>
    </w:p>
    <w:p w:rsidR="003859CD" w:rsidRPr="0019148E" w:rsidP="003859CD">
      <w:pPr>
        <w:bidi w:val="0"/>
        <w:spacing w:line="300" w:lineRule="auto"/>
        <w:jc w:val="center"/>
        <w:rPr>
          <w:rFonts w:ascii="Times New Roman" w:hAnsi="Times New Roman"/>
          <w:b/>
          <w:bCs/>
          <w:sz w:val="56"/>
          <w:szCs w:val="56"/>
        </w:rPr>
      </w:pPr>
    </w:p>
    <w:p w:rsidR="003859CD" w:rsidRPr="0019148E" w:rsidP="003859CD">
      <w:pPr>
        <w:bidi w:val="0"/>
        <w:spacing w:line="300" w:lineRule="auto"/>
        <w:jc w:val="center"/>
        <w:rPr>
          <w:rFonts w:ascii="Times New Roman" w:hAnsi="Times New Roman"/>
          <w:b/>
          <w:bCs/>
          <w:sz w:val="56"/>
          <w:szCs w:val="56"/>
        </w:rPr>
      </w:pPr>
    </w:p>
    <w:p w:rsidR="003859CD" w:rsidRPr="0019148E" w:rsidP="003859CD">
      <w:pPr>
        <w:bidi w:val="0"/>
        <w:spacing w:line="300" w:lineRule="auto"/>
        <w:jc w:val="center"/>
        <w:rPr>
          <w:rFonts w:ascii="Times New Roman" w:hAnsi="Times New Roman"/>
          <w:b/>
          <w:bCs/>
          <w:sz w:val="56"/>
          <w:szCs w:val="56"/>
        </w:rPr>
      </w:pPr>
    </w:p>
    <w:p w:rsidR="003859CD" w:rsidP="003859CD">
      <w:pPr>
        <w:pStyle w:val="Header"/>
        <w:bidi w:val="0"/>
        <w:spacing w:after="0"/>
        <w:jc w:val="center"/>
        <w:rPr>
          <w:rFonts w:ascii="Times New Roman" w:hAnsi="Times New Roman"/>
          <w:b/>
          <w:bCs/>
          <w:sz w:val="44"/>
          <w:szCs w:val="36"/>
        </w:rPr>
      </w:pPr>
      <w:r>
        <w:rPr>
          <w:rFonts w:ascii="Times New Roman" w:hAnsi="Times New Roman"/>
          <w:b/>
          <w:bCs/>
          <w:sz w:val="44"/>
          <w:szCs w:val="36"/>
        </w:rPr>
        <w:t>Príloha č. 6</w:t>
      </w:r>
    </w:p>
    <w:p w:rsidR="003859CD" w:rsidRPr="0019148E" w:rsidP="003859CD">
      <w:pPr>
        <w:bidi w:val="0"/>
        <w:spacing w:line="300" w:lineRule="auto"/>
        <w:jc w:val="center"/>
        <w:rPr>
          <w:rFonts w:ascii="Times New Roman" w:hAnsi="Times New Roman"/>
          <w:b/>
          <w:bCs/>
          <w:sz w:val="56"/>
          <w:szCs w:val="56"/>
        </w:rPr>
      </w:pPr>
    </w:p>
    <w:p w:rsidR="003859CD" w:rsidRPr="008F39E8" w:rsidP="003859CD">
      <w:pPr>
        <w:bidi w:val="0"/>
        <w:spacing w:line="300" w:lineRule="auto"/>
        <w:jc w:val="center"/>
        <w:rPr>
          <w:rFonts w:ascii="Times New Roman" w:hAnsi="Times New Roman"/>
          <w:b/>
          <w:bCs/>
          <w:sz w:val="44"/>
          <w:szCs w:val="56"/>
        </w:rPr>
      </w:pPr>
      <w:r w:rsidRPr="008F39E8">
        <w:rPr>
          <w:rFonts w:ascii="Times New Roman" w:hAnsi="Times New Roman"/>
          <w:b/>
          <w:bCs/>
          <w:sz w:val="44"/>
          <w:szCs w:val="56"/>
        </w:rPr>
        <w:t xml:space="preserve">Aktualizácia stratégie riadenia štátneho dlhu </w:t>
        <w:br/>
        <w:t>na roky 2015 až 2018</w:t>
      </w:r>
    </w:p>
    <w:p w:rsidR="003859CD" w:rsidRPr="0019148E" w:rsidP="003859CD">
      <w:pPr>
        <w:bidi w:val="0"/>
        <w:spacing w:line="300" w:lineRule="auto"/>
        <w:jc w:val="center"/>
        <w:rPr>
          <w:rFonts w:ascii="Times New Roman" w:hAnsi="Times New Roman"/>
          <w:b/>
          <w:bCs/>
          <w:sz w:val="56"/>
          <w:szCs w:val="56"/>
        </w:rPr>
      </w:pPr>
    </w:p>
    <w:p w:rsidR="003859CD" w:rsidRPr="0019148E" w:rsidP="003859CD">
      <w:pPr>
        <w:bidi w:val="0"/>
        <w:spacing w:line="300" w:lineRule="auto"/>
        <w:jc w:val="center"/>
        <w:rPr>
          <w:rFonts w:ascii="Times New Roman" w:hAnsi="Times New Roman"/>
          <w:b/>
          <w:bCs/>
          <w:sz w:val="56"/>
          <w:szCs w:val="56"/>
        </w:rPr>
      </w:pPr>
    </w:p>
    <w:p w:rsidR="003859CD" w:rsidRPr="0019148E" w:rsidP="003859CD">
      <w:pPr>
        <w:bidi w:val="0"/>
        <w:spacing w:line="300" w:lineRule="auto"/>
        <w:jc w:val="center"/>
        <w:rPr>
          <w:rFonts w:ascii="Times New Roman" w:hAnsi="Times New Roman"/>
          <w:b/>
          <w:bCs/>
          <w:sz w:val="56"/>
          <w:szCs w:val="56"/>
        </w:rPr>
      </w:pPr>
    </w:p>
    <w:p w:rsidR="003859CD" w:rsidRPr="0019148E" w:rsidP="003859CD">
      <w:pPr>
        <w:bidi w:val="0"/>
        <w:spacing w:line="300" w:lineRule="auto"/>
        <w:jc w:val="center"/>
        <w:rPr>
          <w:rFonts w:ascii="Times New Roman" w:hAnsi="Times New Roman"/>
          <w:b/>
          <w:bCs/>
          <w:sz w:val="56"/>
          <w:szCs w:val="56"/>
        </w:rPr>
      </w:pPr>
    </w:p>
    <w:p w:rsidR="003859CD" w:rsidRPr="0019148E" w:rsidP="003859CD">
      <w:pPr>
        <w:bidi w:val="0"/>
        <w:spacing w:line="300" w:lineRule="auto"/>
        <w:jc w:val="center"/>
        <w:rPr>
          <w:rFonts w:ascii="Times New Roman" w:hAnsi="Times New Roman"/>
          <w:b/>
          <w:bCs/>
          <w:sz w:val="56"/>
          <w:szCs w:val="56"/>
        </w:rPr>
      </w:pPr>
    </w:p>
    <w:p w:rsidR="003859CD" w:rsidRPr="0019148E" w:rsidP="003859CD">
      <w:pPr>
        <w:bidi w:val="0"/>
        <w:spacing w:line="300" w:lineRule="auto"/>
        <w:jc w:val="center"/>
        <w:rPr>
          <w:rFonts w:ascii="Times New Roman" w:hAnsi="Times New Roman"/>
          <w:b/>
          <w:bCs/>
          <w:sz w:val="56"/>
          <w:szCs w:val="56"/>
        </w:rPr>
      </w:pPr>
    </w:p>
    <w:p w:rsidR="003859CD" w:rsidRPr="0019148E" w:rsidP="003859CD">
      <w:pPr>
        <w:bidi w:val="0"/>
        <w:spacing w:line="300" w:lineRule="auto"/>
        <w:jc w:val="center"/>
        <w:rPr>
          <w:rFonts w:ascii="Times New Roman" w:hAnsi="Times New Roman"/>
          <w:b/>
          <w:bCs/>
          <w:sz w:val="56"/>
          <w:szCs w:val="56"/>
        </w:rPr>
      </w:pPr>
    </w:p>
    <w:p w:rsidR="003859CD" w:rsidRPr="0019148E" w:rsidP="003859CD">
      <w:pPr>
        <w:bidi w:val="0"/>
        <w:spacing w:line="300" w:lineRule="auto"/>
        <w:jc w:val="center"/>
        <w:rPr>
          <w:rFonts w:ascii="Times New Roman" w:hAnsi="Times New Roman"/>
          <w:b/>
          <w:bCs/>
          <w:sz w:val="56"/>
          <w:szCs w:val="56"/>
        </w:rPr>
      </w:pPr>
    </w:p>
    <w:p w:rsidR="003859CD" w:rsidRPr="0019148E" w:rsidP="003859CD">
      <w:pPr>
        <w:bidi w:val="0"/>
        <w:spacing w:line="300" w:lineRule="auto"/>
        <w:jc w:val="center"/>
        <w:rPr>
          <w:rFonts w:ascii="Times New Roman" w:hAnsi="Times New Roman"/>
          <w:b/>
          <w:bCs/>
          <w:sz w:val="56"/>
          <w:szCs w:val="56"/>
        </w:rPr>
      </w:pPr>
    </w:p>
    <w:p w:rsidR="008A4341" w:rsidRPr="003859CD" w:rsidP="00CC3215">
      <w:pPr>
        <w:pStyle w:val="FootnoteText"/>
        <w:bidi w:val="0"/>
        <w:rPr>
          <w:rFonts w:ascii="Times New Roman" w:hAnsi="Times New Roman"/>
          <w:b/>
          <w:sz w:val="28"/>
        </w:rPr>
      </w:pPr>
      <w:bookmarkEnd w:id="0"/>
      <w:bookmarkEnd w:id="1"/>
      <w:bookmarkEnd w:id="2"/>
      <w:bookmarkEnd w:id="3"/>
      <w:bookmarkEnd w:id="4"/>
      <w:r w:rsidRPr="003859CD">
        <w:rPr>
          <w:rFonts w:ascii="Times New Roman" w:hAnsi="Times New Roman"/>
          <w:b/>
          <w:sz w:val="28"/>
        </w:rPr>
        <w:t>Úvod</w:t>
      </w:r>
    </w:p>
    <w:p w:rsidR="00DF35B1" w:rsidRPr="003859CD" w:rsidP="00CC3215">
      <w:pPr>
        <w:pStyle w:val="FootnoteText"/>
        <w:bidi w:val="0"/>
        <w:rPr>
          <w:rFonts w:ascii="Times New Roman" w:hAnsi="Times New Roman"/>
          <w:b/>
          <w:color w:val="069EEA"/>
          <w:sz w:val="28"/>
        </w:rPr>
      </w:pPr>
    </w:p>
    <w:p w:rsidR="00DF35B1" w:rsidRPr="003859CD" w:rsidP="00CC3215">
      <w:pPr>
        <w:pStyle w:val="FootnoteText"/>
        <w:bidi w:val="0"/>
        <w:rPr>
          <w:rFonts w:ascii="Times New Roman" w:hAnsi="Times New Roman"/>
          <w:b/>
        </w:rPr>
      </w:pPr>
    </w:p>
    <w:p w:rsidR="00DF35B1" w:rsidRPr="003859CD" w:rsidP="003859CD">
      <w:pPr>
        <w:bidi w:val="0"/>
        <w:spacing w:after="120"/>
        <w:ind w:firstLine="708"/>
        <w:jc w:val="both"/>
        <w:rPr>
          <w:rFonts w:ascii="Times New Roman" w:hAnsi="Times New Roman"/>
          <w:szCs w:val="22"/>
        </w:rPr>
      </w:pPr>
      <w:r w:rsidRPr="003859CD" w:rsidR="006C7754">
        <w:rPr>
          <w:rFonts w:ascii="Times New Roman" w:hAnsi="Times New Roman"/>
          <w:szCs w:val="22"/>
        </w:rPr>
        <w:t>Stratégia riadenia dlhu na roky 201</w:t>
      </w:r>
      <w:r w:rsidRPr="003859CD" w:rsidR="001F369D">
        <w:rPr>
          <w:rFonts w:ascii="Times New Roman" w:hAnsi="Times New Roman"/>
          <w:szCs w:val="22"/>
        </w:rPr>
        <w:t>5</w:t>
      </w:r>
      <w:r w:rsidRPr="003859CD" w:rsidR="006C7754">
        <w:rPr>
          <w:rFonts w:ascii="Times New Roman" w:hAnsi="Times New Roman"/>
          <w:szCs w:val="22"/>
        </w:rPr>
        <w:t xml:space="preserve"> až 201</w:t>
      </w:r>
      <w:r w:rsidRPr="003859CD" w:rsidR="001F369D">
        <w:rPr>
          <w:rFonts w:ascii="Times New Roman" w:hAnsi="Times New Roman"/>
          <w:szCs w:val="22"/>
        </w:rPr>
        <w:t>8</w:t>
      </w:r>
      <w:r w:rsidRPr="003859CD" w:rsidR="006C7754">
        <w:rPr>
          <w:rFonts w:ascii="Times New Roman" w:hAnsi="Times New Roman"/>
          <w:szCs w:val="22"/>
        </w:rPr>
        <w:t xml:space="preserve"> nadv</w:t>
      </w:r>
      <w:r w:rsidRPr="003859CD">
        <w:rPr>
          <w:rFonts w:ascii="Times New Roman" w:hAnsi="Times New Roman"/>
          <w:szCs w:val="22"/>
        </w:rPr>
        <w:t>iazala</w:t>
      </w:r>
      <w:r w:rsidRPr="003859CD" w:rsidR="006C7754">
        <w:rPr>
          <w:rFonts w:ascii="Times New Roman" w:hAnsi="Times New Roman"/>
          <w:szCs w:val="22"/>
        </w:rPr>
        <w:t xml:space="preserve"> </w:t>
      </w:r>
      <w:r w:rsidRPr="003859CD" w:rsidR="001F369D">
        <w:rPr>
          <w:rFonts w:ascii="Times New Roman" w:hAnsi="Times New Roman"/>
          <w:szCs w:val="22"/>
        </w:rPr>
        <w:t xml:space="preserve">v princípoch </w:t>
      </w:r>
      <w:r w:rsidRPr="003859CD" w:rsidR="006C7754">
        <w:rPr>
          <w:rFonts w:ascii="Times New Roman" w:hAnsi="Times New Roman"/>
          <w:szCs w:val="22"/>
        </w:rPr>
        <w:t>na predchádzajúcu stratégiu</w:t>
      </w:r>
      <w:r w:rsidRPr="003859CD" w:rsidR="001F369D">
        <w:rPr>
          <w:rFonts w:ascii="Times New Roman" w:hAnsi="Times New Roman"/>
          <w:szCs w:val="22"/>
        </w:rPr>
        <w:t>.</w:t>
      </w:r>
      <w:r w:rsidRPr="003859CD" w:rsidR="006C7754">
        <w:rPr>
          <w:rFonts w:ascii="Times New Roman" w:hAnsi="Times New Roman"/>
          <w:szCs w:val="22"/>
        </w:rPr>
        <w:t xml:space="preserve"> </w:t>
      </w:r>
      <w:r w:rsidRPr="003859CD" w:rsidR="001F369D">
        <w:rPr>
          <w:rFonts w:ascii="Times New Roman" w:hAnsi="Times New Roman"/>
          <w:szCs w:val="22"/>
        </w:rPr>
        <w:t>V</w:t>
      </w:r>
      <w:r w:rsidRPr="003859CD" w:rsidR="006C7754">
        <w:rPr>
          <w:rFonts w:ascii="Times New Roman" w:hAnsi="Times New Roman"/>
          <w:szCs w:val="22"/>
        </w:rPr>
        <w:t xml:space="preserve">ývoj </w:t>
      </w:r>
      <w:r w:rsidRPr="003859CD" w:rsidR="00A76095">
        <w:rPr>
          <w:rFonts w:ascii="Times New Roman" w:hAnsi="Times New Roman"/>
          <w:szCs w:val="22"/>
        </w:rPr>
        <w:t xml:space="preserve">verejných financií a nákladov na správu štátneho dlhu v posledných rokoch </w:t>
      </w:r>
      <w:r w:rsidRPr="003859CD" w:rsidR="001F369D">
        <w:rPr>
          <w:rFonts w:ascii="Times New Roman" w:hAnsi="Times New Roman"/>
          <w:szCs w:val="22"/>
        </w:rPr>
        <w:t>a</w:t>
      </w:r>
      <w:r w:rsidRPr="003859CD" w:rsidR="00FD507A">
        <w:rPr>
          <w:rFonts w:ascii="Times New Roman" w:hAnsi="Times New Roman"/>
          <w:szCs w:val="22"/>
        </w:rPr>
        <w:t xml:space="preserve"> najmä </w:t>
      </w:r>
      <w:r w:rsidRPr="003859CD" w:rsidR="001F369D">
        <w:rPr>
          <w:rFonts w:ascii="Times New Roman" w:hAnsi="Times New Roman"/>
          <w:szCs w:val="22"/>
        </w:rPr>
        <w:t xml:space="preserve">hodnotenie Slovenska investormi, bankami a ratingovými spoločnosťami </w:t>
      </w:r>
      <w:r w:rsidRPr="003859CD" w:rsidR="006C7754">
        <w:rPr>
          <w:rFonts w:ascii="Times New Roman" w:hAnsi="Times New Roman"/>
          <w:szCs w:val="22"/>
        </w:rPr>
        <w:t>ukázal</w:t>
      </w:r>
      <w:r w:rsidRPr="003859CD" w:rsidR="004B386C">
        <w:rPr>
          <w:rFonts w:ascii="Times New Roman" w:hAnsi="Times New Roman"/>
          <w:szCs w:val="22"/>
        </w:rPr>
        <w:t>i</w:t>
      </w:r>
      <w:r w:rsidRPr="003859CD" w:rsidR="006C7754">
        <w:rPr>
          <w:rFonts w:ascii="Times New Roman" w:hAnsi="Times New Roman"/>
          <w:szCs w:val="22"/>
        </w:rPr>
        <w:t>, že sledované ciele riadenia štátneho dlhu na roky 20</w:t>
      </w:r>
      <w:r w:rsidRPr="003859CD" w:rsidR="001F369D">
        <w:rPr>
          <w:rFonts w:ascii="Times New Roman" w:hAnsi="Times New Roman"/>
          <w:szCs w:val="22"/>
        </w:rPr>
        <w:t>11</w:t>
      </w:r>
      <w:r w:rsidRPr="003859CD" w:rsidR="006C7754">
        <w:rPr>
          <w:rFonts w:ascii="Times New Roman" w:hAnsi="Times New Roman"/>
          <w:szCs w:val="22"/>
        </w:rPr>
        <w:t xml:space="preserve"> až 201</w:t>
      </w:r>
      <w:r w:rsidRPr="003859CD" w:rsidR="001F369D">
        <w:rPr>
          <w:rFonts w:ascii="Times New Roman" w:hAnsi="Times New Roman"/>
          <w:szCs w:val="22"/>
        </w:rPr>
        <w:t>4</w:t>
      </w:r>
      <w:r w:rsidRPr="003859CD" w:rsidR="006C7754">
        <w:rPr>
          <w:rFonts w:ascii="Times New Roman" w:hAnsi="Times New Roman"/>
          <w:szCs w:val="22"/>
        </w:rPr>
        <w:t xml:space="preserve"> boli vhodn</w:t>
      </w:r>
      <w:r w:rsidRPr="003859CD" w:rsidR="00FD507A">
        <w:rPr>
          <w:rFonts w:ascii="Times New Roman" w:hAnsi="Times New Roman"/>
          <w:szCs w:val="22"/>
        </w:rPr>
        <w:t>e</w:t>
      </w:r>
      <w:r w:rsidRPr="003859CD" w:rsidR="006C7754">
        <w:rPr>
          <w:rFonts w:ascii="Times New Roman" w:hAnsi="Times New Roman"/>
          <w:szCs w:val="22"/>
        </w:rPr>
        <w:t xml:space="preserve"> </w:t>
      </w:r>
      <w:r w:rsidRPr="003859CD" w:rsidR="00FD507A">
        <w:rPr>
          <w:rFonts w:ascii="Times New Roman" w:hAnsi="Times New Roman"/>
          <w:szCs w:val="22"/>
        </w:rPr>
        <w:t xml:space="preserve">nastavené </w:t>
      </w:r>
      <w:r w:rsidRPr="003859CD" w:rsidR="006C7754">
        <w:rPr>
          <w:rFonts w:ascii="Times New Roman" w:hAnsi="Times New Roman"/>
          <w:szCs w:val="22"/>
        </w:rPr>
        <w:t xml:space="preserve">pre podmienky </w:t>
      </w:r>
      <w:r w:rsidRPr="003859CD" w:rsidR="0049591A">
        <w:rPr>
          <w:rFonts w:ascii="Times New Roman" w:hAnsi="Times New Roman"/>
          <w:szCs w:val="22"/>
        </w:rPr>
        <w:t xml:space="preserve">slovenskej </w:t>
      </w:r>
      <w:r w:rsidRPr="003859CD" w:rsidR="006C7754">
        <w:rPr>
          <w:rFonts w:ascii="Times New Roman" w:hAnsi="Times New Roman"/>
          <w:szCs w:val="22"/>
        </w:rPr>
        <w:t>ekonomiky</w:t>
      </w:r>
      <w:r w:rsidRPr="003859CD" w:rsidR="0049591A">
        <w:rPr>
          <w:rFonts w:ascii="Times New Roman" w:hAnsi="Times New Roman"/>
          <w:szCs w:val="22"/>
        </w:rPr>
        <w:t>, verejných financií</w:t>
      </w:r>
      <w:r w:rsidRPr="003859CD" w:rsidR="006C7754">
        <w:rPr>
          <w:rFonts w:ascii="Times New Roman" w:hAnsi="Times New Roman"/>
          <w:szCs w:val="22"/>
        </w:rPr>
        <w:t xml:space="preserve"> a</w:t>
      </w:r>
      <w:r w:rsidRPr="003859CD" w:rsidR="00FD507A">
        <w:rPr>
          <w:rFonts w:ascii="Times New Roman" w:hAnsi="Times New Roman"/>
          <w:szCs w:val="22"/>
        </w:rPr>
        <w:t> </w:t>
      </w:r>
      <w:r w:rsidRPr="003859CD" w:rsidR="006C7754">
        <w:rPr>
          <w:rFonts w:ascii="Times New Roman" w:hAnsi="Times New Roman"/>
          <w:szCs w:val="22"/>
        </w:rPr>
        <w:t>systému</w:t>
      </w:r>
      <w:r w:rsidRPr="003859CD" w:rsidR="00FD507A">
        <w:rPr>
          <w:rFonts w:ascii="Times New Roman" w:hAnsi="Times New Roman"/>
          <w:szCs w:val="22"/>
        </w:rPr>
        <w:t xml:space="preserve"> riadenia štátneho dlhu SR.</w:t>
      </w:r>
      <w:r w:rsidRPr="003859CD" w:rsidR="001F369D">
        <w:rPr>
          <w:rFonts w:ascii="Times New Roman" w:hAnsi="Times New Roman"/>
          <w:szCs w:val="22"/>
        </w:rPr>
        <w:t xml:space="preserve"> </w:t>
      </w:r>
      <w:r w:rsidRPr="003859CD" w:rsidR="00FD507A">
        <w:rPr>
          <w:rFonts w:ascii="Times New Roman" w:hAnsi="Times New Roman"/>
          <w:szCs w:val="22"/>
        </w:rPr>
        <w:t xml:space="preserve">Vzhľadom na obmedzenú kapacitu regionálneho </w:t>
      </w:r>
      <w:r w:rsidRPr="003859CD" w:rsidR="0049591A">
        <w:rPr>
          <w:rFonts w:ascii="Times New Roman" w:hAnsi="Times New Roman"/>
          <w:szCs w:val="22"/>
        </w:rPr>
        <w:t xml:space="preserve">dlhopisového </w:t>
      </w:r>
      <w:r w:rsidRPr="003859CD" w:rsidR="00FD507A">
        <w:rPr>
          <w:rFonts w:ascii="Times New Roman" w:hAnsi="Times New Roman"/>
          <w:szCs w:val="22"/>
        </w:rPr>
        <w:t xml:space="preserve">trhu, stále sprísňujúcu sa </w:t>
      </w:r>
      <w:r w:rsidRPr="003859CD" w:rsidR="0049591A">
        <w:rPr>
          <w:rFonts w:ascii="Times New Roman" w:hAnsi="Times New Roman"/>
          <w:szCs w:val="22"/>
        </w:rPr>
        <w:t xml:space="preserve">všeobecnú </w:t>
      </w:r>
      <w:r w:rsidRPr="003859CD" w:rsidR="00FD507A">
        <w:rPr>
          <w:rFonts w:ascii="Times New Roman" w:hAnsi="Times New Roman"/>
          <w:szCs w:val="22"/>
        </w:rPr>
        <w:t>finančnú reguláciu a kumulatívny nárast absolútnej hodnoty štátneho dlhu SR</w:t>
      </w:r>
      <w:r w:rsidRPr="003859CD" w:rsidR="001F369D">
        <w:rPr>
          <w:rFonts w:ascii="Times New Roman" w:hAnsi="Times New Roman"/>
          <w:szCs w:val="22"/>
        </w:rPr>
        <w:t xml:space="preserve"> </w:t>
      </w:r>
      <w:r w:rsidRPr="003859CD">
        <w:rPr>
          <w:rFonts w:ascii="Times New Roman" w:hAnsi="Times New Roman"/>
          <w:szCs w:val="22"/>
        </w:rPr>
        <w:t xml:space="preserve">sa posunuli </w:t>
      </w:r>
      <w:r w:rsidRPr="003859CD" w:rsidR="001F369D">
        <w:rPr>
          <w:rFonts w:ascii="Times New Roman" w:hAnsi="Times New Roman"/>
          <w:szCs w:val="22"/>
        </w:rPr>
        <w:t xml:space="preserve">parametre </w:t>
      </w:r>
      <w:r w:rsidRPr="003859CD" w:rsidR="0049591A">
        <w:rPr>
          <w:rFonts w:ascii="Times New Roman" w:hAnsi="Times New Roman"/>
          <w:szCs w:val="22"/>
        </w:rPr>
        <w:t xml:space="preserve">cielene riadeného </w:t>
      </w:r>
      <w:r w:rsidRPr="003859CD" w:rsidR="001F369D">
        <w:rPr>
          <w:rFonts w:ascii="Times New Roman" w:hAnsi="Times New Roman"/>
          <w:szCs w:val="22"/>
        </w:rPr>
        <w:t>portfólia do oblasti menšieho rizika</w:t>
      </w:r>
      <w:r w:rsidRPr="003859CD" w:rsidR="00AB7A7D">
        <w:rPr>
          <w:rFonts w:ascii="Times New Roman" w:hAnsi="Times New Roman"/>
          <w:szCs w:val="22"/>
        </w:rPr>
        <w:t>.</w:t>
      </w:r>
      <w:r w:rsidRPr="003859CD" w:rsidR="006C7754">
        <w:rPr>
          <w:rFonts w:ascii="Times New Roman" w:hAnsi="Times New Roman"/>
          <w:szCs w:val="22"/>
        </w:rPr>
        <w:t xml:space="preserve"> </w:t>
      </w:r>
      <w:r w:rsidRPr="003859CD" w:rsidR="0074534D">
        <w:rPr>
          <w:rFonts w:ascii="Times New Roman" w:hAnsi="Times New Roman"/>
          <w:szCs w:val="22"/>
        </w:rPr>
        <w:t xml:space="preserve">Novým nastavením rizikových parametrov sa Slovensko v oblasti riadenia štátneho dlhu </w:t>
      </w:r>
      <w:r w:rsidRPr="003859CD">
        <w:rPr>
          <w:rFonts w:ascii="Times New Roman" w:hAnsi="Times New Roman"/>
          <w:szCs w:val="22"/>
        </w:rPr>
        <w:t>priradilo</w:t>
      </w:r>
      <w:r w:rsidRPr="003859CD" w:rsidR="0074534D">
        <w:rPr>
          <w:rFonts w:ascii="Times New Roman" w:hAnsi="Times New Roman"/>
          <w:szCs w:val="22"/>
        </w:rPr>
        <w:t xml:space="preserve"> k jadrovým krajinám </w:t>
      </w:r>
      <w:r w:rsidRPr="003859CD" w:rsidR="005747A7">
        <w:rPr>
          <w:rFonts w:ascii="Times New Roman" w:hAnsi="Times New Roman"/>
          <w:szCs w:val="22"/>
        </w:rPr>
        <w:t>eur</w:t>
      </w:r>
      <w:r w:rsidRPr="003859CD" w:rsidR="0074534D">
        <w:rPr>
          <w:rFonts w:ascii="Times New Roman" w:hAnsi="Times New Roman"/>
          <w:szCs w:val="22"/>
        </w:rPr>
        <w:t xml:space="preserve">ozóny s moderným </w:t>
      </w:r>
      <w:r w:rsidRPr="003859CD" w:rsidR="002371A3">
        <w:rPr>
          <w:rFonts w:ascii="Times New Roman" w:hAnsi="Times New Roman"/>
          <w:szCs w:val="22"/>
        </w:rPr>
        <w:t xml:space="preserve">a prísnym </w:t>
      </w:r>
      <w:r w:rsidRPr="003859CD" w:rsidR="0074534D">
        <w:rPr>
          <w:rFonts w:ascii="Times New Roman" w:hAnsi="Times New Roman"/>
          <w:szCs w:val="22"/>
        </w:rPr>
        <w:t>prístupom k riadeniu finančného rizika.</w:t>
      </w:r>
      <w:r w:rsidRPr="003859CD" w:rsidR="002C0D9E">
        <w:rPr>
          <w:rFonts w:ascii="Times New Roman" w:hAnsi="Times New Roman"/>
          <w:szCs w:val="22"/>
        </w:rPr>
        <w:t xml:space="preserve"> </w:t>
      </w:r>
    </w:p>
    <w:p w:rsidR="006D1FFC" w:rsidRPr="003859CD" w:rsidP="003859CD">
      <w:pPr>
        <w:bidi w:val="0"/>
        <w:spacing w:after="120"/>
        <w:ind w:firstLine="708"/>
        <w:jc w:val="both"/>
        <w:rPr>
          <w:rFonts w:ascii="Times New Roman" w:hAnsi="Times New Roman"/>
          <w:szCs w:val="22"/>
        </w:rPr>
      </w:pPr>
      <w:r w:rsidRPr="003859CD" w:rsidR="002C0D9E">
        <w:rPr>
          <w:rFonts w:ascii="Times New Roman" w:hAnsi="Times New Roman"/>
          <w:szCs w:val="22"/>
        </w:rPr>
        <w:t>Vzhľadom na súčasný ekonomický vývoj</w:t>
      </w:r>
      <w:r w:rsidRPr="003859CD" w:rsidR="002D6729">
        <w:rPr>
          <w:rFonts w:ascii="Times New Roman" w:hAnsi="Times New Roman"/>
          <w:szCs w:val="22"/>
        </w:rPr>
        <w:t>,</w:t>
      </w:r>
      <w:r w:rsidRPr="003859CD" w:rsidR="002C0D9E">
        <w:rPr>
          <w:rFonts w:ascii="Times New Roman" w:hAnsi="Times New Roman"/>
          <w:szCs w:val="22"/>
        </w:rPr>
        <w:t xml:space="preserve"> </w:t>
      </w:r>
      <w:r w:rsidRPr="003859CD" w:rsidR="00DF35B1">
        <w:rPr>
          <w:rFonts w:ascii="Times New Roman" w:hAnsi="Times New Roman"/>
          <w:szCs w:val="22"/>
        </w:rPr>
        <w:t>táto aktualizácia (</w:t>
      </w:r>
      <w:r w:rsidRPr="003859CD" w:rsidR="00305B0B">
        <w:rPr>
          <w:rFonts w:ascii="Times New Roman" w:hAnsi="Times New Roman"/>
          <w:szCs w:val="22"/>
        </w:rPr>
        <w:t>September</w:t>
      </w:r>
      <w:r w:rsidRPr="003859CD" w:rsidR="00DF35B1">
        <w:rPr>
          <w:rFonts w:ascii="Times New Roman" w:hAnsi="Times New Roman"/>
          <w:szCs w:val="22"/>
        </w:rPr>
        <w:t xml:space="preserve"> 2015) nemení a neupravuje </w:t>
      </w:r>
      <w:r w:rsidRPr="003859CD" w:rsidR="002C0D9E">
        <w:rPr>
          <w:rFonts w:ascii="Times New Roman" w:hAnsi="Times New Roman"/>
          <w:szCs w:val="22"/>
        </w:rPr>
        <w:t>c</w:t>
      </w:r>
      <w:r w:rsidRPr="003859CD" w:rsidR="006C7754">
        <w:rPr>
          <w:rFonts w:ascii="Times New Roman" w:hAnsi="Times New Roman"/>
          <w:szCs w:val="22"/>
        </w:rPr>
        <w:t>iele v</w:t>
      </w:r>
      <w:r w:rsidRPr="003859CD" w:rsidR="00421478">
        <w:rPr>
          <w:rFonts w:ascii="Times New Roman" w:hAnsi="Times New Roman"/>
          <w:szCs w:val="22"/>
        </w:rPr>
        <w:t> </w:t>
      </w:r>
      <w:r w:rsidRPr="003859CD" w:rsidR="00DF35B1">
        <w:rPr>
          <w:rFonts w:ascii="Times New Roman" w:hAnsi="Times New Roman"/>
          <w:szCs w:val="22"/>
        </w:rPr>
        <w:t>S</w:t>
      </w:r>
      <w:r w:rsidRPr="003859CD" w:rsidR="002D6729">
        <w:rPr>
          <w:rFonts w:ascii="Times New Roman" w:hAnsi="Times New Roman"/>
          <w:szCs w:val="22"/>
        </w:rPr>
        <w:t>tratégi</w:t>
      </w:r>
      <w:r w:rsidRPr="003859CD" w:rsidR="00DF35B1">
        <w:rPr>
          <w:rFonts w:ascii="Times New Roman" w:hAnsi="Times New Roman"/>
          <w:szCs w:val="22"/>
        </w:rPr>
        <w:t>i</w:t>
      </w:r>
      <w:r w:rsidRPr="003859CD" w:rsidR="0049591A">
        <w:rPr>
          <w:rFonts w:ascii="Times New Roman" w:hAnsi="Times New Roman"/>
          <w:szCs w:val="22"/>
        </w:rPr>
        <w:t xml:space="preserve"> riadenia štátneho dlhu</w:t>
      </w:r>
      <w:r w:rsidRPr="003859CD" w:rsidR="00DF35B1">
        <w:rPr>
          <w:rFonts w:ascii="Times New Roman" w:hAnsi="Times New Roman"/>
          <w:szCs w:val="22"/>
        </w:rPr>
        <w:t xml:space="preserve"> na roky 2015 až 2018</w:t>
      </w:r>
      <w:r w:rsidRPr="003859CD" w:rsidR="006C7754">
        <w:rPr>
          <w:rFonts w:ascii="Times New Roman" w:hAnsi="Times New Roman"/>
          <w:szCs w:val="22"/>
        </w:rPr>
        <w:t>.</w:t>
      </w:r>
      <w:r w:rsidRPr="003859CD" w:rsidR="006A0064">
        <w:rPr>
          <w:rFonts w:ascii="Times New Roman" w:hAnsi="Times New Roman"/>
          <w:szCs w:val="22"/>
        </w:rPr>
        <w:t xml:space="preserve"> Táto aktualizácia nepredpokladá zásadné zmeny oproti pô</w:t>
      </w:r>
      <w:r w:rsidRPr="003859CD" w:rsidR="004B5E3D">
        <w:rPr>
          <w:rFonts w:ascii="Times New Roman" w:hAnsi="Times New Roman"/>
          <w:szCs w:val="22"/>
        </w:rPr>
        <w:t>vodnému návrhu tejto stratégie ani z hľadiska deflačného vývoja</w:t>
      </w:r>
      <w:bookmarkStart w:id="5" w:name="_Toc234999675"/>
      <w:bookmarkStart w:id="6" w:name="_Toc235596857"/>
      <w:bookmarkStart w:id="7" w:name="_Toc234999674"/>
      <w:bookmarkStart w:id="8" w:name="_Toc235596856"/>
      <w:bookmarkStart w:id="9" w:name="_Toc234999673"/>
      <w:bookmarkStart w:id="10" w:name="_Toc235596855"/>
      <w:bookmarkStart w:id="11" w:name="_Toc234999672"/>
      <w:bookmarkStart w:id="12" w:name="_Toc235596854"/>
      <w:bookmarkStart w:id="13" w:name="_Toc234999670"/>
      <w:bookmarkStart w:id="14" w:name="_Toc235596852"/>
      <w:r w:rsidRPr="003859CD" w:rsidR="002C0D9E">
        <w:rPr>
          <w:rFonts w:ascii="Times New Roman" w:hAnsi="Times New Roman"/>
          <w:szCs w:val="22"/>
        </w:rPr>
        <w:t>.</w:t>
      </w:r>
    </w:p>
    <w:p w:rsidR="003B3F5B" w:rsidRPr="003859CD" w:rsidP="00740B69">
      <w:pPr>
        <w:pStyle w:val="Heading3"/>
        <w:numPr>
          <w:numId w:val="9"/>
        </w:numPr>
        <w:bidi w:val="0"/>
        <w:rPr>
          <w:rFonts w:ascii="Times New Roman" w:hAnsi="Times New Roman" w:cs="Times New Roman"/>
          <w:bCs w:val="0"/>
          <w:sz w:val="28"/>
          <w:szCs w:val="18"/>
        </w:rPr>
      </w:pPr>
      <w:bookmarkStart w:id="15" w:name="_Toc394471509"/>
      <w:bookmarkStart w:id="16" w:name="_Toc384124260"/>
      <w:bookmarkEnd w:id="5"/>
      <w:bookmarkEnd w:id="6"/>
      <w:bookmarkEnd w:id="7"/>
      <w:bookmarkEnd w:id="8"/>
      <w:bookmarkEnd w:id="9"/>
      <w:bookmarkEnd w:id="10"/>
      <w:bookmarkEnd w:id="11"/>
      <w:bookmarkEnd w:id="12"/>
      <w:bookmarkEnd w:id="13"/>
      <w:bookmarkEnd w:id="14"/>
      <w:r w:rsidRPr="003859CD" w:rsidR="006D1FFC">
        <w:rPr>
          <w:rFonts w:ascii="Times New Roman" w:hAnsi="Times New Roman" w:cs="Times New Roman"/>
        </w:rPr>
        <w:br w:type="page"/>
      </w:r>
      <w:bookmarkStart w:id="17" w:name="_Toc422906267"/>
      <w:r w:rsidRPr="003859CD" w:rsidR="00BA2F20">
        <w:rPr>
          <w:rFonts w:ascii="Times New Roman" w:hAnsi="Times New Roman" w:cs="Times New Roman"/>
          <w:bCs w:val="0"/>
          <w:sz w:val="32"/>
          <w:szCs w:val="18"/>
        </w:rPr>
        <w:t>Makroekonomické východiská a fiškálny výhľad</w:t>
      </w:r>
      <w:bookmarkEnd w:id="15"/>
      <w:bookmarkEnd w:id="17"/>
    </w:p>
    <w:p w:rsidR="00341644" w:rsidRPr="003859CD" w:rsidP="00A1128B">
      <w:pPr>
        <w:pStyle w:val="Heading2"/>
        <w:keepLines/>
        <w:numPr>
          <w:ilvl w:val="1"/>
          <w:numId w:val="9"/>
        </w:numPr>
        <w:bidi w:val="0"/>
        <w:spacing w:before="200" w:after="240" w:line="276" w:lineRule="auto"/>
        <w:ind w:left="720" w:hanging="720"/>
        <w:jc w:val="both"/>
        <w:rPr>
          <w:rFonts w:ascii="Times New Roman" w:hAnsi="Times New Roman" w:cs="Times New Roman"/>
          <w:bCs w:val="0"/>
          <w:i w:val="0"/>
          <w:iCs w:val="0"/>
          <w:sz w:val="24"/>
        </w:rPr>
      </w:pPr>
      <w:bookmarkStart w:id="18" w:name="_Toc275948230"/>
      <w:bookmarkStart w:id="19" w:name="_Toc394471510"/>
      <w:bookmarkStart w:id="20" w:name="_Toc422906268"/>
      <w:r w:rsidRPr="003859CD" w:rsidR="00235994">
        <w:rPr>
          <w:rFonts w:ascii="Times New Roman" w:hAnsi="Times New Roman" w:cs="Times New Roman"/>
          <w:bCs w:val="0"/>
          <w:i w:val="0"/>
          <w:iCs w:val="0"/>
          <w:sz w:val="24"/>
        </w:rPr>
        <w:t>Vývoj na finančných trhoch a makroekonomické východiská</w:t>
      </w:r>
      <w:bookmarkEnd w:id="18"/>
      <w:bookmarkEnd w:id="19"/>
      <w:bookmarkEnd w:id="20"/>
    </w:p>
    <w:p w:rsidR="00937A1D" w:rsidRPr="003859CD" w:rsidP="003859CD">
      <w:pPr>
        <w:bidi w:val="0"/>
        <w:spacing w:after="120"/>
        <w:ind w:firstLine="708"/>
        <w:jc w:val="both"/>
        <w:rPr>
          <w:rFonts w:ascii="Times New Roman" w:hAnsi="Times New Roman"/>
          <w:szCs w:val="22"/>
        </w:rPr>
      </w:pPr>
      <w:r w:rsidRPr="003859CD" w:rsidR="006A579C">
        <w:rPr>
          <w:rFonts w:ascii="Times New Roman" w:hAnsi="Times New Roman"/>
          <w:szCs w:val="22"/>
        </w:rPr>
        <w:t>Vývoj na finančných trhoch bol poznačený kolapsom čínskeho akciového trhu</w:t>
      </w:r>
      <w:r w:rsidRPr="003859CD" w:rsidR="001E72F3">
        <w:rPr>
          <w:rFonts w:ascii="Times New Roman" w:hAnsi="Times New Roman"/>
          <w:szCs w:val="22"/>
        </w:rPr>
        <w:t xml:space="preserve">, ktorý vyvolal nákazu na </w:t>
      </w:r>
      <w:r w:rsidRPr="003859CD" w:rsidR="00ED1DFB">
        <w:rPr>
          <w:rFonts w:ascii="Times New Roman" w:hAnsi="Times New Roman"/>
          <w:szCs w:val="22"/>
        </w:rPr>
        <w:t>burzách po celom svete. Výrazné spomalenie krajín BRICs dominovalo aj príčinám širokospektrálnemu poklesu cien komodít. Tento vývoj zvyšuje pravdepodobnosť, že menové politiky vo svete sa budú uťahovať pomalším tempom, než sa očakávalo.</w:t>
      </w:r>
    </w:p>
    <w:p w:rsidR="00B112E0" w:rsidRPr="003859CD" w:rsidP="003859CD">
      <w:pPr>
        <w:bidi w:val="0"/>
        <w:spacing w:after="120"/>
        <w:ind w:firstLine="708"/>
        <w:jc w:val="both"/>
        <w:rPr>
          <w:rFonts w:ascii="Times New Roman" w:hAnsi="Times New Roman"/>
          <w:szCs w:val="22"/>
        </w:rPr>
      </w:pPr>
      <w:r w:rsidRPr="003859CD">
        <w:rPr>
          <w:rFonts w:ascii="Times New Roman" w:hAnsi="Times New Roman"/>
          <w:szCs w:val="22"/>
        </w:rPr>
        <w:t xml:space="preserve">Americká centrálna banka naďalej odkladá dlho ohlasované uťahovanie menovej politiky na koniec roka 2015. </w:t>
      </w:r>
      <w:r w:rsidRPr="003859CD" w:rsidR="00A745BE">
        <w:rPr>
          <w:rFonts w:ascii="Times New Roman" w:hAnsi="Times New Roman"/>
          <w:szCs w:val="22"/>
        </w:rPr>
        <w:t>Rozhodnutie bolo podmienené najmä zvýšeným rizikom pretrvávania nízkej inflácie a obavami o tempo globálneho rastu</w:t>
      </w:r>
      <w:r w:rsidRPr="003859CD">
        <w:rPr>
          <w:rFonts w:ascii="Times New Roman" w:hAnsi="Times New Roman"/>
          <w:szCs w:val="22"/>
        </w:rPr>
        <w:t xml:space="preserve">. </w:t>
      </w:r>
      <w:r w:rsidRPr="003859CD" w:rsidR="00A745BE">
        <w:rPr>
          <w:rFonts w:ascii="Times New Roman" w:hAnsi="Times New Roman"/>
          <w:szCs w:val="22"/>
        </w:rPr>
        <w:t>ECB zatiaľ pokračuje v programe kvantitatívneho uvoľňovania podľa plánu, no nízka inflácia zvyšuje špekulácie trhov o možnom predĺžení programu do polovice roka 2017</w:t>
      </w:r>
      <w:r w:rsidRPr="003859CD">
        <w:rPr>
          <w:rFonts w:ascii="Times New Roman" w:hAnsi="Times New Roman"/>
          <w:szCs w:val="22"/>
        </w:rPr>
        <w:t>. Dodatočná likvidita a uvoľňovanie úverových štandardov by mal</w:t>
      </w:r>
      <w:r w:rsidRPr="003859CD" w:rsidR="00A745BE">
        <w:rPr>
          <w:rFonts w:ascii="Times New Roman" w:hAnsi="Times New Roman"/>
          <w:szCs w:val="22"/>
        </w:rPr>
        <w:t>i</w:t>
      </w:r>
      <w:r w:rsidRPr="003859CD">
        <w:rPr>
          <w:rFonts w:ascii="Times New Roman" w:hAnsi="Times New Roman"/>
          <w:szCs w:val="22"/>
        </w:rPr>
        <w:t xml:space="preserve"> zlepšiť transmisný kanál menovej politiky a povzbudiť </w:t>
      </w:r>
      <w:r w:rsidRPr="003859CD" w:rsidR="00A745BE">
        <w:rPr>
          <w:rFonts w:ascii="Times New Roman" w:hAnsi="Times New Roman"/>
          <w:szCs w:val="22"/>
        </w:rPr>
        <w:t xml:space="preserve">rast </w:t>
      </w:r>
      <w:r w:rsidRPr="003859CD">
        <w:rPr>
          <w:rFonts w:ascii="Times New Roman" w:hAnsi="Times New Roman"/>
          <w:szCs w:val="22"/>
        </w:rPr>
        <w:t>inflačn</w:t>
      </w:r>
      <w:r w:rsidRPr="003859CD" w:rsidR="00A745BE">
        <w:rPr>
          <w:rFonts w:ascii="Times New Roman" w:hAnsi="Times New Roman"/>
          <w:szCs w:val="22"/>
        </w:rPr>
        <w:t>ých</w:t>
      </w:r>
      <w:r w:rsidRPr="003859CD">
        <w:rPr>
          <w:rFonts w:ascii="Times New Roman" w:hAnsi="Times New Roman"/>
          <w:szCs w:val="22"/>
        </w:rPr>
        <w:t xml:space="preserve"> očakávan</w:t>
      </w:r>
      <w:r w:rsidRPr="003859CD" w:rsidR="00A745BE">
        <w:rPr>
          <w:rFonts w:ascii="Times New Roman" w:hAnsi="Times New Roman"/>
          <w:szCs w:val="22"/>
        </w:rPr>
        <w:t>í</w:t>
      </w:r>
      <w:r w:rsidRPr="003859CD">
        <w:rPr>
          <w:rFonts w:ascii="Times New Roman" w:hAnsi="Times New Roman"/>
          <w:szCs w:val="22"/>
        </w:rPr>
        <w:t xml:space="preserve"> do budúcnosti. </w:t>
      </w:r>
    </w:p>
    <w:p w:rsidR="00B112E0" w:rsidRPr="003859CD" w:rsidP="003859CD">
      <w:pPr>
        <w:bidi w:val="0"/>
        <w:spacing w:after="120"/>
        <w:ind w:firstLine="708"/>
        <w:jc w:val="both"/>
        <w:rPr>
          <w:rFonts w:ascii="Times New Roman" w:hAnsi="Times New Roman"/>
          <w:szCs w:val="22"/>
        </w:rPr>
      </w:pPr>
      <w:r w:rsidRPr="003859CD" w:rsidR="0098156E">
        <w:rPr>
          <w:rFonts w:ascii="Times New Roman" w:hAnsi="Times New Roman"/>
          <w:szCs w:val="22"/>
        </w:rPr>
        <w:t>Čínsky akciový trh zaznamenal dramatický výpredaj, ktorý však znamenal len spľasnutie bubliny vytvorenej v tomto roku. Korekcia vývoja bola nevyhnutná najmä vo svetle očakávaní slabých makroekonomických čísel čínskej ekonomiky. Nákaza sa rozšírila</w:t>
      </w:r>
      <w:r w:rsidRPr="003859CD">
        <w:rPr>
          <w:rFonts w:ascii="Times New Roman" w:hAnsi="Times New Roman"/>
          <w:szCs w:val="22"/>
        </w:rPr>
        <w:t xml:space="preserve"> na </w:t>
      </w:r>
      <w:r w:rsidRPr="003859CD" w:rsidR="0098156E">
        <w:rPr>
          <w:rFonts w:ascii="Times New Roman" w:hAnsi="Times New Roman"/>
          <w:szCs w:val="22"/>
        </w:rPr>
        <w:t xml:space="preserve">hlavné </w:t>
      </w:r>
      <w:r w:rsidRPr="003859CD">
        <w:rPr>
          <w:rFonts w:ascii="Times New Roman" w:hAnsi="Times New Roman"/>
          <w:szCs w:val="22"/>
        </w:rPr>
        <w:t>svetov</w:t>
      </w:r>
      <w:r w:rsidRPr="003859CD" w:rsidR="0098156E">
        <w:rPr>
          <w:rFonts w:ascii="Times New Roman" w:hAnsi="Times New Roman"/>
          <w:szCs w:val="22"/>
        </w:rPr>
        <w:t>é</w:t>
      </w:r>
      <w:r w:rsidRPr="003859CD">
        <w:rPr>
          <w:rFonts w:ascii="Times New Roman" w:hAnsi="Times New Roman"/>
          <w:szCs w:val="22"/>
        </w:rPr>
        <w:t xml:space="preserve"> akciov</w:t>
      </w:r>
      <w:r w:rsidRPr="003859CD" w:rsidR="0098156E">
        <w:rPr>
          <w:rFonts w:ascii="Times New Roman" w:hAnsi="Times New Roman"/>
          <w:szCs w:val="22"/>
        </w:rPr>
        <w:t>é</w:t>
      </w:r>
      <w:r w:rsidRPr="003859CD">
        <w:rPr>
          <w:rFonts w:ascii="Times New Roman" w:hAnsi="Times New Roman"/>
          <w:szCs w:val="22"/>
        </w:rPr>
        <w:t xml:space="preserve"> trh</w:t>
      </w:r>
      <w:r w:rsidRPr="003859CD" w:rsidR="0098156E">
        <w:rPr>
          <w:rFonts w:ascii="Times New Roman" w:hAnsi="Times New Roman"/>
          <w:szCs w:val="22"/>
        </w:rPr>
        <w:t>y</w:t>
      </w:r>
      <w:r w:rsidRPr="003859CD">
        <w:rPr>
          <w:rFonts w:ascii="Times New Roman" w:hAnsi="Times New Roman"/>
          <w:szCs w:val="22"/>
        </w:rPr>
        <w:t xml:space="preserve">, </w:t>
      </w:r>
      <w:r w:rsidRPr="003859CD" w:rsidR="0098156E">
        <w:rPr>
          <w:rFonts w:ascii="Times New Roman" w:hAnsi="Times New Roman"/>
          <w:szCs w:val="22"/>
        </w:rPr>
        <w:t>ale jej rozsah bol limitovaný. Trend výpredaja rizikových aktív</w:t>
      </w:r>
      <w:r w:rsidRPr="003859CD" w:rsidR="00DD26E0">
        <w:rPr>
          <w:rFonts w:ascii="Times New Roman" w:hAnsi="Times New Roman"/>
          <w:szCs w:val="22"/>
        </w:rPr>
        <w:t xml:space="preserve"> koncom augusta</w:t>
      </w:r>
      <w:r w:rsidRPr="003859CD" w:rsidR="0098156E">
        <w:rPr>
          <w:rFonts w:ascii="Times New Roman" w:hAnsi="Times New Roman"/>
          <w:szCs w:val="22"/>
        </w:rPr>
        <w:t xml:space="preserve"> prispel k poklesu výnosov dlhopisov takmer všetkých krajín v</w:t>
      </w:r>
      <w:r w:rsidRPr="003859CD" w:rsidR="00DD26E0">
        <w:rPr>
          <w:rFonts w:ascii="Times New Roman" w:hAnsi="Times New Roman"/>
          <w:szCs w:val="22"/>
        </w:rPr>
        <w:t> </w:t>
      </w:r>
      <w:r w:rsidRPr="003859CD" w:rsidR="0098156E">
        <w:rPr>
          <w:rFonts w:ascii="Times New Roman" w:hAnsi="Times New Roman"/>
          <w:szCs w:val="22"/>
        </w:rPr>
        <w:t>eurozóne</w:t>
      </w:r>
      <w:r w:rsidRPr="003859CD" w:rsidR="00DD26E0">
        <w:rPr>
          <w:rFonts w:ascii="Times New Roman" w:hAnsi="Times New Roman"/>
          <w:szCs w:val="22"/>
        </w:rPr>
        <w:t>. Tie</w:t>
      </w:r>
      <w:r w:rsidRPr="003859CD" w:rsidR="0098156E">
        <w:rPr>
          <w:rFonts w:ascii="Times New Roman" w:hAnsi="Times New Roman"/>
          <w:szCs w:val="22"/>
        </w:rPr>
        <w:t xml:space="preserve"> boli mierne zvýšené začiatkom leta kvôli kríze vo vyjednávaniach medzi Gréckom a veriteľmi</w:t>
      </w:r>
      <w:r w:rsidRPr="003859CD">
        <w:rPr>
          <w:rFonts w:ascii="Times New Roman" w:hAnsi="Times New Roman"/>
          <w:szCs w:val="22"/>
        </w:rPr>
        <w:t xml:space="preserve">. </w:t>
      </w:r>
      <w:r w:rsidRPr="003859CD" w:rsidR="00DD26E0">
        <w:rPr>
          <w:rFonts w:ascii="Times New Roman" w:hAnsi="Times New Roman"/>
          <w:szCs w:val="22"/>
        </w:rPr>
        <w:t>Nákaza rast</w:t>
      </w:r>
      <w:r w:rsidR="00642740">
        <w:rPr>
          <w:rFonts w:ascii="Times New Roman" w:hAnsi="Times New Roman"/>
          <w:szCs w:val="22"/>
        </w:rPr>
        <w:t>u</w:t>
      </w:r>
      <w:r w:rsidRPr="003859CD" w:rsidR="00DD26E0">
        <w:rPr>
          <w:rFonts w:ascii="Times New Roman" w:hAnsi="Times New Roman"/>
          <w:szCs w:val="22"/>
        </w:rPr>
        <w:t xml:space="preserve"> výnosov od Grécka smerom </w:t>
      </w:r>
      <w:r w:rsidRPr="003859CD" w:rsidR="00A27BE6">
        <w:rPr>
          <w:rFonts w:ascii="Times New Roman" w:hAnsi="Times New Roman"/>
          <w:szCs w:val="22"/>
        </w:rPr>
        <w:t xml:space="preserve">k </w:t>
      </w:r>
      <w:r w:rsidRPr="003859CD" w:rsidR="00DD26E0">
        <w:rPr>
          <w:rFonts w:ascii="Times New Roman" w:hAnsi="Times New Roman"/>
          <w:szCs w:val="22"/>
        </w:rPr>
        <w:t xml:space="preserve">iným periférnym krajinám je však </w:t>
      </w:r>
      <w:r w:rsidRPr="003859CD" w:rsidR="00A27BE6">
        <w:rPr>
          <w:rFonts w:ascii="Times New Roman" w:hAnsi="Times New Roman"/>
          <w:szCs w:val="22"/>
        </w:rPr>
        <w:t xml:space="preserve">celkovo </w:t>
      </w:r>
      <w:r w:rsidRPr="003859CD" w:rsidR="00DD26E0">
        <w:rPr>
          <w:rFonts w:ascii="Times New Roman" w:hAnsi="Times New Roman"/>
          <w:szCs w:val="22"/>
        </w:rPr>
        <w:t>obmedzená.</w:t>
      </w:r>
    </w:p>
    <w:tbl>
      <w:tblPr>
        <w:tblStyle w:val="TableNormal"/>
        <w:tblW w:w="9240" w:type="dxa"/>
        <w:jc w:val="center"/>
        <w:tblCellMar>
          <w:left w:w="70" w:type="dxa"/>
          <w:right w:w="70" w:type="dxa"/>
        </w:tblCellMar>
      </w:tblPr>
      <w:tblGrid>
        <w:gridCol w:w="4532"/>
        <w:gridCol w:w="218"/>
        <w:gridCol w:w="4640"/>
      </w:tblGrid>
      <w:tr>
        <w:tblPrEx>
          <w:tblW w:w="9240" w:type="dxa"/>
          <w:jc w:val="center"/>
          <w:tblCellMar>
            <w:left w:w="70" w:type="dxa"/>
            <w:right w:w="70" w:type="dxa"/>
          </w:tblCellMar>
        </w:tblPrEx>
        <w:trPr>
          <w:trHeight w:val="316"/>
          <w:jc w:val="center"/>
        </w:trPr>
        <w:tc>
          <w:tcPr>
            <w:tcW w:w="4532" w:type="dxa"/>
            <w:tcBorders>
              <w:top w:val="nil"/>
              <w:left w:val="nil"/>
              <w:bottom w:val="nil"/>
              <w:right w:val="nil"/>
            </w:tcBorders>
            <w:noWrap/>
            <w:textDirection w:val="lrTb"/>
            <w:vAlign w:val="center"/>
          </w:tcPr>
          <w:p w:rsidR="00235994" w:rsidRPr="003859CD" w:rsidP="00410EBD">
            <w:pPr>
              <w:bidi w:val="0"/>
              <w:rPr>
                <w:rFonts w:ascii="Times New Roman" w:hAnsi="Times New Roman"/>
                <w:b/>
                <w:bCs/>
                <w:sz w:val="20"/>
                <w:szCs w:val="20"/>
              </w:rPr>
            </w:pPr>
            <w:bookmarkStart w:id="21" w:name="_Toc252805705"/>
            <w:bookmarkStart w:id="22" w:name="_Toc275948233"/>
            <w:bookmarkStart w:id="23" w:name="_Toc394047564"/>
            <w:bookmarkStart w:id="24" w:name="_Toc394471513"/>
            <w:r w:rsidRPr="003859CD" w:rsidR="00043E8B">
              <w:rPr>
                <w:rFonts w:ascii="Times New Roman" w:hAnsi="Times New Roman"/>
                <w:b/>
                <w:sz w:val="20"/>
                <w:szCs w:val="18"/>
              </w:rPr>
              <w:t xml:space="preserve"> Výnosy 10Y SK</w:t>
            </w:r>
            <w:r w:rsidRPr="003859CD">
              <w:rPr>
                <w:rFonts w:ascii="Times New Roman" w:hAnsi="Times New Roman"/>
                <w:b/>
                <w:sz w:val="20"/>
                <w:szCs w:val="18"/>
              </w:rPr>
              <w:t xml:space="preserve"> </w:t>
            </w:r>
            <w:r w:rsidRPr="003859CD" w:rsidR="00043E8B">
              <w:rPr>
                <w:rFonts w:ascii="Times New Roman" w:hAnsi="Times New Roman"/>
                <w:b/>
                <w:sz w:val="20"/>
                <w:szCs w:val="18"/>
              </w:rPr>
              <w:t>a DE</w:t>
            </w:r>
            <w:r w:rsidRPr="003859CD" w:rsidR="00410EBD">
              <w:rPr>
                <w:rFonts w:ascii="Times New Roman" w:hAnsi="Times New Roman"/>
                <w:b/>
                <w:sz w:val="20"/>
                <w:szCs w:val="18"/>
              </w:rPr>
              <w:t xml:space="preserve"> </w:t>
            </w:r>
            <w:r w:rsidRPr="003859CD">
              <w:rPr>
                <w:rFonts w:ascii="Times New Roman" w:hAnsi="Times New Roman"/>
                <w:b/>
                <w:sz w:val="20"/>
                <w:szCs w:val="18"/>
              </w:rPr>
              <w:t xml:space="preserve">dlhopisov </w:t>
            </w:r>
            <w:r w:rsidRPr="003859CD">
              <w:rPr>
                <w:rFonts w:ascii="Times New Roman" w:hAnsi="Times New Roman"/>
                <w:sz w:val="20"/>
                <w:szCs w:val="18"/>
              </w:rPr>
              <w:t>(% p.</w:t>
            </w:r>
            <w:r w:rsidRPr="003859CD" w:rsidR="00541922">
              <w:rPr>
                <w:rFonts w:ascii="Times New Roman" w:hAnsi="Times New Roman"/>
                <w:sz w:val="20"/>
                <w:szCs w:val="18"/>
              </w:rPr>
              <w:t xml:space="preserve"> </w:t>
            </w:r>
            <w:r w:rsidRPr="003859CD">
              <w:rPr>
                <w:rFonts w:ascii="Times New Roman" w:hAnsi="Times New Roman"/>
                <w:sz w:val="20"/>
                <w:szCs w:val="18"/>
              </w:rPr>
              <w:t>a.</w:t>
            </w:r>
            <w:r w:rsidRPr="00642740">
              <w:rPr>
                <w:rFonts w:ascii="Times New Roman" w:hAnsi="Times New Roman"/>
                <w:sz w:val="20"/>
                <w:szCs w:val="18"/>
              </w:rPr>
              <w:t>)</w:t>
            </w:r>
            <w:bookmarkEnd w:id="21"/>
            <w:bookmarkEnd w:id="22"/>
            <w:bookmarkEnd w:id="23"/>
            <w:bookmarkEnd w:id="24"/>
          </w:p>
        </w:tc>
        <w:tc>
          <w:tcPr>
            <w:tcW w:w="218" w:type="dxa"/>
            <w:tcBorders>
              <w:top w:val="nil"/>
              <w:left w:val="nil"/>
              <w:bottom w:val="nil"/>
              <w:right w:val="nil"/>
            </w:tcBorders>
            <w:noWrap/>
            <w:textDirection w:val="lrTb"/>
            <w:vAlign w:val="center"/>
          </w:tcPr>
          <w:p w:rsidR="00235994" w:rsidRPr="003859CD" w:rsidP="00EA5365">
            <w:pPr>
              <w:bidi w:val="0"/>
              <w:rPr>
                <w:rFonts w:ascii="Times New Roman" w:hAnsi="Times New Roman"/>
                <w:b/>
                <w:bCs/>
                <w:sz w:val="20"/>
                <w:szCs w:val="20"/>
              </w:rPr>
            </w:pPr>
          </w:p>
        </w:tc>
        <w:tc>
          <w:tcPr>
            <w:tcW w:w="4490" w:type="dxa"/>
            <w:tcBorders>
              <w:top w:val="nil"/>
              <w:left w:val="nil"/>
              <w:bottom w:val="nil"/>
              <w:right w:val="nil"/>
            </w:tcBorders>
            <w:noWrap/>
            <w:textDirection w:val="lrTb"/>
            <w:vAlign w:val="center"/>
          </w:tcPr>
          <w:p w:rsidR="00235994" w:rsidRPr="003859CD" w:rsidP="00EC1065">
            <w:pPr>
              <w:bidi w:val="0"/>
              <w:rPr>
                <w:rFonts w:ascii="Times New Roman" w:hAnsi="Times New Roman"/>
                <w:bCs/>
                <w:sz w:val="20"/>
                <w:szCs w:val="20"/>
              </w:rPr>
            </w:pPr>
            <w:bookmarkStart w:id="25" w:name="_Toc252805706"/>
            <w:bookmarkStart w:id="26" w:name="_Toc275948234"/>
            <w:bookmarkStart w:id="27" w:name="_Toc394047565"/>
            <w:bookmarkStart w:id="28" w:name="_Toc394471514"/>
            <w:r w:rsidRPr="003859CD">
              <w:rPr>
                <w:rFonts w:ascii="Times New Roman" w:hAnsi="Times New Roman"/>
                <w:b/>
                <w:sz w:val="20"/>
                <w:szCs w:val="18"/>
              </w:rPr>
              <w:t xml:space="preserve">Vývoj </w:t>
            </w:r>
            <w:r w:rsidRPr="003859CD" w:rsidR="00EC1065">
              <w:rPr>
                <w:rFonts w:ascii="Times New Roman" w:hAnsi="Times New Roman"/>
                <w:b/>
                <w:sz w:val="20"/>
                <w:szCs w:val="18"/>
              </w:rPr>
              <w:t>úrokových swapov v</w:t>
            </w:r>
            <w:r w:rsidRPr="003859CD" w:rsidR="003717EE">
              <w:rPr>
                <w:rFonts w:ascii="Times New Roman" w:hAnsi="Times New Roman"/>
                <w:b/>
                <w:sz w:val="20"/>
                <w:szCs w:val="18"/>
              </w:rPr>
              <w:t xml:space="preserve"> Eurozóne</w:t>
            </w:r>
            <w:r w:rsidRPr="003859CD" w:rsidR="00EC1065">
              <w:rPr>
                <w:rFonts w:ascii="Times New Roman" w:hAnsi="Times New Roman"/>
                <w:b/>
                <w:sz w:val="20"/>
                <w:szCs w:val="18"/>
              </w:rPr>
              <w:t xml:space="preserve"> </w:t>
            </w:r>
            <w:r w:rsidRPr="00642740">
              <w:rPr>
                <w:rFonts w:ascii="Times New Roman" w:hAnsi="Times New Roman"/>
                <w:sz w:val="20"/>
                <w:szCs w:val="18"/>
              </w:rPr>
              <w:t>(</w:t>
            </w:r>
            <w:r w:rsidRPr="003859CD">
              <w:rPr>
                <w:rFonts w:ascii="Times New Roman" w:hAnsi="Times New Roman"/>
                <w:sz w:val="20"/>
                <w:szCs w:val="18"/>
              </w:rPr>
              <w:t>% p.</w:t>
            </w:r>
            <w:r w:rsidRPr="003859CD" w:rsidR="00541922">
              <w:rPr>
                <w:rFonts w:ascii="Times New Roman" w:hAnsi="Times New Roman"/>
                <w:sz w:val="20"/>
                <w:szCs w:val="18"/>
              </w:rPr>
              <w:t xml:space="preserve"> </w:t>
            </w:r>
            <w:r w:rsidRPr="003859CD">
              <w:rPr>
                <w:rFonts w:ascii="Times New Roman" w:hAnsi="Times New Roman"/>
                <w:sz w:val="20"/>
                <w:szCs w:val="18"/>
              </w:rPr>
              <w:t>a.</w:t>
            </w:r>
            <w:r w:rsidRPr="00642740">
              <w:rPr>
                <w:rFonts w:ascii="Times New Roman" w:hAnsi="Times New Roman"/>
                <w:sz w:val="20"/>
                <w:szCs w:val="18"/>
              </w:rPr>
              <w:t>)</w:t>
            </w:r>
            <w:bookmarkEnd w:id="25"/>
            <w:bookmarkEnd w:id="26"/>
            <w:bookmarkEnd w:id="27"/>
            <w:bookmarkEnd w:id="28"/>
          </w:p>
        </w:tc>
      </w:tr>
      <w:tr>
        <w:tblPrEx>
          <w:tblW w:w="9240" w:type="dxa"/>
          <w:jc w:val="center"/>
          <w:tblCellMar>
            <w:left w:w="70" w:type="dxa"/>
            <w:right w:w="70" w:type="dxa"/>
          </w:tblCellMar>
        </w:tblPrEx>
        <w:trPr>
          <w:trHeight w:val="2656"/>
          <w:jc w:val="center"/>
        </w:trPr>
        <w:tc>
          <w:tcPr>
            <w:tcW w:w="4532" w:type="dxa"/>
            <w:tcBorders>
              <w:top w:val="nil"/>
              <w:left w:val="nil"/>
              <w:bottom w:val="nil"/>
              <w:right w:val="nil"/>
            </w:tcBorders>
            <w:noWrap/>
            <w:textDirection w:val="lrTb"/>
            <w:vAlign w:val="center"/>
          </w:tcPr>
          <w:p w:rsidR="00235994" w:rsidRPr="003859CD" w:rsidP="00EA5365">
            <w:pPr>
              <w:bidi w:val="0"/>
              <w:jc w:val="center"/>
              <w:rPr>
                <w:rFonts w:ascii="Times New Roman" w:hAnsi="Times New Roman"/>
                <w:sz w:val="20"/>
                <w:szCs w:val="20"/>
              </w:rPr>
            </w:pPr>
            <w:r>
              <w:rPr>
                <w:rFonts w:ascii="Times New Roman" w:hAnsi="Times New Roman"/>
                <w:noProof/>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1" o:spid="_x0000_i1025" type="#_x0000_t75" style="width:214.1pt;height:156.95pt;visibility:visible" stroked="f">
                  <v:imagedata r:id="rId6" o:title=""/>
                  <o:lock v:ext="edit" aspectratio="f"/>
                </v:shape>
              </w:pict>
            </w:r>
          </w:p>
        </w:tc>
        <w:tc>
          <w:tcPr>
            <w:tcW w:w="218" w:type="dxa"/>
            <w:tcBorders>
              <w:top w:val="nil"/>
              <w:left w:val="nil"/>
              <w:bottom w:val="nil"/>
              <w:right w:val="nil"/>
            </w:tcBorders>
            <w:noWrap/>
            <w:textDirection w:val="lrTb"/>
            <w:vAlign w:val="center"/>
          </w:tcPr>
          <w:p w:rsidR="00235994" w:rsidRPr="003859CD" w:rsidP="00EA5365">
            <w:pPr>
              <w:bidi w:val="0"/>
              <w:jc w:val="center"/>
              <w:rPr>
                <w:rFonts w:ascii="Times New Roman" w:hAnsi="Times New Roman"/>
                <w:sz w:val="20"/>
                <w:szCs w:val="20"/>
              </w:rPr>
            </w:pPr>
          </w:p>
        </w:tc>
        <w:tc>
          <w:tcPr>
            <w:tcW w:w="4490" w:type="dxa"/>
            <w:tcBorders>
              <w:top w:val="nil"/>
              <w:left w:val="nil"/>
              <w:bottom w:val="nil"/>
              <w:right w:val="nil"/>
            </w:tcBorders>
            <w:noWrap/>
            <w:textDirection w:val="lrTb"/>
            <w:vAlign w:val="center"/>
          </w:tcPr>
          <w:p w:rsidR="00235994" w:rsidRPr="003859CD" w:rsidP="00EA5365">
            <w:pPr>
              <w:bidi w:val="0"/>
              <w:jc w:val="center"/>
              <w:rPr>
                <w:rFonts w:ascii="Times New Roman" w:hAnsi="Times New Roman"/>
                <w:sz w:val="20"/>
                <w:szCs w:val="20"/>
              </w:rPr>
            </w:pPr>
            <w:r>
              <w:rPr>
                <w:rFonts w:ascii="Times New Roman" w:hAnsi="Times New Roman"/>
                <w:noProof/>
                <w:rtl w:val="0"/>
              </w:rPr>
              <w:pict>
                <v:shape id="Graf 3" o:spid="_x0000_i1026" type="#_x0000_t75" style="width:225.6pt;height:155.05pt;visibility:visible" stroked="f">
                  <v:imagedata r:id="rId7" o:title=""/>
                  <o:lock v:ext="edit" aspectratio="f"/>
                </v:shape>
              </w:pict>
            </w:r>
          </w:p>
        </w:tc>
      </w:tr>
      <w:tr>
        <w:tblPrEx>
          <w:tblW w:w="9240" w:type="dxa"/>
          <w:jc w:val="center"/>
          <w:tblCellMar>
            <w:left w:w="70" w:type="dxa"/>
            <w:right w:w="70" w:type="dxa"/>
          </w:tblCellMar>
        </w:tblPrEx>
        <w:trPr>
          <w:trHeight w:val="237"/>
          <w:jc w:val="center"/>
        </w:trPr>
        <w:tc>
          <w:tcPr>
            <w:tcW w:w="4532" w:type="dxa"/>
            <w:tcBorders>
              <w:top w:val="single" w:sz="4" w:space="0" w:color="auto"/>
              <w:left w:val="nil"/>
              <w:bottom w:val="nil"/>
              <w:right w:val="nil"/>
            </w:tcBorders>
            <w:noWrap/>
            <w:textDirection w:val="lrTb"/>
            <w:vAlign w:val="center"/>
          </w:tcPr>
          <w:p w:rsidR="00235994" w:rsidRPr="003859CD" w:rsidP="00EA5365">
            <w:pPr>
              <w:bidi w:val="0"/>
              <w:jc w:val="right"/>
              <w:rPr>
                <w:rFonts w:ascii="Times New Roman" w:hAnsi="Times New Roman"/>
                <w:i/>
                <w:iCs/>
                <w:sz w:val="16"/>
                <w:szCs w:val="16"/>
              </w:rPr>
            </w:pPr>
            <w:r w:rsidRPr="003859CD">
              <w:rPr>
                <w:rFonts w:ascii="Times New Roman" w:hAnsi="Times New Roman"/>
                <w:i/>
                <w:iCs/>
                <w:sz w:val="16"/>
                <w:szCs w:val="16"/>
              </w:rPr>
              <w:t>Zdroj: Bloomberg</w:t>
            </w:r>
          </w:p>
        </w:tc>
        <w:tc>
          <w:tcPr>
            <w:tcW w:w="218" w:type="dxa"/>
            <w:tcBorders>
              <w:top w:val="nil"/>
              <w:left w:val="nil"/>
              <w:bottom w:val="nil"/>
              <w:right w:val="nil"/>
            </w:tcBorders>
            <w:noWrap/>
            <w:textDirection w:val="lrTb"/>
            <w:vAlign w:val="center"/>
          </w:tcPr>
          <w:p w:rsidR="00235994" w:rsidRPr="003859CD" w:rsidP="00EA5365">
            <w:pPr>
              <w:bidi w:val="0"/>
              <w:jc w:val="right"/>
              <w:rPr>
                <w:rFonts w:ascii="Times New Roman" w:hAnsi="Times New Roman"/>
                <w:sz w:val="20"/>
                <w:szCs w:val="20"/>
              </w:rPr>
            </w:pPr>
          </w:p>
        </w:tc>
        <w:tc>
          <w:tcPr>
            <w:tcW w:w="4490" w:type="dxa"/>
            <w:tcBorders>
              <w:top w:val="single" w:sz="4" w:space="0" w:color="auto"/>
              <w:left w:val="nil"/>
              <w:bottom w:val="nil"/>
              <w:right w:val="nil"/>
            </w:tcBorders>
            <w:noWrap/>
            <w:textDirection w:val="lrTb"/>
            <w:vAlign w:val="center"/>
          </w:tcPr>
          <w:p w:rsidR="00235994" w:rsidRPr="003859CD" w:rsidP="00EA5365">
            <w:pPr>
              <w:bidi w:val="0"/>
              <w:jc w:val="right"/>
              <w:rPr>
                <w:rFonts w:ascii="Times New Roman" w:hAnsi="Times New Roman"/>
                <w:i/>
                <w:iCs/>
                <w:sz w:val="16"/>
                <w:szCs w:val="16"/>
              </w:rPr>
            </w:pPr>
            <w:r w:rsidRPr="003859CD">
              <w:rPr>
                <w:rFonts w:ascii="Times New Roman" w:hAnsi="Times New Roman"/>
                <w:i/>
                <w:iCs/>
                <w:sz w:val="16"/>
                <w:szCs w:val="16"/>
              </w:rPr>
              <w:t>Zdroj:Bloomberg</w:t>
            </w:r>
          </w:p>
        </w:tc>
      </w:tr>
    </w:tbl>
    <w:p w:rsidR="00043E8B" w:rsidP="003859CD">
      <w:pPr>
        <w:bidi w:val="0"/>
        <w:spacing w:before="240" w:after="120"/>
        <w:ind w:firstLine="708"/>
        <w:jc w:val="both"/>
        <w:rPr>
          <w:rFonts w:ascii="Times New Roman" w:hAnsi="Times New Roman"/>
          <w:szCs w:val="22"/>
        </w:rPr>
      </w:pPr>
      <w:r w:rsidRPr="003859CD" w:rsidR="00235994">
        <w:rPr>
          <w:rFonts w:ascii="Times New Roman" w:hAnsi="Times New Roman"/>
          <w:szCs w:val="22"/>
        </w:rPr>
        <w:t xml:space="preserve">Ekonomika Slovenska by </w:t>
      </w:r>
      <w:r w:rsidRPr="003859CD" w:rsidR="0084294E">
        <w:rPr>
          <w:rFonts w:ascii="Times New Roman" w:hAnsi="Times New Roman"/>
          <w:szCs w:val="22"/>
        </w:rPr>
        <w:t xml:space="preserve">si </w:t>
      </w:r>
      <w:r w:rsidRPr="003859CD" w:rsidR="00235994">
        <w:rPr>
          <w:rFonts w:ascii="Times New Roman" w:hAnsi="Times New Roman"/>
          <w:szCs w:val="22"/>
        </w:rPr>
        <w:t>mala v roku 201</w:t>
      </w:r>
      <w:r w:rsidRPr="003859CD" w:rsidR="00235C33">
        <w:rPr>
          <w:rFonts w:ascii="Times New Roman" w:hAnsi="Times New Roman"/>
          <w:szCs w:val="22"/>
        </w:rPr>
        <w:t>6</w:t>
      </w:r>
      <w:r w:rsidRPr="003859CD" w:rsidR="00235994">
        <w:rPr>
          <w:rFonts w:ascii="Times New Roman" w:hAnsi="Times New Roman"/>
          <w:szCs w:val="22"/>
        </w:rPr>
        <w:t xml:space="preserve"> </w:t>
      </w:r>
      <w:r w:rsidRPr="003859CD" w:rsidR="0084294E">
        <w:rPr>
          <w:rFonts w:ascii="Times New Roman" w:hAnsi="Times New Roman"/>
          <w:szCs w:val="22"/>
        </w:rPr>
        <w:t>udržať solídne tempo rastu</w:t>
      </w:r>
      <w:r w:rsidRPr="003859CD" w:rsidR="00235C33">
        <w:rPr>
          <w:rFonts w:ascii="Times New Roman" w:hAnsi="Times New Roman"/>
          <w:szCs w:val="22"/>
        </w:rPr>
        <w:t xml:space="preserve"> </w:t>
      </w:r>
      <w:r w:rsidRPr="003859CD" w:rsidR="00B13C6A">
        <w:rPr>
          <w:rFonts w:ascii="Times New Roman" w:hAnsi="Times New Roman"/>
          <w:szCs w:val="22"/>
        </w:rPr>
        <w:t>3</w:t>
      </w:r>
      <w:r w:rsidRPr="003859CD" w:rsidR="00235994">
        <w:rPr>
          <w:rFonts w:ascii="Times New Roman" w:hAnsi="Times New Roman"/>
          <w:szCs w:val="22"/>
        </w:rPr>
        <w:t>,</w:t>
      </w:r>
      <w:r w:rsidRPr="003859CD" w:rsidR="00235C33">
        <w:rPr>
          <w:rFonts w:ascii="Times New Roman" w:hAnsi="Times New Roman"/>
          <w:szCs w:val="22"/>
        </w:rPr>
        <w:t>1</w:t>
      </w:r>
      <w:r w:rsidRPr="003859CD" w:rsidR="00AF7628">
        <w:rPr>
          <w:rFonts w:ascii="Times New Roman" w:hAnsi="Times New Roman"/>
          <w:szCs w:val="22"/>
        </w:rPr>
        <w:t> </w:t>
      </w:r>
      <w:r w:rsidRPr="003859CD" w:rsidR="00235994">
        <w:rPr>
          <w:rFonts w:ascii="Times New Roman" w:hAnsi="Times New Roman"/>
          <w:szCs w:val="22"/>
        </w:rPr>
        <w:t xml:space="preserve">%. </w:t>
      </w:r>
      <w:r w:rsidRPr="003859CD" w:rsidR="00235C33">
        <w:rPr>
          <w:rFonts w:ascii="Times New Roman" w:hAnsi="Times New Roman"/>
          <w:szCs w:val="22"/>
        </w:rPr>
        <w:t xml:space="preserve">Rast exportu spomalí pre slabší rast našich obchodných partnerov a investície sa po silnom roku 2015 mierne znížia. </w:t>
      </w:r>
      <w:r w:rsidRPr="003859CD" w:rsidR="0084294E">
        <w:rPr>
          <w:rFonts w:ascii="Times New Roman" w:hAnsi="Times New Roman"/>
          <w:szCs w:val="22"/>
        </w:rPr>
        <w:t>Pokračujúci r</w:t>
      </w:r>
      <w:r w:rsidRPr="003859CD" w:rsidR="00235C33">
        <w:rPr>
          <w:rFonts w:ascii="Times New Roman" w:hAnsi="Times New Roman"/>
          <w:szCs w:val="22"/>
        </w:rPr>
        <w:t>ast zamestnanosti a</w:t>
      </w:r>
      <w:r w:rsidRPr="003859CD" w:rsidR="0084294E">
        <w:rPr>
          <w:rFonts w:ascii="Times New Roman" w:hAnsi="Times New Roman"/>
          <w:szCs w:val="22"/>
        </w:rPr>
        <w:t xml:space="preserve"> reálnych </w:t>
      </w:r>
      <w:r w:rsidRPr="003859CD" w:rsidR="00235C33">
        <w:rPr>
          <w:rFonts w:ascii="Times New Roman" w:hAnsi="Times New Roman"/>
          <w:szCs w:val="22"/>
        </w:rPr>
        <w:t xml:space="preserve">miezd </w:t>
      </w:r>
      <w:r w:rsidRPr="003859CD" w:rsidR="0084294E">
        <w:rPr>
          <w:rFonts w:ascii="Times New Roman" w:hAnsi="Times New Roman"/>
          <w:szCs w:val="22"/>
        </w:rPr>
        <w:t>podporí zrýchlenie</w:t>
      </w:r>
      <w:r w:rsidRPr="003859CD" w:rsidR="00235C33">
        <w:rPr>
          <w:rFonts w:ascii="Times New Roman" w:hAnsi="Times New Roman"/>
          <w:szCs w:val="22"/>
        </w:rPr>
        <w:t xml:space="preserve"> spotreb</w:t>
      </w:r>
      <w:r w:rsidRPr="003859CD" w:rsidR="0084294E">
        <w:rPr>
          <w:rFonts w:ascii="Times New Roman" w:hAnsi="Times New Roman"/>
          <w:szCs w:val="22"/>
        </w:rPr>
        <w:t>y</w:t>
      </w:r>
      <w:r w:rsidRPr="003859CD" w:rsidR="00235C33">
        <w:rPr>
          <w:rFonts w:ascii="Times New Roman" w:hAnsi="Times New Roman"/>
          <w:szCs w:val="22"/>
        </w:rPr>
        <w:t xml:space="preserve"> domácností. </w:t>
      </w:r>
      <w:r w:rsidRPr="003859CD" w:rsidR="00B13C6A">
        <w:rPr>
          <w:rFonts w:ascii="Times New Roman" w:hAnsi="Times New Roman"/>
          <w:szCs w:val="22"/>
        </w:rPr>
        <w:t xml:space="preserve">Miera nezamestnanosti by mala </w:t>
      </w:r>
      <w:r w:rsidRPr="003859CD" w:rsidR="00235C33">
        <w:rPr>
          <w:rFonts w:ascii="Times New Roman" w:hAnsi="Times New Roman"/>
          <w:szCs w:val="22"/>
        </w:rPr>
        <w:t>na budúci rok</w:t>
      </w:r>
      <w:r w:rsidRPr="003859CD" w:rsidR="00B13C6A">
        <w:rPr>
          <w:rFonts w:ascii="Times New Roman" w:hAnsi="Times New Roman"/>
          <w:szCs w:val="22"/>
        </w:rPr>
        <w:t xml:space="preserve"> klesnúť na </w:t>
      </w:r>
      <w:r w:rsidRPr="003859CD" w:rsidR="006A579C">
        <w:rPr>
          <w:rFonts w:ascii="Times New Roman" w:hAnsi="Times New Roman"/>
          <w:szCs w:val="22"/>
        </w:rPr>
        <w:t>1</w:t>
      </w:r>
      <w:r w:rsidRPr="003859CD" w:rsidR="00235C33">
        <w:rPr>
          <w:rFonts w:ascii="Times New Roman" w:hAnsi="Times New Roman"/>
          <w:szCs w:val="22"/>
        </w:rPr>
        <w:t>0</w:t>
      </w:r>
      <w:r w:rsidRPr="003859CD" w:rsidR="00B13C6A">
        <w:rPr>
          <w:rFonts w:ascii="Times New Roman" w:hAnsi="Times New Roman"/>
          <w:szCs w:val="22"/>
        </w:rPr>
        <w:t>,</w:t>
      </w:r>
      <w:r w:rsidRPr="003859CD" w:rsidR="00235C33">
        <w:rPr>
          <w:rFonts w:ascii="Times New Roman" w:hAnsi="Times New Roman"/>
          <w:szCs w:val="22"/>
        </w:rPr>
        <w:t>6</w:t>
      </w:r>
      <w:r w:rsidR="00642740">
        <w:rPr>
          <w:rFonts w:ascii="Times New Roman" w:hAnsi="Times New Roman"/>
          <w:szCs w:val="22"/>
        </w:rPr>
        <w:t xml:space="preserve"> </w:t>
      </w:r>
      <w:r w:rsidRPr="003859CD" w:rsidR="00B13C6A">
        <w:rPr>
          <w:rFonts w:ascii="Times New Roman" w:hAnsi="Times New Roman"/>
          <w:szCs w:val="22"/>
        </w:rPr>
        <w:t>% a</w:t>
      </w:r>
      <w:r w:rsidRPr="003859CD" w:rsidR="006A579C">
        <w:rPr>
          <w:rFonts w:ascii="Times New Roman" w:hAnsi="Times New Roman"/>
          <w:szCs w:val="22"/>
        </w:rPr>
        <w:t> od rok</w:t>
      </w:r>
      <w:r w:rsidR="00642740">
        <w:rPr>
          <w:rFonts w:ascii="Times New Roman" w:hAnsi="Times New Roman"/>
          <w:szCs w:val="22"/>
        </w:rPr>
        <w:t>u</w:t>
      </w:r>
      <w:r w:rsidRPr="003859CD" w:rsidR="006A579C">
        <w:rPr>
          <w:rFonts w:ascii="Times New Roman" w:hAnsi="Times New Roman"/>
          <w:szCs w:val="22"/>
        </w:rPr>
        <w:t xml:space="preserve"> 2017</w:t>
      </w:r>
      <w:r w:rsidRPr="003859CD" w:rsidR="00B13C6A">
        <w:rPr>
          <w:rFonts w:ascii="Times New Roman" w:hAnsi="Times New Roman"/>
          <w:szCs w:val="22"/>
        </w:rPr>
        <w:t xml:space="preserve"> až na jednocifernú úroveň.</w:t>
      </w:r>
      <w:r w:rsidRPr="003859CD" w:rsidR="00235994">
        <w:rPr>
          <w:rFonts w:ascii="Times New Roman" w:hAnsi="Times New Roman"/>
          <w:szCs w:val="22"/>
        </w:rPr>
        <w:t xml:space="preserve"> </w:t>
      </w:r>
      <w:r w:rsidRPr="003859CD" w:rsidR="00235C33">
        <w:rPr>
          <w:rFonts w:ascii="Times New Roman" w:hAnsi="Times New Roman"/>
          <w:szCs w:val="22"/>
        </w:rPr>
        <w:t>Inflácia by mala v roku 2016 začať zrýchľovať</w:t>
      </w:r>
      <w:r w:rsidRPr="003859CD" w:rsidR="00F234D6">
        <w:rPr>
          <w:rFonts w:ascii="Times New Roman" w:hAnsi="Times New Roman"/>
          <w:szCs w:val="22"/>
        </w:rPr>
        <w:t>, ale</w:t>
      </w:r>
      <w:r w:rsidRPr="003859CD" w:rsidR="00235C33">
        <w:rPr>
          <w:rFonts w:ascii="Times New Roman" w:hAnsi="Times New Roman"/>
          <w:szCs w:val="22"/>
        </w:rPr>
        <w:t xml:space="preserve"> </w:t>
      </w:r>
      <w:r w:rsidRPr="003859CD" w:rsidR="00F234D6">
        <w:rPr>
          <w:rFonts w:ascii="Times New Roman" w:hAnsi="Times New Roman"/>
          <w:szCs w:val="22"/>
        </w:rPr>
        <w:t>k štandardným hodnotám na úrovni 2</w:t>
      </w:r>
      <w:r w:rsidR="00642740">
        <w:rPr>
          <w:rFonts w:ascii="Times New Roman" w:hAnsi="Times New Roman"/>
          <w:szCs w:val="22"/>
        </w:rPr>
        <w:t xml:space="preserve"> </w:t>
      </w:r>
      <w:r w:rsidRPr="003859CD" w:rsidR="00F234D6">
        <w:rPr>
          <w:rFonts w:ascii="Times New Roman" w:hAnsi="Times New Roman"/>
          <w:szCs w:val="22"/>
        </w:rPr>
        <w:t>% sa priblíži až</w:t>
      </w:r>
      <w:r w:rsidRPr="003859CD" w:rsidR="006A579C">
        <w:rPr>
          <w:rFonts w:ascii="Times New Roman" w:hAnsi="Times New Roman"/>
          <w:szCs w:val="22"/>
        </w:rPr>
        <w:t> ku koncu prognózovaného obdobia</w:t>
      </w:r>
      <w:r w:rsidRPr="003859CD" w:rsidR="00036B4D">
        <w:rPr>
          <w:rFonts w:ascii="Times New Roman" w:hAnsi="Times New Roman"/>
          <w:szCs w:val="22"/>
        </w:rPr>
        <w:t xml:space="preserve">. </w:t>
      </w:r>
    </w:p>
    <w:p w:rsidR="003859CD" w:rsidP="003859CD">
      <w:pPr>
        <w:bidi w:val="0"/>
        <w:spacing w:before="240" w:after="120"/>
        <w:ind w:firstLine="708"/>
        <w:jc w:val="both"/>
        <w:rPr>
          <w:rFonts w:ascii="Times New Roman" w:hAnsi="Times New Roman"/>
          <w:szCs w:val="22"/>
        </w:rPr>
      </w:pPr>
    </w:p>
    <w:p w:rsidR="003859CD" w:rsidP="003859CD">
      <w:pPr>
        <w:bidi w:val="0"/>
        <w:spacing w:before="240" w:after="120"/>
        <w:ind w:firstLine="708"/>
        <w:jc w:val="both"/>
        <w:rPr>
          <w:rFonts w:ascii="Times New Roman" w:hAnsi="Times New Roman"/>
          <w:szCs w:val="22"/>
        </w:rPr>
      </w:pPr>
    </w:p>
    <w:p w:rsidR="003859CD" w:rsidP="003859CD">
      <w:pPr>
        <w:bidi w:val="0"/>
        <w:spacing w:before="240" w:after="120"/>
        <w:ind w:firstLine="708"/>
        <w:jc w:val="both"/>
        <w:rPr>
          <w:rFonts w:ascii="Times New Roman" w:hAnsi="Times New Roman"/>
          <w:szCs w:val="22"/>
        </w:rPr>
      </w:pPr>
    </w:p>
    <w:p w:rsidR="003859CD" w:rsidRPr="003859CD" w:rsidP="003859CD">
      <w:pPr>
        <w:bidi w:val="0"/>
        <w:spacing w:before="240" w:after="120"/>
        <w:ind w:firstLine="708"/>
        <w:jc w:val="both"/>
        <w:rPr>
          <w:rFonts w:ascii="Times New Roman" w:hAnsi="Times New Roman"/>
          <w:szCs w:val="22"/>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321"/>
        <w:gridCol w:w="816"/>
        <w:gridCol w:w="820"/>
        <w:gridCol w:w="809"/>
        <w:gridCol w:w="820"/>
        <w:gridCol w:w="801"/>
        <w:gridCol w:w="82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195"/>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036B4D" w:rsidRPr="003859CD" w:rsidP="001E72F3">
            <w:pPr>
              <w:bidi w:val="0"/>
              <w:contextualSpacing/>
              <w:rPr>
                <w:rFonts w:ascii="Times New Roman" w:hAnsi="Times New Roman"/>
                <w:b/>
                <w:bCs/>
                <w:sz w:val="16"/>
                <w:szCs w:val="16"/>
              </w:rPr>
            </w:pPr>
            <w:r w:rsidRPr="003859CD" w:rsidR="0019148E">
              <w:rPr>
                <w:rFonts w:ascii="Times New Roman" w:hAnsi="Times New Roman"/>
                <w:sz w:val="16"/>
                <w:szCs w:val="16"/>
              </w:rPr>
              <w:br w:type="page"/>
            </w:r>
            <w:r w:rsidRPr="003859CD">
              <w:rPr>
                <w:rFonts w:ascii="Times New Roman" w:hAnsi="Times New Roman"/>
                <w:b/>
                <w:sz w:val="16"/>
                <w:szCs w:val="16"/>
              </w:rPr>
              <w:t>Prognóza MF SR - hlavné indikátory ekonomiky (</w:t>
            </w:r>
            <w:r w:rsidRPr="003859CD" w:rsidR="001E72F3">
              <w:rPr>
                <w:rFonts w:ascii="Times New Roman" w:hAnsi="Times New Roman"/>
                <w:b/>
                <w:sz w:val="16"/>
                <w:szCs w:val="16"/>
              </w:rPr>
              <w:t>september</w:t>
            </w:r>
            <w:r w:rsidRPr="003859CD">
              <w:rPr>
                <w:rFonts w:ascii="Times New Roman" w:hAnsi="Times New Roman"/>
                <w:b/>
                <w:sz w:val="16"/>
                <w:szCs w:val="16"/>
              </w:rPr>
              <w:t xml:space="preserve"> 2015)</w:t>
            </w:r>
          </w:p>
        </w:tc>
      </w:tr>
      <w:tr>
        <w:tblPrEx>
          <w:tblW w:w="5000" w:type="pct"/>
          <w:jc w:val="center"/>
          <w:tblCellMar>
            <w:left w:w="70" w:type="dxa"/>
            <w:right w:w="70" w:type="dxa"/>
          </w:tblCellMar>
          <w:tblLook w:val="04A0"/>
        </w:tblPrEx>
        <w:trPr>
          <w:trHeight w:val="195"/>
          <w:jc w:val="center"/>
        </w:trPr>
        <w:tc>
          <w:tcPr>
            <w:tcW w:w="23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36B4D" w:rsidRPr="003859CD" w:rsidP="00036B4D">
            <w:pPr>
              <w:bidi w:val="0"/>
              <w:rPr>
                <w:rFonts w:ascii="Times New Roman" w:hAnsi="Times New Roman"/>
                <w:b/>
                <w:color w:val="000000"/>
                <w:sz w:val="16"/>
                <w:szCs w:val="16"/>
                <w:lang w:eastAsia="en-US"/>
              </w:rPr>
            </w:pPr>
            <w:r w:rsidRPr="003859CD">
              <w:rPr>
                <w:rFonts w:ascii="Times New Roman" w:hAnsi="Times New Roman"/>
                <w:b/>
                <w:color w:val="000000"/>
                <w:sz w:val="16"/>
                <w:szCs w:val="16"/>
                <w:lang w:eastAsia="en-US"/>
              </w:rPr>
              <w:t>Ukazovateľ (v %)</w:t>
            </w:r>
          </w:p>
        </w:tc>
        <w:tc>
          <w:tcPr>
            <w:tcW w:w="44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36B4D" w:rsidRPr="003859CD" w:rsidP="003859CD">
            <w:pPr>
              <w:bidi w:val="0"/>
              <w:jc w:val="center"/>
              <w:rPr>
                <w:rFonts w:ascii="Times New Roman" w:hAnsi="Times New Roman"/>
                <w:b/>
                <w:color w:val="000000"/>
                <w:sz w:val="16"/>
                <w:szCs w:val="16"/>
                <w:lang w:eastAsia="en-US"/>
              </w:rPr>
            </w:pPr>
            <w:r w:rsidRPr="003859CD">
              <w:rPr>
                <w:rFonts w:ascii="Times New Roman" w:hAnsi="Times New Roman"/>
                <w:b/>
                <w:color w:val="000000"/>
                <w:sz w:val="16"/>
                <w:szCs w:val="16"/>
                <w:lang w:eastAsia="en-US"/>
              </w:rPr>
              <w:t>2013</w:t>
            </w:r>
          </w:p>
        </w:tc>
        <w:tc>
          <w:tcPr>
            <w:tcW w:w="4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36B4D" w:rsidRPr="003859CD" w:rsidP="003859CD">
            <w:pPr>
              <w:bidi w:val="0"/>
              <w:jc w:val="center"/>
              <w:rPr>
                <w:rFonts w:ascii="Times New Roman" w:hAnsi="Times New Roman"/>
                <w:b/>
                <w:color w:val="000000"/>
                <w:sz w:val="16"/>
                <w:szCs w:val="16"/>
                <w:lang w:eastAsia="en-US"/>
              </w:rPr>
            </w:pPr>
            <w:r w:rsidRPr="003859CD">
              <w:rPr>
                <w:rFonts w:ascii="Times New Roman" w:hAnsi="Times New Roman"/>
                <w:b/>
                <w:color w:val="000000"/>
                <w:sz w:val="16"/>
                <w:szCs w:val="16"/>
                <w:lang w:eastAsia="en-US"/>
              </w:rPr>
              <w:t>2014</w:t>
            </w:r>
          </w:p>
        </w:tc>
        <w:tc>
          <w:tcPr>
            <w:tcW w:w="43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36B4D" w:rsidRPr="003859CD" w:rsidP="003859CD">
            <w:pPr>
              <w:bidi w:val="0"/>
              <w:jc w:val="center"/>
              <w:rPr>
                <w:rFonts w:ascii="Times New Roman" w:hAnsi="Times New Roman"/>
                <w:b/>
                <w:color w:val="000000"/>
                <w:sz w:val="16"/>
                <w:szCs w:val="16"/>
                <w:lang w:eastAsia="en-US"/>
              </w:rPr>
            </w:pPr>
            <w:r w:rsidRPr="003859CD">
              <w:rPr>
                <w:rFonts w:ascii="Times New Roman" w:hAnsi="Times New Roman"/>
                <w:b/>
                <w:color w:val="000000"/>
                <w:sz w:val="16"/>
                <w:szCs w:val="16"/>
                <w:lang w:eastAsia="en-US"/>
              </w:rPr>
              <w:t>2015</w:t>
            </w:r>
          </w:p>
        </w:tc>
        <w:tc>
          <w:tcPr>
            <w:tcW w:w="4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36B4D" w:rsidRPr="003859CD" w:rsidP="003859CD">
            <w:pPr>
              <w:bidi w:val="0"/>
              <w:jc w:val="center"/>
              <w:rPr>
                <w:rFonts w:ascii="Times New Roman" w:hAnsi="Times New Roman"/>
                <w:b/>
                <w:color w:val="000000"/>
                <w:sz w:val="16"/>
                <w:szCs w:val="16"/>
                <w:lang w:eastAsia="en-US"/>
              </w:rPr>
            </w:pPr>
            <w:r w:rsidRPr="003859CD">
              <w:rPr>
                <w:rFonts w:ascii="Times New Roman" w:hAnsi="Times New Roman"/>
                <w:b/>
                <w:color w:val="000000"/>
                <w:sz w:val="16"/>
                <w:szCs w:val="16"/>
                <w:lang w:eastAsia="en-US"/>
              </w:rPr>
              <w:t>2016</w:t>
            </w:r>
          </w:p>
        </w:tc>
        <w:tc>
          <w:tcPr>
            <w:tcW w:w="43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36B4D" w:rsidRPr="003859CD" w:rsidP="003859CD">
            <w:pPr>
              <w:bidi w:val="0"/>
              <w:jc w:val="center"/>
              <w:rPr>
                <w:rFonts w:ascii="Times New Roman" w:hAnsi="Times New Roman"/>
                <w:b/>
                <w:color w:val="000000"/>
                <w:sz w:val="16"/>
                <w:szCs w:val="16"/>
                <w:lang w:eastAsia="en-US"/>
              </w:rPr>
            </w:pPr>
            <w:r w:rsidRPr="003859CD">
              <w:rPr>
                <w:rFonts w:ascii="Times New Roman" w:hAnsi="Times New Roman"/>
                <w:b/>
                <w:color w:val="000000"/>
                <w:sz w:val="16"/>
                <w:szCs w:val="16"/>
                <w:lang w:eastAsia="en-US"/>
              </w:rPr>
              <w:t>2017</w:t>
            </w:r>
          </w:p>
        </w:tc>
        <w:tc>
          <w:tcPr>
            <w:tcW w:w="44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36B4D" w:rsidRPr="003859CD" w:rsidP="003859CD">
            <w:pPr>
              <w:bidi w:val="0"/>
              <w:jc w:val="center"/>
              <w:rPr>
                <w:rFonts w:ascii="Times New Roman" w:hAnsi="Times New Roman"/>
                <w:b/>
                <w:color w:val="000000"/>
                <w:sz w:val="16"/>
                <w:szCs w:val="16"/>
                <w:lang w:eastAsia="en-US"/>
              </w:rPr>
            </w:pPr>
            <w:r w:rsidRPr="003859CD">
              <w:rPr>
                <w:rFonts w:ascii="Times New Roman" w:hAnsi="Times New Roman"/>
                <w:b/>
                <w:color w:val="000000"/>
                <w:sz w:val="16"/>
                <w:szCs w:val="16"/>
                <w:lang w:eastAsia="en-US"/>
              </w:rPr>
              <w:t>2018</w:t>
            </w:r>
          </w:p>
        </w:tc>
      </w:tr>
      <w:tr>
        <w:tblPrEx>
          <w:tblW w:w="5000" w:type="pct"/>
          <w:jc w:val="center"/>
          <w:tblCellMar>
            <w:left w:w="70" w:type="dxa"/>
            <w:right w:w="70" w:type="dxa"/>
          </w:tblCellMar>
          <w:tblLook w:val="04A0"/>
        </w:tblPrEx>
        <w:trPr>
          <w:trHeight w:val="195"/>
          <w:jc w:val="center"/>
        </w:trPr>
        <w:tc>
          <w:tcPr>
            <w:tcW w:w="234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rPr>
                <w:rFonts w:ascii="Times New Roman" w:hAnsi="Times New Roman"/>
                <w:color w:val="000000"/>
                <w:sz w:val="16"/>
                <w:szCs w:val="16"/>
                <w:lang w:eastAsia="en-US"/>
              </w:rPr>
            </w:pPr>
            <w:r w:rsidRPr="003859CD">
              <w:rPr>
                <w:rFonts w:ascii="Times New Roman" w:hAnsi="Times New Roman"/>
                <w:color w:val="000000"/>
                <w:sz w:val="16"/>
                <w:szCs w:val="16"/>
                <w:lang w:eastAsia="en-US"/>
              </w:rPr>
              <w:t>HDP, reálny rast</w:t>
            </w:r>
          </w:p>
        </w:tc>
        <w:tc>
          <w:tcPr>
            <w:tcW w:w="443"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1,4</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2,4</w:t>
            </w:r>
          </w:p>
        </w:tc>
        <w:tc>
          <w:tcPr>
            <w:tcW w:w="439"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3,2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sidR="001E72F3">
              <w:rPr>
                <w:rFonts w:ascii="Times New Roman" w:hAnsi="Times New Roman"/>
                <w:color w:val="000000"/>
                <w:sz w:val="16"/>
                <w:szCs w:val="16"/>
                <w:lang w:eastAsia="en-US"/>
              </w:rPr>
              <w:t>3,1</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sidR="001E72F3">
              <w:rPr>
                <w:rFonts w:ascii="Times New Roman" w:hAnsi="Times New Roman"/>
                <w:color w:val="000000"/>
                <w:sz w:val="16"/>
                <w:szCs w:val="16"/>
                <w:lang w:eastAsia="en-US"/>
              </w:rPr>
              <w:t>3,6</w:t>
            </w:r>
          </w:p>
        </w:tc>
        <w:tc>
          <w:tcPr>
            <w:tcW w:w="448" w:type="pct"/>
            <w:tcBorders>
              <w:top w:val="single" w:sz="4" w:space="0" w:color="auto"/>
              <w:left w:val="single" w:sz="4" w:space="0" w:color="auto"/>
              <w:bottom w:val="single" w:sz="4" w:space="0" w:color="auto"/>
              <w:right w:val="single" w:sz="4" w:space="0" w:color="auto"/>
            </w:tcBorders>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3,6</w:t>
            </w:r>
          </w:p>
        </w:tc>
      </w:tr>
      <w:tr>
        <w:tblPrEx>
          <w:tblW w:w="5000" w:type="pct"/>
          <w:jc w:val="center"/>
          <w:tblCellMar>
            <w:left w:w="70" w:type="dxa"/>
            <w:right w:w="70" w:type="dxa"/>
          </w:tblCellMar>
          <w:tblLook w:val="04A0"/>
        </w:tblPrEx>
        <w:trPr>
          <w:trHeight w:val="195"/>
          <w:jc w:val="center"/>
        </w:trPr>
        <w:tc>
          <w:tcPr>
            <w:tcW w:w="234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rPr>
                <w:rFonts w:ascii="Times New Roman" w:hAnsi="Times New Roman"/>
                <w:color w:val="000000"/>
                <w:sz w:val="16"/>
                <w:szCs w:val="16"/>
                <w:lang w:eastAsia="en-US"/>
              </w:rPr>
            </w:pPr>
            <w:r w:rsidRPr="003859CD">
              <w:rPr>
                <w:rFonts w:ascii="Times New Roman" w:hAnsi="Times New Roman"/>
                <w:color w:val="000000"/>
                <w:sz w:val="16"/>
                <w:szCs w:val="16"/>
                <w:lang w:eastAsia="en-US"/>
              </w:rPr>
              <w:t>Zamestnanosť (VZPS), rast</w:t>
            </w:r>
          </w:p>
        </w:tc>
        <w:tc>
          <w:tcPr>
            <w:tcW w:w="443"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1,5</w:t>
            </w:r>
          </w:p>
        </w:tc>
        <w:tc>
          <w:tcPr>
            <w:tcW w:w="439"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sidR="001E72F3">
              <w:rPr>
                <w:rFonts w:ascii="Times New Roman" w:hAnsi="Times New Roman"/>
                <w:color w:val="000000"/>
                <w:sz w:val="16"/>
                <w:szCs w:val="16"/>
                <w:lang w:eastAsia="en-US"/>
              </w:rPr>
              <w:t>2,2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sidR="001E72F3">
              <w:rPr>
                <w:rFonts w:ascii="Times New Roman" w:hAnsi="Times New Roman"/>
                <w:color w:val="000000"/>
                <w:sz w:val="16"/>
                <w:szCs w:val="16"/>
                <w:lang w:eastAsia="en-US"/>
              </w:rPr>
              <w:t>1,0</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0,8</w:t>
            </w:r>
          </w:p>
        </w:tc>
        <w:tc>
          <w:tcPr>
            <w:tcW w:w="448" w:type="pct"/>
            <w:tcBorders>
              <w:top w:val="single" w:sz="4" w:space="0" w:color="auto"/>
              <w:left w:val="single" w:sz="4" w:space="0" w:color="auto"/>
              <w:bottom w:val="single" w:sz="4" w:space="0" w:color="auto"/>
              <w:right w:val="single" w:sz="4" w:space="0" w:color="auto"/>
            </w:tcBorders>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sidR="001E72F3">
              <w:rPr>
                <w:rFonts w:ascii="Times New Roman" w:hAnsi="Times New Roman"/>
                <w:color w:val="000000"/>
                <w:sz w:val="16"/>
                <w:szCs w:val="16"/>
                <w:lang w:eastAsia="en-US"/>
              </w:rPr>
              <w:t>0,9</w:t>
            </w:r>
          </w:p>
        </w:tc>
      </w:tr>
      <w:tr>
        <w:tblPrEx>
          <w:tblW w:w="5000" w:type="pct"/>
          <w:jc w:val="center"/>
          <w:tblCellMar>
            <w:left w:w="70" w:type="dxa"/>
            <w:right w:w="70" w:type="dxa"/>
          </w:tblCellMar>
          <w:tblLook w:val="04A0"/>
        </w:tblPrEx>
        <w:trPr>
          <w:trHeight w:val="195"/>
          <w:jc w:val="center"/>
        </w:trPr>
        <w:tc>
          <w:tcPr>
            <w:tcW w:w="234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rPr>
                <w:rFonts w:ascii="Times New Roman" w:hAnsi="Times New Roman"/>
                <w:color w:val="000000"/>
                <w:sz w:val="16"/>
                <w:szCs w:val="16"/>
                <w:lang w:eastAsia="en-US"/>
              </w:rPr>
            </w:pPr>
            <w:r w:rsidRPr="003859CD">
              <w:rPr>
                <w:rFonts w:ascii="Times New Roman" w:hAnsi="Times New Roman"/>
                <w:color w:val="000000"/>
                <w:sz w:val="16"/>
                <w:szCs w:val="16"/>
                <w:lang w:eastAsia="en-US"/>
              </w:rPr>
              <w:t>Miera nezamestnanosti (VZPS)</w:t>
            </w:r>
          </w:p>
        </w:tc>
        <w:tc>
          <w:tcPr>
            <w:tcW w:w="443"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14,2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13,2</w:t>
            </w:r>
          </w:p>
        </w:tc>
        <w:tc>
          <w:tcPr>
            <w:tcW w:w="439"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sidR="001E72F3">
              <w:rPr>
                <w:rFonts w:ascii="Times New Roman" w:hAnsi="Times New Roman"/>
                <w:color w:val="000000"/>
                <w:sz w:val="16"/>
                <w:szCs w:val="16"/>
                <w:lang w:eastAsia="en-US"/>
              </w:rPr>
              <w:t>11,5</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sidR="001E72F3">
              <w:rPr>
                <w:rFonts w:ascii="Times New Roman" w:hAnsi="Times New Roman"/>
                <w:color w:val="000000"/>
                <w:sz w:val="16"/>
                <w:szCs w:val="16"/>
                <w:lang w:eastAsia="en-US"/>
              </w:rPr>
              <w:t>10,6</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sidR="001E72F3">
              <w:rPr>
                <w:rFonts w:ascii="Times New Roman" w:hAnsi="Times New Roman"/>
                <w:color w:val="000000"/>
                <w:sz w:val="16"/>
                <w:szCs w:val="16"/>
                <w:lang w:eastAsia="en-US"/>
              </w:rPr>
              <w:t>9,8</w:t>
            </w:r>
          </w:p>
        </w:tc>
        <w:tc>
          <w:tcPr>
            <w:tcW w:w="448" w:type="pct"/>
            <w:tcBorders>
              <w:top w:val="single" w:sz="4" w:space="0" w:color="auto"/>
              <w:left w:val="single" w:sz="4" w:space="0" w:color="auto"/>
              <w:bottom w:val="single" w:sz="4" w:space="0" w:color="auto"/>
              <w:right w:val="single" w:sz="4" w:space="0" w:color="auto"/>
            </w:tcBorders>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sidR="001E72F3">
              <w:rPr>
                <w:rFonts w:ascii="Times New Roman" w:hAnsi="Times New Roman"/>
                <w:color w:val="000000"/>
                <w:sz w:val="16"/>
                <w:szCs w:val="16"/>
                <w:lang w:eastAsia="en-US"/>
              </w:rPr>
              <w:t>9,0</w:t>
            </w:r>
          </w:p>
        </w:tc>
      </w:tr>
      <w:tr>
        <w:tblPrEx>
          <w:tblW w:w="5000" w:type="pct"/>
          <w:jc w:val="center"/>
          <w:tblCellMar>
            <w:left w:w="70" w:type="dxa"/>
            <w:right w:w="70" w:type="dxa"/>
          </w:tblCellMar>
          <w:tblLook w:val="04A0"/>
        </w:tblPrEx>
        <w:trPr>
          <w:trHeight w:val="195"/>
          <w:jc w:val="center"/>
        </w:trPr>
        <w:tc>
          <w:tcPr>
            <w:tcW w:w="234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rPr>
                <w:rFonts w:ascii="Times New Roman" w:hAnsi="Times New Roman"/>
                <w:color w:val="000000"/>
                <w:sz w:val="16"/>
                <w:szCs w:val="16"/>
                <w:lang w:eastAsia="en-US"/>
              </w:rPr>
            </w:pPr>
            <w:r w:rsidRPr="003859CD">
              <w:rPr>
                <w:rFonts w:ascii="Times New Roman" w:hAnsi="Times New Roman"/>
                <w:color w:val="000000"/>
                <w:sz w:val="16"/>
                <w:szCs w:val="16"/>
                <w:lang w:eastAsia="en-US"/>
              </w:rPr>
              <w:t>Reálna mzda, rast</w:t>
            </w:r>
          </w:p>
        </w:tc>
        <w:tc>
          <w:tcPr>
            <w:tcW w:w="443"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0,9</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4,2</w:t>
            </w:r>
          </w:p>
        </w:tc>
        <w:tc>
          <w:tcPr>
            <w:tcW w:w="439"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sidR="001E72F3">
              <w:rPr>
                <w:rFonts w:ascii="Times New Roman" w:hAnsi="Times New Roman"/>
                <w:color w:val="000000"/>
                <w:sz w:val="16"/>
                <w:szCs w:val="16"/>
                <w:lang w:eastAsia="en-US"/>
              </w:rPr>
              <w:t>2,5</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sidR="001E72F3">
              <w:rPr>
                <w:rFonts w:ascii="Times New Roman" w:hAnsi="Times New Roman"/>
                <w:color w:val="000000"/>
                <w:sz w:val="16"/>
                <w:szCs w:val="16"/>
                <w:lang w:eastAsia="en-US"/>
              </w:rPr>
              <w:t>2,2</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sidR="001E72F3">
              <w:rPr>
                <w:rFonts w:ascii="Times New Roman" w:hAnsi="Times New Roman"/>
                <w:color w:val="000000"/>
                <w:sz w:val="16"/>
                <w:szCs w:val="16"/>
                <w:lang w:eastAsia="en-US"/>
              </w:rPr>
              <w:t>2,7</w:t>
            </w:r>
          </w:p>
        </w:tc>
        <w:tc>
          <w:tcPr>
            <w:tcW w:w="448" w:type="pct"/>
            <w:tcBorders>
              <w:top w:val="single" w:sz="4" w:space="0" w:color="auto"/>
              <w:left w:val="single" w:sz="4" w:space="0" w:color="auto"/>
              <w:bottom w:val="single" w:sz="4" w:space="0" w:color="auto"/>
              <w:right w:val="single" w:sz="4" w:space="0" w:color="auto"/>
            </w:tcBorders>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sidR="001E72F3">
              <w:rPr>
                <w:rFonts w:ascii="Times New Roman" w:hAnsi="Times New Roman"/>
                <w:color w:val="000000"/>
                <w:sz w:val="16"/>
                <w:szCs w:val="16"/>
                <w:lang w:eastAsia="en-US"/>
              </w:rPr>
              <w:t>2,7</w:t>
            </w:r>
          </w:p>
        </w:tc>
      </w:tr>
      <w:tr>
        <w:tblPrEx>
          <w:tblW w:w="5000" w:type="pct"/>
          <w:jc w:val="center"/>
          <w:tblCellMar>
            <w:left w:w="70" w:type="dxa"/>
            <w:right w:w="70" w:type="dxa"/>
          </w:tblCellMar>
          <w:tblLook w:val="04A0"/>
        </w:tblPrEx>
        <w:trPr>
          <w:trHeight w:val="195"/>
          <w:jc w:val="center"/>
        </w:trPr>
        <w:tc>
          <w:tcPr>
            <w:tcW w:w="234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rPr>
                <w:rFonts w:ascii="Times New Roman" w:hAnsi="Times New Roman"/>
                <w:color w:val="000000"/>
                <w:sz w:val="16"/>
                <w:szCs w:val="16"/>
                <w:lang w:eastAsia="en-US"/>
              </w:rPr>
            </w:pPr>
            <w:r w:rsidRPr="003859CD">
              <w:rPr>
                <w:rFonts w:ascii="Times New Roman" w:hAnsi="Times New Roman"/>
                <w:color w:val="000000"/>
                <w:sz w:val="16"/>
                <w:szCs w:val="16"/>
                <w:lang w:eastAsia="en-US"/>
              </w:rPr>
              <w:t>Inflácia, priemerná  ročná; HICP</w:t>
            </w:r>
          </w:p>
        </w:tc>
        <w:tc>
          <w:tcPr>
            <w:tcW w:w="443"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1,5</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sidR="001E72F3">
              <w:rPr>
                <w:rFonts w:ascii="Times New Roman" w:hAnsi="Times New Roman"/>
                <w:color w:val="000000"/>
                <w:sz w:val="16"/>
                <w:szCs w:val="16"/>
                <w:lang w:eastAsia="en-US"/>
              </w:rPr>
              <w:t>-0,1</w:t>
            </w:r>
          </w:p>
        </w:tc>
        <w:tc>
          <w:tcPr>
            <w:tcW w:w="439"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sidR="001E72F3">
              <w:rPr>
                <w:rFonts w:ascii="Times New Roman" w:hAnsi="Times New Roman"/>
                <w:color w:val="000000"/>
                <w:sz w:val="16"/>
                <w:szCs w:val="16"/>
                <w:lang w:eastAsia="en-US"/>
              </w:rPr>
              <w:t>-0,2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sidR="001E72F3">
              <w:rPr>
                <w:rFonts w:ascii="Times New Roman" w:hAnsi="Times New Roman"/>
                <w:color w:val="000000"/>
                <w:sz w:val="16"/>
                <w:szCs w:val="16"/>
                <w:lang w:eastAsia="en-US"/>
              </w:rPr>
              <w:t>0,9</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sidR="001E72F3">
              <w:rPr>
                <w:rFonts w:ascii="Times New Roman" w:hAnsi="Times New Roman"/>
                <w:color w:val="000000"/>
                <w:sz w:val="16"/>
                <w:szCs w:val="16"/>
                <w:lang w:eastAsia="en-US"/>
              </w:rPr>
              <w:t>1,8</w:t>
            </w:r>
          </w:p>
        </w:tc>
        <w:tc>
          <w:tcPr>
            <w:tcW w:w="448" w:type="pct"/>
            <w:tcBorders>
              <w:top w:val="single" w:sz="4" w:space="0" w:color="auto"/>
              <w:left w:val="single" w:sz="4" w:space="0" w:color="auto"/>
              <w:bottom w:val="single" w:sz="4" w:space="0" w:color="auto"/>
              <w:right w:val="single" w:sz="4" w:space="0" w:color="auto"/>
            </w:tcBorders>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sidR="001E72F3">
              <w:rPr>
                <w:rFonts w:ascii="Times New Roman" w:hAnsi="Times New Roman"/>
                <w:color w:val="000000"/>
                <w:sz w:val="16"/>
                <w:szCs w:val="16"/>
                <w:lang w:eastAsia="en-US"/>
              </w:rPr>
              <w:t>2,0</w:t>
            </w:r>
          </w:p>
        </w:tc>
      </w:tr>
      <w:tr>
        <w:tblPrEx>
          <w:tblW w:w="5000" w:type="pct"/>
          <w:jc w:val="center"/>
          <w:tblCellMar>
            <w:left w:w="70" w:type="dxa"/>
            <w:right w:w="70" w:type="dxa"/>
          </w:tblCellMar>
          <w:tblLook w:val="04A0"/>
        </w:tblPrEx>
        <w:trPr>
          <w:trHeight w:val="195"/>
          <w:jc w:val="center"/>
        </w:trPr>
        <w:tc>
          <w:tcPr>
            <w:tcW w:w="234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rPr>
                <w:rFonts w:ascii="Times New Roman" w:hAnsi="Times New Roman"/>
                <w:color w:val="000000"/>
                <w:sz w:val="16"/>
                <w:szCs w:val="16"/>
                <w:lang w:eastAsia="en-US"/>
              </w:rPr>
            </w:pPr>
            <w:r w:rsidRPr="003859CD">
              <w:rPr>
                <w:rFonts w:ascii="Times New Roman" w:hAnsi="Times New Roman"/>
                <w:color w:val="000000"/>
                <w:sz w:val="16"/>
                <w:szCs w:val="16"/>
                <w:lang w:eastAsia="en-US"/>
              </w:rPr>
              <w:t>Bežný účet, podiel na HDP</w:t>
            </w:r>
          </w:p>
        </w:tc>
        <w:tc>
          <w:tcPr>
            <w:tcW w:w="443"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1,5</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0,2</w:t>
            </w:r>
          </w:p>
        </w:tc>
        <w:tc>
          <w:tcPr>
            <w:tcW w:w="439"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sidR="001E72F3">
              <w:rPr>
                <w:rFonts w:ascii="Times New Roman" w:hAnsi="Times New Roman"/>
                <w:color w:val="000000"/>
                <w:sz w:val="16"/>
                <w:szCs w:val="16"/>
                <w:lang w:eastAsia="en-US"/>
              </w:rPr>
              <w:t>-0,6</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sidR="001E72F3">
              <w:rPr>
                <w:rFonts w:ascii="Times New Roman" w:hAnsi="Times New Roman"/>
                <w:color w:val="000000"/>
                <w:sz w:val="16"/>
                <w:szCs w:val="16"/>
                <w:lang w:eastAsia="en-US"/>
              </w:rPr>
              <w:t>0,9</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sidR="001E72F3">
              <w:rPr>
                <w:rFonts w:ascii="Times New Roman" w:hAnsi="Times New Roman"/>
                <w:color w:val="000000"/>
                <w:sz w:val="16"/>
                <w:szCs w:val="16"/>
                <w:lang w:eastAsia="en-US"/>
              </w:rPr>
              <w:t>1,8</w:t>
            </w:r>
          </w:p>
        </w:tc>
        <w:tc>
          <w:tcPr>
            <w:tcW w:w="448" w:type="pct"/>
            <w:tcBorders>
              <w:top w:val="single" w:sz="4" w:space="0" w:color="auto"/>
              <w:left w:val="single" w:sz="4" w:space="0" w:color="auto"/>
              <w:bottom w:val="single" w:sz="4" w:space="0" w:color="auto"/>
              <w:right w:val="single" w:sz="4" w:space="0" w:color="auto"/>
            </w:tcBorders>
            <w:textDirection w:val="lrTb"/>
            <w:vAlign w:val="center"/>
            <w:hideMark/>
          </w:tcPr>
          <w:p w:rsidR="00036B4D" w:rsidRPr="003859CD" w:rsidP="00036B4D">
            <w:pPr>
              <w:bidi w:val="0"/>
              <w:jc w:val="right"/>
              <w:rPr>
                <w:rFonts w:ascii="Times New Roman" w:hAnsi="Times New Roman"/>
                <w:color w:val="000000"/>
                <w:sz w:val="16"/>
                <w:szCs w:val="16"/>
                <w:lang w:eastAsia="en-US"/>
              </w:rPr>
            </w:pPr>
            <w:r w:rsidRPr="003859CD" w:rsidR="001E72F3">
              <w:rPr>
                <w:rFonts w:ascii="Times New Roman" w:hAnsi="Times New Roman"/>
                <w:color w:val="000000"/>
                <w:sz w:val="16"/>
                <w:szCs w:val="16"/>
                <w:lang w:eastAsia="en-US"/>
              </w:rPr>
              <w:t>1,7</w:t>
            </w:r>
          </w:p>
        </w:tc>
      </w:tr>
      <w:tr>
        <w:tblPrEx>
          <w:tblW w:w="5000" w:type="pct"/>
          <w:jc w:val="center"/>
          <w:tblCellMar>
            <w:left w:w="70" w:type="dxa"/>
            <w:right w:w="70" w:type="dxa"/>
          </w:tblCellMar>
          <w:tblLook w:val="04A0"/>
        </w:tblPrEx>
        <w:trPr>
          <w:trHeight w:val="195"/>
          <w:jc w:val="center"/>
        </w:trPr>
        <w:tc>
          <w:tcPr>
            <w:tcW w:w="5000" w:type="pct"/>
            <w:gridSpan w:val="7"/>
            <w:tcBorders>
              <w:top w:val="single" w:sz="4" w:space="0" w:color="auto"/>
              <w:left w:val="nil"/>
              <w:bottom w:val="nil"/>
              <w:right w:val="nil"/>
            </w:tcBorders>
            <w:noWrap/>
            <w:textDirection w:val="lrTb"/>
            <w:vAlign w:val="center"/>
            <w:hideMark/>
          </w:tcPr>
          <w:p w:rsidR="00036B4D" w:rsidRPr="003859CD" w:rsidP="003859CD">
            <w:pPr>
              <w:bidi w:val="0"/>
              <w:contextualSpacing/>
              <w:jc w:val="right"/>
              <w:rPr>
                <w:rFonts w:ascii="Times New Roman" w:hAnsi="Times New Roman"/>
                <w:i/>
                <w:iCs/>
                <w:color w:val="000000"/>
                <w:sz w:val="16"/>
                <w:szCs w:val="16"/>
              </w:rPr>
            </w:pPr>
            <w:r w:rsidR="003859CD">
              <w:rPr>
                <w:rFonts w:ascii="Times New Roman" w:hAnsi="Times New Roman"/>
                <w:i/>
                <w:iCs/>
                <w:color w:val="000000"/>
                <w:sz w:val="16"/>
                <w:szCs w:val="16"/>
                <w:lang w:val="en-US" w:eastAsia="en-US"/>
              </w:rPr>
              <w:t>Z</w:t>
            </w:r>
            <w:r w:rsidRPr="003859CD">
              <w:rPr>
                <w:rFonts w:ascii="Times New Roman" w:hAnsi="Times New Roman"/>
                <w:i/>
                <w:iCs/>
                <w:color w:val="000000"/>
                <w:sz w:val="16"/>
                <w:szCs w:val="16"/>
                <w:lang w:val="en-US" w:eastAsia="en-US"/>
              </w:rPr>
              <w:t>dro</w:t>
            </w:r>
            <w:r w:rsidR="003859CD">
              <w:rPr>
                <w:rFonts w:ascii="Times New Roman" w:hAnsi="Times New Roman"/>
                <w:i/>
                <w:iCs/>
                <w:color w:val="000000"/>
                <w:sz w:val="16"/>
                <w:szCs w:val="16"/>
                <w:lang w:val="en-US" w:eastAsia="en-US"/>
              </w:rPr>
              <w:t>j</w:t>
            </w:r>
            <w:r w:rsidRPr="003859CD">
              <w:rPr>
                <w:rFonts w:ascii="Times New Roman" w:hAnsi="Times New Roman"/>
                <w:i/>
                <w:iCs/>
                <w:color w:val="000000"/>
                <w:sz w:val="16"/>
                <w:szCs w:val="16"/>
                <w:lang w:val="en-US" w:eastAsia="en-US"/>
              </w:rPr>
              <w:t>: MF SR</w:t>
            </w:r>
          </w:p>
        </w:tc>
      </w:tr>
    </w:tbl>
    <w:p w:rsidR="00BA2F20" w:rsidRPr="003859CD" w:rsidP="000F1887">
      <w:pPr>
        <w:pStyle w:val="Heading2"/>
        <w:keepLines/>
        <w:numPr>
          <w:ilvl w:val="1"/>
          <w:numId w:val="9"/>
        </w:numPr>
        <w:bidi w:val="0"/>
        <w:spacing w:before="200" w:after="240" w:line="276" w:lineRule="auto"/>
        <w:ind w:left="720" w:hanging="720"/>
        <w:jc w:val="both"/>
        <w:rPr>
          <w:rFonts w:ascii="Times New Roman" w:hAnsi="Times New Roman" w:cs="Times New Roman"/>
          <w:bCs w:val="0"/>
          <w:i w:val="0"/>
          <w:iCs w:val="0"/>
          <w:sz w:val="24"/>
        </w:rPr>
      </w:pPr>
      <w:bookmarkStart w:id="29" w:name="_Toc394471515"/>
      <w:bookmarkStart w:id="30" w:name="_Toc422906269"/>
      <w:r w:rsidRPr="003859CD">
        <w:rPr>
          <w:rFonts w:ascii="Times New Roman" w:hAnsi="Times New Roman" w:cs="Times New Roman"/>
          <w:bCs w:val="0"/>
          <w:i w:val="0"/>
          <w:iCs w:val="0"/>
          <w:sz w:val="24"/>
        </w:rPr>
        <w:t>Fiškálny výhľad</w:t>
      </w:r>
      <w:bookmarkEnd w:id="29"/>
      <w:bookmarkEnd w:id="30"/>
    </w:p>
    <w:p w:rsidR="00495003" w:rsidRPr="003859CD" w:rsidP="003859CD">
      <w:pPr>
        <w:bidi w:val="0"/>
        <w:spacing w:after="240"/>
        <w:ind w:firstLine="708"/>
        <w:jc w:val="both"/>
        <w:rPr>
          <w:rFonts w:ascii="Times New Roman" w:hAnsi="Times New Roman"/>
        </w:rPr>
      </w:pPr>
      <w:r w:rsidRPr="003859CD">
        <w:rPr>
          <w:rFonts w:ascii="Times New Roman" w:hAnsi="Times New Roman"/>
        </w:rPr>
        <w:t>Konsolidácia verejných financií prebieha v súlade s plánom vlády, čo umožnilo ukončiť procedúru nadmerného deficitu pre Slovensko v júni 2014. Deficit verejnej správy klesol z úrovne 4,</w:t>
      </w:r>
      <w:r w:rsidRPr="003859CD" w:rsidR="0005739A">
        <w:rPr>
          <w:rFonts w:ascii="Times New Roman" w:hAnsi="Times New Roman"/>
        </w:rPr>
        <w:t>2</w:t>
      </w:r>
      <w:r w:rsidRPr="003859CD">
        <w:rPr>
          <w:rFonts w:ascii="Times New Roman" w:hAnsi="Times New Roman"/>
        </w:rPr>
        <w:t xml:space="preserve"> % HDP v roku 2012 na 2,</w:t>
      </w:r>
      <w:r w:rsidRPr="003859CD" w:rsidR="004C5F0B">
        <w:rPr>
          <w:rFonts w:ascii="Times New Roman" w:hAnsi="Times New Roman"/>
        </w:rPr>
        <w:t>6</w:t>
      </w:r>
      <w:r w:rsidRPr="003859CD">
        <w:rPr>
          <w:rFonts w:ascii="Times New Roman" w:hAnsi="Times New Roman"/>
        </w:rPr>
        <w:t> % HDP v roku 2013. Na rok 2014 bol stanovený cieľ deficitu vo výške 2,6 % HDP</w:t>
      </w:r>
      <w:r w:rsidRPr="003859CD" w:rsidR="004C5F0B">
        <w:rPr>
          <w:rFonts w:ascii="Times New Roman" w:hAnsi="Times New Roman"/>
        </w:rPr>
        <w:t xml:space="preserve"> a skutočná hodnota dosiahla </w:t>
      </w:r>
      <w:r w:rsidRPr="003859CD" w:rsidR="00781324">
        <w:rPr>
          <w:rFonts w:ascii="Times New Roman" w:hAnsi="Times New Roman"/>
        </w:rPr>
        <w:t xml:space="preserve">podľa aprílovej notifikácie </w:t>
      </w:r>
      <w:r w:rsidRPr="003859CD" w:rsidR="004C5F0B">
        <w:rPr>
          <w:rFonts w:ascii="Times New Roman" w:hAnsi="Times New Roman"/>
        </w:rPr>
        <w:t>2,9 % HDP</w:t>
      </w:r>
      <w:r w:rsidRPr="003859CD" w:rsidR="0005739A">
        <w:rPr>
          <w:rFonts w:ascii="Times New Roman" w:hAnsi="Times New Roman"/>
        </w:rPr>
        <w:t>.</w:t>
      </w:r>
      <w:r w:rsidRPr="003859CD">
        <w:rPr>
          <w:rFonts w:ascii="Times New Roman" w:hAnsi="Times New Roman"/>
        </w:rPr>
        <w:t xml:space="preserve"> V strednodobom horizonte je hlavným cieľom vytvorenie podmienok pre dosiahnutie dlhodobej udržateľnosti verejných financií. To si vyžaduje pokračovanie v konsolidácii verejných financií aj po roku 201</w:t>
      </w:r>
      <w:r w:rsidRPr="003859CD" w:rsidR="004C5F0B">
        <w:rPr>
          <w:rFonts w:ascii="Times New Roman" w:hAnsi="Times New Roman"/>
        </w:rPr>
        <w:t>4</w:t>
      </w:r>
      <w:r w:rsidRPr="003859CD">
        <w:rPr>
          <w:rFonts w:ascii="Times New Roman" w:hAnsi="Times New Roman"/>
        </w:rPr>
        <w:t xml:space="preserve"> tak, aby Slovensko smerovalo k svojmu strednodobému rozpočtovému cieľu</w:t>
      </w:r>
      <w:r>
        <w:rPr>
          <w:rStyle w:val="FootnoteReference"/>
          <w:rFonts w:ascii="Times New Roman" w:hAnsi="Times New Roman"/>
          <w:rtl w:val="0"/>
          <w:lang w:val="en-US" w:eastAsia="en-US"/>
        </w:rPr>
        <w:footnoteReference w:id="3"/>
      </w:r>
      <w:r w:rsidRPr="003859CD">
        <w:rPr>
          <w:rFonts w:ascii="Times New Roman" w:hAnsi="Times New Roman"/>
        </w:rPr>
        <w:t xml:space="preserve">. </w:t>
      </w:r>
    </w:p>
    <w:p w:rsidR="00495003" w:rsidRPr="003859CD" w:rsidP="003859CD">
      <w:pPr>
        <w:bidi w:val="0"/>
        <w:spacing w:after="240"/>
        <w:ind w:firstLine="708"/>
        <w:jc w:val="both"/>
        <w:rPr>
          <w:rFonts w:ascii="Times New Roman" w:hAnsi="Times New Roman"/>
        </w:rPr>
      </w:pPr>
      <w:r w:rsidRPr="003859CD" w:rsidR="000879C7">
        <w:rPr>
          <w:rFonts w:ascii="Times New Roman" w:hAnsi="Times New Roman"/>
        </w:rPr>
        <w:t>R</w:t>
      </w:r>
      <w:r w:rsidRPr="003859CD">
        <w:rPr>
          <w:rFonts w:ascii="Times New Roman" w:hAnsi="Times New Roman"/>
        </w:rPr>
        <w:t>ozpoč</w:t>
      </w:r>
      <w:r w:rsidRPr="003859CD" w:rsidR="000879C7">
        <w:rPr>
          <w:rFonts w:ascii="Times New Roman" w:hAnsi="Times New Roman"/>
        </w:rPr>
        <w:t>et</w:t>
      </w:r>
      <w:r w:rsidRPr="003859CD">
        <w:rPr>
          <w:rFonts w:ascii="Times New Roman" w:hAnsi="Times New Roman"/>
        </w:rPr>
        <w:t xml:space="preserve"> verejnej správy na roky 201</w:t>
      </w:r>
      <w:r w:rsidRPr="003859CD" w:rsidR="004C5F0B">
        <w:rPr>
          <w:rFonts w:ascii="Times New Roman" w:hAnsi="Times New Roman"/>
        </w:rPr>
        <w:t>6</w:t>
      </w:r>
      <w:r w:rsidRPr="003859CD">
        <w:rPr>
          <w:rFonts w:ascii="Times New Roman" w:hAnsi="Times New Roman"/>
        </w:rPr>
        <w:t xml:space="preserve"> až 201</w:t>
      </w:r>
      <w:r w:rsidRPr="003859CD" w:rsidR="004C5F0B">
        <w:rPr>
          <w:rFonts w:ascii="Times New Roman" w:hAnsi="Times New Roman"/>
        </w:rPr>
        <w:t>8</w:t>
      </w:r>
      <w:r w:rsidRPr="003859CD">
        <w:rPr>
          <w:rFonts w:ascii="Times New Roman" w:hAnsi="Times New Roman"/>
        </w:rPr>
        <w:t xml:space="preserve"> stanovuje hlavné fiškálne ciele na nasledujúce roky</w:t>
      </w:r>
      <w:r w:rsidRPr="003859CD" w:rsidR="000879C7">
        <w:rPr>
          <w:rFonts w:ascii="Times New Roman" w:hAnsi="Times New Roman"/>
        </w:rPr>
        <w:t>.</w:t>
      </w:r>
      <w:r w:rsidRPr="003859CD">
        <w:rPr>
          <w:rFonts w:ascii="Times New Roman" w:hAnsi="Times New Roman"/>
        </w:rPr>
        <w:t xml:space="preserve"> </w:t>
      </w:r>
      <w:r w:rsidRPr="003859CD" w:rsidR="000879C7">
        <w:rPr>
          <w:rFonts w:ascii="Times New Roman" w:hAnsi="Times New Roman"/>
        </w:rPr>
        <w:t xml:space="preserve">Východiskom je očakávaný </w:t>
      </w:r>
      <w:r w:rsidRPr="003859CD">
        <w:rPr>
          <w:rFonts w:ascii="Times New Roman" w:hAnsi="Times New Roman"/>
        </w:rPr>
        <w:t xml:space="preserve">deficit verejnej správy </w:t>
      </w:r>
      <w:r w:rsidRPr="003859CD" w:rsidR="000879C7">
        <w:rPr>
          <w:rFonts w:ascii="Times New Roman" w:hAnsi="Times New Roman"/>
        </w:rPr>
        <w:t xml:space="preserve">v roku 2015 na úrovni </w:t>
      </w:r>
      <w:r w:rsidRPr="003859CD">
        <w:rPr>
          <w:rFonts w:ascii="Times New Roman" w:hAnsi="Times New Roman"/>
        </w:rPr>
        <w:t>2,</w:t>
      </w:r>
      <w:r w:rsidRPr="003859CD" w:rsidR="00305B0B">
        <w:rPr>
          <w:rFonts w:ascii="Times New Roman" w:hAnsi="Times New Roman"/>
        </w:rPr>
        <w:t>7</w:t>
      </w:r>
      <w:r w:rsidRPr="003859CD">
        <w:rPr>
          <w:rFonts w:ascii="Times New Roman" w:hAnsi="Times New Roman"/>
        </w:rPr>
        <w:t xml:space="preserve"> % HDP. V roku 2016 by mal deficit klesnúť na 1,</w:t>
      </w:r>
      <w:r w:rsidRPr="003859CD" w:rsidR="004C5F0B">
        <w:rPr>
          <w:rFonts w:ascii="Times New Roman" w:hAnsi="Times New Roman"/>
        </w:rPr>
        <w:t>9</w:t>
      </w:r>
      <w:r w:rsidRPr="003859CD">
        <w:rPr>
          <w:rFonts w:ascii="Times New Roman" w:hAnsi="Times New Roman"/>
        </w:rPr>
        <w:t xml:space="preserve"> % HDP </w:t>
      </w:r>
      <w:r w:rsidRPr="003859CD" w:rsidR="00624429">
        <w:rPr>
          <w:rFonts w:ascii="Times New Roman" w:hAnsi="Times New Roman"/>
        </w:rPr>
        <w:t xml:space="preserve">a v roku 2017 </w:t>
      </w:r>
      <w:r w:rsidRPr="003859CD">
        <w:rPr>
          <w:rFonts w:ascii="Times New Roman" w:hAnsi="Times New Roman"/>
        </w:rPr>
        <w:t>na úroveň 0,</w:t>
      </w:r>
      <w:r w:rsidRPr="003859CD" w:rsidR="00305B0B">
        <w:rPr>
          <w:rFonts w:ascii="Times New Roman" w:hAnsi="Times New Roman"/>
        </w:rPr>
        <w:t>4</w:t>
      </w:r>
      <w:r w:rsidRPr="003859CD">
        <w:rPr>
          <w:rFonts w:ascii="Times New Roman" w:hAnsi="Times New Roman"/>
        </w:rPr>
        <w:t xml:space="preserve"> % HDP.</w:t>
      </w:r>
      <w:r w:rsidRPr="003859CD" w:rsidR="000879C7">
        <w:rPr>
          <w:rFonts w:ascii="Times New Roman" w:hAnsi="Times New Roman"/>
        </w:rPr>
        <w:t xml:space="preserve"> Na rok 2018 sa predpokladá </w:t>
      </w:r>
      <w:r w:rsidRPr="003859CD" w:rsidR="00305B0B">
        <w:rPr>
          <w:rFonts w:ascii="Times New Roman" w:hAnsi="Times New Roman"/>
        </w:rPr>
        <w:t>dosiahnutie vyrovnaného rozpočtu.</w:t>
      </w:r>
      <w:r w:rsidRPr="003859CD">
        <w:rPr>
          <w:rFonts w:ascii="Times New Roman" w:hAnsi="Times New Roman"/>
        </w:rPr>
        <w:t xml:space="preserve"> </w:t>
      </w:r>
    </w:p>
    <w:p w:rsidR="0005739A" w:rsidRPr="003859CD" w:rsidP="003859CD">
      <w:pPr>
        <w:autoSpaceDE w:val="0"/>
        <w:autoSpaceDN w:val="0"/>
        <w:bidi w:val="0"/>
        <w:adjustRightInd w:val="0"/>
        <w:spacing w:after="240"/>
        <w:ind w:firstLine="708"/>
        <w:jc w:val="both"/>
        <w:rPr>
          <w:rFonts w:ascii="Times New Roman" w:hAnsi="Times New Roman"/>
        </w:rPr>
      </w:pPr>
      <w:r w:rsidRPr="003859CD">
        <w:rPr>
          <w:rFonts w:ascii="Times New Roman" w:hAnsi="Times New Roman"/>
        </w:rPr>
        <w:t>Prvýkrát od vypuknutia hospodárskej krízy v roku 2008 došlo k poklesu dlhu</w:t>
      </w:r>
      <w:r>
        <w:rPr>
          <w:rStyle w:val="FootnoteReference"/>
          <w:rFonts w:ascii="Times New Roman" w:hAnsi="Times New Roman"/>
          <w:rtl w:val="0"/>
          <w:lang w:val="en-US" w:eastAsia="en-US"/>
        </w:rPr>
        <w:footnoteReference w:id="4"/>
      </w:r>
      <w:r w:rsidRPr="003859CD">
        <w:rPr>
          <w:rFonts w:ascii="Times New Roman" w:hAnsi="Times New Roman"/>
        </w:rPr>
        <w:t xml:space="preserve"> v pomere k HDP, ktorý sa medziročne znížil o 1 p.b. Porovnateľne nízky nárast bol naposledy v roku 2006. </w:t>
      </w:r>
      <w:r w:rsidR="00D22C08">
        <w:rPr>
          <w:rFonts w:ascii="Times New Roman" w:hAnsi="Times New Roman"/>
        </w:rPr>
        <w:t>Podľa aktuálnej prognózy</w:t>
      </w:r>
      <w:r w:rsidRPr="003859CD">
        <w:rPr>
          <w:rFonts w:ascii="Times New Roman" w:hAnsi="Times New Roman"/>
        </w:rPr>
        <w:t xml:space="preserve"> bude dlh ako podiel na HDP v celom prognózovanom </w:t>
      </w:r>
      <w:r w:rsidR="00642740">
        <w:rPr>
          <w:rFonts w:ascii="Times New Roman" w:hAnsi="Times New Roman"/>
        </w:rPr>
        <w:t xml:space="preserve">období </w:t>
      </w:r>
      <w:r w:rsidRPr="003859CD">
        <w:rPr>
          <w:rFonts w:ascii="Times New Roman" w:hAnsi="Times New Roman"/>
        </w:rPr>
        <w:t xml:space="preserve">klesať </w:t>
      </w:r>
      <w:r w:rsidRPr="003859CD" w:rsidR="000879C7">
        <w:rPr>
          <w:rFonts w:ascii="Times New Roman" w:hAnsi="Times New Roman"/>
        </w:rPr>
        <w:t xml:space="preserve">pod </w:t>
      </w:r>
      <w:r w:rsidRPr="003859CD">
        <w:rPr>
          <w:rFonts w:ascii="Times New Roman" w:hAnsi="Times New Roman"/>
        </w:rPr>
        <w:t>hranic</w:t>
      </w:r>
      <w:r w:rsidRPr="003859CD" w:rsidR="000879C7">
        <w:rPr>
          <w:rFonts w:ascii="Times New Roman" w:hAnsi="Times New Roman"/>
        </w:rPr>
        <w:t>u</w:t>
      </w:r>
      <w:r w:rsidR="00D22C08">
        <w:rPr>
          <w:rFonts w:ascii="Times New Roman" w:hAnsi="Times New Roman"/>
        </w:rPr>
        <w:t xml:space="preserve"> 49</w:t>
      </w:r>
      <w:r w:rsidRPr="003859CD">
        <w:rPr>
          <w:rFonts w:ascii="Times New Roman" w:hAnsi="Times New Roman"/>
        </w:rPr>
        <w:t xml:space="preserve"> </w:t>
      </w:r>
      <w:r w:rsidR="00642740">
        <w:rPr>
          <w:rFonts w:ascii="Times New Roman" w:hAnsi="Times New Roman"/>
        </w:rPr>
        <w:t>%</w:t>
      </w:r>
      <w:r w:rsidRPr="003859CD">
        <w:rPr>
          <w:rFonts w:ascii="Times New Roman" w:hAnsi="Times New Roman"/>
        </w:rPr>
        <w:t xml:space="preserve"> HDP v roku 2018.</w:t>
      </w:r>
    </w:p>
    <w:p w:rsidR="00EE5DBF" w:rsidRPr="003859CD" w:rsidP="003859CD">
      <w:pPr>
        <w:autoSpaceDE w:val="0"/>
        <w:autoSpaceDN w:val="0"/>
        <w:bidi w:val="0"/>
        <w:adjustRightInd w:val="0"/>
        <w:spacing w:after="240"/>
        <w:ind w:firstLine="708"/>
        <w:jc w:val="both"/>
        <w:rPr>
          <w:rFonts w:ascii="Times New Roman" w:hAnsi="Times New Roman"/>
        </w:rPr>
      </w:pPr>
      <w:r w:rsidRPr="003859CD" w:rsidR="00F3169E">
        <w:rPr>
          <w:rFonts w:ascii="Times New Roman" w:hAnsi="Times New Roman"/>
        </w:rPr>
        <w:t>V</w:t>
      </w:r>
      <w:r w:rsidRPr="003859CD" w:rsidR="00004E19">
        <w:rPr>
          <w:rFonts w:ascii="Times New Roman" w:hAnsi="Times New Roman"/>
        </w:rPr>
        <w:t xml:space="preserve"> roku 2014 </w:t>
      </w:r>
      <w:r w:rsidRPr="003859CD" w:rsidR="00F3169E">
        <w:rPr>
          <w:rFonts w:ascii="Times New Roman" w:hAnsi="Times New Roman"/>
        </w:rPr>
        <w:t>klesol hrubý dlh najmä vďaka využitiu</w:t>
      </w:r>
      <w:r w:rsidR="00642740">
        <w:rPr>
          <w:rFonts w:ascii="Times New Roman" w:hAnsi="Times New Roman"/>
        </w:rPr>
        <w:t xml:space="preserve"> hotovostnej rezervy a splateniu</w:t>
      </w:r>
      <w:r w:rsidRPr="003859CD" w:rsidR="00004E19">
        <w:rPr>
          <w:rFonts w:ascii="Times New Roman" w:hAnsi="Times New Roman"/>
        </w:rPr>
        <w:t xml:space="preserve"> úveru Agentúry pre núdzové zásoby ropy a ropných výrobkov (EOSA). V roku 2015 sa očakáva stabilizácia</w:t>
      </w:r>
      <w:r w:rsidR="00642740">
        <w:rPr>
          <w:rFonts w:ascii="Times New Roman" w:hAnsi="Times New Roman"/>
        </w:rPr>
        <w:t>,</w:t>
      </w:r>
      <w:r w:rsidRPr="003859CD" w:rsidR="00004E19">
        <w:rPr>
          <w:rFonts w:ascii="Times New Roman" w:hAnsi="Times New Roman"/>
        </w:rPr>
        <w:t xml:space="preserve"> resp. mierny pokles dlhu, najmä </w:t>
      </w:r>
      <w:r w:rsidRPr="003859CD" w:rsidR="00624429">
        <w:rPr>
          <w:rFonts w:ascii="Times New Roman" w:hAnsi="Times New Roman"/>
        </w:rPr>
        <w:t xml:space="preserve">v dôsledku </w:t>
      </w:r>
      <w:r w:rsidRPr="003859CD" w:rsidR="00004E19">
        <w:rPr>
          <w:rFonts w:ascii="Times New Roman" w:hAnsi="Times New Roman"/>
        </w:rPr>
        <w:t xml:space="preserve">hotovostných </w:t>
      </w:r>
      <w:r w:rsidRPr="003859CD" w:rsidR="00624429">
        <w:rPr>
          <w:rFonts w:ascii="Times New Roman" w:hAnsi="Times New Roman"/>
        </w:rPr>
        <w:t>príjmov z predaja Slovak Telekomu.</w:t>
      </w:r>
    </w:p>
    <w:tbl>
      <w:tblPr>
        <w:tblStyle w:val="TableNormal"/>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0"/>
        <w:gridCol w:w="2374"/>
        <w:gridCol w:w="865"/>
        <w:gridCol w:w="866"/>
        <w:gridCol w:w="866"/>
        <w:gridCol w:w="947"/>
        <w:gridCol w:w="850"/>
        <w:gridCol w:w="851"/>
        <w:gridCol w:w="850"/>
      </w:tblGrid>
      <w:tr>
        <w:tblPrEx>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3"/>
        </w:trPr>
        <w:tc>
          <w:tcPr>
            <w:tcW w:w="9229" w:type="dxa"/>
            <w:gridSpan w:val="9"/>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5747A7" w:rsidRPr="003859CD" w:rsidP="00004E19">
            <w:pPr>
              <w:bidi w:val="0"/>
              <w:rPr>
                <w:rFonts w:ascii="Times New Roman" w:hAnsi="Times New Roman"/>
                <w:b/>
                <w:bCs/>
                <w:sz w:val="16"/>
                <w:szCs w:val="16"/>
                <w:lang w:eastAsia="en-US"/>
              </w:rPr>
            </w:pPr>
            <w:r w:rsidRPr="003859CD">
              <w:rPr>
                <w:rFonts w:ascii="Times New Roman" w:hAnsi="Times New Roman"/>
                <w:b/>
                <w:sz w:val="16"/>
                <w:szCs w:val="16"/>
              </w:rPr>
              <w:t xml:space="preserve">Vývoj salda a dlhu verejnej správy (ESA </w:t>
            </w:r>
            <w:r w:rsidRPr="003859CD" w:rsidR="00004E19">
              <w:rPr>
                <w:rFonts w:ascii="Times New Roman" w:hAnsi="Times New Roman"/>
                <w:b/>
                <w:sz w:val="16"/>
                <w:szCs w:val="16"/>
              </w:rPr>
              <w:t>2010</w:t>
            </w:r>
            <w:r w:rsidRPr="003859CD">
              <w:rPr>
                <w:rFonts w:ascii="Times New Roman" w:hAnsi="Times New Roman"/>
                <w:b/>
                <w:sz w:val="16"/>
                <w:szCs w:val="16"/>
              </w:rPr>
              <w:t>, % HDP)</w:t>
            </w:r>
          </w:p>
        </w:tc>
      </w:tr>
      <w:tr>
        <w:tblPrEx>
          <w:tblW w:w="9229" w:type="dxa"/>
          <w:tblInd w:w="93" w:type="dxa"/>
          <w:tblLayout w:type="fixed"/>
          <w:tblLook w:val="04A0"/>
        </w:tblPrEx>
        <w:trPr>
          <w:trHeight w:val="227"/>
        </w:trPr>
        <w:tc>
          <w:tcPr>
            <w:tcW w:w="3134" w:type="dxa"/>
            <w:gridSpan w:val="2"/>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747A7" w:rsidRPr="003859CD" w:rsidP="00227F96">
            <w:pPr>
              <w:bidi w:val="0"/>
              <w:rPr>
                <w:rFonts w:ascii="Times New Roman" w:hAnsi="Times New Roman"/>
                <w:b/>
                <w:bCs/>
                <w:color w:val="000000"/>
                <w:sz w:val="16"/>
                <w:szCs w:val="16"/>
                <w:lang w:eastAsia="en-US"/>
              </w:rPr>
            </w:pPr>
            <w:r w:rsidRPr="003859CD">
              <w:rPr>
                <w:rFonts w:ascii="Times New Roman" w:hAnsi="Times New Roman"/>
                <w:b/>
                <w:bCs/>
                <w:color w:val="000000"/>
                <w:sz w:val="16"/>
                <w:szCs w:val="16"/>
                <w:lang w:eastAsia="en-US"/>
              </w:rPr>
              <w:t> </w:t>
            </w:r>
          </w:p>
        </w:tc>
        <w:tc>
          <w:tcPr>
            <w:tcW w:w="86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747A7" w:rsidRPr="003859CD" w:rsidP="003859CD">
            <w:pPr>
              <w:bidi w:val="0"/>
              <w:jc w:val="center"/>
              <w:rPr>
                <w:rFonts w:ascii="Times New Roman" w:hAnsi="Times New Roman"/>
                <w:b/>
                <w:bCs/>
                <w:color w:val="000000"/>
                <w:sz w:val="16"/>
                <w:szCs w:val="16"/>
                <w:lang w:eastAsia="en-US"/>
              </w:rPr>
            </w:pPr>
            <w:r w:rsidRPr="003859CD">
              <w:rPr>
                <w:rFonts w:ascii="Times New Roman" w:hAnsi="Times New Roman"/>
                <w:b/>
                <w:bCs/>
                <w:color w:val="000000"/>
                <w:sz w:val="16"/>
                <w:szCs w:val="16"/>
                <w:lang w:eastAsia="en-US"/>
              </w:rPr>
              <w:t>201</w:t>
            </w:r>
            <w:r w:rsidRPr="003859CD" w:rsidR="00EE5DBF">
              <w:rPr>
                <w:rFonts w:ascii="Times New Roman" w:hAnsi="Times New Roman"/>
                <w:b/>
                <w:bCs/>
                <w:color w:val="000000"/>
                <w:sz w:val="16"/>
                <w:szCs w:val="16"/>
                <w:lang w:eastAsia="en-US"/>
              </w:rPr>
              <w:t>3</w:t>
            </w:r>
            <w:r w:rsidRPr="003859CD">
              <w:rPr>
                <w:rFonts w:ascii="Times New Roman" w:hAnsi="Times New Roman"/>
                <w:b/>
                <w:bCs/>
                <w:color w:val="000000"/>
                <w:sz w:val="16"/>
                <w:szCs w:val="16"/>
                <w:lang w:eastAsia="en-US"/>
              </w:rPr>
              <w:t xml:space="preserve"> S</w:t>
            </w:r>
          </w:p>
        </w:tc>
        <w:tc>
          <w:tcPr>
            <w:tcW w:w="86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747A7" w:rsidRPr="003859CD" w:rsidP="003859CD">
            <w:pPr>
              <w:bidi w:val="0"/>
              <w:jc w:val="center"/>
              <w:rPr>
                <w:rFonts w:ascii="Times New Roman" w:hAnsi="Times New Roman"/>
                <w:b/>
                <w:bCs/>
                <w:color w:val="000000"/>
                <w:sz w:val="16"/>
                <w:szCs w:val="16"/>
                <w:lang w:eastAsia="en-US"/>
              </w:rPr>
            </w:pPr>
            <w:r w:rsidRPr="003859CD">
              <w:rPr>
                <w:rFonts w:ascii="Times New Roman" w:hAnsi="Times New Roman"/>
                <w:b/>
                <w:bCs/>
                <w:color w:val="000000"/>
                <w:sz w:val="16"/>
                <w:szCs w:val="16"/>
                <w:lang w:eastAsia="en-US"/>
              </w:rPr>
              <w:t>2</w:t>
            </w:r>
            <w:r w:rsidRPr="003859CD" w:rsidR="00EE5DBF">
              <w:rPr>
                <w:rFonts w:ascii="Times New Roman" w:hAnsi="Times New Roman"/>
                <w:b/>
                <w:bCs/>
                <w:color w:val="000000"/>
                <w:sz w:val="16"/>
                <w:szCs w:val="16"/>
                <w:lang w:eastAsia="en-US"/>
              </w:rPr>
              <w:t>014</w:t>
            </w:r>
            <w:r w:rsidRPr="003859CD">
              <w:rPr>
                <w:rFonts w:ascii="Times New Roman" w:hAnsi="Times New Roman"/>
                <w:b/>
                <w:bCs/>
                <w:color w:val="000000"/>
                <w:sz w:val="16"/>
                <w:szCs w:val="16"/>
                <w:lang w:eastAsia="en-US"/>
              </w:rPr>
              <w:t xml:space="preserve"> S</w:t>
            </w:r>
          </w:p>
        </w:tc>
        <w:tc>
          <w:tcPr>
            <w:tcW w:w="86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747A7" w:rsidRPr="003859CD" w:rsidP="003859CD">
            <w:pPr>
              <w:bidi w:val="0"/>
              <w:jc w:val="center"/>
              <w:rPr>
                <w:rFonts w:ascii="Times New Roman" w:hAnsi="Times New Roman"/>
                <w:b/>
                <w:bCs/>
                <w:color w:val="000000"/>
                <w:sz w:val="16"/>
                <w:szCs w:val="16"/>
                <w:lang w:eastAsia="en-US"/>
              </w:rPr>
            </w:pPr>
            <w:r w:rsidRPr="003859CD" w:rsidR="00EE5DBF">
              <w:rPr>
                <w:rFonts w:ascii="Times New Roman" w:hAnsi="Times New Roman"/>
                <w:b/>
                <w:bCs/>
                <w:color w:val="000000"/>
                <w:sz w:val="16"/>
                <w:szCs w:val="16"/>
                <w:lang w:eastAsia="en-US"/>
              </w:rPr>
              <w:t>2015</w:t>
            </w:r>
            <w:r w:rsidRPr="003859CD">
              <w:rPr>
                <w:rFonts w:ascii="Times New Roman" w:hAnsi="Times New Roman"/>
                <w:b/>
                <w:bCs/>
                <w:color w:val="000000"/>
                <w:sz w:val="16"/>
                <w:szCs w:val="16"/>
                <w:lang w:eastAsia="en-US"/>
              </w:rPr>
              <w:t xml:space="preserve"> </w:t>
            </w:r>
            <w:r w:rsidRPr="003859CD" w:rsidR="00EE5DBF">
              <w:rPr>
                <w:rFonts w:ascii="Times New Roman" w:hAnsi="Times New Roman"/>
                <w:b/>
                <w:bCs/>
                <w:color w:val="000000"/>
                <w:sz w:val="16"/>
                <w:szCs w:val="16"/>
                <w:lang w:eastAsia="en-US"/>
              </w:rPr>
              <w:t>R</w:t>
            </w:r>
          </w:p>
        </w:tc>
        <w:tc>
          <w:tcPr>
            <w:tcW w:w="94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747A7" w:rsidRPr="003859CD" w:rsidP="003859CD">
            <w:pPr>
              <w:bidi w:val="0"/>
              <w:jc w:val="center"/>
              <w:rPr>
                <w:rFonts w:ascii="Times New Roman" w:hAnsi="Times New Roman"/>
                <w:b/>
                <w:bCs/>
                <w:color w:val="000000"/>
                <w:sz w:val="16"/>
                <w:szCs w:val="16"/>
                <w:lang w:eastAsia="en-US"/>
              </w:rPr>
            </w:pPr>
            <w:r w:rsidRPr="003859CD">
              <w:rPr>
                <w:rFonts w:ascii="Times New Roman" w:hAnsi="Times New Roman"/>
                <w:b/>
                <w:bCs/>
                <w:color w:val="000000"/>
                <w:sz w:val="16"/>
                <w:szCs w:val="16"/>
                <w:lang w:eastAsia="en-US"/>
              </w:rPr>
              <w:t>201</w:t>
            </w:r>
            <w:r w:rsidRPr="003859CD" w:rsidR="00EE5DBF">
              <w:rPr>
                <w:rFonts w:ascii="Times New Roman" w:hAnsi="Times New Roman"/>
                <w:b/>
                <w:bCs/>
                <w:color w:val="000000"/>
                <w:sz w:val="16"/>
                <w:szCs w:val="16"/>
                <w:lang w:eastAsia="en-US"/>
              </w:rPr>
              <w:t>5 OS</w:t>
            </w:r>
          </w:p>
        </w:tc>
        <w:tc>
          <w:tcPr>
            <w:tcW w:w="85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747A7" w:rsidRPr="003859CD" w:rsidP="003859CD">
            <w:pPr>
              <w:bidi w:val="0"/>
              <w:jc w:val="center"/>
              <w:rPr>
                <w:rFonts w:ascii="Times New Roman" w:hAnsi="Times New Roman"/>
                <w:b/>
                <w:bCs/>
                <w:color w:val="000000"/>
                <w:sz w:val="16"/>
                <w:szCs w:val="16"/>
                <w:lang w:eastAsia="en-US"/>
              </w:rPr>
            </w:pPr>
            <w:r w:rsidRPr="003859CD" w:rsidR="00EE5DBF">
              <w:rPr>
                <w:rFonts w:ascii="Times New Roman" w:hAnsi="Times New Roman"/>
                <w:b/>
                <w:bCs/>
                <w:color w:val="000000"/>
                <w:sz w:val="16"/>
                <w:szCs w:val="16"/>
                <w:lang w:eastAsia="en-US"/>
              </w:rPr>
              <w:t>2016</w:t>
            </w:r>
            <w:r w:rsidRPr="003859CD">
              <w:rPr>
                <w:rFonts w:ascii="Times New Roman" w:hAnsi="Times New Roman"/>
                <w:b/>
                <w:bCs/>
                <w:color w:val="000000"/>
                <w:sz w:val="16"/>
                <w:szCs w:val="16"/>
                <w:lang w:eastAsia="en-US"/>
              </w:rPr>
              <w:t xml:space="preserve"> N</w:t>
            </w:r>
          </w:p>
        </w:tc>
        <w:tc>
          <w:tcPr>
            <w:tcW w:w="85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747A7" w:rsidRPr="003859CD" w:rsidP="003859CD">
            <w:pPr>
              <w:bidi w:val="0"/>
              <w:jc w:val="center"/>
              <w:rPr>
                <w:rFonts w:ascii="Times New Roman" w:hAnsi="Times New Roman"/>
                <w:b/>
                <w:bCs/>
                <w:color w:val="000000"/>
                <w:sz w:val="16"/>
                <w:szCs w:val="16"/>
                <w:lang w:eastAsia="en-US"/>
              </w:rPr>
            </w:pPr>
            <w:r w:rsidRPr="003859CD">
              <w:rPr>
                <w:rFonts w:ascii="Times New Roman" w:hAnsi="Times New Roman"/>
                <w:b/>
                <w:bCs/>
                <w:color w:val="000000"/>
                <w:sz w:val="16"/>
                <w:szCs w:val="16"/>
                <w:lang w:eastAsia="en-US"/>
              </w:rPr>
              <w:t>201</w:t>
            </w:r>
            <w:r w:rsidRPr="003859CD" w:rsidR="00EE5DBF">
              <w:rPr>
                <w:rFonts w:ascii="Times New Roman" w:hAnsi="Times New Roman"/>
                <w:b/>
                <w:bCs/>
                <w:color w:val="000000"/>
                <w:sz w:val="16"/>
                <w:szCs w:val="16"/>
                <w:lang w:eastAsia="en-US"/>
              </w:rPr>
              <w:t>7</w:t>
            </w:r>
            <w:r w:rsidRPr="003859CD">
              <w:rPr>
                <w:rFonts w:ascii="Times New Roman" w:hAnsi="Times New Roman"/>
                <w:b/>
                <w:bCs/>
                <w:color w:val="000000"/>
                <w:sz w:val="16"/>
                <w:szCs w:val="16"/>
                <w:lang w:eastAsia="en-US"/>
              </w:rPr>
              <w:t xml:space="preserve"> N</w:t>
            </w:r>
          </w:p>
        </w:tc>
        <w:tc>
          <w:tcPr>
            <w:tcW w:w="85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747A7" w:rsidRPr="003859CD" w:rsidP="003859CD">
            <w:pPr>
              <w:bidi w:val="0"/>
              <w:jc w:val="center"/>
              <w:rPr>
                <w:rFonts w:ascii="Times New Roman" w:hAnsi="Times New Roman"/>
                <w:b/>
                <w:bCs/>
                <w:color w:val="000000"/>
                <w:sz w:val="16"/>
                <w:szCs w:val="16"/>
                <w:lang w:eastAsia="en-US"/>
              </w:rPr>
            </w:pPr>
            <w:r w:rsidRPr="003859CD">
              <w:rPr>
                <w:rFonts w:ascii="Times New Roman" w:hAnsi="Times New Roman"/>
                <w:b/>
                <w:bCs/>
                <w:color w:val="000000"/>
                <w:sz w:val="16"/>
                <w:szCs w:val="16"/>
                <w:lang w:eastAsia="en-US"/>
              </w:rPr>
              <w:t>201</w:t>
            </w:r>
            <w:r w:rsidRPr="003859CD" w:rsidR="00EE5DBF">
              <w:rPr>
                <w:rFonts w:ascii="Times New Roman" w:hAnsi="Times New Roman"/>
                <w:b/>
                <w:bCs/>
                <w:color w:val="000000"/>
                <w:sz w:val="16"/>
                <w:szCs w:val="16"/>
                <w:lang w:eastAsia="en-US"/>
              </w:rPr>
              <w:t>8</w:t>
            </w:r>
            <w:r w:rsidRPr="003859CD">
              <w:rPr>
                <w:rFonts w:ascii="Times New Roman" w:hAnsi="Times New Roman"/>
                <w:b/>
                <w:bCs/>
                <w:color w:val="000000"/>
                <w:sz w:val="16"/>
                <w:szCs w:val="16"/>
                <w:lang w:eastAsia="en-US"/>
              </w:rPr>
              <w:t xml:space="preserve"> N</w:t>
            </w:r>
          </w:p>
        </w:tc>
      </w:tr>
      <w:tr>
        <w:tblPrEx>
          <w:tblW w:w="9229" w:type="dxa"/>
          <w:tblInd w:w="93" w:type="dxa"/>
          <w:tblLayout w:type="fixed"/>
          <w:tblLook w:val="04A0"/>
        </w:tblPrEx>
        <w:trPr>
          <w:trHeight w:val="227"/>
        </w:trPr>
        <w:tc>
          <w:tcPr>
            <w:tcW w:w="3134"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624429" w:rsidRPr="003859CD" w:rsidP="00624429">
            <w:pPr>
              <w:bidi w:val="0"/>
              <w:rPr>
                <w:rFonts w:ascii="Times New Roman" w:hAnsi="Times New Roman"/>
                <w:color w:val="000000"/>
                <w:sz w:val="16"/>
                <w:szCs w:val="16"/>
                <w:lang w:eastAsia="en-US"/>
              </w:rPr>
            </w:pPr>
            <w:r w:rsidRPr="003859CD">
              <w:rPr>
                <w:rFonts w:ascii="Times New Roman" w:hAnsi="Times New Roman"/>
                <w:color w:val="000000"/>
                <w:sz w:val="16"/>
                <w:szCs w:val="16"/>
                <w:lang w:eastAsia="en-US"/>
              </w:rPr>
              <w:t>Saldo VS</w:t>
            </w:r>
          </w:p>
        </w:tc>
        <w:tc>
          <w:tcPr>
            <w:tcW w:w="865" w:type="dxa"/>
            <w:tcBorders>
              <w:top w:val="single" w:sz="4" w:space="0" w:color="auto"/>
              <w:left w:val="single" w:sz="4" w:space="0" w:color="auto"/>
              <w:bottom w:val="single" w:sz="4" w:space="0" w:color="auto"/>
              <w:right w:val="single" w:sz="4" w:space="0" w:color="auto"/>
            </w:tcBorders>
            <w:noWrap/>
            <w:textDirection w:val="lrTb"/>
            <w:vAlign w:val="center"/>
          </w:tcPr>
          <w:p w:rsidR="00624429" w:rsidRPr="003859CD" w:rsidP="003859C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-2,6</w:t>
            </w:r>
          </w:p>
        </w:tc>
        <w:tc>
          <w:tcPr>
            <w:tcW w:w="866" w:type="dxa"/>
            <w:tcBorders>
              <w:top w:val="single" w:sz="4" w:space="0" w:color="auto"/>
              <w:left w:val="single" w:sz="4" w:space="0" w:color="auto"/>
              <w:bottom w:val="single" w:sz="4" w:space="0" w:color="auto"/>
              <w:right w:val="single" w:sz="4" w:space="0" w:color="auto"/>
            </w:tcBorders>
            <w:noWrap/>
            <w:textDirection w:val="lrTb"/>
            <w:vAlign w:val="bottom"/>
          </w:tcPr>
          <w:p w:rsidR="00624429" w:rsidRPr="003859CD" w:rsidP="003859C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-2,9</w:t>
            </w:r>
          </w:p>
        </w:tc>
        <w:tc>
          <w:tcPr>
            <w:tcW w:w="866" w:type="dxa"/>
            <w:tcBorders>
              <w:top w:val="single" w:sz="4" w:space="0" w:color="auto"/>
              <w:left w:val="single" w:sz="4" w:space="0" w:color="auto"/>
              <w:bottom w:val="single" w:sz="4" w:space="0" w:color="auto"/>
              <w:right w:val="single" w:sz="4" w:space="0" w:color="auto"/>
            </w:tcBorders>
            <w:noWrap/>
            <w:textDirection w:val="lrTb"/>
            <w:vAlign w:val="bottom"/>
          </w:tcPr>
          <w:p w:rsidR="00624429" w:rsidRPr="003859CD" w:rsidP="003859C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-2,5</w:t>
            </w:r>
          </w:p>
        </w:tc>
        <w:tc>
          <w:tcPr>
            <w:tcW w:w="947" w:type="dxa"/>
            <w:tcBorders>
              <w:top w:val="single" w:sz="4" w:space="0" w:color="auto"/>
              <w:left w:val="single" w:sz="4" w:space="0" w:color="auto"/>
              <w:bottom w:val="single" w:sz="4" w:space="0" w:color="auto"/>
              <w:right w:val="single" w:sz="4" w:space="0" w:color="auto"/>
            </w:tcBorders>
            <w:textDirection w:val="lrTb"/>
            <w:vAlign w:val="bottom"/>
          </w:tcPr>
          <w:p w:rsidR="00624429" w:rsidRPr="003859CD" w:rsidP="003859C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-2,7</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tcPr>
          <w:p w:rsidR="00624429" w:rsidRPr="003859CD" w:rsidP="003859C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-1,9</w:t>
            </w:r>
          </w:p>
        </w:tc>
        <w:tc>
          <w:tcPr>
            <w:tcW w:w="851" w:type="dxa"/>
            <w:tcBorders>
              <w:top w:val="single" w:sz="4" w:space="0" w:color="auto"/>
              <w:left w:val="single" w:sz="4" w:space="0" w:color="auto"/>
              <w:bottom w:val="single" w:sz="4" w:space="0" w:color="auto"/>
              <w:right w:val="single" w:sz="4" w:space="0" w:color="auto"/>
            </w:tcBorders>
            <w:noWrap/>
            <w:textDirection w:val="lrTb"/>
            <w:vAlign w:val="bottom"/>
          </w:tcPr>
          <w:p w:rsidR="00624429" w:rsidRPr="003859CD" w:rsidP="003859C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-0,4</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tcPr>
          <w:p w:rsidR="00624429" w:rsidRPr="003859CD" w:rsidP="003859C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0,0</w:t>
            </w:r>
          </w:p>
        </w:tc>
      </w:tr>
      <w:tr>
        <w:tblPrEx>
          <w:tblW w:w="9229" w:type="dxa"/>
          <w:tblInd w:w="93" w:type="dxa"/>
          <w:tblLayout w:type="fixed"/>
          <w:tblLook w:val="04A0"/>
        </w:tblPrEx>
        <w:trPr>
          <w:trHeight w:val="227"/>
        </w:trPr>
        <w:tc>
          <w:tcPr>
            <w:tcW w:w="3134"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624429" w:rsidRPr="003859CD" w:rsidP="00624429">
            <w:pPr>
              <w:bidi w:val="0"/>
              <w:rPr>
                <w:rFonts w:ascii="Times New Roman" w:hAnsi="Times New Roman"/>
                <w:color w:val="000000"/>
                <w:sz w:val="16"/>
                <w:szCs w:val="16"/>
                <w:lang w:eastAsia="en-US"/>
              </w:rPr>
            </w:pPr>
            <w:r w:rsidRPr="003859CD">
              <w:rPr>
                <w:rFonts w:ascii="Times New Roman" w:hAnsi="Times New Roman"/>
                <w:color w:val="000000"/>
                <w:sz w:val="16"/>
                <w:szCs w:val="16"/>
                <w:lang w:eastAsia="en-US"/>
              </w:rPr>
              <w:t>Hrubý dlh VS</w:t>
            </w:r>
          </w:p>
        </w:tc>
        <w:tc>
          <w:tcPr>
            <w:tcW w:w="865" w:type="dxa"/>
            <w:tcBorders>
              <w:top w:val="single" w:sz="4" w:space="0" w:color="auto"/>
              <w:left w:val="single" w:sz="4" w:space="0" w:color="auto"/>
              <w:bottom w:val="single" w:sz="4" w:space="0" w:color="auto"/>
              <w:right w:val="single" w:sz="4" w:space="0" w:color="auto"/>
            </w:tcBorders>
            <w:noWrap/>
            <w:textDirection w:val="lrTb"/>
            <w:vAlign w:val="bottom"/>
          </w:tcPr>
          <w:p w:rsidR="00624429" w:rsidRPr="003859CD" w:rsidP="003859C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54,6</w:t>
            </w:r>
          </w:p>
        </w:tc>
        <w:tc>
          <w:tcPr>
            <w:tcW w:w="866" w:type="dxa"/>
            <w:tcBorders>
              <w:top w:val="single" w:sz="4" w:space="0" w:color="auto"/>
              <w:left w:val="single" w:sz="4" w:space="0" w:color="auto"/>
              <w:bottom w:val="single" w:sz="4" w:space="0" w:color="auto"/>
              <w:right w:val="single" w:sz="4" w:space="0" w:color="auto"/>
            </w:tcBorders>
            <w:noWrap/>
            <w:textDirection w:val="lrTb"/>
            <w:vAlign w:val="bottom"/>
          </w:tcPr>
          <w:p w:rsidR="00624429" w:rsidRPr="003859CD" w:rsidP="003859C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53,6</w:t>
            </w:r>
          </w:p>
        </w:tc>
        <w:tc>
          <w:tcPr>
            <w:tcW w:w="866" w:type="dxa"/>
            <w:tcBorders>
              <w:top w:val="single" w:sz="4" w:space="0" w:color="auto"/>
              <w:left w:val="single" w:sz="4" w:space="0" w:color="auto"/>
              <w:bottom w:val="single" w:sz="4" w:space="0" w:color="auto"/>
              <w:right w:val="single" w:sz="4" w:space="0" w:color="auto"/>
            </w:tcBorders>
            <w:noWrap/>
            <w:textDirection w:val="lrTb"/>
            <w:vAlign w:val="bottom"/>
          </w:tcPr>
          <w:p w:rsidR="00624429" w:rsidRPr="003859CD" w:rsidP="003859C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54,4</w:t>
            </w:r>
          </w:p>
        </w:tc>
        <w:tc>
          <w:tcPr>
            <w:tcW w:w="947" w:type="dxa"/>
            <w:tcBorders>
              <w:top w:val="single" w:sz="4" w:space="0" w:color="auto"/>
              <w:left w:val="single" w:sz="4" w:space="0" w:color="auto"/>
              <w:bottom w:val="single" w:sz="4" w:space="0" w:color="auto"/>
              <w:right w:val="single" w:sz="4" w:space="0" w:color="auto"/>
            </w:tcBorders>
            <w:textDirection w:val="lrTb"/>
            <w:vAlign w:val="bottom"/>
          </w:tcPr>
          <w:p w:rsidR="00624429" w:rsidRPr="003859CD" w:rsidP="003859C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52,8</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tcPr>
          <w:p w:rsidR="00624429" w:rsidRPr="003859CD" w:rsidP="00D22C08">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52,</w:t>
            </w:r>
            <w:r w:rsidR="00D22C08">
              <w:rPr>
                <w:rFonts w:ascii="Times New Roman" w:hAnsi="Times New Roman"/>
                <w:color w:val="000000"/>
                <w:sz w:val="16"/>
                <w:szCs w:val="16"/>
                <w:lang w:eastAsia="en-US"/>
              </w:rPr>
              <w:t>1</w:t>
            </w:r>
          </w:p>
        </w:tc>
        <w:tc>
          <w:tcPr>
            <w:tcW w:w="851" w:type="dxa"/>
            <w:tcBorders>
              <w:top w:val="single" w:sz="4" w:space="0" w:color="auto"/>
              <w:left w:val="single" w:sz="4" w:space="0" w:color="auto"/>
              <w:bottom w:val="single" w:sz="4" w:space="0" w:color="auto"/>
              <w:right w:val="single" w:sz="4" w:space="0" w:color="auto"/>
            </w:tcBorders>
            <w:noWrap/>
            <w:textDirection w:val="lrTb"/>
            <w:vAlign w:val="bottom"/>
          </w:tcPr>
          <w:p w:rsidR="00624429" w:rsidRPr="003859CD" w:rsidP="00D22C08">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51,</w:t>
            </w:r>
            <w:r w:rsidR="00D22C08">
              <w:rPr>
                <w:rFonts w:ascii="Times New Roman" w:hAnsi="Times New Roman"/>
                <w:color w:val="000000"/>
                <w:sz w:val="16"/>
                <w:szCs w:val="16"/>
                <w:lang w:eastAsia="en-US"/>
              </w:rPr>
              <w:t>3</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tcPr>
          <w:p w:rsidR="00624429" w:rsidRPr="003859CD" w:rsidP="003859CD">
            <w:pPr>
              <w:bidi w:val="0"/>
              <w:jc w:val="right"/>
              <w:rPr>
                <w:rFonts w:ascii="Times New Roman" w:hAnsi="Times New Roman"/>
                <w:color w:val="000000"/>
                <w:sz w:val="16"/>
                <w:szCs w:val="16"/>
                <w:lang w:eastAsia="en-US"/>
              </w:rPr>
            </w:pPr>
            <w:r w:rsidR="00D22C08">
              <w:rPr>
                <w:rFonts w:ascii="Times New Roman" w:hAnsi="Times New Roman"/>
                <w:color w:val="000000"/>
                <w:sz w:val="16"/>
                <w:szCs w:val="16"/>
                <w:lang w:eastAsia="en-US"/>
              </w:rPr>
              <w:t>48,9</w:t>
            </w:r>
          </w:p>
        </w:tc>
      </w:tr>
      <w:tr>
        <w:tblPrEx>
          <w:tblW w:w="9229" w:type="dxa"/>
          <w:tblInd w:w="93" w:type="dxa"/>
          <w:tblLayout w:type="fixed"/>
          <w:tblLook w:val="04A0"/>
        </w:tblPrEx>
        <w:trPr>
          <w:trHeight w:val="268"/>
        </w:trPr>
        <w:tc>
          <w:tcPr>
            <w:tcW w:w="3134"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624429" w:rsidRPr="003859CD" w:rsidP="00624429">
            <w:pPr>
              <w:bidi w:val="0"/>
              <w:rPr>
                <w:rFonts w:ascii="Times New Roman" w:hAnsi="Times New Roman"/>
                <w:color w:val="000000"/>
                <w:sz w:val="16"/>
                <w:szCs w:val="16"/>
                <w:lang w:eastAsia="en-US"/>
              </w:rPr>
            </w:pPr>
            <w:r w:rsidRPr="003859CD">
              <w:rPr>
                <w:rFonts w:ascii="Times New Roman" w:hAnsi="Times New Roman"/>
                <w:color w:val="000000"/>
                <w:sz w:val="16"/>
                <w:szCs w:val="16"/>
                <w:lang w:eastAsia="en-US"/>
              </w:rPr>
              <w:t>Štátny dlh (bez vplyvu EFSF a ESM)</w:t>
            </w:r>
          </w:p>
        </w:tc>
        <w:tc>
          <w:tcPr>
            <w:tcW w:w="865" w:type="dxa"/>
            <w:tcBorders>
              <w:top w:val="single" w:sz="4" w:space="0" w:color="auto"/>
              <w:left w:val="single" w:sz="4" w:space="0" w:color="auto"/>
              <w:bottom w:val="single" w:sz="4" w:space="0" w:color="auto"/>
              <w:right w:val="single" w:sz="4" w:space="0" w:color="auto"/>
            </w:tcBorders>
            <w:noWrap/>
            <w:textDirection w:val="lrTb"/>
            <w:vAlign w:val="bottom"/>
          </w:tcPr>
          <w:p w:rsidR="00624429" w:rsidRPr="003859CD" w:rsidP="003859C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48,6</w:t>
            </w:r>
          </w:p>
        </w:tc>
        <w:tc>
          <w:tcPr>
            <w:tcW w:w="866" w:type="dxa"/>
            <w:tcBorders>
              <w:top w:val="single" w:sz="4" w:space="0" w:color="auto"/>
              <w:left w:val="single" w:sz="4" w:space="0" w:color="auto"/>
              <w:bottom w:val="single" w:sz="4" w:space="0" w:color="auto"/>
              <w:right w:val="single" w:sz="4" w:space="0" w:color="auto"/>
            </w:tcBorders>
            <w:noWrap/>
            <w:textDirection w:val="lrTb"/>
            <w:vAlign w:val="bottom"/>
          </w:tcPr>
          <w:p w:rsidR="00624429" w:rsidRPr="003859CD" w:rsidP="003859C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48,1</w:t>
            </w:r>
          </w:p>
        </w:tc>
        <w:tc>
          <w:tcPr>
            <w:tcW w:w="866" w:type="dxa"/>
            <w:tcBorders>
              <w:top w:val="single" w:sz="4" w:space="0" w:color="auto"/>
              <w:left w:val="single" w:sz="4" w:space="0" w:color="auto"/>
              <w:bottom w:val="single" w:sz="4" w:space="0" w:color="auto"/>
              <w:right w:val="single" w:sz="4" w:space="0" w:color="auto"/>
            </w:tcBorders>
            <w:noWrap/>
            <w:textDirection w:val="lrTb"/>
            <w:vAlign w:val="bottom"/>
          </w:tcPr>
          <w:p w:rsidR="00624429" w:rsidRPr="003859CD" w:rsidP="003859C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49,5</w:t>
            </w:r>
          </w:p>
        </w:tc>
        <w:tc>
          <w:tcPr>
            <w:tcW w:w="947" w:type="dxa"/>
            <w:tcBorders>
              <w:top w:val="single" w:sz="4" w:space="0" w:color="auto"/>
              <w:left w:val="single" w:sz="4" w:space="0" w:color="auto"/>
              <w:bottom w:val="single" w:sz="4" w:space="0" w:color="auto"/>
              <w:right w:val="single" w:sz="4" w:space="0" w:color="auto"/>
            </w:tcBorders>
            <w:textDirection w:val="lrTb"/>
            <w:vAlign w:val="bottom"/>
          </w:tcPr>
          <w:p w:rsidR="00624429" w:rsidRPr="003859CD" w:rsidP="003859C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47,5</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tcPr>
          <w:p w:rsidR="00624429" w:rsidRPr="003859CD" w:rsidP="003859C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47,</w:t>
            </w:r>
            <w:r w:rsidR="00D22C08">
              <w:rPr>
                <w:rFonts w:ascii="Times New Roman" w:hAnsi="Times New Roman"/>
                <w:color w:val="000000"/>
                <w:sz w:val="16"/>
                <w:szCs w:val="16"/>
                <w:lang w:eastAsia="en-US"/>
              </w:rPr>
              <w:t>1</w:t>
            </w:r>
          </w:p>
        </w:tc>
        <w:tc>
          <w:tcPr>
            <w:tcW w:w="851" w:type="dxa"/>
            <w:tcBorders>
              <w:top w:val="single" w:sz="4" w:space="0" w:color="auto"/>
              <w:left w:val="single" w:sz="4" w:space="0" w:color="auto"/>
              <w:bottom w:val="single" w:sz="4" w:space="0" w:color="auto"/>
              <w:right w:val="single" w:sz="4" w:space="0" w:color="auto"/>
            </w:tcBorders>
            <w:noWrap/>
            <w:textDirection w:val="lrTb"/>
            <w:vAlign w:val="bottom"/>
          </w:tcPr>
          <w:p w:rsidR="00624429" w:rsidRPr="003859CD" w:rsidP="003859CD">
            <w:pPr>
              <w:bidi w:val="0"/>
              <w:jc w:val="right"/>
              <w:rPr>
                <w:rFonts w:ascii="Times New Roman" w:hAnsi="Times New Roman"/>
                <w:color w:val="000000"/>
                <w:sz w:val="16"/>
                <w:szCs w:val="16"/>
                <w:lang w:eastAsia="en-US"/>
              </w:rPr>
            </w:pPr>
            <w:r w:rsidRPr="003859CD">
              <w:rPr>
                <w:rFonts w:ascii="Times New Roman" w:hAnsi="Times New Roman"/>
                <w:color w:val="000000"/>
                <w:sz w:val="16"/>
                <w:szCs w:val="16"/>
                <w:lang w:eastAsia="en-US"/>
              </w:rPr>
              <w:t>46,</w:t>
            </w:r>
            <w:r w:rsidR="00D22C08">
              <w:rPr>
                <w:rFonts w:ascii="Times New Roman" w:hAnsi="Times New Roman"/>
                <w:color w:val="000000"/>
                <w:sz w:val="16"/>
                <w:szCs w:val="16"/>
                <w:lang w:eastAsia="en-US"/>
              </w:rPr>
              <w:t>7</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tcPr>
          <w:p w:rsidR="00624429" w:rsidRPr="003859CD" w:rsidP="003859CD">
            <w:pPr>
              <w:bidi w:val="0"/>
              <w:jc w:val="right"/>
              <w:rPr>
                <w:rFonts w:ascii="Times New Roman" w:hAnsi="Times New Roman"/>
                <w:color w:val="000000"/>
                <w:sz w:val="16"/>
                <w:szCs w:val="16"/>
                <w:lang w:eastAsia="en-US"/>
              </w:rPr>
            </w:pPr>
            <w:r w:rsidR="00D22C08">
              <w:rPr>
                <w:rFonts w:ascii="Times New Roman" w:hAnsi="Times New Roman"/>
                <w:color w:val="000000"/>
                <w:sz w:val="16"/>
                <w:szCs w:val="16"/>
                <w:lang w:eastAsia="en-US"/>
              </w:rPr>
              <w:t>44,7</w:t>
            </w:r>
          </w:p>
        </w:tc>
      </w:tr>
      <w:tr>
        <w:tblPrEx>
          <w:tblW w:w="9229" w:type="dxa"/>
          <w:tblInd w:w="93" w:type="dxa"/>
          <w:tblLayout w:type="fixed"/>
          <w:tblLook w:val="04A0"/>
        </w:tblPrEx>
        <w:trPr>
          <w:trHeight w:val="46"/>
        </w:trPr>
        <w:tc>
          <w:tcPr>
            <w:tcW w:w="760" w:type="dxa"/>
            <w:tcBorders>
              <w:top w:val="single" w:sz="4" w:space="0" w:color="auto"/>
              <w:left w:val="nil"/>
              <w:bottom w:val="nil"/>
              <w:right w:val="nil"/>
            </w:tcBorders>
            <w:textDirection w:val="lrTb"/>
            <w:vAlign w:val="center"/>
          </w:tcPr>
          <w:p w:rsidR="00624429" w:rsidRPr="003859CD" w:rsidP="00624429">
            <w:pPr>
              <w:bidi w:val="0"/>
              <w:rPr>
                <w:rFonts w:ascii="Times New Roman" w:hAnsi="Times New Roman"/>
                <w:i/>
                <w:iCs/>
                <w:color w:val="000000"/>
                <w:sz w:val="16"/>
                <w:szCs w:val="16"/>
                <w:lang w:eastAsia="en-US"/>
              </w:rPr>
            </w:pPr>
          </w:p>
        </w:tc>
        <w:tc>
          <w:tcPr>
            <w:tcW w:w="8469" w:type="dxa"/>
            <w:gridSpan w:val="8"/>
            <w:tcBorders>
              <w:top w:val="single" w:sz="4" w:space="0" w:color="auto"/>
              <w:left w:val="nil"/>
              <w:bottom w:val="nil"/>
              <w:right w:val="nil"/>
            </w:tcBorders>
            <w:noWrap/>
            <w:textDirection w:val="lrTb"/>
            <w:vAlign w:val="center"/>
          </w:tcPr>
          <w:p w:rsidR="00624429" w:rsidRPr="003859CD" w:rsidP="00624429">
            <w:pPr>
              <w:bidi w:val="0"/>
              <w:jc w:val="right"/>
              <w:rPr>
                <w:rFonts w:ascii="Times New Roman" w:hAnsi="Times New Roman"/>
                <w:i/>
                <w:iCs/>
                <w:color w:val="000000"/>
                <w:sz w:val="16"/>
                <w:szCs w:val="16"/>
                <w:lang w:eastAsia="en-US"/>
              </w:rPr>
            </w:pPr>
            <w:r w:rsidRPr="003859CD">
              <w:rPr>
                <w:rFonts w:ascii="Times New Roman" w:hAnsi="Times New Roman"/>
                <w:i/>
                <w:iCs/>
                <w:color w:val="000000"/>
                <w:sz w:val="16"/>
                <w:szCs w:val="16"/>
                <w:lang w:eastAsia="en-US"/>
              </w:rPr>
              <w:t>Zdroj: MF SR</w:t>
            </w:r>
          </w:p>
        </w:tc>
      </w:tr>
    </w:tbl>
    <w:p w:rsidR="0005739A" w:rsidRPr="003859CD" w:rsidP="003859CD">
      <w:pPr>
        <w:bidi w:val="0"/>
        <w:ind w:firstLine="709"/>
        <w:jc w:val="both"/>
        <w:rPr>
          <w:rFonts w:ascii="Times New Roman" w:hAnsi="Times New Roman"/>
        </w:rPr>
      </w:pPr>
      <w:r w:rsidRPr="003859CD">
        <w:rPr>
          <w:rFonts w:ascii="Times New Roman" w:hAnsi="Times New Roman"/>
        </w:rPr>
        <w:t>Nad rámec hotovostných zmien dlhu môžeme dynamiku zadlženia analyzovať podľa jednotlivých príspevkov k zmene dlhu. Najvýznamnejší vplyv na verejný dlh má primárne saldo a rast nominálneho HDP. V niektorých rokoch sú významné aj ostatné úpravy</w:t>
      </w:r>
      <w:r>
        <w:rPr>
          <w:rStyle w:val="FootnoteReference"/>
          <w:rFonts w:ascii="Times New Roman" w:hAnsi="Times New Roman"/>
          <w:rtl w:val="0"/>
          <w:lang w:val="en-US" w:eastAsia="en-US"/>
        </w:rPr>
        <w:footnoteReference w:id="5"/>
      </w:r>
      <w:r w:rsidRPr="003859CD">
        <w:rPr>
          <w:rStyle w:val="FootnoteReference"/>
          <w:rFonts w:ascii="Times New Roman" w:hAnsi="Times New Roman"/>
          <w:lang w:val="en-US" w:eastAsia="en-US"/>
        </w:rPr>
        <w:t xml:space="preserve"> </w:t>
      </w:r>
      <w:r w:rsidRPr="003859CD">
        <w:rPr>
          <w:rFonts w:ascii="Times New Roman" w:hAnsi="Times New Roman"/>
        </w:rPr>
        <w:t>nad rámec deficitu verejnej správy.</w:t>
      </w:r>
    </w:p>
    <w:p w:rsidR="00FA3E65" w:rsidRPr="003859CD" w:rsidP="003859CD">
      <w:pPr>
        <w:bidi w:val="0"/>
        <w:spacing w:before="240" w:after="120"/>
        <w:ind w:firstLine="708"/>
        <w:jc w:val="both"/>
        <w:rPr>
          <w:rFonts w:ascii="Times New Roman" w:hAnsi="Times New Roman"/>
        </w:rPr>
      </w:pPr>
      <w:r w:rsidRPr="003859CD" w:rsidR="0005739A">
        <w:rPr>
          <w:rFonts w:ascii="Times New Roman" w:hAnsi="Times New Roman"/>
        </w:rPr>
        <w:t xml:space="preserve">Výraznejšie rozdiely v roku 2014 </w:t>
      </w:r>
      <w:r w:rsidRPr="003859CD" w:rsidR="000879C7">
        <w:rPr>
          <w:rFonts w:ascii="Times New Roman" w:hAnsi="Times New Roman"/>
        </w:rPr>
        <w:t xml:space="preserve">súviseli </w:t>
      </w:r>
      <w:r w:rsidRPr="003859CD" w:rsidR="0005739A">
        <w:rPr>
          <w:rFonts w:ascii="Times New Roman" w:hAnsi="Times New Roman"/>
        </w:rPr>
        <w:t>so znížením ho</w:t>
      </w:r>
      <w:r w:rsidR="00642740">
        <w:rPr>
          <w:rFonts w:ascii="Times New Roman" w:hAnsi="Times New Roman"/>
        </w:rPr>
        <w:t>tovostných zostatkov, ktoré boli</w:t>
      </w:r>
      <w:r w:rsidRPr="003859CD" w:rsidR="0005739A">
        <w:rPr>
          <w:rFonts w:ascii="Times New Roman" w:hAnsi="Times New Roman"/>
        </w:rPr>
        <w:t xml:space="preserve"> čiastočne kompenzované zazname</w:t>
      </w:r>
      <w:r w:rsidR="003859CD">
        <w:rPr>
          <w:rFonts w:ascii="Times New Roman" w:hAnsi="Times New Roman"/>
        </w:rPr>
        <w:t>naním pohľadávky súvisiacej s EÚ</w:t>
      </w:r>
      <w:r w:rsidRPr="003859CD" w:rsidR="0005739A">
        <w:rPr>
          <w:rFonts w:ascii="Times New Roman" w:hAnsi="Times New Roman"/>
        </w:rPr>
        <w:t xml:space="preserve"> tokmi</w:t>
      </w:r>
      <w:r>
        <w:rPr>
          <w:rStyle w:val="FootnoteReference"/>
          <w:rFonts w:ascii="Times New Roman" w:hAnsi="Times New Roman"/>
          <w:rtl w:val="0"/>
          <w:lang w:val="en-US" w:eastAsia="en-US"/>
        </w:rPr>
        <w:footnoteReference w:id="6"/>
      </w:r>
      <w:r w:rsidRPr="003859CD" w:rsidR="00EF5C5A">
        <w:rPr>
          <w:rFonts w:ascii="Times New Roman" w:hAnsi="Times New Roman"/>
        </w:rPr>
        <w:t>.</w:t>
      </w:r>
      <w:r w:rsidRPr="003859CD" w:rsidR="0005739A">
        <w:rPr>
          <w:rStyle w:val="FootnoteReference"/>
          <w:rFonts w:ascii="Times New Roman" w:hAnsi="Times New Roman"/>
          <w:lang w:val="en-US" w:eastAsia="en-US"/>
        </w:rPr>
        <w:t xml:space="preserve"> </w:t>
      </w:r>
      <w:r w:rsidRPr="003859CD" w:rsidR="0005739A">
        <w:rPr>
          <w:rFonts w:ascii="Times New Roman" w:hAnsi="Times New Roman"/>
        </w:rPr>
        <w:t xml:space="preserve">V roku 2015 je v prognóze dlhu zahrnutý aj predaj štátneho podielu v Slovak Telekome a predpokladané zvýšenie hotovosti na účtoch verejnej správy. Pohľad na faktory vplývajúce na zmenu dlhu v rokoch 2016 až 2018 ukazuje, že pokles je podmienený najmä nominálnym rastom HDP a zlepšením hospodárenia štátu. </w:t>
      </w:r>
      <w:r w:rsidR="003859CD">
        <w:rPr>
          <w:rFonts w:ascii="Times New Roman" w:hAnsi="Times New Roman"/>
        </w:rPr>
        <w:t xml:space="preserve"> </w:t>
      </w:r>
    </w:p>
    <w:p w:rsidR="0005739A" w:rsidRPr="003859CD" w:rsidP="0005739A">
      <w:pPr>
        <w:bidi w:val="0"/>
        <w:spacing w:before="240" w:after="120"/>
        <w:jc w:val="both"/>
        <w:rPr>
          <w:rFonts w:ascii="Times New Roman" w:hAnsi="Times New Roman"/>
          <w:sz w:val="22"/>
          <w:szCs w:val="22"/>
        </w:rPr>
      </w:pPr>
    </w:p>
    <w:p w:rsidR="00A649B2" w:rsidRPr="003859CD" w:rsidP="0003036D">
      <w:pPr>
        <w:pStyle w:val="Heading1"/>
        <w:numPr>
          <w:numId w:val="9"/>
        </w:numPr>
        <w:bidi w:val="0"/>
        <w:spacing w:before="0" w:after="360"/>
        <w:ind w:left="357" w:hanging="357"/>
        <w:rPr>
          <w:rFonts w:ascii="Times New Roman" w:hAnsi="Times New Roman" w:cs="Times New Roman"/>
          <w:kern w:val="0"/>
          <w:szCs w:val="28"/>
        </w:rPr>
      </w:pPr>
      <w:bookmarkStart w:id="31" w:name="_Toc394471516"/>
      <w:bookmarkStart w:id="32" w:name="_Toc422906270"/>
      <w:r w:rsidRPr="003859CD" w:rsidR="00BD6A9D">
        <w:rPr>
          <w:rFonts w:ascii="Times New Roman" w:hAnsi="Times New Roman" w:cs="Times New Roman"/>
          <w:kern w:val="0"/>
          <w:szCs w:val="28"/>
        </w:rPr>
        <w:t>Strategické c</w:t>
      </w:r>
      <w:r w:rsidRPr="003859CD">
        <w:rPr>
          <w:rFonts w:ascii="Times New Roman" w:hAnsi="Times New Roman" w:cs="Times New Roman"/>
          <w:kern w:val="0"/>
          <w:szCs w:val="28"/>
        </w:rPr>
        <w:t xml:space="preserve">iele </w:t>
      </w:r>
      <w:r w:rsidRPr="003859CD" w:rsidR="00BD6A9D">
        <w:rPr>
          <w:rFonts w:ascii="Times New Roman" w:hAnsi="Times New Roman" w:cs="Times New Roman"/>
          <w:kern w:val="0"/>
          <w:szCs w:val="28"/>
        </w:rPr>
        <w:t>ria</w:t>
      </w:r>
      <w:r w:rsidRPr="003859CD">
        <w:rPr>
          <w:rFonts w:ascii="Times New Roman" w:hAnsi="Times New Roman" w:cs="Times New Roman"/>
          <w:kern w:val="0"/>
          <w:szCs w:val="28"/>
        </w:rPr>
        <w:t>deni</w:t>
      </w:r>
      <w:r w:rsidRPr="003859CD" w:rsidR="00BD6A9D">
        <w:rPr>
          <w:rFonts w:ascii="Times New Roman" w:hAnsi="Times New Roman" w:cs="Times New Roman"/>
          <w:kern w:val="0"/>
          <w:szCs w:val="28"/>
        </w:rPr>
        <w:t>a</w:t>
      </w:r>
      <w:r w:rsidRPr="003859CD" w:rsidR="005840BF">
        <w:rPr>
          <w:rFonts w:ascii="Times New Roman" w:hAnsi="Times New Roman" w:cs="Times New Roman"/>
          <w:kern w:val="0"/>
          <w:szCs w:val="28"/>
        </w:rPr>
        <w:t xml:space="preserve"> </w:t>
      </w:r>
      <w:r w:rsidRPr="003859CD" w:rsidR="00BD6A9D">
        <w:rPr>
          <w:rFonts w:ascii="Times New Roman" w:hAnsi="Times New Roman" w:cs="Times New Roman"/>
          <w:kern w:val="0"/>
          <w:szCs w:val="28"/>
        </w:rPr>
        <w:t xml:space="preserve">štátneho dlhu na roky </w:t>
      </w:r>
      <w:r w:rsidRPr="003859CD" w:rsidR="00192994">
        <w:rPr>
          <w:rFonts w:ascii="Times New Roman" w:hAnsi="Times New Roman" w:cs="Times New Roman"/>
          <w:kern w:val="0"/>
          <w:szCs w:val="28"/>
        </w:rPr>
        <w:t>201</w:t>
      </w:r>
      <w:r w:rsidRPr="003859CD" w:rsidR="00516ECE">
        <w:rPr>
          <w:rFonts w:ascii="Times New Roman" w:hAnsi="Times New Roman" w:cs="Times New Roman"/>
          <w:kern w:val="0"/>
          <w:szCs w:val="28"/>
        </w:rPr>
        <w:t>5</w:t>
      </w:r>
      <w:r w:rsidRPr="003859CD" w:rsidR="00192994">
        <w:rPr>
          <w:rFonts w:ascii="Times New Roman" w:hAnsi="Times New Roman" w:cs="Times New Roman"/>
          <w:kern w:val="0"/>
          <w:szCs w:val="28"/>
        </w:rPr>
        <w:t xml:space="preserve"> </w:t>
      </w:r>
      <w:r w:rsidRPr="003859CD" w:rsidR="00BD6A9D">
        <w:rPr>
          <w:rFonts w:ascii="Times New Roman" w:hAnsi="Times New Roman" w:cs="Times New Roman"/>
          <w:kern w:val="0"/>
          <w:szCs w:val="28"/>
        </w:rPr>
        <w:t>až 201</w:t>
      </w:r>
      <w:bookmarkEnd w:id="16"/>
      <w:r w:rsidRPr="003859CD" w:rsidR="00516ECE">
        <w:rPr>
          <w:rFonts w:ascii="Times New Roman" w:hAnsi="Times New Roman" w:cs="Times New Roman"/>
          <w:kern w:val="0"/>
          <w:szCs w:val="28"/>
        </w:rPr>
        <w:t>8</w:t>
      </w:r>
      <w:bookmarkEnd w:id="31"/>
      <w:bookmarkEnd w:id="32"/>
    </w:p>
    <w:p w:rsidR="006A777D" w:rsidRPr="003859CD" w:rsidP="003859CD">
      <w:pPr>
        <w:bidi w:val="0"/>
        <w:spacing w:before="120" w:after="120"/>
        <w:ind w:firstLine="708"/>
        <w:jc w:val="both"/>
        <w:rPr>
          <w:rFonts w:ascii="Times New Roman" w:hAnsi="Times New Roman"/>
          <w:szCs w:val="22"/>
        </w:rPr>
      </w:pPr>
      <w:r w:rsidRPr="003859CD" w:rsidR="00443271">
        <w:rPr>
          <w:rFonts w:ascii="Times New Roman" w:hAnsi="Times New Roman"/>
          <w:szCs w:val="22"/>
        </w:rPr>
        <w:t xml:space="preserve">Hlavným cieľom riadenia štátneho dlhu je zabezpečiť plnenie </w:t>
      </w:r>
      <w:r w:rsidRPr="003859CD" w:rsidR="005F583B">
        <w:rPr>
          <w:rFonts w:ascii="Times New Roman" w:hAnsi="Times New Roman"/>
          <w:szCs w:val="22"/>
        </w:rPr>
        <w:t xml:space="preserve">finančných </w:t>
      </w:r>
      <w:r w:rsidRPr="003859CD" w:rsidR="00443271">
        <w:rPr>
          <w:rFonts w:ascii="Times New Roman" w:hAnsi="Times New Roman"/>
          <w:szCs w:val="22"/>
        </w:rPr>
        <w:t xml:space="preserve">záväzkov štátu a zabezpečiť </w:t>
      </w:r>
      <w:r w:rsidRPr="003859CD" w:rsidR="0079771C">
        <w:rPr>
          <w:rFonts w:ascii="Times New Roman" w:hAnsi="Times New Roman"/>
          <w:szCs w:val="22"/>
        </w:rPr>
        <w:t xml:space="preserve">spoľahlivé </w:t>
      </w:r>
      <w:r w:rsidRPr="003859CD" w:rsidR="00443271">
        <w:rPr>
          <w:rFonts w:ascii="Times New Roman" w:hAnsi="Times New Roman"/>
          <w:szCs w:val="22"/>
        </w:rPr>
        <w:t>refinancovanie na kapitálovom trhu</w:t>
      </w:r>
      <w:r w:rsidRPr="003859CD" w:rsidR="006A6465">
        <w:rPr>
          <w:rFonts w:ascii="Times New Roman" w:hAnsi="Times New Roman"/>
          <w:szCs w:val="22"/>
        </w:rPr>
        <w:t xml:space="preserve"> pri primeraných úrokových nákladoch</w:t>
      </w:r>
      <w:r w:rsidRPr="003859CD" w:rsidR="0051400B">
        <w:rPr>
          <w:rFonts w:ascii="Times New Roman" w:hAnsi="Times New Roman"/>
          <w:szCs w:val="22"/>
        </w:rPr>
        <w:t xml:space="preserve"> a únosnej miere rizík</w:t>
      </w:r>
      <w:r w:rsidRPr="003859CD" w:rsidR="00443271">
        <w:rPr>
          <w:rFonts w:ascii="Times New Roman" w:hAnsi="Times New Roman"/>
          <w:szCs w:val="22"/>
        </w:rPr>
        <w:t xml:space="preserve">. </w:t>
      </w:r>
      <w:r w:rsidRPr="003859CD" w:rsidR="00CC6D54">
        <w:rPr>
          <w:rFonts w:ascii="Times New Roman" w:hAnsi="Times New Roman"/>
          <w:szCs w:val="22"/>
        </w:rPr>
        <w:t>Ciele formulované v stratégii na roky 201</w:t>
      </w:r>
      <w:r w:rsidRPr="003859CD" w:rsidR="00516ECE">
        <w:rPr>
          <w:rFonts w:ascii="Times New Roman" w:hAnsi="Times New Roman"/>
          <w:szCs w:val="22"/>
        </w:rPr>
        <w:t>5</w:t>
      </w:r>
      <w:r w:rsidRPr="003859CD" w:rsidR="00CC6D54">
        <w:rPr>
          <w:rFonts w:ascii="Times New Roman" w:hAnsi="Times New Roman"/>
          <w:szCs w:val="22"/>
        </w:rPr>
        <w:t xml:space="preserve"> až 201</w:t>
      </w:r>
      <w:r w:rsidRPr="003859CD" w:rsidR="00516ECE">
        <w:rPr>
          <w:rFonts w:ascii="Times New Roman" w:hAnsi="Times New Roman"/>
          <w:szCs w:val="22"/>
        </w:rPr>
        <w:t xml:space="preserve">8 </w:t>
      </w:r>
      <w:r w:rsidRPr="003859CD" w:rsidR="00CC6D54">
        <w:rPr>
          <w:rFonts w:ascii="Times New Roman" w:hAnsi="Times New Roman"/>
          <w:szCs w:val="22"/>
        </w:rPr>
        <w:t>sú v </w:t>
      </w:r>
      <w:r w:rsidRPr="003859CD" w:rsidR="0079771C">
        <w:rPr>
          <w:rFonts w:ascii="Times New Roman" w:hAnsi="Times New Roman"/>
          <w:szCs w:val="22"/>
        </w:rPr>
        <w:t>súlade</w:t>
      </w:r>
      <w:r w:rsidRPr="003859CD" w:rsidR="00CC6D54">
        <w:rPr>
          <w:rFonts w:ascii="Times New Roman" w:hAnsi="Times New Roman"/>
          <w:szCs w:val="22"/>
        </w:rPr>
        <w:t xml:space="preserve"> s cieľmi </w:t>
      </w:r>
      <w:r w:rsidRPr="003859CD" w:rsidR="003B3F5B">
        <w:rPr>
          <w:rFonts w:ascii="Times New Roman" w:hAnsi="Times New Roman"/>
          <w:szCs w:val="22"/>
        </w:rPr>
        <w:t>predchádzajúcich</w:t>
      </w:r>
      <w:r w:rsidRPr="003859CD" w:rsidR="00CC6D54">
        <w:rPr>
          <w:rFonts w:ascii="Times New Roman" w:hAnsi="Times New Roman"/>
          <w:szCs w:val="22"/>
        </w:rPr>
        <w:t xml:space="preserve"> stratégii. </w:t>
      </w:r>
      <w:r w:rsidRPr="003859CD" w:rsidR="003B3F5B">
        <w:rPr>
          <w:rFonts w:ascii="Times New Roman" w:hAnsi="Times New Roman"/>
          <w:szCs w:val="22"/>
        </w:rPr>
        <w:t xml:space="preserve">Nastavenie </w:t>
      </w:r>
      <w:r w:rsidRPr="003859CD" w:rsidR="00CC6D54">
        <w:rPr>
          <w:rFonts w:ascii="Times New Roman" w:hAnsi="Times New Roman"/>
          <w:szCs w:val="22"/>
        </w:rPr>
        <w:t>cie</w:t>
      </w:r>
      <w:r w:rsidRPr="003859CD" w:rsidR="003B3F5B">
        <w:rPr>
          <w:rFonts w:ascii="Times New Roman" w:hAnsi="Times New Roman"/>
          <w:szCs w:val="22"/>
        </w:rPr>
        <w:t>ľov</w:t>
      </w:r>
      <w:r w:rsidRPr="003859CD" w:rsidR="00CC6D54">
        <w:rPr>
          <w:rFonts w:ascii="Times New Roman" w:hAnsi="Times New Roman"/>
          <w:szCs w:val="22"/>
        </w:rPr>
        <w:t xml:space="preserve"> riadenia štátneho dlhu</w:t>
      </w:r>
      <w:r w:rsidRPr="003859CD" w:rsidR="003B3F5B">
        <w:rPr>
          <w:rFonts w:ascii="Times New Roman" w:hAnsi="Times New Roman"/>
          <w:szCs w:val="22"/>
        </w:rPr>
        <w:t xml:space="preserve"> a likvidity </w:t>
      </w:r>
      <w:r w:rsidRPr="003859CD" w:rsidR="00CC6D54">
        <w:rPr>
          <w:rFonts w:ascii="Times New Roman" w:hAnsi="Times New Roman"/>
          <w:szCs w:val="22"/>
        </w:rPr>
        <w:t>bol</w:t>
      </w:r>
      <w:r w:rsidRPr="003859CD" w:rsidR="006A6465">
        <w:rPr>
          <w:rFonts w:ascii="Times New Roman" w:hAnsi="Times New Roman"/>
          <w:szCs w:val="22"/>
        </w:rPr>
        <w:t>o</w:t>
      </w:r>
      <w:r w:rsidRPr="003859CD" w:rsidR="00CC6D54">
        <w:rPr>
          <w:rFonts w:ascii="Times New Roman" w:hAnsi="Times New Roman"/>
          <w:szCs w:val="22"/>
        </w:rPr>
        <w:t xml:space="preserve"> v</w:t>
      </w:r>
      <w:r w:rsidRPr="003859CD" w:rsidR="0079771C">
        <w:rPr>
          <w:rFonts w:ascii="Times New Roman" w:hAnsi="Times New Roman"/>
          <w:szCs w:val="22"/>
        </w:rPr>
        <w:t>y</w:t>
      </w:r>
      <w:r w:rsidRPr="003859CD" w:rsidR="00CC6D54">
        <w:rPr>
          <w:rFonts w:ascii="Times New Roman" w:hAnsi="Times New Roman"/>
          <w:szCs w:val="22"/>
        </w:rPr>
        <w:t>ho</w:t>
      </w:r>
      <w:r w:rsidRPr="003859CD" w:rsidR="0079771C">
        <w:rPr>
          <w:rFonts w:ascii="Times New Roman" w:hAnsi="Times New Roman"/>
          <w:szCs w:val="22"/>
        </w:rPr>
        <w:t>vujúce</w:t>
      </w:r>
      <w:r w:rsidRPr="003859CD" w:rsidR="00CC6D54">
        <w:rPr>
          <w:rFonts w:ascii="Times New Roman" w:hAnsi="Times New Roman"/>
          <w:szCs w:val="22"/>
        </w:rPr>
        <w:t xml:space="preserve"> pre podmienky ekonomiky a</w:t>
      </w:r>
      <w:r w:rsidRPr="003859CD" w:rsidR="0079771C">
        <w:rPr>
          <w:rFonts w:ascii="Times New Roman" w:hAnsi="Times New Roman"/>
          <w:szCs w:val="22"/>
        </w:rPr>
        <w:t xml:space="preserve"> dostatočné pre </w:t>
      </w:r>
      <w:r w:rsidRPr="003859CD" w:rsidR="00CC6D54">
        <w:rPr>
          <w:rFonts w:ascii="Times New Roman" w:hAnsi="Times New Roman"/>
          <w:szCs w:val="22"/>
        </w:rPr>
        <w:t>systém riadenia dlhu v SR</w:t>
      </w:r>
      <w:r w:rsidRPr="003859CD" w:rsidR="003B3F5B">
        <w:rPr>
          <w:rFonts w:ascii="Times New Roman" w:hAnsi="Times New Roman"/>
          <w:szCs w:val="22"/>
        </w:rPr>
        <w:t xml:space="preserve"> v predchádzajúcom období</w:t>
      </w:r>
      <w:r w:rsidRPr="003859CD" w:rsidR="00CC6D54">
        <w:rPr>
          <w:rFonts w:ascii="Times New Roman" w:hAnsi="Times New Roman"/>
          <w:szCs w:val="22"/>
        </w:rPr>
        <w:t xml:space="preserve">. </w:t>
      </w:r>
    </w:p>
    <w:p w:rsidR="009C35E8" w:rsidRPr="001B59DB" w:rsidP="003859CD">
      <w:pPr>
        <w:bidi w:val="0"/>
        <w:spacing w:before="120" w:after="120"/>
        <w:ind w:firstLine="708"/>
        <w:jc w:val="both"/>
        <w:rPr>
          <w:rFonts w:ascii="Times New Roman" w:hAnsi="Times New Roman"/>
          <w:szCs w:val="22"/>
        </w:rPr>
      </w:pPr>
      <w:r w:rsidRPr="001B59DB">
        <w:rPr>
          <w:rFonts w:ascii="Times New Roman" w:hAnsi="Times New Roman"/>
          <w:szCs w:val="22"/>
        </w:rPr>
        <w:t>Táto aktualizácia nemení ciel</w:t>
      </w:r>
      <w:r w:rsidR="00642740">
        <w:rPr>
          <w:rFonts w:ascii="Times New Roman" w:hAnsi="Times New Roman"/>
          <w:szCs w:val="22"/>
        </w:rPr>
        <w:t>e stanovené v Stratégii riadenia</w:t>
      </w:r>
      <w:r w:rsidRPr="001B59DB">
        <w:rPr>
          <w:rFonts w:ascii="Times New Roman" w:hAnsi="Times New Roman"/>
          <w:szCs w:val="22"/>
        </w:rPr>
        <w:t xml:space="preserve"> dlhu na roky 2015 až 2018.</w:t>
      </w:r>
    </w:p>
    <w:p w:rsidR="006A777D" w:rsidRPr="003859CD" w:rsidP="001B59DB">
      <w:pPr>
        <w:bidi w:val="0"/>
        <w:spacing w:after="60"/>
        <w:ind w:firstLine="708"/>
        <w:jc w:val="both"/>
        <w:rPr>
          <w:rFonts w:ascii="Times New Roman" w:hAnsi="Times New Roman"/>
          <w:szCs w:val="22"/>
        </w:rPr>
      </w:pPr>
      <w:r w:rsidRPr="003859CD">
        <w:rPr>
          <w:rFonts w:ascii="Times New Roman" w:hAnsi="Times New Roman"/>
          <w:szCs w:val="22"/>
        </w:rPr>
        <w:t>Napĺňanie sledovaných cieľov je podmienené dodržiavaním troch hlavných všeobecných princípov:</w:t>
      </w:r>
    </w:p>
    <w:p w:rsidR="006A777D" w:rsidRPr="003859CD" w:rsidP="006A777D">
      <w:pPr>
        <w:bidi w:val="0"/>
        <w:spacing w:after="60"/>
        <w:jc w:val="both"/>
        <w:rPr>
          <w:rFonts w:ascii="Times New Roman" w:hAnsi="Times New Roman"/>
          <w:szCs w:val="22"/>
        </w:rPr>
      </w:pPr>
      <w:r w:rsidRPr="003859CD">
        <w:rPr>
          <w:rFonts w:ascii="Times New Roman" w:hAnsi="Times New Roman"/>
          <w:b/>
          <w:szCs w:val="22"/>
        </w:rPr>
        <w:t>Princíp prvý:</w:t>
      </w:r>
      <w:r w:rsidRPr="003859CD">
        <w:rPr>
          <w:rFonts w:ascii="Times New Roman" w:hAnsi="Times New Roman"/>
          <w:szCs w:val="22"/>
        </w:rPr>
        <w:t xml:space="preserve"> akékoľvek zvyšovanie dlhu musí byť transparentné a musí mať jasné pravidlá. Je potrebné vylúčiť nekontrolovaný a nekontrolovateľný rast dlhu.</w:t>
      </w:r>
    </w:p>
    <w:p w:rsidR="006A777D" w:rsidRPr="003859CD" w:rsidP="006A777D">
      <w:pPr>
        <w:bidi w:val="0"/>
        <w:spacing w:after="60"/>
        <w:jc w:val="both"/>
        <w:rPr>
          <w:rFonts w:ascii="Times New Roman" w:hAnsi="Times New Roman"/>
          <w:szCs w:val="22"/>
        </w:rPr>
      </w:pPr>
      <w:r w:rsidRPr="003859CD">
        <w:rPr>
          <w:rFonts w:ascii="Times New Roman" w:hAnsi="Times New Roman"/>
          <w:b/>
          <w:szCs w:val="22"/>
        </w:rPr>
        <w:t>Princíp druhý:</w:t>
      </w:r>
      <w:r w:rsidRPr="003859CD">
        <w:rPr>
          <w:rFonts w:ascii="Times New Roman" w:hAnsi="Times New Roman"/>
          <w:szCs w:val="22"/>
        </w:rPr>
        <w:t xml:space="preserve"> pri aktívnom riadení dlhu majú byť preferované strednodobé a dlhodobé ciele pred krátkodobými úsporami. Krátkodobé “úspory” nesmú byť na úkor väčších nákladov alebo väčšieho rizika nákladov v budúcnosti.</w:t>
      </w:r>
    </w:p>
    <w:p w:rsidR="006A777D" w:rsidRPr="003859CD" w:rsidP="006A777D">
      <w:pPr>
        <w:bidi w:val="0"/>
        <w:spacing w:after="60"/>
        <w:jc w:val="both"/>
        <w:rPr>
          <w:rFonts w:ascii="Times New Roman" w:hAnsi="Times New Roman"/>
          <w:szCs w:val="22"/>
        </w:rPr>
      </w:pPr>
      <w:r w:rsidRPr="003859CD">
        <w:rPr>
          <w:rFonts w:ascii="Times New Roman" w:hAnsi="Times New Roman"/>
          <w:b/>
          <w:szCs w:val="22"/>
        </w:rPr>
        <w:t>Princíp tretí:</w:t>
      </w:r>
      <w:r w:rsidRPr="003859CD">
        <w:rPr>
          <w:rFonts w:ascii="Times New Roman" w:hAnsi="Times New Roman"/>
          <w:szCs w:val="22"/>
        </w:rPr>
        <w:t xml:space="preserve"> riadenie dlhu má vychádzať z princípu optimálneho rizika. To znamená, že aktívne riadenie dlhu má vychádzať z kvantifikácie rozdielu medzi potenciálnym zväčšením nákladov, ktoré vyplýva z neriadeného rizika a s nákladmi spojenými na jeho elimináciu.</w:t>
      </w:r>
    </w:p>
    <w:p w:rsidR="00CC6D54" w:rsidRPr="003859CD" w:rsidP="004012A1">
      <w:pPr>
        <w:numPr>
          <w:numId w:val="20"/>
        </w:numPr>
        <w:bidi w:val="0"/>
        <w:spacing w:before="240" w:after="120"/>
        <w:jc w:val="both"/>
        <w:rPr>
          <w:rFonts w:ascii="Times New Roman" w:hAnsi="Times New Roman"/>
          <w:szCs w:val="22"/>
          <w:u w:val="single"/>
        </w:rPr>
      </w:pPr>
      <w:r w:rsidRPr="003859CD" w:rsidR="00706C55">
        <w:rPr>
          <w:rFonts w:ascii="Times New Roman" w:hAnsi="Times New Roman"/>
          <w:szCs w:val="22"/>
          <w:u w:val="single"/>
        </w:rPr>
        <w:t>Š</w:t>
      </w:r>
      <w:r w:rsidRPr="003859CD">
        <w:rPr>
          <w:rFonts w:ascii="Times New Roman" w:hAnsi="Times New Roman"/>
          <w:szCs w:val="22"/>
          <w:u w:val="single"/>
        </w:rPr>
        <w:t xml:space="preserve">tandardizovanie </w:t>
      </w:r>
      <w:r w:rsidRPr="003859CD" w:rsidR="00ED33DD">
        <w:rPr>
          <w:rFonts w:ascii="Times New Roman" w:hAnsi="Times New Roman"/>
          <w:szCs w:val="22"/>
          <w:u w:val="single"/>
        </w:rPr>
        <w:t>vlastností</w:t>
      </w:r>
      <w:r w:rsidRPr="003859CD" w:rsidR="000A6712">
        <w:rPr>
          <w:rFonts w:ascii="Times New Roman" w:hAnsi="Times New Roman"/>
          <w:szCs w:val="22"/>
          <w:u w:val="single"/>
        </w:rPr>
        <w:t xml:space="preserve"> </w:t>
      </w:r>
      <w:r w:rsidRPr="003859CD">
        <w:rPr>
          <w:rFonts w:ascii="Times New Roman" w:hAnsi="Times New Roman"/>
          <w:szCs w:val="22"/>
          <w:u w:val="single"/>
        </w:rPr>
        <w:t>nových emisií</w:t>
      </w:r>
      <w:r w:rsidRPr="003859CD" w:rsidR="00ED33DD">
        <w:rPr>
          <w:rFonts w:ascii="Times New Roman" w:hAnsi="Times New Roman"/>
          <w:szCs w:val="22"/>
          <w:u w:val="single"/>
        </w:rPr>
        <w:t xml:space="preserve"> cenných papierov</w:t>
      </w:r>
    </w:p>
    <w:p w:rsidR="00CC6D54" w:rsidP="001B59DB">
      <w:pPr>
        <w:bidi w:val="0"/>
        <w:spacing w:after="120"/>
        <w:ind w:firstLine="708"/>
        <w:jc w:val="both"/>
        <w:rPr>
          <w:rFonts w:ascii="Times New Roman" w:hAnsi="Times New Roman"/>
          <w:szCs w:val="22"/>
        </w:rPr>
      </w:pPr>
      <w:r w:rsidRPr="003859CD" w:rsidR="0079771C">
        <w:rPr>
          <w:rFonts w:ascii="Times New Roman" w:hAnsi="Times New Roman"/>
          <w:szCs w:val="22"/>
        </w:rPr>
        <w:t xml:space="preserve">Slovenská republika už od prijatia eura </w:t>
      </w:r>
      <w:r w:rsidRPr="003859CD" w:rsidR="006A777D">
        <w:rPr>
          <w:rFonts w:ascii="Times New Roman" w:hAnsi="Times New Roman"/>
          <w:szCs w:val="22"/>
        </w:rPr>
        <w:t xml:space="preserve">vydáva </w:t>
      </w:r>
      <w:r w:rsidRPr="003859CD" w:rsidR="0079771C">
        <w:rPr>
          <w:rFonts w:ascii="Times New Roman" w:hAnsi="Times New Roman"/>
          <w:szCs w:val="22"/>
        </w:rPr>
        <w:t>dlhopisy</w:t>
      </w:r>
      <w:r w:rsidRPr="003859CD">
        <w:rPr>
          <w:rFonts w:ascii="Times New Roman" w:hAnsi="Times New Roman"/>
          <w:szCs w:val="22"/>
        </w:rPr>
        <w:t xml:space="preserve"> </w:t>
      </w:r>
      <w:r w:rsidRPr="003859CD" w:rsidR="00C64C2F">
        <w:rPr>
          <w:rFonts w:ascii="Times New Roman" w:hAnsi="Times New Roman"/>
          <w:szCs w:val="22"/>
        </w:rPr>
        <w:t xml:space="preserve">so </w:t>
      </w:r>
      <w:r w:rsidRPr="003859CD">
        <w:rPr>
          <w:rFonts w:ascii="Times New Roman" w:hAnsi="Times New Roman"/>
          <w:szCs w:val="22"/>
        </w:rPr>
        <w:t>štandardn</w:t>
      </w:r>
      <w:r w:rsidRPr="003859CD" w:rsidR="0079771C">
        <w:rPr>
          <w:rFonts w:ascii="Times New Roman" w:hAnsi="Times New Roman"/>
          <w:szCs w:val="22"/>
        </w:rPr>
        <w:t>ý</w:t>
      </w:r>
      <w:r w:rsidRPr="003859CD" w:rsidR="00C64C2F">
        <w:rPr>
          <w:rFonts w:ascii="Times New Roman" w:hAnsi="Times New Roman"/>
          <w:szCs w:val="22"/>
        </w:rPr>
        <w:t>mi</w:t>
      </w:r>
      <w:r w:rsidRPr="003859CD" w:rsidR="0079771C">
        <w:rPr>
          <w:rFonts w:ascii="Times New Roman" w:hAnsi="Times New Roman"/>
          <w:szCs w:val="22"/>
        </w:rPr>
        <w:t xml:space="preserve"> vlastnos</w:t>
      </w:r>
      <w:r w:rsidRPr="003859CD" w:rsidR="00C64C2F">
        <w:rPr>
          <w:rFonts w:ascii="Times New Roman" w:hAnsi="Times New Roman"/>
          <w:szCs w:val="22"/>
        </w:rPr>
        <w:t>ťami</w:t>
      </w:r>
      <w:r w:rsidRPr="003859CD" w:rsidR="0079771C">
        <w:rPr>
          <w:rFonts w:ascii="Times New Roman" w:hAnsi="Times New Roman"/>
          <w:szCs w:val="22"/>
        </w:rPr>
        <w:t xml:space="preserve">. </w:t>
      </w:r>
      <w:r w:rsidRPr="003859CD" w:rsidR="00970DA2">
        <w:rPr>
          <w:rFonts w:ascii="Times New Roman" w:hAnsi="Times New Roman"/>
          <w:szCs w:val="22"/>
        </w:rPr>
        <w:t xml:space="preserve">Pre benchmarkovú emisiu dlhopisov je </w:t>
      </w:r>
      <w:r w:rsidRPr="003859CD" w:rsidR="007B349B">
        <w:rPr>
          <w:rFonts w:ascii="Times New Roman" w:hAnsi="Times New Roman"/>
          <w:szCs w:val="22"/>
        </w:rPr>
        <w:t>štandardn</w:t>
      </w:r>
      <w:r w:rsidRPr="003859CD" w:rsidR="00970DA2">
        <w:rPr>
          <w:rFonts w:ascii="Times New Roman" w:hAnsi="Times New Roman"/>
          <w:szCs w:val="22"/>
        </w:rPr>
        <w:t>á</w:t>
      </w:r>
      <w:r w:rsidRPr="003859CD" w:rsidR="007B349B">
        <w:rPr>
          <w:rFonts w:ascii="Times New Roman" w:hAnsi="Times New Roman"/>
          <w:szCs w:val="22"/>
        </w:rPr>
        <w:t xml:space="preserve"> </w:t>
      </w:r>
      <w:r w:rsidRPr="003859CD" w:rsidR="00970DA2">
        <w:rPr>
          <w:rFonts w:ascii="Times New Roman" w:hAnsi="Times New Roman"/>
          <w:szCs w:val="22"/>
        </w:rPr>
        <w:t xml:space="preserve">veľkosť </w:t>
      </w:r>
      <w:r w:rsidRPr="003859CD" w:rsidR="0079771C">
        <w:rPr>
          <w:rFonts w:ascii="Times New Roman" w:hAnsi="Times New Roman"/>
          <w:szCs w:val="22"/>
        </w:rPr>
        <w:t>3</w:t>
      </w:r>
      <w:r w:rsidRPr="003859CD" w:rsidR="00ED33DD">
        <w:rPr>
          <w:rFonts w:ascii="Times New Roman" w:hAnsi="Times New Roman"/>
          <w:szCs w:val="22"/>
        </w:rPr>
        <w:t xml:space="preserve"> mld. </w:t>
      </w:r>
      <w:r w:rsidRPr="003859CD" w:rsidR="005747A7">
        <w:rPr>
          <w:rFonts w:ascii="Times New Roman" w:hAnsi="Times New Roman"/>
          <w:szCs w:val="22"/>
        </w:rPr>
        <w:t>eur</w:t>
      </w:r>
      <w:r w:rsidRPr="003859CD" w:rsidR="00E31135">
        <w:rPr>
          <w:rFonts w:ascii="Times New Roman" w:hAnsi="Times New Roman"/>
          <w:szCs w:val="22"/>
        </w:rPr>
        <w:t xml:space="preserve"> (v menovitej hodnote)</w:t>
      </w:r>
      <w:r w:rsidRPr="003859CD" w:rsidR="00ED33DD">
        <w:rPr>
          <w:rFonts w:ascii="Times New Roman" w:hAnsi="Times New Roman"/>
          <w:szCs w:val="22"/>
        </w:rPr>
        <w:t>.</w:t>
      </w:r>
      <w:r w:rsidRPr="003859CD" w:rsidR="005840BF">
        <w:rPr>
          <w:rFonts w:ascii="Times New Roman" w:hAnsi="Times New Roman"/>
          <w:szCs w:val="22"/>
        </w:rPr>
        <w:t xml:space="preserve"> </w:t>
      </w:r>
      <w:r w:rsidRPr="003859CD" w:rsidR="0079771C">
        <w:rPr>
          <w:rFonts w:ascii="Times New Roman" w:hAnsi="Times New Roman"/>
          <w:szCs w:val="22"/>
        </w:rPr>
        <w:t>Okrem veľkosti emisie dlhopisov</w:t>
      </w:r>
      <w:r w:rsidRPr="003859CD" w:rsidR="00970DA2">
        <w:rPr>
          <w:rFonts w:ascii="Times New Roman" w:hAnsi="Times New Roman"/>
          <w:szCs w:val="22"/>
        </w:rPr>
        <w:t xml:space="preserve">, ktorá je viac závislá na veľkosti krajiny, jej dlhu a hotovostných tokov, </w:t>
      </w:r>
      <w:r w:rsidRPr="003859CD" w:rsidR="0079771C">
        <w:rPr>
          <w:rFonts w:ascii="Times New Roman" w:hAnsi="Times New Roman"/>
          <w:szCs w:val="22"/>
        </w:rPr>
        <w:t xml:space="preserve">všetky ostatné charakteristiky </w:t>
      </w:r>
      <w:r w:rsidRPr="003859CD" w:rsidR="00970DA2">
        <w:rPr>
          <w:rFonts w:ascii="Times New Roman" w:hAnsi="Times New Roman"/>
          <w:szCs w:val="22"/>
        </w:rPr>
        <w:t xml:space="preserve">dlhopisov </w:t>
      </w:r>
      <w:r w:rsidRPr="003859CD" w:rsidR="0079771C">
        <w:rPr>
          <w:rFonts w:ascii="Times New Roman" w:hAnsi="Times New Roman"/>
          <w:szCs w:val="22"/>
        </w:rPr>
        <w:t xml:space="preserve">sú v súlade s kapitálovým trhom eurozóny (vrátane povinnej časti </w:t>
      </w:r>
      <w:r w:rsidRPr="003859CD" w:rsidR="001A104F">
        <w:rPr>
          <w:rFonts w:ascii="Times New Roman" w:hAnsi="Times New Roman"/>
          <w:szCs w:val="22"/>
        </w:rPr>
        <w:t>„C</w:t>
      </w:r>
      <w:r w:rsidRPr="003859CD" w:rsidR="00F45D9B">
        <w:rPr>
          <w:rFonts w:ascii="Times New Roman" w:hAnsi="Times New Roman"/>
          <w:szCs w:val="22"/>
        </w:rPr>
        <w:t xml:space="preserve">ollective </w:t>
      </w:r>
      <w:r w:rsidRPr="003859CD" w:rsidR="001A104F">
        <w:rPr>
          <w:rFonts w:ascii="Times New Roman" w:hAnsi="Times New Roman"/>
          <w:szCs w:val="22"/>
        </w:rPr>
        <w:t>A</w:t>
      </w:r>
      <w:r w:rsidRPr="003859CD" w:rsidR="00F45D9B">
        <w:rPr>
          <w:rFonts w:ascii="Times New Roman" w:hAnsi="Times New Roman"/>
          <w:szCs w:val="22"/>
        </w:rPr>
        <w:t xml:space="preserve">ction </w:t>
      </w:r>
      <w:r w:rsidRPr="003859CD" w:rsidR="001A104F">
        <w:rPr>
          <w:rFonts w:ascii="Times New Roman" w:hAnsi="Times New Roman"/>
          <w:szCs w:val="22"/>
        </w:rPr>
        <w:t>C</w:t>
      </w:r>
      <w:r w:rsidRPr="003859CD" w:rsidR="00F45D9B">
        <w:rPr>
          <w:rFonts w:ascii="Times New Roman" w:hAnsi="Times New Roman"/>
          <w:szCs w:val="22"/>
        </w:rPr>
        <w:t>lauses</w:t>
      </w:r>
      <w:r w:rsidRPr="003859CD" w:rsidR="00D80DFC">
        <w:rPr>
          <w:rFonts w:ascii="Times New Roman" w:hAnsi="Times New Roman"/>
          <w:szCs w:val="22"/>
        </w:rPr>
        <w:t>“</w:t>
      </w:r>
      <w:r w:rsidRPr="003859CD" w:rsidR="00F45D9B">
        <w:rPr>
          <w:rFonts w:ascii="Times New Roman" w:hAnsi="Times New Roman"/>
          <w:szCs w:val="22"/>
        </w:rPr>
        <w:t>)</w:t>
      </w:r>
      <w:r w:rsidRPr="003859CD" w:rsidR="0079771C">
        <w:rPr>
          <w:rFonts w:ascii="Times New Roman" w:hAnsi="Times New Roman"/>
          <w:szCs w:val="22"/>
        </w:rPr>
        <w:t xml:space="preserve">. </w:t>
      </w:r>
      <w:r w:rsidRPr="003859CD" w:rsidR="0051390D">
        <w:rPr>
          <w:rFonts w:ascii="Times New Roman" w:hAnsi="Times New Roman"/>
          <w:szCs w:val="22"/>
        </w:rPr>
        <w:t xml:space="preserve">Ak to situácia </w:t>
      </w:r>
      <w:r w:rsidRPr="003859CD" w:rsidR="007B349B">
        <w:rPr>
          <w:rFonts w:ascii="Times New Roman" w:hAnsi="Times New Roman"/>
          <w:szCs w:val="22"/>
        </w:rPr>
        <w:t xml:space="preserve">na finančných trhoch </w:t>
      </w:r>
      <w:r w:rsidRPr="003859CD" w:rsidR="0051390D">
        <w:rPr>
          <w:rFonts w:ascii="Times New Roman" w:hAnsi="Times New Roman"/>
          <w:szCs w:val="22"/>
        </w:rPr>
        <w:t>dovolí (aj vo forme priazniv</w:t>
      </w:r>
      <w:r w:rsidRPr="003859CD" w:rsidR="00DF17C8">
        <w:rPr>
          <w:rFonts w:ascii="Times New Roman" w:hAnsi="Times New Roman"/>
          <w:szCs w:val="22"/>
        </w:rPr>
        <w:t>ého výnosu</w:t>
      </w:r>
      <w:r w:rsidRPr="003859CD" w:rsidR="0051390D">
        <w:rPr>
          <w:rFonts w:ascii="Times New Roman" w:hAnsi="Times New Roman"/>
          <w:szCs w:val="22"/>
        </w:rPr>
        <w:t>), bude snah</w:t>
      </w:r>
      <w:r w:rsidRPr="003859CD" w:rsidR="00970DA2">
        <w:rPr>
          <w:rFonts w:ascii="Times New Roman" w:hAnsi="Times New Roman"/>
          <w:szCs w:val="22"/>
        </w:rPr>
        <w:t>ou emitenta</w:t>
      </w:r>
      <w:r w:rsidRPr="003859CD" w:rsidR="007B349B">
        <w:rPr>
          <w:rFonts w:ascii="Times New Roman" w:hAnsi="Times New Roman"/>
          <w:szCs w:val="22"/>
        </w:rPr>
        <w:t xml:space="preserve"> </w:t>
      </w:r>
      <w:r w:rsidRPr="003859CD" w:rsidR="00F45D9B">
        <w:rPr>
          <w:rFonts w:ascii="Times New Roman" w:hAnsi="Times New Roman"/>
          <w:szCs w:val="22"/>
        </w:rPr>
        <w:t>vydať dlhopis</w:t>
      </w:r>
      <w:r w:rsidRPr="003859CD" w:rsidR="003308AA">
        <w:rPr>
          <w:rFonts w:ascii="Times New Roman" w:hAnsi="Times New Roman"/>
          <w:szCs w:val="22"/>
        </w:rPr>
        <w:t xml:space="preserve"> </w:t>
      </w:r>
      <w:r w:rsidRPr="003859CD" w:rsidR="00F45D9B">
        <w:rPr>
          <w:rFonts w:ascii="Times New Roman" w:hAnsi="Times New Roman"/>
          <w:szCs w:val="22"/>
        </w:rPr>
        <w:t xml:space="preserve">so </w:t>
      </w:r>
      <w:r w:rsidRPr="003859CD" w:rsidR="0051390D">
        <w:rPr>
          <w:rFonts w:ascii="Times New Roman" w:hAnsi="Times New Roman"/>
          <w:szCs w:val="22"/>
        </w:rPr>
        <w:t>splatnosť</w:t>
      </w:r>
      <w:r w:rsidRPr="003859CD" w:rsidR="00F45D9B">
        <w:rPr>
          <w:rFonts w:ascii="Times New Roman" w:hAnsi="Times New Roman"/>
          <w:szCs w:val="22"/>
        </w:rPr>
        <w:t>ou</w:t>
      </w:r>
      <w:r w:rsidRPr="003859CD" w:rsidR="0051390D">
        <w:rPr>
          <w:rFonts w:ascii="Times New Roman" w:hAnsi="Times New Roman"/>
          <w:szCs w:val="22"/>
        </w:rPr>
        <w:t xml:space="preserve"> 30</w:t>
      </w:r>
      <w:r w:rsidRPr="003859CD" w:rsidR="00E236CD">
        <w:rPr>
          <w:rFonts w:ascii="Times New Roman" w:hAnsi="Times New Roman"/>
          <w:szCs w:val="22"/>
        </w:rPr>
        <w:t> </w:t>
      </w:r>
      <w:r w:rsidRPr="003859CD" w:rsidR="0051390D">
        <w:rPr>
          <w:rFonts w:ascii="Times New Roman" w:hAnsi="Times New Roman"/>
          <w:szCs w:val="22"/>
        </w:rPr>
        <w:t>rokov</w:t>
      </w:r>
      <w:r w:rsidRPr="003859CD" w:rsidR="00DE351D">
        <w:rPr>
          <w:rFonts w:ascii="Times New Roman" w:hAnsi="Times New Roman"/>
          <w:szCs w:val="22"/>
        </w:rPr>
        <w:t xml:space="preserve"> (</w:t>
      </w:r>
      <w:r w:rsidRPr="003859CD" w:rsidR="0051390D">
        <w:rPr>
          <w:rFonts w:ascii="Times New Roman" w:hAnsi="Times New Roman"/>
          <w:szCs w:val="22"/>
        </w:rPr>
        <w:t>pre ocenenie dlhodobých finančných aktív a</w:t>
      </w:r>
      <w:r w:rsidRPr="003859CD" w:rsidR="00DE351D">
        <w:rPr>
          <w:rFonts w:ascii="Times New Roman" w:hAnsi="Times New Roman"/>
          <w:szCs w:val="22"/>
        </w:rPr>
        <w:t> </w:t>
      </w:r>
      <w:r w:rsidRPr="003859CD" w:rsidR="0051390D">
        <w:rPr>
          <w:rFonts w:ascii="Times New Roman" w:hAnsi="Times New Roman"/>
          <w:szCs w:val="22"/>
        </w:rPr>
        <w:t>pasív</w:t>
      </w:r>
      <w:r w:rsidRPr="003859CD" w:rsidR="00DE351D">
        <w:rPr>
          <w:rFonts w:ascii="Times New Roman" w:hAnsi="Times New Roman"/>
          <w:szCs w:val="22"/>
        </w:rPr>
        <w:t xml:space="preserve"> slovenských subjektov)</w:t>
      </w:r>
      <w:r w:rsidRPr="003859CD" w:rsidR="0051390D">
        <w:rPr>
          <w:rFonts w:ascii="Times New Roman" w:hAnsi="Times New Roman"/>
          <w:szCs w:val="22"/>
        </w:rPr>
        <w:t xml:space="preserve">. </w:t>
      </w:r>
      <w:r w:rsidRPr="003859CD">
        <w:rPr>
          <w:rFonts w:ascii="Times New Roman" w:hAnsi="Times New Roman"/>
          <w:szCs w:val="22"/>
        </w:rPr>
        <w:t xml:space="preserve">Okrem toho </w:t>
      </w:r>
      <w:r w:rsidRPr="003859CD" w:rsidR="008A4F42">
        <w:rPr>
          <w:rFonts w:ascii="Times New Roman" w:hAnsi="Times New Roman"/>
          <w:szCs w:val="22"/>
        </w:rPr>
        <w:t>bude</w:t>
      </w:r>
      <w:r w:rsidRPr="003859CD" w:rsidR="005840BF">
        <w:rPr>
          <w:rFonts w:ascii="Times New Roman" w:hAnsi="Times New Roman"/>
          <w:szCs w:val="22"/>
        </w:rPr>
        <w:t xml:space="preserve"> </w:t>
      </w:r>
      <w:r w:rsidRPr="003859CD" w:rsidR="00DE351D">
        <w:rPr>
          <w:rFonts w:ascii="Times New Roman" w:hAnsi="Times New Roman"/>
          <w:szCs w:val="22"/>
        </w:rPr>
        <w:t>p</w:t>
      </w:r>
      <w:r w:rsidRPr="003859CD">
        <w:rPr>
          <w:rFonts w:ascii="Times New Roman" w:hAnsi="Times New Roman"/>
          <w:szCs w:val="22"/>
        </w:rPr>
        <w:t>o</w:t>
      </w:r>
      <w:r w:rsidRPr="003859CD" w:rsidR="00DE351D">
        <w:rPr>
          <w:rFonts w:ascii="Times New Roman" w:hAnsi="Times New Roman"/>
          <w:szCs w:val="22"/>
        </w:rPr>
        <w:t>kračovať</w:t>
      </w:r>
      <w:r w:rsidRPr="003859CD">
        <w:rPr>
          <w:rFonts w:ascii="Times New Roman" w:hAnsi="Times New Roman"/>
          <w:szCs w:val="22"/>
        </w:rPr>
        <w:t xml:space="preserve"> realizáci</w:t>
      </w:r>
      <w:r w:rsidRPr="003859CD" w:rsidR="00DE351D">
        <w:rPr>
          <w:rFonts w:ascii="Times New Roman" w:hAnsi="Times New Roman"/>
          <w:szCs w:val="22"/>
        </w:rPr>
        <w:t>a</w:t>
      </w:r>
      <w:r w:rsidRPr="003859CD">
        <w:rPr>
          <w:rFonts w:ascii="Times New Roman" w:hAnsi="Times New Roman"/>
          <w:szCs w:val="22"/>
        </w:rPr>
        <w:t xml:space="preserve"> spätného odkupovania štátnych dlhopisov </w:t>
      </w:r>
      <w:r w:rsidRPr="003859CD" w:rsidR="003957F8">
        <w:rPr>
          <w:rFonts w:ascii="Times New Roman" w:hAnsi="Times New Roman"/>
          <w:szCs w:val="22"/>
        </w:rPr>
        <w:t xml:space="preserve">a ŠPP </w:t>
      </w:r>
      <w:r w:rsidRPr="003859CD">
        <w:rPr>
          <w:rFonts w:ascii="Times New Roman" w:hAnsi="Times New Roman"/>
          <w:szCs w:val="22"/>
        </w:rPr>
        <w:t xml:space="preserve">s cieľom </w:t>
      </w:r>
      <w:r w:rsidRPr="003859CD" w:rsidR="00DE351D">
        <w:rPr>
          <w:rFonts w:ascii="Times New Roman" w:hAnsi="Times New Roman"/>
          <w:szCs w:val="22"/>
        </w:rPr>
        <w:t>udržiavania hotovostnej rezervy (s ohľadom na zákon o </w:t>
      </w:r>
      <w:r w:rsidRPr="003859CD" w:rsidR="00D373B6">
        <w:rPr>
          <w:rFonts w:ascii="Times New Roman" w:hAnsi="Times New Roman"/>
          <w:szCs w:val="22"/>
        </w:rPr>
        <w:t>rozpočtovej</w:t>
      </w:r>
      <w:r w:rsidRPr="003859CD" w:rsidR="00DE351D">
        <w:rPr>
          <w:rFonts w:ascii="Times New Roman" w:hAnsi="Times New Roman"/>
          <w:szCs w:val="22"/>
        </w:rPr>
        <w:t xml:space="preserve"> zodpovednosti) na dostatočne dlhý čas</w:t>
      </w:r>
      <w:r w:rsidRPr="003859CD" w:rsidR="00833758">
        <w:rPr>
          <w:rFonts w:ascii="Times New Roman" w:hAnsi="Times New Roman"/>
          <w:szCs w:val="22"/>
        </w:rPr>
        <w:t>,</w:t>
      </w:r>
      <w:r w:rsidRPr="003859CD" w:rsidR="00DE351D">
        <w:rPr>
          <w:rFonts w:ascii="Times New Roman" w:hAnsi="Times New Roman"/>
          <w:szCs w:val="22"/>
        </w:rPr>
        <w:t xml:space="preserve"> a</w:t>
      </w:r>
      <w:r w:rsidRPr="003859CD" w:rsidR="00970DA2">
        <w:rPr>
          <w:rFonts w:ascii="Times New Roman" w:hAnsi="Times New Roman"/>
          <w:szCs w:val="22"/>
        </w:rPr>
        <w:t xml:space="preserve"> tiež </w:t>
      </w:r>
      <w:r w:rsidRPr="003859CD" w:rsidR="00E31135">
        <w:rPr>
          <w:rFonts w:ascii="Times New Roman" w:hAnsi="Times New Roman"/>
          <w:szCs w:val="22"/>
        </w:rPr>
        <w:t xml:space="preserve">eliminovania </w:t>
      </w:r>
      <w:r w:rsidRPr="003859CD">
        <w:rPr>
          <w:rFonts w:ascii="Times New Roman" w:hAnsi="Times New Roman"/>
          <w:szCs w:val="22"/>
        </w:rPr>
        <w:t>výkyv</w:t>
      </w:r>
      <w:r w:rsidRPr="003859CD" w:rsidR="00E31135">
        <w:rPr>
          <w:rFonts w:ascii="Times New Roman" w:hAnsi="Times New Roman"/>
          <w:szCs w:val="22"/>
        </w:rPr>
        <w:t>ov</w:t>
      </w:r>
      <w:r w:rsidRPr="003859CD">
        <w:rPr>
          <w:rFonts w:ascii="Times New Roman" w:hAnsi="Times New Roman"/>
          <w:szCs w:val="22"/>
        </w:rPr>
        <w:t xml:space="preserve"> v</w:t>
      </w:r>
      <w:r w:rsidRPr="003859CD" w:rsidR="00DE351D">
        <w:rPr>
          <w:rFonts w:ascii="Times New Roman" w:hAnsi="Times New Roman"/>
          <w:szCs w:val="22"/>
        </w:rPr>
        <w:t> hotovostných tokoch</w:t>
      </w:r>
      <w:r w:rsidRPr="003859CD" w:rsidR="007B349B">
        <w:rPr>
          <w:rFonts w:ascii="Times New Roman" w:hAnsi="Times New Roman"/>
          <w:szCs w:val="22"/>
        </w:rPr>
        <w:t xml:space="preserve"> spôsoben</w:t>
      </w:r>
      <w:r w:rsidRPr="003859CD" w:rsidR="001A104F">
        <w:rPr>
          <w:rFonts w:ascii="Times New Roman" w:hAnsi="Times New Roman"/>
          <w:szCs w:val="22"/>
        </w:rPr>
        <w:t>ých</w:t>
      </w:r>
      <w:r w:rsidRPr="003859CD" w:rsidR="007B349B">
        <w:rPr>
          <w:rFonts w:ascii="Times New Roman" w:hAnsi="Times New Roman"/>
          <w:szCs w:val="22"/>
        </w:rPr>
        <w:t xml:space="preserve"> najmä veľk</w:t>
      </w:r>
      <w:r w:rsidRPr="003859CD" w:rsidR="00970DA2">
        <w:rPr>
          <w:rFonts w:ascii="Times New Roman" w:hAnsi="Times New Roman"/>
          <w:szCs w:val="22"/>
        </w:rPr>
        <w:t xml:space="preserve">osťou splatných benchmarkových </w:t>
      </w:r>
      <w:r w:rsidRPr="003859CD" w:rsidR="007B349B">
        <w:rPr>
          <w:rFonts w:ascii="Times New Roman" w:hAnsi="Times New Roman"/>
          <w:szCs w:val="22"/>
        </w:rPr>
        <w:t>emisií</w:t>
      </w:r>
      <w:r w:rsidRPr="003859CD" w:rsidR="00970DA2">
        <w:rPr>
          <w:rFonts w:ascii="Times New Roman" w:hAnsi="Times New Roman"/>
          <w:szCs w:val="22"/>
        </w:rPr>
        <w:t xml:space="preserve"> dlhopisov</w:t>
      </w:r>
      <w:r w:rsidRPr="003859CD">
        <w:rPr>
          <w:rFonts w:ascii="Times New Roman" w:hAnsi="Times New Roman"/>
          <w:szCs w:val="22"/>
        </w:rPr>
        <w:t>.</w:t>
      </w:r>
    </w:p>
    <w:p w:rsidR="004D075A" w:rsidP="001B59DB">
      <w:pPr>
        <w:bidi w:val="0"/>
        <w:spacing w:after="120"/>
        <w:ind w:firstLine="708"/>
        <w:jc w:val="both"/>
        <w:rPr>
          <w:rFonts w:ascii="Times New Roman" w:hAnsi="Times New Roman"/>
          <w:szCs w:val="22"/>
        </w:rPr>
      </w:pPr>
    </w:p>
    <w:p w:rsidR="004D075A" w:rsidRPr="003859CD" w:rsidP="001B59DB">
      <w:pPr>
        <w:bidi w:val="0"/>
        <w:spacing w:after="120"/>
        <w:ind w:firstLine="708"/>
        <w:jc w:val="both"/>
        <w:rPr>
          <w:rFonts w:ascii="Times New Roman" w:hAnsi="Times New Roman"/>
          <w:szCs w:val="22"/>
        </w:rPr>
      </w:pPr>
    </w:p>
    <w:p w:rsidR="00CC6D54" w:rsidRPr="003859CD" w:rsidP="00DE351D">
      <w:pPr>
        <w:numPr>
          <w:numId w:val="20"/>
        </w:numPr>
        <w:bidi w:val="0"/>
        <w:spacing w:before="240" w:after="120"/>
        <w:jc w:val="both"/>
        <w:rPr>
          <w:rFonts w:ascii="Times New Roman" w:hAnsi="Times New Roman"/>
          <w:szCs w:val="22"/>
          <w:u w:val="single"/>
        </w:rPr>
      </w:pPr>
      <w:r w:rsidRPr="003859CD">
        <w:rPr>
          <w:rFonts w:ascii="Times New Roman" w:hAnsi="Times New Roman"/>
          <w:szCs w:val="22"/>
          <w:u w:val="single"/>
        </w:rPr>
        <w:t>Optimalizovanie štruktúry neobchodovateľného dlhu</w:t>
      </w:r>
    </w:p>
    <w:p w:rsidR="00CC6D54" w:rsidRPr="003859CD" w:rsidP="001B59DB">
      <w:pPr>
        <w:bidi w:val="0"/>
        <w:spacing w:after="120"/>
        <w:ind w:firstLine="708"/>
        <w:jc w:val="both"/>
        <w:rPr>
          <w:rFonts w:ascii="Times New Roman" w:hAnsi="Times New Roman"/>
          <w:szCs w:val="22"/>
        </w:rPr>
      </w:pPr>
      <w:r w:rsidRPr="003859CD" w:rsidR="00970DA2">
        <w:rPr>
          <w:rFonts w:ascii="Times New Roman" w:hAnsi="Times New Roman"/>
          <w:szCs w:val="22"/>
        </w:rPr>
        <w:t>Konsolidácia podielu neobchodovateľného dlhu bola už realizovaná. Do budúcnosti bude p</w:t>
      </w:r>
      <w:r w:rsidRPr="003859CD">
        <w:rPr>
          <w:rFonts w:ascii="Times New Roman" w:hAnsi="Times New Roman"/>
          <w:szCs w:val="22"/>
        </w:rPr>
        <w:t>rijímanie nových úverov obmedz</w:t>
      </w:r>
      <w:r w:rsidRPr="003859CD" w:rsidR="00FF7BEC">
        <w:rPr>
          <w:rFonts w:ascii="Times New Roman" w:hAnsi="Times New Roman"/>
          <w:szCs w:val="22"/>
        </w:rPr>
        <w:t>ené</w:t>
      </w:r>
      <w:r w:rsidRPr="003859CD">
        <w:rPr>
          <w:rFonts w:ascii="Times New Roman" w:hAnsi="Times New Roman"/>
          <w:szCs w:val="22"/>
        </w:rPr>
        <w:t xml:space="preserve"> na prípady, keď je úver ekonomicky výhodnejší </w:t>
      </w:r>
      <w:r w:rsidRPr="003859CD" w:rsidR="007B349B">
        <w:rPr>
          <w:rFonts w:ascii="Times New Roman" w:hAnsi="Times New Roman"/>
          <w:szCs w:val="22"/>
        </w:rPr>
        <w:t xml:space="preserve">alebo porovnateľný </w:t>
      </w:r>
      <w:r w:rsidRPr="003859CD">
        <w:rPr>
          <w:rFonts w:ascii="Times New Roman" w:hAnsi="Times New Roman"/>
          <w:szCs w:val="22"/>
        </w:rPr>
        <w:t xml:space="preserve">ako vydanie cenného papiera (štátneho dlhopisu), prípadne prinesie ešte ďalšie </w:t>
      </w:r>
      <w:r w:rsidRPr="003859CD" w:rsidR="00F957D8">
        <w:rPr>
          <w:rFonts w:ascii="Times New Roman" w:hAnsi="Times New Roman"/>
          <w:szCs w:val="22"/>
        </w:rPr>
        <w:t xml:space="preserve">vedľajšie </w:t>
      </w:r>
      <w:r w:rsidRPr="003859CD" w:rsidR="007B349B">
        <w:rPr>
          <w:rFonts w:ascii="Times New Roman" w:hAnsi="Times New Roman"/>
          <w:szCs w:val="22"/>
        </w:rPr>
        <w:t>prínosy</w:t>
      </w:r>
      <w:r w:rsidRPr="003859CD">
        <w:rPr>
          <w:rFonts w:ascii="Times New Roman" w:hAnsi="Times New Roman"/>
          <w:szCs w:val="22"/>
        </w:rPr>
        <w:t xml:space="preserve"> pre štát.</w:t>
      </w:r>
    </w:p>
    <w:p w:rsidR="00CC6D54" w:rsidRPr="003859CD" w:rsidP="00DE351D">
      <w:pPr>
        <w:numPr>
          <w:numId w:val="20"/>
        </w:numPr>
        <w:bidi w:val="0"/>
        <w:spacing w:before="240" w:after="120"/>
        <w:jc w:val="both"/>
        <w:rPr>
          <w:rFonts w:ascii="Times New Roman" w:hAnsi="Times New Roman"/>
          <w:szCs w:val="22"/>
          <w:u w:val="single"/>
        </w:rPr>
      </w:pPr>
      <w:r w:rsidRPr="003859CD">
        <w:rPr>
          <w:rFonts w:ascii="Times New Roman" w:hAnsi="Times New Roman"/>
          <w:szCs w:val="22"/>
          <w:u w:val="single"/>
        </w:rPr>
        <w:t xml:space="preserve">Dodržiavanie </w:t>
      </w:r>
      <w:r w:rsidRPr="003859CD" w:rsidR="00B40A33">
        <w:rPr>
          <w:rFonts w:ascii="Times New Roman" w:hAnsi="Times New Roman"/>
          <w:szCs w:val="22"/>
          <w:u w:val="single"/>
        </w:rPr>
        <w:t xml:space="preserve">parametrov </w:t>
      </w:r>
      <w:r w:rsidRPr="003859CD">
        <w:rPr>
          <w:rFonts w:ascii="Times New Roman" w:hAnsi="Times New Roman"/>
          <w:szCs w:val="22"/>
          <w:u w:val="single"/>
        </w:rPr>
        <w:t>refinančného, úrokového a </w:t>
      </w:r>
      <w:r w:rsidRPr="003859CD" w:rsidR="007B349B">
        <w:rPr>
          <w:rFonts w:ascii="Times New Roman" w:hAnsi="Times New Roman"/>
          <w:szCs w:val="22"/>
          <w:u w:val="single"/>
        </w:rPr>
        <w:t>cudzomenovéh</w:t>
      </w:r>
      <w:r w:rsidRPr="003859CD">
        <w:rPr>
          <w:rFonts w:ascii="Times New Roman" w:hAnsi="Times New Roman"/>
          <w:szCs w:val="22"/>
          <w:u w:val="single"/>
        </w:rPr>
        <w:t>o rizika štátneho dlhu</w:t>
      </w:r>
    </w:p>
    <w:p w:rsidR="00CC6D54" w:rsidRPr="003859CD" w:rsidP="001B59DB">
      <w:pPr>
        <w:bidi w:val="0"/>
        <w:spacing w:after="120"/>
        <w:ind w:firstLine="708"/>
        <w:jc w:val="both"/>
        <w:rPr>
          <w:rFonts w:ascii="Times New Roman" w:hAnsi="Times New Roman"/>
          <w:szCs w:val="22"/>
        </w:rPr>
      </w:pPr>
      <w:r w:rsidRPr="003859CD" w:rsidR="00970DA2">
        <w:rPr>
          <w:rFonts w:ascii="Times New Roman" w:hAnsi="Times New Roman"/>
          <w:szCs w:val="22"/>
        </w:rPr>
        <w:t xml:space="preserve">Aj v budúcom období </w:t>
      </w:r>
      <w:r w:rsidRPr="003859CD" w:rsidR="001A104F">
        <w:rPr>
          <w:rFonts w:ascii="Times New Roman" w:hAnsi="Times New Roman"/>
          <w:szCs w:val="22"/>
        </w:rPr>
        <w:t>bude</w:t>
      </w:r>
      <w:r w:rsidRPr="003859CD" w:rsidR="006228AF">
        <w:rPr>
          <w:rFonts w:ascii="Times New Roman" w:hAnsi="Times New Roman"/>
          <w:szCs w:val="22"/>
        </w:rPr>
        <w:t xml:space="preserve"> potrebné </w:t>
      </w:r>
      <w:r w:rsidRPr="003859CD" w:rsidR="00970DA2">
        <w:rPr>
          <w:rFonts w:ascii="Times New Roman" w:hAnsi="Times New Roman"/>
          <w:szCs w:val="22"/>
        </w:rPr>
        <w:t>p</w:t>
      </w:r>
      <w:r w:rsidRPr="003859CD">
        <w:rPr>
          <w:rFonts w:ascii="Times New Roman" w:hAnsi="Times New Roman"/>
          <w:szCs w:val="22"/>
        </w:rPr>
        <w:t>okračovať v sledovaní refinančného a úrokového rizika</w:t>
      </w:r>
      <w:r w:rsidRPr="003859CD" w:rsidR="00970DA2">
        <w:rPr>
          <w:rFonts w:ascii="Times New Roman" w:hAnsi="Times New Roman"/>
          <w:szCs w:val="22"/>
        </w:rPr>
        <w:t>,</w:t>
      </w:r>
      <w:r w:rsidRPr="003859CD">
        <w:rPr>
          <w:rFonts w:ascii="Times New Roman" w:hAnsi="Times New Roman"/>
          <w:szCs w:val="22"/>
        </w:rPr>
        <w:t xml:space="preserve"> s mierne modifikovanými </w:t>
      </w:r>
      <w:r w:rsidRPr="003859CD" w:rsidR="00970DA2">
        <w:rPr>
          <w:rFonts w:ascii="Times New Roman" w:hAnsi="Times New Roman"/>
          <w:szCs w:val="22"/>
        </w:rPr>
        <w:t xml:space="preserve">cieľovými hodnotami </w:t>
      </w:r>
      <w:r w:rsidRPr="003859CD">
        <w:rPr>
          <w:rFonts w:ascii="Times New Roman" w:hAnsi="Times New Roman"/>
          <w:szCs w:val="22"/>
        </w:rPr>
        <w:t>parametr</w:t>
      </w:r>
      <w:r w:rsidRPr="003859CD" w:rsidR="00970DA2">
        <w:rPr>
          <w:rFonts w:ascii="Times New Roman" w:hAnsi="Times New Roman"/>
          <w:szCs w:val="22"/>
        </w:rPr>
        <w:t>ov</w:t>
      </w:r>
      <w:r w:rsidRPr="003859CD">
        <w:rPr>
          <w:rFonts w:ascii="Times New Roman" w:hAnsi="Times New Roman"/>
          <w:szCs w:val="22"/>
        </w:rPr>
        <w:t xml:space="preserve">. V predchádzajúcom období boli </w:t>
      </w:r>
      <w:r w:rsidRPr="003859CD" w:rsidR="00501441">
        <w:rPr>
          <w:rFonts w:ascii="Times New Roman" w:hAnsi="Times New Roman"/>
          <w:szCs w:val="22"/>
        </w:rPr>
        <w:t>zjednotené</w:t>
      </w:r>
      <w:r w:rsidRPr="003859CD">
        <w:rPr>
          <w:rFonts w:ascii="Times New Roman" w:hAnsi="Times New Roman"/>
          <w:szCs w:val="22"/>
        </w:rPr>
        <w:t xml:space="preserve"> typy </w:t>
      </w:r>
      <w:r w:rsidRPr="003859CD" w:rsidR="001F6856">
        <w:rPr>
          <w:rFonts w:ascii="Times New Roman" w:hAnsi="Times New Roman"/>
          <w:szCs w:val="22"/>
        </w:rPr>
        <w:t xml:space="preserve">ukazovateľov </w:t>
      </w:r>
      <w:r w:rsidRPr="003859CD">
        <w:rPr>
          <w:rFonts w:ascii="Times New Roman" w:hAnsi="Times New Roman"/>
          <w:szCs w:val="22"/>
        </w:rPr>
        <w:t xml:space="preserve">pre sledovanie rizík kumulatívnej splatnosti a precenenia dlhu </w:t>
      </w:r>
      <w:r w:rsidRPr="003859CD" w:rsidR="0021198D">
        <w:rPr>
          <w:rFonts w:ascii="Times New Roman" w:hAnsi="Times New Roman"/>
          <w:szCs w:val="22"/>
        </w:rPr>
        <w:t>(</w:t>
      </w:r>
      <w:r w:rsidRPr="003859CD" w:rsidR="00501441">
        <w:rPr>
          <w:rFonts w:ascii="Times New Roman" w:hAnsi="Times New Roman"/>
          <w:szCs w:val="22"/>
        </w:rPr>
        <w:t xml:space="preserve">na úrovniach mierne väčších </w:t>
      </w:r>
      <w:r w:rsidRPr="003859CD" w:rsidR="0021198D">
        <w:rPr>
          <w:rFonts w:ascii="Times New Roman" w:hAnsi="Times New Roman"/>
          <w:szCs w:val="22"/>
        </w:rPr>
        <w:t>v porovnaní s</w:t>
      </w:r>
      <w:r w:rsidRPr="003859CD" w:rsidR="00501441">
        <w:rPr>
          <w:rFonts w:ascii="Times New Roman" w:hAnsi="Times New Roman"/>
          <w:szCs w:val="22"/>
        </w:rPr>
        <w:t>o</w:t>
      </w:r>
      <w:r w:rsidRPr="003859CD" w:rsidR="0021198D">
        <w:rPr>
          <w:rFonts w:ascii="Times New Roman" w:hAnsi="Times New Roman"/>
          <w:szCs w:val="22"/>
        </w:rPr>
        <w:t xml:space="preserve"> stratégiou</w:t>
      </w:r>
      <w:r w:rsidRPr="003859CD" w:rsidR="00501441">
        <w:rPr>
          <w:rFonts w:ascii="Times New Roman" w:hAnsi="Times New Roman"/>
          <w:szCs w:val="22"/>
        </w:rPr>
        <w:t xml:space="preserve"> z rokov 2007-2010</w:t>
      </w:r>
      <w:r w:rsidRPr="003859CD" w:rsidR="0021198D">
        <w:rPr>
          <w:rFonts w:ascii="Times New Roman" w:hAnsi="Times New Roman"/>
          <w:szCs w:val="22"/>
        </w:rPr>
        <w:t>)</w:t>
      </w:r>
      <w:r w:rsidRPr="003859CD" w:rsidR="00501441">
        <w:rPr>
          <w:rFonts w:ascii="Times New Roman" w:hAnsi="Times New Roman"/>
          <w:szCs w:val="22"/>
        </w:rPr>
        <w:t xml:space="preserve">. </w:t>
      </w:r>
      <w:r w:rsidRPr="003859CD" w:rsidR="003D3330">
        <w:rPr>
          <w:rFonts w:ascii="Times New Roman" w:hAnsi="Times New Roman"/>
          <w:szCs w:val="22"/>
        </w:rPr>
        <w:t>S</w:t>
      </w:r>
      <w:r w:rsidRPr="003859CD" w:rsidR="00501441">
        <w:rPr>
          <w:rFonts w:ascii="Times New Roman" w:hAnsi="Times New Roman"/>
          <w:szCs w:val="22"/>
        </w:rPr>
        <w:t>kúsenosti z uplynulých krízových rokov</w:t>
      </w:r>
      <w:r w:rsidRPr="003859CD" w:rsidR="00833758">
        <w:rPr>
          <w:rFonts w:ascii="Times New Roman" w:hAnsi="Times New Roman"/>
          <w:szCs w:val="22"/>
        </w:rPr>
        <w:t>,</w:t>
      </w:r>
      <w:r w:rsidRPr="003859CD" w:rsidR="00501441">
        <w:rPr>
          <w:rFonts w:ascii="Times New Roman" w:hAnsi="Times New Roman"/>
          <w:szCs w:val="22"/>
        </w:rPr>
        <w:t xml:space="preserve"> ako aj </w:t>
      </w:r>
      <w:r w:rsidRPr="003859CD" w:rsidR="003D3330">
        <w:rPr>
          <w:rFonts w:ascii="Times New Roman" w:hAnsi="Times New Roman"/>
          <w:szCs w:val="22"/>
        </w:rPr>
        <w:t>odporúčania</w:t>
      </w:r>
      <w:r w:rsidRPr="003859CD" w:rsidR="00501441">
        <w:rPr>
          <w:rFonts w:ascii="Times New Roman" w:hAnsi="Times New Roman"/>
          <w:szCs w:val="22"/>
        </w:rPr>
        <w:t xml:space="preserve"> investorov, bánk a najmä ratingových spoločností </w:t>
      </w:r>
      <w:r w:rsidRPr="003859CD" w:rsidR="003D3330">
        <w:rPr>
          <w:rFonts w:ascii="Times New Roman" w:hAnsi="Times New Roman"/>
          <w:szCs w:val="22"/>
        </w:rPr>
        <w:t xml:space="preserve">vyústili do miernej úpravy </w:t>
      </w:r>
      <w:r w:rsidRPr="003859CD" w:rsidR="00C64C2F">
        <w:rPr>
          <w:rFonts w:ascii="Times New Roman" w:hAnsi="Times New Roman"/>
          <w:szCs w:val="22"/>
        </w:rPr>
        <w:t>(sprísneni</w:t>
      </w:r>
      <w:r w:rsidRPr="003859CD" w:rsidR="006228AF">
        <w:rPr>
          <w:rFonts w:ascii="Times New Roman" w:hAnsi="Times New Roman"/>
          <w:szCs w:val="22"/>
        </w:rPr>
        <w:t>a</w:t>
      </w:r>
      <w:r w:rsidRPr="003859CD" w:rsidR="00C64C2F">
        <w:rPr>
          <w:rFonts w:ascii="Times New Roman" w:hAnsi="Times New Roman"/>
          <w:szCs w:val="22"/>
        </w:rPr>
        <w:t xml:space="preserve">) </w:t>
      </w:r>
      <w:r w:rsidRPr="003859CD" w:rsidR="003D3330">
        <w:rPr>
          <w:rFonts w:ascii="Times New Roman" w:hAnsi="Times New Roman"/>
          <w:szCs w:val="22"/>
        </w:rPr>
        <w:t>hodnôt splatných</w:t>
      </w:r>
      <w:r w:rsidRPr="003859CD" w:rsidR="001A104F">
        <w:rPr>
          <w:rFonts w:ascii="Times New Roman" w:hAnsi="Times New Roman"/>
          <w:szCs w:val="22"/>
        </w:rPr>
        <w:t>,</w:t>
      </w:r>
      <w:r w:rsidRPr="003859CD" w:rsidR="003D3330">
        <w:rPr>
          <w:rFonts w:ascii="Times New Roman" w:hAnsi="Times New Roman"/>
          <w:szCs w:val="22"/>
        </w:rPr>
        <w:t xml:space="preserve"> aj preceňovaných finančných záväzkov štátu. </w:t>
      </w:r>
      <w:r w:rsidRPr="003859CD" w:rsidR="0066753C">
        <w:rPr>
          <w:rFonts w:ascii="Times New Roman" w:hAnsi="Times New Roman"/>
          <w:szCs w:val="22"/>
        </w:rPr>
        <w:t>Pre</w:t>
      </w:r>
      <w:r w:rsidRPr="003859CD" w:rsidR="005840BF">
        <w:rPr>
          <w:rFonts w:ascii="Times New Roman" w:hAnsi="Times New Roman"/>
          <w:szCs w:val="22"/>
        </w:rPr>
        <w:t xml:space="preserve"> </w:t>
      </w:r>
      <w:r w:rsidRPr="003859CD">
        <w:rPr>
          <w:rFonts w:ascii="Times New Roman" w:hAnsi="Times New Roman"/>
          <w:szCs w:val="22"/>
        </w:rPr>
        <w:t>refinančné</w:t>
      </w:r>
      <w:r w:rsidRPr="003859CD" w:rsidR="005840BF">
        <w:rPr>
          <w:rFonts w:ascii="Times New Roman" w:hAnsi="Times New Roman"/>
          <w:szCs w:val="22"/>
        </w:rPr>
        <w:t xml:space="preserve"> </w:t>
      </w:r>
      <w:r w:rsidRPr="003859CD" w:rsidR="0066753C">
        <w:rPr>
          <w:rFonts w:ascii="Times New Roman" w:hAnsi="Times New Roman"/>
          <w:szCs w:val="22"/>
        </w:rPr>
        <w:t>riziko</w:t>
      </w:r>
      <w:r w:rsidRPr="003859CD" w:rsidR="005840BF">
        <w:rPr>
          <w:rFonts w:ascii="Times New Roman" w:hAnsi="Times New Roman"/>
          <w:szCs w:val="22"/>
        </w:rPr>
        <w:t xml:space="preserve"> </w:t>
      </w:r>
      <w:r w:rsidRPr="003859CD">
        <w:rPr>
          <w:rFonts w:ascii="Times New Roman" w:hAnsi="Times New Roman"/>
          <w:szCs w:val="22"/>
        </w:rPr>
        <w:t xml:space="preserve">bude strategickým zámerom </w:t>
      </w:r>
      <w:r w:rsidRPr="003859CD" w:rsidR="00CC6D8C">
        <w:rPr>
          <w:rFonts w:ascii="Times New Roman" w:hAnsi="Times New Roman"/>
          <w:szCs w:val="22"/>
        </w:rPr>
        <w:t>u</w:t>
      </w:r>
      <w:r w:rsidRPr="003859CD">
        <w:rPr>
          <w:rFonts w:ascii="Times New Roman" w:hAnsi="Times New Roman"/>
          <w:szCs w:val="22"/>
        </w:rPr>
        <w:t xml:space="preserve">držiavanie </w:t>
      </w:r>
      <w:r w:rsidRPr="003859CD" w:rsidR="00CC6D8C">
        <w:rPr>
          <w:rFonts w:ascii="Times New Roman" w:hAnsi="Times New Roman"/>
          <w:szCs w:val="22"/>
        </w:rPr>
        <w:t xml:space="preserve">hodnoty </w:t>
      </w:r>
      <w:r w:rsidRPr="003859CD" w:rsidR="00983999">
        <w:rPr>
          <w:rFonts w:ascii="Times New Roman" w:hAnsi="Times New Roman"/>
          <w:szCs w:val="22"/>
        </w:rPr>
        <w:t xml:space="preserve">splatných </w:t>
      </w:r>
      <w:r w:rsidRPr="003859CD" w:rsidR="00CC6D8C">
        <w:rPr>
          <w:rFonts w:ascii="Times New Roman" w:hAnsi="Times New Roman"/>
          <w:szCs w:val="22"/>
        </w:rPr>
        <w:t>finančných záväzkov štátu v prvom roku</w:t>
      </w:r>
      <w:r w:rsidRPr="003859CD" w:rsidR="005840BF">
        <w:rPr>
          <w:rFonts w:ascii="Times New Roman" w:hAnsi="Times New Roman"/>
          <w:szCs w:val="22"/>
        </w:rPr>
        <w:t xml:space="preserve"> </w:t>
      </w:r>
      <w:r w:rsidRPr="003859CD" w:rsidR="00CC6D8C">
        <w:rPr>
          <w:rFonts w:ascii="Times New Roman" w:hAnsi="Times New Roman"/>
          <w:szCs w:val="22"/>
        </w:rPr>
        <w:t>blízko</w:t>
      </w:r>
      <w:r w:rsidRPr="003859CD">
        <w:rPr>
          <w:rFonts w:ascii="Times New Roman" w:hAnsi="Times New Roman"/>
          <w:szCs w:val="22"/>
        </w:rPr>
        <w:t xml:space="preserve"> úrov</w:t>
      </w:r>
      <w:r w:rsidRPr="003859CD" w:rsidR="00CC6D8C">
        <w:rPr>
          <w:rFonts w:ascii="Times New Roman" w:hAnsi="Times New Roman"/>
          <w:szCs w:val="22"/>
        </w:rPr>
        <w:t>ne</w:t>
      </w:r>
      <w:r w:rsidRPr="003859CD" w:rsidR="005840BF">
        <w:rPr>
          <w:rFonts w:ascii="Times New Roman" w:hAnsi="Times New Roman"/>
          <w:szCs w:val="22"/>
        </w:rPr>
        <w:t xml:space="preserve"> </w:t>
      </w:r>
      <w:r w:rsidRPr="003859CD" w:rsidR="00CC6D8C">
        <w:rPr>
          <w:rFonts w:ascii="Times New Roman" w:hAnsi="Times New Roman"/>
          <w:szCs w:val="22"/>
        </w:rPr>
        <w:t>2</w:t>
      </w:r>
      <w:r w:rsidRPr="003859CD" w:rsidR="003D3330">
        <w:rPr>
          <w:rFonts w:ascii="Times New Roman" w:hAnsi="Times New Roman"/>
          <w:szCs w:val="22"/>
        </w:rPr>
        <w:t>0</w:t>
      </w:r>
      <w:r w:rsidRPr="003859CD" w:rsidR="00B736B1">
        <w:rPr>
          <w:rFonts w:ascii="Times New Roman" w:hAnsi="Times New Roman"/>
          <w:szCs w:val="22"/>
        </w:rPr>
        <w:t> </w:t>
      </w:r>
      <w:r w:rsidRPr="003859CD">
        <w:rPr>
          <w:rFonts w:ascii="Times New Roman" w:hAnsi="Times New Roman"/>
          <w:szCs w:val="22"/>
        </w:rPr>
        <w:t>%</w:t>
      </w:r>
      <w:r w:rsidRPr="003859CD" w:rsidR="00A26572">
        <w:rPr>
          <w:rFonts w:ascii="Times New Roman" w:hAnsi="Times New Roman"/>
          <w:szCs w:val="22"/>
        </w:rPr>
        <w:t xml:space="preserve">. Pre </w:t>
      </w:r>
      <w:r w:rsidRPr="003859CD" w:rsidR="003D3330">
        <w:rPr>
          <w:rFonts w:ascii="Times New Roman" w:hAnsi="Times New Roman"/>
          <w:szCs w:val="22"/>
        </w:rPr>
        <w:t>riziko z</w:t>
      </w:r>
      <w:r w:rsidRPr="003859CD" w:rsidR="00AC3721">
        <w:rPr>
          <w:rFonts w:ascii="Times New Roman" w:hAnsi="Times New Roman"/>
          <w:szCs w:val="22"/>
        </w:rPr>
        <w:t> </w:t>
      </w:r>
      <w:r w:rsidRPr="003859CD" w:rsidR="003D3330">
        <w:rPr>
          <w:rFonts w:ascii="Times New Roman" w:hAnsi="Times New Roman"/>
          <w:szCs w:val="22"/>
        </w:rPr>
        <w:t>precenenia</w:t>
      </w:r>
      <w:r w:rsidRPr="003859CD" w:rsidR="00AC3721">
        <w:rPr>
          <w:rFonts w:ascii="Times New Roman" w:hAnsi="Times New Roman"/>
          <w:szCs w:val="22"/>
        </w:rPr>
        <w:t xml:space="preserve"> bude</w:t>
      </w:r>
      <w:r w:rsidRPr="003859CD" w:rsidR="003D3330">
        <w:rPr>
          <w:rFonts w:ascii="Times New Roman" w:hAnsi="Times New Roman"/>
          <w:szCs w:val="22"/>
        </w:rPr>
        <w:t xml:space="preserve"> </w:t>
      </w:r>
      <w:r w:rsidRPr="003859CD" w:rsidR="00A26572">
        <w:rPr>
          <w:rFonts w:ascii="Times New Roman" w:hAnsi="Times New Roman"/>
          <w:szCs w:val="22"/>
        </w:rPr>
        <w:t>udržiavanie hodnoty preceňovaných finančných záväzkov štátu</w:t>
      </w:r>
      <w:r w:rsidRPr="003859CD" w:rsidR="003D3330">
        <w:rPr>
          <w:rFonts w:ascii="Times New Roman" w:hAnsi="Times New Roman"/>
          <w:szCs w:val="22"/>
        </w:rPr>
        <w:t xml:space="preserve"> </w:t>
      </w:r>
      <w:r w:rsidRPr="003859CD" w:rsidR="00A26572">
        <w:rPr>
          <w:rFonts w:ascii="Times New Roman" w:hAnsi="Times New Roman"/>
          <w:szCs w:val="22"/>
        </w:rPr>
        <w:t xml:space="preserve">v prvom roku blízko úrovne </w:t>
      </w:r>
      <w:r w:rsidRPr="003859CD" w:rsidR="003D3330">
        <w:rPr>
          <w:rFonts w:ascii="Times New Roman" w:hAnsi="Times New Roman"/>
          <w:szCs w:val="22"/>
        </w:rPr>
        <w:t>2</w:t>
      </w:r>
      <w:r w:rsidRPr="003859CD" w:rsidR="00722653">
        <w:rPr>
          <w:rFonts w:ascii="Times New Roman" w:hAnsi="Times New Roman"/>
          <w:szCs w:val="22"/>
        </w:rPr>
        <w:t>5</w:t>
      </w:r>
      <w:r w:rsidRPr="003859CD" w:rsidR="003D3330">
        <w:rPr>
          <w:rFonts w:ascii="Times New Roman" w:hAnsi="Times New Roman"/>
          <w:szCs w:val="22"/>
        </w:rPr>
        <w:t xml:space="preserve"> % </w:t>
      </w:r>
      <w:r w:rsidRPr="003859CD" w:rsidR="001F6856">
        <w:rPr>
          <w:rFonts w:ascii="Times New Roman" w:hAnsi="Times New Roman"/>
          <w:szCs w:val="22"/>
        </w:rPr>
        <w:t xml:space="preserve">z </w:t>
      </w:r>
      <w:r w:rsidRPr="003859CD">
        <w:rPr>
          <w:rFonts w:ascii="Times New Roman" w:hAnsi="Times New Roman"/>
          <w:szCs w:val="22"/>
        </w:rPr>
        <w:t>celkových finančných záväzkov štátu</w:t>
      </w:r>
      <w:r w:rsidRPr="003859CD" w:rsidR="00A26572">
        <w:rPr>
          <w:rFonts w:ascii="Times New Roman" w:hAnsi="Times New Roman"/>
          <w:szCs w:val="22"/>
        </w:rPr>
        <w:t xml:space="preserve">. </w:t>
      </w:r>
      <w:r w:rsidRPr="003859CD" w:rsidR="00B736B1">
        <w:rPr>
          <w:rFonts w:ascii="Times New Roman" w:hAnsi="Times New Roman"/>
          <w:szCs w:val="22"/>
        </w:rPr>
        <w:t>Hodnoty splatných finančných záväzkov štátu kumulatívne za päť rokov budú u</w:t>
      </w:r>
      <w:r w:rsidRPr="003859CD">
        <w:rPr>
          <w:rFonts w:ascii="Times New Roman" w:hAnsi="Times New Roman"/>
          <w:szCs w:val="22"/>
        </w:rPr>
        <w:t>držiavan</w:t>
      </w:r>
      <w:r w:rsidRPr="003859CD" w:rsidR="00B736B1">
        <w:rPr>
          <w:rFonts w:ascii="Times New Roman" w:hAnsi="Times New Roman"/>
          <w:szCs w:val="22"/>
        </w:rPr>
        <w:t>é</w:t>
      </w:r>
      <w:r w:rsidRPr="003859CD">
        <w:rPr>
          <w:rFonts w:ascii="Times New Roman" w:hAnsi="Times New Roman"/>
          <w:szCs w:val="22"/>
        </w:rPr>
        <w:t xml:space="preserve"> </w:t>
      </w:r>
      <w:r w:rsidRPr="003859CD" w:rsidR="00983999">
        <w:rPr>
          <w:rFonts w:ascii="Times New Roman" w:hAnsi="Times New Roman"/>
          <w:szCs w:val="22"/>
        </w:rPr>
        <w:t xml:space="preserve">blízko úrovne </w:t>
      </w:r>
      <w:r w:rsidRPr="003859CD" w:rsidR="00B736B1">
        <w:rPr>
          <w:rFonts w:ascii="Times New Roman" w:hAnsi="Times New Roman"/>
          <w:szCs w:val="22"/>
        </w:rPr>
        <w:t>5</w:t>
      </w:r>
      <w:r w:rsidRPr="003859CD" w:rsidR="00D80DFC">
        <w:rPr>
          <w:rFonts w:ascii="Times New Roman" w:hAnsi="Times New Roman"/>
          <w:szCs w:val="22"/>
        </w:rPr>
        <w:t>5</w:t>
      </w:r>
      <w:r w:rsidRPr="003859CD" w:rsidR="00B736B1">
        <w:rPr>
          <w:rFonts w:ascii="Times New Roman" w:hAnsi="Times New Roman"/>
          <w:szCs w:val="22"/>
        </w:rPr>
        <w:t> </w:t>
      </w:r>
      <w:r w:rsidRPr="003859CD">
        <w:rPr>
          <w:rFonts w:ascii="Times New Roman" w:hAnsi="Times New Roman"/>
          <w:szCs w:val="22"/>
        </w:rPr>
        <w:t xml:space="preserve">% </w:t>
      </w:r>
      <w:r w:rsidRPr="003859CD" w:rsidR="001F6856">
        <w:rPr>
          <w:rFonts w:ascii="Times New Roman" w:hAnsi="Times New Roman"/>
          <w:szCs w:val="22"/>
        </w:rPr>
        <w:t xml:space="preserve">z </w:t>
      </w:r>
      <w:r w:rsidRPr="003859CD">
        <w:rPr>
          <w:rFonts w:ascii="Times New Roman" w:hAnsi="Times New Roman"/>
          <w:szCs w:val="22"/>
        </w:rPr>
        <w:t>celkových finančných záväzkov</w:t>
      </w:r>
      <w:r w:rsidRPr="003859CD" w:rsidR="00F77059">
        <w:rPr>
          <w:rFonts w:ascii="Times New Roman" w:hAnsi="Times New Roman"/>
          <w:szCs w:val="22"/>
        </w:rPr>
        <w:t xml:space="preserve"> štátu</w:t>
      </w:r>
      <w:r w:rsidRPr="003859CD">
        <w:rPr>
          <w:rFonts w:ascii="Times New Roman" w:hAnsi="Times New Roman"/>
          <w:szCs w:val="22"/>
        </w:rPr>
        <w:t xml:space="preserve">. </w:t>
      </w:r>
      <w:r w:rsidRPr="003859CD" w:rsidR="00442696">
        <w:rPr>
          <w:rFonts w:ascii="Times New Roman" w:hAnsi="Times New Roman"/>
          <w:szCs w:val="22"/>
        </w:rPr>
        <w:t xml:space="preserve">Hodnoty preceňovaných finančných záväzkov štátu kumulatívne za päť rokov budú udržiavané blízko úrovne 55 % </w:t>
      </w:r>
      <w:r w:rsidRPr="003859CD" w:rsidR="001F6856">
        <w:rPr>
          <w:rFonts w:ascii="Times New Roman" w:hAnsi="Times New Roman"/>
          <w:szCs w:val="22"/>
        </w:rPr>
        <w:t xml:space="preserve">z </w:t>
      </w:r>
      <w:r w:rsidRPr="003859CD" w:rsidR="00442696">
        <w:rPr>
          <w:rFonts w:ascii="Times New Roman" w:hAnsi="Times New Roman"/>
          <w:szCs w:val="22"/>
        </w:rPr>
        <w:t xml:space="preserve">celkových finančných záväzkov štátu. </w:t>
      </w:r>
      <w:r w:rsidRPr="003859CD" w:rsidR="00B736B1">
        <w:rPr>
          <w:rFonts w:ascii="Times New Roman" w:hAnsi="Times New Roman"/>
          <w:szCs w:val="22"/>
        </w:rPr>
        <w:t>Dodržiavanie uvedených cieľov posúva portfólio slovenských štátnych záväzkov</w:t>
      </w:r>
      <w:r w:rsidRPr="003859CD">
        <w:rPr>
          <w:rFonts w:ascii="Times New Roman" w:hAnsi="Times New Roman"/>
          <w:szCs w:val="22"/>
        </w:rPr>
        <w:t xml:space="preserve"> </w:t>
      </w:r>
      <w:r w:rsidRPr="003859CD" w:rsidR="00B736B1">
        <w:rPr>
          <w:rFonts w:ascii="Times New Roman" w:hAnsi="Times New Roman"/>
          <w:szCs w:val="22"/>
        </w:rPr>
        <w:t xml:space="preserve">oproti uplynulému obdobiu </w:t>
      </w:r>
      <w:r w:rsidRPr="003859CD" w:rsidR="00F77059">
        <w:rPr>
          <w:rFonts w:ascii="Times New Roman" w:hAnsi="Times New Roman"/>
          <w:szCs w:val="22"/>
        </w:rPr>
        <w:t xml:space="preserve">do oblasti menšieho rizika v oblasti refinancovania aj v oblasti úrokových sadzieb, znamená však s tým nerozlučne spojené relatívne zväčšenie výdavkov. Dodržiavanie uvedených cieľov </w:t>
      </w:r>
      <w:r w:rsidRPr="003859CD">
        <w:rPr>
          <w:rFonts w:ascii="Times New Roman" w:hAnsi="Times New Roman"/>
          <w:szCs w:val="22"/>
        </w:rPr>
        <w:t>predpokladá štandardné podmienky vývoja finančných trhov a</w:t>
      </w:r>
      <w:r w:rsidRPr="003859CD" w:rsidR="007B349B">
        <w:rPr>
          <w:rFonts w:ascii="Times New Roman" w:hAnsi="Times New Roman"/>
          <w:szCs w:val="22"/>
        </w:rPr>
        <w:t xml:space="preserve"> štandardný </w:t>
      </w:r>
      <w:r w:rsidRPr="003859CD">
        <w:rPr>
          <w:rFonts w:ascii="Times New Roman" w:hAnsi="Times New Roman"/>
          <w:szCs w:val="22"/>
        </w:rPr>
        <w:t>makroekonomick</w:t>
      </w:r>
      <w:r w:rsidRPr="003859CD" w:rsidR="007B349B">
        <w:rPr>
          <w:rFonts w:ascii="Times New Roman" w:hAnsi="Times New Roman"/>
          <w:szCs w:val="22"/>
        </w:rPr>
        <w:t>ý</w:t>
      </w:r>
      <w:r w:rsidRPr="003859CD">
        <w:rPr>
          <w:rFonts w:ascii="Times New Roman" w:hAnsi="Times New Roman"/>
          <w:szCs w:val="22"/>
        </w:rPr>
        <w:t xml:space="preserve"> a fiškáln</w:t>
      </w:r>
      <w:r w:rsidRPr="003859CD" w:rsidR="007B349B">
        <w:rPr>
          <w:rFonts w:ascii="Times New Roman" w:hAnsi="Times New Roman"/>
          <w:szCs w:val="22"/>
        </w:rPr>
        <w:t>y</w:t>
      </w:r>
      <w:r w:rsidRPr="003859CD">
        <w:rPr>
          <w:rFonts w:ascii="Times New Roman" w:hAnsi="Times New Roman"/>
          <w:szCs w:val="22"/>
        </w:rPr>
        <w:t xml:space="preserve"> vývoj ekonomiky SR v rámci eurozóny. </w:t>
      </w:r>
      <w:r w:rsidRPr="003859CD" w:rsidR="00983999">
        <w:rPr>
          <w:rFonts w:ascii="Times New Roman" w:hAnsi="Times New Roman"/>
          <w:szCs w:val="22"/>
        </w:rPr>
        <w:t>U</w:t>
      </w:r>
      <w:r w:rsidRPr="003859CD">
        <w:rPr>
          <w:rFonts w:ascii="Times New Roman" w:hAnsi="Times New Roman"/>
          <w:szCs w:val="22"/>
        </w:rPr>
        <w:t xml:space="preserve">držiavanie </w:t>
      </w:r>
      <w:r w:rsidRPr="003859CD" w:rsidR="00983999">
        <w:rPr>
          <w:rFonts w:ascii="Times New Roman" w:hAnsi="Times New Roman"/>
          <w:szCs w:val="22"/>
        </w:rPr>
        <w:t>hodnôt</w:t>
      </w:r>
      <w:r w:rsidRPr="003859CD" w:rsidR="00F77059">
        <w:rPr>
          <w:rFonts w:ascii="Times New Roman" w:hAnsi="Times New Roman"/>
          <w:szCs w:val="22"/>
        </w:rPr>
        <w:t xml:space="preserve"> portfólia</w:t>
      </w:r>
      <w:r w:rsidRPr="003859CD">
        <w:rPr>
          <w:rFonts w:ascii="Times New Roman" w:hAnsi="Times New Roman"/>
          <w:szCs w:val="22"/>
        </w:rPr>
        <w:t xml:space="preserve"> aj v prípade neštandardných podmienok môže </w:t>
      </w:r>
      <w:r w:rsidRPr="003859CD" w:rsidR="00F77059">
        <w:rPr>
          <w:rFonts w:ascii="Times New Roman" w:hAnsi="Times New Roman"/>
          <w:szCs w:val="22"/>
        </w:rPr>
        <w:t>znamenať</w:t>
      </w:r>
      <w:r w:rsidRPr="003859CD">
        <w:rPr>
          <w:rFonts w:ascii="Times New Roman" w:hAnsi="Times New Roman"/>
          <w:szCs w:val="22"/>
        </w:rPr>
        <w:t xml:space="preserve"> zväčšeni</w:t>
      </w:r>
      <w:r w:rsidRPr="003859CD" w:rsidR="00F77059">
        <w:rPr>
          <w:rFonts w:ascii="Times New Roman" w:hAnsi="Times New Roman"/>
          <w:szCs w:val="22"/>
        </w:rPr>
        <w:t>e</w:t>
      </w:r>
      <w:r w:rsidRPr="003859CD">
        <w:rPr>
          <w:rFonts w:ascii="Times New Roman" w:hAnsi="Times New Roman"/>
          <w:szCs w:val="22"/>
        </w:rPr>
        <w:t xml:space="preserve"> </w:t>
      </w:r>
      <w:r w:rsidRPr="003859CD" w:rsidR="00F957D8">
        <w:rPr>
          <w:rFonts w:ascii="Times New Roman" w:hAnsi="Times New Roman"/>
          <w:szCs w:val="22"/>
        </w:rPr>
        <w:t>výdavkov</w:t>
      </w:r>
      <w:r w:rsidRPr="003859CD">
        <w:rPr>
          <w:rFonts w:ascii="Times New Roman" w:hAnsi="Times New Roman"/>
          <w:szCs w:val="22"/>
        </w:rPr>
        <w:t xml:space="preserve"> na obsluhu dlhu.</w:t>
      </w:r>
    </w:p>
    <w:p w:rsidR="008E0A1A" w:rsidRPr="003859CD" w:rsidP="001B59DB">
      <w:pPr>
        <w:bidi w:val="0"/>
        <w:spacing w:before="120" w:after="120"/>
        <w:ind w:firstLine="708"/>
        <w:jc w:val="both"/>
        <w:rPr>
          <w:rFonts w:ascii="Times New Roman" w:hAnsi="Times New Roman"/>
          <w:szCs w:val="22"/>
        </w:rPr>
      </w:pPr>
      <w:r w:rsidRPr="003859CD">
        <w:rPr>
          <w:rFonts w:ascii="Times New Roman" w:hAnsi="Times New Roman"/>
          <w:szCs w:val="22"/>
        </w:rPr>
        <w:t xml:space="preserve">Rozdielne hodnoty parametrov pre refinančné riziko a riziko z precenenia vyplývajú z predpokladu, že </w:t>
      </w:r>
      <w:r w:rsidRPr="003859CD" w:rsidR="002D672C">
        <w:rPr>
          <w:rFonts w:ascii="Times New Roman" w:hAnsi="Times New Roman"/>
          <w:szCs w:val="22"/>
        </w:rPr>
        <w:t xml:space="preserve">primárne je </w:t>
      </w:r>
      <w:r w:rsidRPr="003859CD" w:rsidR="00056629">
        <w:rPr>
          <w:rFonts w:ascii="Times New Roman" w:hAnsi="Times New Roman"/>
          <w:szCs w:val="22"/>
        </w:rPr>
        <w:t xml:space="preserve">riadenie </w:t>
      </w:r>
      <w:r w:rsidRPr="003859CD">
        <w:rPr>
          <w:rFonts w:ascii="Times New Roman" w:hAnsi="Times New Roman"/>
          <w:szCs w:val="22"/>
        </w:rPr>
        <w:t>refinančné</w:t>
      </w:r>
      <w:r w:rsidRPr="003859CD" w:rsidR="00056629">
        <w:rPr>
          <w:rFonts w:ascii="Times New Roman" w:hAnsi="Times New Roman"/>
          <w:szCs w:val="22"/>
        </w:rPr>
        <w:t>ho</w:t>
      </w:r>
      <w:r w:rsidRPr="003859CD">
        <w:rPr>
          <w:rFonts w:ascii="Times New Roman" w:hAnsi="Times New Roman"/>
          <w:szCs w:val="22"/>
        </w:rPr>
        <w:t xml:space="preserve"> rizik</w:t>
      </w:r>
      <w:r w:rsidRPr="003859CD" w:rsidR="00056629">
        <w:rPr>
          <w:rFonts w:ascii="Times New Roman" w:hAnsi="Times New Roman"/>
          <w:szCs w:val="22"/>
        </w:rPr>
        <w:t>a</w:t>
      </w:r>
      <w:r w:rsidRPr="003859CD">
        <w:rPr>
          <w:rFonts w:ascii="Times New Roman" w:hAnsi="Times New Roman"/>
          <w:szCs w:val="22"/>
        </w:rPr>
        <w:t xml:space="preserve"> </w:t>
      </w:r>
      <w:r w:rsidRPr="003859CD" w:rsidR="002D672C">
        <w:rPr>
          <w:rFonts w:ascii="Times New Roman" w:hAnsi="Times New Roman"/>
          <w:szCs w:val="22"/>
        </w:rPr>
        <w:t xml:space="preserve">pred </w:t>
      </w:r>
      <w:r w:rsidRPr="003859CD">
        <w:rPr>
          <w:rFonts w:ascii="Times New Roman" w:hAnsi="Times New Roman"/>
          <w:szCs w:val="22"/>
        </w:rPr>
        <w:t>rizik</w:t>
      </w:r>
      <w:r w:rsidRPr="003859CD" w:rsidR="002D672C">
        <w:rPr>
          <w:rFonts w:ascii="Times New Roman" w:hAnsi="Times New Roman"/>
          <w:szCs w:val="22"/>
        </w:rPr>
        <w:t>om</w:t>
      </w:r>
      <w:r w:rsidRPr="003859CD">
        <w:rPr>
          <w:rFonts w:ascii="Times New Roman" w:hAnsi="Times New Roman"/>
          <w:szCs w:val="22"/>
        </w:rPr>
        <w:t xml:space="preserve"> z precenenia. Zmenšovanie refinančného rizika je pri </w:t>
      </w:r>
      <w:r w:rsidRPr="003859CD" w:rsidR="00046952">
        <w:rPr>
          <w:rFonts w:ascii="Times New Roman" w:hAnsi="Times New Roman"/>
          <w:szCs w:val="22"/>
        </w:rPr>
        <w:t>normálnom tvare</w:t>
      </w:r>
      <w:r w:rsidRPr="003859CD">
        <w:rPr>
          <w:rFonts w:ascii="Times New Roman" w:hAnsi="Times New Roman"/>
          <w:szCs w:val="22"/>
        </w:rPr>
        <w:t xml:space="preserve"> výnosovej krivk</w:t>
      </w:r>
      <w:r w:rsidRPr="003859CD" w:rsidR="00046952">
        <w:rPr>
          <w:rFonts w:ascii="Times New Roman" w:hAnsi="Times New Roman"/>
          <w:szCs w:val="22"/>
        </w:rPr>
        <w:t>y</w:t>
      </w:r>
      <w:r w:rsidRPr="003859CD">
        <w:rPr>
          <w:rFonts w:ascii="Times New Roman" w:hAnsi="Times New Roman"/>
          <w:szCs w:val="22"/>
        </w:rPr>
        <w:t xml:space="preserve"> spojené s miernym a postupným celkovým nárastom úrokových nákladov na správu štátneho dlhu. Snahou aktívneho riadenia dlhu bude </w:t>
      </w:r>
      <w:r w:rsidRPr="003859CD" w:rsidR="00056629">
        <w:rPr>
          <w:rFonts w:ascii="Times New Roman" w:hAnsi="Times New Roman"/>
          <w:szCs w:val="22"/>
        </w:rPr>
        <w:t xml:space="preserve">prostredníctvom emisnej politiky a </w:t>
      </w:r>
      <w:r w:rsidRPr="003859CD">
        <w:rPr>
          <w:rFonts w:ascii="Times New Roman" w:hAnsi="Times New Roman"/>
          <w:szCs w:val="22"/>
        </w:rPr>
        <w:t>finančný</w:t>
      </w:r>
      <w:r w:rsidRPr="003859CD" w:rsidR="00056629">
        <w:rPr>
          <w:rFonts w:ascii="Times New Roman" w:hAnsi="Times New Roman"/>
          <w:szCs w:val="22"/>
        </w:rPr>
        <w:t>ch</w:t>
      </w:r>
      <w:r w:rsidRPr="003859CD">
        <w:rPr>
          <w:rFonts w:ascii="Times New Roman" w:hAnsi="Times New Roman"/>
          <w:szCs w:val="22"/>
        </w:rPr>
        <w:t xml:space="preserve"> nástroj</w:t>
      </w:r>
      <w:r w:rsidRPr="003859CD" w:rsidR="00056629">
        <w:rPr>
          <w:rFonts w:ascii="Times New Roman" w:hAnsi="Times New Roman"/>
          <w:szCs w:val="22"/>
        </w:rPr>
        <w:t>ov</w:t>
      </w:r>
      <w:r w:rsidRPr="003859CD">
        <w:rPr>
          <w:rFonts w:ascii="Times New Roman" w:hAnsi="Times New Roman"/>
          <w:szCs w:val="22"/>
        </w:rPr>
        <w:t xml:space="preserve"> regulovať a čiastočne kompenzovať takto zväčšené úrokové náklady. Rozdielnymi hodnotami parametrov rizika dlhu sa otvára priestor</w:t>
      </w:r>
      <w:r w:rsidRPr="003859CD" w:rsidR="00056629">
        <w:rPr>
          <w:rFonts w:ascii="Times New Roman" w:hAnsi="Times New Roman"/>
          <w:szCs w:val="22"/>
        </w:rPr>
        <w:t xml:space="preserve"> na aktívne riadenie úrokového rizika a optimalizáciu nákladov na správu štátneho d</w:t>
      </w:r>
      <w:r w:rsidRPr="003859CD" w:rsidR="00046952">
        <w:rPr>
          <w:rFonts w:ascii="Times New Roman" w:hAnsi="Times New Roman"/>
          <w:szCs w:val="22"/>
        </w:rPr>
        <w:t>lhu v bežnom rozpočtovom roku.</w:t>
      </w:r>
    </w:p>
    <w:p w:rsidR="00CC6D54" w:rsidRPr="003859CD" w:rsidP="001B59DB">
      <w:pPr>
        <w:bidi w:val="0"/>
        <w:spacing w:before="120" w:after="120"/>
        <w:ind w:firstLine="708"/>
        <w:jc w:val="both"/>
        <w:rPr>
          <w:rFonts w:ascii="Times New Roman" w:hAnsi="Times New Roman"/>
          <w:szCs w:val="22"/>
        </w:rPr>
      </w:pPr>
      <w:r w:rsidRPr="003859CD" w:rsidR="00F77059">
        <w:rPr>
          <w:rFonts w:ascii="Times New Roman" w:hAnsi="Times New Roman"/>
          <w:szCs w:val="22"/>
        </w:rPr>
        <w:t>Limit</w:t>
      </w:r>
      <w:r w:rsidRPr="003859CD" w:rsidR="002F0E84">
        <w:rPr>
          <w:rFonts w:ascii="Times New Roman" w:hAnsi="Times New Roman"/>
          <w:szCs w:val="22"/>
        </w:rPr>
        <w:t>ná hodnota</w:t>
      </w:r>
      <w:r w:rsidRPr="003859CD" w:rsidR="00F77059">
        <w:rPr>
          <w:rFonts w:ascii="Times New Roman" w:hAnsi="Times New Roman"/>
          <w:szCs w:val="22"/>
        </w:rPr>
        <w:t xml:space="preserve"> cudzomenového rizika štátneho dlhu </w:t>
      </w:r>
      <w:r w:rsidRPr="003859CD" w:rsidR="002F0E84">
        <w:rPr>
          <w:rFonts w:ascii="Times New Roman" w:hAnsi="Times New Roman"/>
          <w:szCs w:val="22"/>
        </w:rPr>
        <w:t>sa oproti predošlej stratégii sprísňuje</w:t>
      </w:r>
      <w:r w:rsidRPr="003859CD" w:rsidR="00F77059">
        <w:rPr>
          <w:rFonts w:ascii="Times New Roman" w:hAnsi="Times New Roman"/>
          <w:szCs w:val="22"/>
        </w:rPr>
        <w:t xml:space="preserve">. </w:t>
      </w:r>
      <w:r w:rsidRPr="003859CD" w:rsidR="00DA341F">
        <w:rPr>
          <w:rFonts w:ascii="Times New Roman" w:hAnsi="Times New Roman"/>
          <w:szCs w:val="22"/>
        </w:rPr>
        <w:t>Otvorená nezabezpečená cudzomenová pozícia finančných záväzkov štátu môže krátkodobo dosiahnuť maximálne 3 % z</w:t>
      </w:r>
      <w:r w:rsidRPr="003859CD" w:rsidR="00541922">
        <w:rPr>
          <w:rFonts w:ascii="Times New Roman" w:hAnsi="Times New Roman"/>
          <w:szCs w:val="22"/>
        </w:rPr>
        <w:t> </w:t>
      </w:r>
      <w:r w:rsidRPr="003859CD" w:rsidR="00DA341F">
        <w:rPr>
          <w:rFonts w:ascii="Times New Roman" w:hAnsi="Times New Roman"/>
          <w:szCs w:val="22"/>
        </w:rPr>
        <w:t>celkových finančných záväzkov štátu</w:t>
      </w:r>
      <w:r w:rsidRPr="003859CD">
        <w:rPr>
          <w:rFonts w:ascii="Times New Roman" w:hAnsi="Times New Roman"/>
          <w:szCs w:val="22"/>
        </w:rPr>
        <w:t>.</w:t>
      </w:r>
    </w:p>
    <w:p w:rsidR="00CC6D54" w:rsidRPr="003859CD" w:rsidP="004012A1">
      <w:pPr>
        <w:numPr>
          <w:numId w:val="20"/>
        </w:numPr>
        <w:bidi w:val="0"/>
        <w:spacing w:before="240" w:after="120"/>
        <w:ind w:left="272" w:hanging="232"/>
        <w:jc w:val="both"/>
        <w:rPr>
          <w:rFonts w:ascii="Times New Roman" w:hAnsi="Times New Roman"/>
          <w:szCs w:val="22"/>
          <w:u w:val="single"/>
        </w:rPr>
      </w:pPr>
      <w:r w:rsidRPr="003859CD">
        <w:rPr>
          <w:rFonts w:ascii="Times New Roman" w:hAnsi="Times New Roman"/>
          <w:szCs w:val="22"/>
          <w:u w:val="single"/>
        </w:rPr>
        <w:t>Diverzifikácia investorskej základne</w:t>
      </w:r>
    </w:p>
    <w:p w:rsidR="0067664D" w:rsidRPr="003859CD" w:rsidP="001B59DB">
      <w:pPr>
        <w:bidi w:val="0"/>
        <w:spacing w:after="120"/>
        <w:ind w:firstLine="708"/>
        <w:jc w:val="both"/>
        <w:rPr>
          <w:rFonts w:ascii="Times New Roman" w:hAnsi="Times New Roman"/>
          <w:szCs w:val="22"/>
        </w:rPr>
      </w:pPr>
      <w:r w:rsidRPr="003859CD" w:rsidR="00646F39">
        <w:rPr>
          <w:rFonts w:ascii="Times New Roman" w:hAnsi="Times New Roman"/>
          <w:szCs w:val="22"/>
        </w:rPr>
        <w:t>Vzhľadom k fiškálnej konsolidácii štátu a</w:t>
      </w:r>
      <w:r w:rsidRPr="003859CD" w:rsidR="004B1892">
        <w:rPr>
          <w:rFonts w:ascii="Times New Roman" w:hAnsi="Times New Roman"/>
          <w:szCs w:val="22"/>
        </w:rPr>
        <w:t xml:space="preserve"> predpokladanému </w:t>
      </w:r>
      <w:r w:rsidRPr="003859CD" w:rsidR="00646F39">
        <w:rPr>
          <w:rFonts w:ascii="Times New Roman" w:hAnsi="Times New Roman"/>
          <w:szCs w:val="22"/>
        </w:rPr>
        <w:t xml:space="preserve">každoročnému zmenšovaniu štrukturálneho deficitu štátneho rozpočtu už </w:t>
      </w:r>
      <w:r w:rsidRPr="003859CD" w:rsidR="006228AF">
        <w:rPr>
          <w:rFonts w:ascii="Times New Roman" w:hAnsi="Times New Roman"/>
          <w:szCs w:val="22"/>
        </w:rPr>
        <w:t xml:space="preserve">pravdepodobne </w:t>
      </w:r>
      <w:r w:rsidRPr="003859CD" w:rsidR="00646F39">
        <w:rPr>
          <w:rFonts w:ascii="Times New Roman" w:hAnsi="Times New Roman"/>
          <w:szCs w:val="22"/>
        </w:rPr>
        <w:t xml:space="preserve">nebude potrebné </w:t>
      </w:r>
      <w:r w:rsidRPr="003859CD" w:rsidR="009C5415">
        <w:rPr>
          <w:rFonts w:ascii="Times New Roman" w:hAnsi="Times New Roman"/>
          <w:szCs w:val="22"/>
        </w:rPr>
        <w:t xml:space="preserve">významne </w:t>
      </w:r>
      <w:r w:rsidRPr="003859CD" w:rsidR="00646F39">
        <w:rPr>
          <w:rFonts w:ascii="Times New Roman" w:hAnsi="Times New Roman"/>
          <w:szCs w:val="22"/>
        </w:rPr>
        <w:t xml:space="preserve">zväčšovať podiel zahraničných investorov. </w:t>
      </w:r>
      <w:r w:rsidRPr="003859CD" w:rsidR="007271D5">
        <w:rPr>
          <w:rFonts w:ascii="Times New Roman" w:hAnsi="Times New Roman"/>
          <w:szCs w:val="22"/>
        </w:rPr>
        <w:t>Aj naďalej j</w:t>
      </w:r>
      <w:r w:rsidRPr="003859CD">
        <w:rPr>
          <w:rFonts w:ascii="Times New Roman" w:hAnsi="Times New Roman"/>
          <w:szCs w:val="22"/>
        </w:rPr>
        <w:t xml:space="preserve">e </w:t>
      </w:r>
      <w:r w:rsidRPr="003859CD" w:rsidR="00646F39">
        <w:rPr>
          <w:rFonts w:ascii="Times New Roman" w:hAnsi="Times New Roman"/>
          <w:szCs w:val="22"/>
        </w:rPr>
        <w:t xml:space="preserve">však </w:t>
      </w:r>
      <w:r w:rsidRPr="003859CD">
        <w:rPr>
          <w:rFonts w:ascii="Times New Roman" w:hAnsi="Times New Roman"/>
          <w:szCs w:val="22"/>
        </w:rPr>
        <w:t>potrebné pokračovať v k</w:t>
      </w:r>
      <w:r w:rsidRPr="003859CD" w:rsidR="00CC6D54">
        <w:rPr>
          <w:rFonts w:ascii="Times New Roman" w:hAnsi="Times New Roman"/>
          <w:szCs w:val="22"/>
        </w:rPr>
        <w:t>omunikáci</w:t>
      </w:r>
      <w:r w:rsidRPr="003859CD">
        <w:rPr>
          <w:rFonts w:ascii="Times New Roman" w:hAnsi="Times New Roman"/>
          <w:szCs w:val="22"/>
        </w:rPr>
        <w:t>i</w:t>
      </w:r>
      <w:r w:rsidRPr="003859CD" w:rsidR="00CC6D54">
        <w:rPr>
          <w:rFonts w:ascii="Times New Roman" w:hAnsi="Times New Roman"/>
          <w:szCs w:val="22"/>
        </w:rPr>
        <w:t xml:space="preserve"> emitenta s investormi, ratingovými agentúrami a ďalšími finančnými inštitúciami </w:t>
      </w:r>
      <w:r w:rsidRPr="003859CD" w:rsidR="00646F39">
        <w:rPr>
          <w:rFonts w:ascii="Times New Roman" w:hAnsi="Times New Roman"/>
          <w:szCs w:val="22"/>
        </w:rPr>
        <w:t xml:space="preserve">a prostredníctvom </w:t>
      </w:r>
      <w:r w:rsidRPr="003859CD" w:rsidR="00CC6D54">
        <w:rPr>
          <w:rFonts w:ascii="Times New Roman" w:hAnsi="Times New Roman"/>
          <w:szCs w:val="22"/>
        </w:rPr>
        <w:t>pravidelný</w:t>
      </w:r>
      <w:r w:rsidRPr="003859CD" w:rsidR="00646F39">
        <w:rPr>
          <w:rFonts w:ascii="Times New Roman" w:hAnsi="Times New Roman"/>
          <w:szCs w:val="22"/>
        </w:rPr>
        <w:t>ch</w:t>
      </w:r>
      <w:r w:rsidRPr="003859CD" w:rsidR="00CC6D54">
        <w:rPr>
          <w:rFonts w:ascii="Times New Roman" w:hAnsi="Times New Roman"/>
          <w:szCs w:val="22"/>
        </w:rPr>
        <w:t xml:space="preserve"> </w:t>
      </w:r>
      <w:r w:rsidRPr="003859CD" w:rsidR="00646F39">
        <w:rPr>
          <w:rFonts w:ascii="Times New Roman" w:hAnsi="Times New Roman"/>
          <w:szCs w:val="22"/>
        </w:rPr>
        <w:t>stretnutí</w:t>
      </w:r>
      <w:r w:rsidRPr="003859CD" w:rsidR="00CC6D8C">
        <w:rPr>
          <w:rFonts w:ascii="Times New Roman" w:hAnsi="Times New Roman"/>
          <w:szCs w:val="22"/>
        </w:rPr>
        <w:t xml:space="preserve"> </w:t>
      </w:r>
      <w:r w:rsidRPr="003859CD" w:rsidR="00CC6D54">
        <w:rPr>
          <w:rFonts w:ascii="Times New Roman" w:hAnsi="Times New Roman"/>
          <w:szCs w:val="22"/>
        </w:rPr>
        <w:t>prezent</w:t>
      </w:r>
      <w:r w:rsidRPr="003859CD" w:rsidR="00D23908">
        <w:rPr>
          <w:rFonts w:ascii="Times New Roman" w:hAnsi="Times New Roman"/>
          <w:szCs w:val="22"/>
        </w:rPr>
        <w:t>ovať</w:t>
      </w:r>
      <w:r w:rsidRPr="003859CD" w:rsidR="00CC6D54">
        <w:rPr>
          <w:rFonts w:ascii="Times New Roman" w:hAnsi="Times New Roman"/>
          <w:szCs w:val="22"/>
        </w:rPr>
        <w:t xml:space="preserve"> výsledk</w:t>
      </w:r>
      <w:r w:rsidRPr="003859CD" w:rsidR="00D23908">
        <w:rPr>
          <w:rFonts w:ascii="Times New Roman" w:hAnsi="Times New Roman"/>
          <w:szCs w:val="22"/>
        </w:rPr>
        <w:t>y</w:t>
      </w:r>
      <w:r w:rsidRPr="003859CD" w:rsidR="00CC6D54">
        <w:rPr>
          <w:rFonts w:ascii="Times New Roman" w:hAnsi="Times New Roman"/>
          <w:szCs w:val="22"/>
        </w:rPr>
        <w:t xml:space="preserve"> a zámer</w:t>
      </w:r>
      <w:r w:rsidRPr="003859CD" w:rsidR="00D23908">
        <w:rPr>
          <w:rFonts w:ascii="Times New Roman" w:hAnsi="Times New Roman"/>
          <w:szCs w:val="22"/>
        </w:rPr>
        <w:t>y</w:t>
      </w:r>
      <w:r w:rsidRPr="003859CD" w:rsidR="00CC6D54">
        <w:rPr>
          <w:rFonts w:ascii="Times New Roman" w:hAnsi="Times New Roman"/>
          <w:szCs w:val="22"/>
        </w:rPr>
        <w:t xml:space="preserve"> emitenta na investorských konferenciách. Pre propagáciu Slovenska </w:t>
      </w:r>
      <w:r w:rsidRPr="003859CD">
        <w:rPr>
          <w:rFonts w:ascii="Times New Roman" w:hAnsi="Times New Roman"/>
          <w:szCs w:val="22"/>
        </w:rPr>
        <w:t>je</w:t>
      </w:r>
      <w:r w:rsidRPr="003859CD" w:rsidR="00F335D0">
        <w:rPr>
          <w:rFonts w:ascii="Times New Roman" w:hAnsi="Times New Roman"/>
          <w:szCs w:val="22"/>
        </w:rPr>
        <w:t xml:space="preserve"> potrebné </w:t>
      </w:r>
      <w:r w:rsidRPr="003859CD">
        <w:rPr>
          <w:rFonts w:ascii="Times New Roman" w:hAnsi="Times New Roman"/>
          <w:szCs w:val="22"/>
        </w:rPr>
        <w:t>uskutočňovať</w:t>
      </w:r>
      <w:r w:rsidRPr="003859CD" w:rsidR="00CC6D54">
        <w:rPr>
          <w:rFonts w:ascii="Times New Roman" w:hAnsi="Times New Roman"/>
          <w:szCs w:val="22"/>
        </w:rPr>
        <w:t xml:space="preserve"> </w:t>
      </w:r>
      <w:r w:rsidRPr="003859CD" w:rsidR="00F335D0">
        <w:rPr>
          <w:rFonts w:ascii="Times New Roman" w:hAnsi="Times New Roman"/>
          <w:szCs w:val="22"/>
        </w:rPr>
        <w:t>informačno-prezentačné stretnuti</w:t>
      </w:r>
      <w:r w:rsidRPr="003859CD">
        <w:rPr>
          <w:rFonts w:ascii="Times New Roman" w:hAnsi="Times New Roman"/>
          <w:szCs w:val="22"/>
        </w:rPr>
        <w:t>a</w:t>
      </w:r>
      <w:r w:rsidRPr="003859CD" w:rsidR="00F335D0">
        <w:rPr>
          <w:rFonts w:ascii="Times New Roman" w:hAnsi="Times New Roman"/>
          <w:szCs w:val="22"/>
        </w:rPr>
        <w:t xml:space="preserve"> so súčasnými a </w:t>
      </w:r>
      <w:r w:rsidRPr="003859CD" w:rsidR="00CC6D8C">
        <w:rPr>
          <w:rFonts w:ascii="Times New Roman" w:hAnsi="Times New Roman"/>
          <w:szCs w:val="22"/>
        </w:rPr>
        <w:t>potenciálnymi</w:t>
      </w:r>
      <w:r w:rsidRPr="003859CD" w:rsidR="00F335D0">
        <w:rPr>
          <w:rFonts w:ascii="Times New Roman" w:hAnsi="Times New Roman"/>
          <w:szCs w:val="22"/>
        </w:rPr>
        <w:t xml:space="preserve"> investormi do štátneho dlhu SR</w:t>
      </w:r>
      <w:r w:rsidRPr="003859CD" w:rsidR="002D672C">
        <w:rPr>
          <w:rFonts w:ascii="Times New Roman" w:hAnsi="Times New Roman"/>
          <w:szCs w:val="22"/>
        </w:rPr>
        <w:t xml:space="preserve"> a</w:t>
      </w:r>
      <w:r w:rsidRPr="003859CD" w:rsidR="00F14895">
        <w:rPr>
          <w:rFonts w:ascii="Times New Roman" w:hAnsi="Times New Roman"/>
          <w:szCs w:val="22"/>
        </w:rPr>
        <w:t xml:space="preserve"> </w:t>
      </w:r>
      <w:r w:rsidRPr="003859CD" w:rsidR="002D672C">
        <w:rPr>
          <w:rFonts w:ascii="Times New Roman" w:hAnsi="Times New Roman"/>
          <w:szCs w:val="22"/>
        </w:rPr>
        <w:t>p</w:t>
      </w:r>
      <w:r w:rsidRPr="003859CD" w:rsidR="00646F39">
        <w:rPr>
          <w:rFonts w:ascii="Times New Roman" w:hAnsi="Times New Roman"/>
          <w:szCs w:val="22"/>
        </w:rPr>
        <w:t>ozície, ktoré Slovensko získalo na zahraničných trhoch (najmä USD)</w:t>
      </w:r>
      <w:r w:rsidRPr="003859CD" w:rsidR="00261D75">
        <w:rPr>
          <w:rFonts w:ascii="Times New Roman" w:hAnsi="Times New Roman"/>
          <w:szCs w:val="22"/>
        </w:rPr>
        <w:t>,</w:t>
      </w:r>
      <w:r w:rsidRPr="003859CD" w:rsidR="00646F39">
        <w:rPr>
          <w:rFonts w:ascii="Times New Roman" w:hAnsi="Times New Roman"/>
          <w:szCs w:val="22"/>
        </w:rPr>
        <w:t xml:space="preserve"> udržiavať pravidelnými návštevami investorov a emisiami </w:t>
      </w:r>
      <w:r w:rsidRPr="003859CD" w:rsidR="00D23908">
        <w:rPr>
          <w:rFonts w:ascii="Times New Roman" w:hAnsi="Times New Roman"/>
          <w:szCs w:val="22"/>
        </w:rPr>
        <w:t>ďalších</w:t>
      </w:r>
      <w:r w:rsidRPr="003859CD" w:rsidR="00646F39">
        <w:rPr>
          <w:rFonts w:ascii="Times New Roman" w:hAnsi="Times New Roman"/>
          <w:szCs w:val="22"/>
        </w:rPr>
        <w:t xml:space="preserve"> dlhopisov</w:t>
      </w:r>
      <w:r w:rsidRPr="003859CD" w:rsidR="00D23908">
        <w:rPr>
          <w:rFonts w:ascii="Times New Roman" w:hAnsi="Times New Roman"/>
          <w:szCs w:val="22"/>
        </w:rPr>
        <w:t xml:space="preserve"> vždy</w:t>
      </w:r>
      <w:r w:rsidRPr="003859CD" w:rsidR="00261D75">
        <w:rPr>
          <w:rFonts w:ascii="Times New Roman" w:hAnsi="Times New Roman"/>
          <w:szCs w:val="22"/>
        </w:rPr>
        <w:t>,</w:t>
      </w:r>
      <w:r w:rsidRPr="003859CD" w:rsidR="00D23908">
        <w:rPr>
          <w:rFonts w:ascii="Times New Roman" w:hAnsi="Times New Roman"/>
          <w:szCs w:val="22"/>
        </w:rPr>
        <w:t xml:space="preserve"> keď to bude vhodné a potrebné.</w:t>
      </w:r>
    </w:p>
    <w:p w:rsidR="00CC6D54" w:rsidRPr="003859CD" w:rsidP="004012A1">
      <w:pPr>
        <w:numPr>
          <w:numId w:val="20"/>
        </w:numPr>
        <w:bidi w:val="0"/>
        <w:spacing w:before="240" w:after="120"/>
        <w:ind w:left="272" w:hanging="232"/>
        <w:jc w:val="both"/>
        <w:rPr>
          <w:rFonts w:ascii="Times New Roman" w:hAnsi="Times New Roman"/>
          <w:szCs w:val="22"/>
          <w:u w:val="single"/>
        </w:rPr>
      </w:pPr>
      <w:r w:rsidRPr="003859CD">
        <w:rPr>
          <w:rFonts w:ascii="Times New Roman" w:hAnsi="Times New Roman"/>
          <w:szCs w:val="22"/>
          <w:u w:val="single"/>
        </w:rPr>
        <w:t>Skvalitnenie infraštruktúry riadenia štátneho dlhu (</w:t>
      </w:r>
      <w:r w:rsidRPr="003859CD" w:rsidR="00FB477B">
        <w:rPr>
          <w:rFonts w:ascii="Times New Roman" w:hAnsi="Times New Roman"/>
          <w:szCs w:val="22"/>
          <w:u w:val="single"/>
        </w:rPr>
        <w:t>sekundárny trh</w:t>
      </w:r>
      <w:r w:rsidRPr="003859CD">
        <w:rPr>
          <w:rFonts w:ascii="Times New Roman" w:hAnsi="Times New Roman"/>
          <w:szCs w:val="22"/>
          <w:u w:val="single"/>
        </w:rPr>
        <w:t xml:space="preserve">, zlepšiť podmienky vysporiadania </w:t>
      </w:r>
      <w:r w:rsidRPr="003859CD" w:rsidR="00FB477B">
        <w:rPr>
          <w:rFonts w:ascii="Times New Roman" w:hAnsi="Times New Roman"/>
          <w:szCs w:val="22"/>
          <w:u w:val="single"/>
        </w:rPr>
        <w:t>Š</w:t>
      </w:r>
      <w:r w:rsidRPr="003859CD">
        <w:rPr>
          <w:rFonts w:ascii="Times New Roman" w:hAnsi="Times New Roman"/>
          <w:szCs w:val="22"/>
          <w:u w:val="single"/>
        </w:rPr>
        <w:t>CP)</w:t>
      </w:r>
    </w:p>
    <w:p w:rsidR="00A37439" w:rsidP="001B59DB">
      <w:pPr>
        <w:bidi w:val="0"/>
        <w:spacing w:after="120"/>
        <w:ind w:firstLine="708"/>
        <w:jc w:val="both"/>
        <w:rPr>
          <w:rFonts w:ascii="Times New Roman" w:hAnsi="Times New Roman"/>
          <w:szCs w:val="22"/>
        </w:rPr>
      </w:pPr>
      <w:r w:rsidRPr="003859CD" w:rsidR="00CC6D54">
        <w:rPr>
          <w:rFonts w:ascii="Times New Roman" w:hAnsi="Times New Roman"/>
          <w:szCs w:val="22"/>
        </w:rPr>
        <w:t xml:space="preserve">S cieľom zlepšenia likvidity ŠCP na sekundárnom trhu je potrebné zaviesť </w:t>
      </w:r>
      <w:r w:rsidRPr="003859CD" w:rsidR="00D23908">
        <w:rPr>
          <w:rFonts w:ascii="Times New Roman" w:hAnsi="Times New Roman"/>
          <w:szCs w:val="22"/>
        </w:rPr>
        <w:t xml:space="preserve">najmenej jednu elektronickú platformu prístupnú pre všetkých </w:t>
      </w:r>
      <w:r w:rsidRPr="003859CD" w:rsidR="00E236CD">
        <w:rPr>
          <w:rFonts w:ascii="Times New Roman" w:hAnsi="Times New Roman"/>
          <w:szCs w:val="22"/>
        </w:rPr>
        <w:t xml:space="preserve">primárnych </w:t>
      </w:r>
      <w:r w:rsidRPr="003859CD" w:rsidR="00D23908">
        <w:rPr>
          <w:rFonts w:ascii="Times New Roman" w:hAnsi="Times New Roman"/>
          <w:szCs w:val="22"/>
        </w:rPr>
        <w:t>dealerov</w:t>
      </w:r>
      <w:r w:rsidRPr="003859CD" w:rsidR="003D381F">
        <w:rPr>
          <w:rFonts w:ascii="Times New Roman" w:hAnsi="Times New Roman"/>
          <w:szCs w:val="22"/>
        </w:rPr>
        <w:t xml:space="preserve"> (PD)</w:t>
      </w:r>
      <w:r w:rsidRPr="003859CD" w:rsidR="00D23908">
        <w:rPr>
          <w:rFonts w:ascii="Times New Roman" w:hAnsi="Times New Roman"/>
          <w:szCs w:val="22"/>
        </w:rPr>
        <w:t xml:space="preserve">, na ktorej budú </w:t>
      </w:r>
      <w:r w:rsidRPr="003859CD" w:rsidR="003D381F">
        <w:rPr>
          <w:rFonts w:ascii="Times New Roman" w:hAnsi="Times New Roman"/>
          <w:szCs w:val="22"/>
        </w:rPr>
        <w:t xml:space="preserve">všetci PD </w:t>
      </w:r>
      <w:r w:rsidRPr="003859CD" w:rsidR="00D23908">
        <w:rPr>
          <w:rFonts w:ascii="Times New Roman" w:hAnsi="Times New Roman"/>
          <w:szCs w:val="22"/>
        </w:rPr>
        <w:t>povinne kótovať</w:t>
      </w:r>
      <w:r w:rsidRPr="003859CD" w:rsidR="003D381F">
        <w:rPr>
          <w:rFonts w:ascii="Times New Roman" w:hAnsi="Times New Roman"/>
          <w:szCs w:val="22"/>
        </w:rPr>
        <w:t xml:space="preserve"> benchmarkové emisie slovenských štátnych dlhopisov</w:t>
      </w:r>
      <w:r w:rsidRPr="003859CD" w:rsidR="00CC6D54">
        <w:rPr>
          <w:rFonts w:ascii="Times New Roman" w:hAnsi="Times New Roman"/>
          <w:szCs w:val="22"/>
        </w:rPr>
        <w:t xml:space="preserve">. Pre zahraničných investorov je nevyhnutné zabezpečiť </w:t>
      </w:r>
      <w:r w:rsidRPr="003859CD" w:rsidR="0021198D">
        <w:rPr>
          <w:rFonts w:ascii="Times New Roman" w:hAnsi="Times New Roman"/>
          <w:szCs w:val="22"/>
        </w:rPr>
        <w:t xml:space="preserve">medzinárodne štandardné </w:t>
      </w:r>
      <w:r w:rsidRPr="003859CD" w:rsidR="00CC6D54">
        <w:rPr>
          <w:rFonts w:ascii="Times New Roman" w:hAnsi="Times New Roman"/>
          <w:szCs w:val="22"/>
        </w:rPr>
        <w:t>podmienky vysporiadania</w:t>
      </w:r>
      <w:r w:rsidRPr="003859CD" w:rsidR="005840BF">
        <w:rPr>
          <w:rFonts w:ascii="Times New Roman" w:hAnsi="Times New Roman"/>
          <w:szCs w:val="22"/>
        </w:rPr>
        <w:t xml:space="preserve"> </w:t>
      </w:r>
      <w:r w:rsidRPr="003859CD" w:rsidR="00FB477B">
        <w:rPr>
          <w:rFonts w:ascii="Times New Roman" w:hAnsi="Times New Roman"/>
          <w:szCs w:val="22"/>
        </w:rPr>
        <w:t>slovenských štátnych cenných papierov (v CDCP, a.s. alebo v ICSD)</w:t>
      </w:r>
      <w:r w:rsidRPr="003859CD" w:rsidR="00CC6D54">
        <w:rPr>
          <w:rFonts w:ascii="Times New Roman" w:hAnsi="Times New Roman"/>
          <w:szCs w:val="22"/>
        </w:rPr>
        <w:t>.</w:t>
      </w:r>
      <w:r w:rsidR="001B59DB">
        <w:rPr>
          <w:rFonts w:ascii="Times New Roman" w:hAnsi="Times New Roman"/>
          <w:szCs w:val="22"/>
        </w:rPr>
        <w:t xml:space="preserve"> </w:t>
      </w:r>
    </w:p>
    <w:p w:rsidR="001B59DB" w:rsidRPr="003859CD" w:rsidP="001B59DB">
      <w:pPr>
        <w:bidi w:val="0"/>
        <w:spacing w:after="120"/>
        <w:ind w:firstLine="708"/>
        <w:jc w:val="both"/>
        <w:rPr>
          <w:rFonts w:ascii="Times New Roman" w:hAnsi="Times New Roman"/>
          <w:szCs w:val="22"/>
        </w:rPr>
      </w:pPr>
    </w:p>
    <w:sectPr w:rsidSect="008B09B9">
      <w:footerReference w:type="default" r:id="rId8"/>
      <w:pgSz w:w="11906" w:h="16838"/>
      <w:pgMar w:top="1135" w:right="1417" w:bottom="1134" w:left="1417" w:header="708" w:footer="708" w:gutter="0"/>
      <w:lnNumType w:distance="0"/>
      <w:pgNumType w:start="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ordia New">
    <w:panose1 w:val="020B0304020202020204"/>
    <w:charset w:val="DE"/>
    <w:family w:val="roman"/>
    <w:pitch w:val="variable"/>
    <w:sig w:usb0="00000000" w:usb1="00000000" w:usb2="00000000" w:usb3="00000000" w:csb0="00010000" w:csb1="00000000"/>
  </w:font>
  <w:font w:name="Cambria Math">
    <w:panose1 w:val="02040503050406030204"/>
    <w:charset w:val="01"/>
    <w:family w:val="roman"/>
    <w:pitch w:val="variable"/>
    <w:sig w:usb0="00000000" w:usb1="00000000" w:usb2="00000000" w:usb3="00000000" w:csb0="00000000" w:csb1="00000000"/>
  </w:font>
  <w:font w:name="Arial Narrow">
    <w:altName w:val="Arial Narrow"/>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123">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965253">
      <w:rPr>
        <w:rFonts w:ascii="Times New Roman" w:hAnsi="Times New Roman"/>
        <w:noProof/>
      </w:rPr>
      <w:t>1</w:t>
    </w:r>
    <w:r>
      <w:rPr>
        <w:rFonts w:ascii="Times New Roman" w:hAnsi="Times New Roman"/>
      </w:rPr>
      <w:fldChar w:fldCharType="end"/>
    </w:r>
  </w:p>
  <w:p w:rsidR="005F3123">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DA8" w:rsidP="00F449C1">
      <w:pPr>
        <w:bidi w:val="0"/>
        <w:rPr>
          <w:rFonts w:ascii="Times New Roman" w:hAnsi="Times New Roman"/>
        </w:rPr>
      </w:pPr>
      <w:r>
        <w:rPr>
          <w:rFonts w:ascii="Times New Roman" w:hAnsi="Times New Roman"/>
        </w:rPr>
        <w:separator/>
      </w:r>
    </w:p>
  </w:footnote>
  <w:footnote w:type="continuationSeparator" w:id="1">
    <w:p w:rsidR="00026DA8" w:rsidP="00F449C1">
      <w:pPr>
        <w:bidi w:val="0"/>
        <w:rPr>
          <w:rFonts w:ascii="Times New Roman" w:hAnsi="Times New Roman"/>
        </w:rPr>
      </w:pPr>
      <w:r>
        <w:rPr>
          <w:rFonts w:ascii="Times New Roman" w:hAnsi="Times New Roman"/>
        </w:rPr>
        <w:continuationSeparator/>
      </w:r>
    </w:p>
  </w:footnote>
  <w:footnote w:type="continuationNotice" w:id="2">
    <w:p w:rsidR="00026DA8">
      <w:pPr>
        <w:bidi w:val="0"/>
        <w:rPr>
          <w:rFonts w:ascii="Times New Roman" w:hAnsi="Times New Roman"/>
        </w:rPr>
      </w:pPr>
    </w:p>
  </w:footnote>
  <w:footnote w:id="3">
    <w:p w:rsidP="00495003">
      <w:pPr>
        <w:pStyle w:val="FootnoteText"/>
        <w:bidi w:val="0"/>
        <w:ind w:left="142" w:hanging="142"/>
        <w:jc w:val="both"/>
        <w:rPr>
          <w:rFonts w:ascii="Times New Roman" w:hAnsi="Times New Roman"/>
        </w:rPr>
      </w:pPr>
      <w:r w:rsidRPr="003859CD" w:rsidR="00495003">
        <w:rPr>
          <w:rStyle w:val="FootnoteReference"/>
          <w:rFonts w:ascii="Times New Roman" w:hAnsi="Times New Roman"/>
          <w:sz w:val="18"/>
          <w:szCs w:val="18"/>
        </w:rPr>
        <w:footnoteRef/>
      </w:r>
      <w:r w:rsidRPr="003859CD" w:rsidR="00495003">
        <w:rPr>
          <w:rFonts w:ascii="Times New Roman" w:hAnsi="Times New Roman"/>
          <w:sz w:val="18"/>
          <w:szCs w:val="18"/>
        </w:rPr>
        <w:t xml:space="preserve"> Strednodobý rozpočtový cieľ Slovenska je dosiahnutie štrukturálneho deficitu vo výške 0,5 % HDP, pričom podľa Programu stability by mal byť dosiahnutý v roku 2017.</w:t>
      </w:r>
    </w:p>
  </w:footnote>
  <w:footnote w:id="4">
    <w:p w:rsidP="0005739A">
      <w:pPr>
        <w:pStyle w:val="FootnoteText"/>
        <w:bidi w:val="0"/>
        <w:ind w:left="113" w:hanging="113"/>
        <w:jc w:val="both"/>
        <w:rPr>
          <w:rFonts w:ascii="Times New Roman" w:hAnsi="Times New Roman"/>
        </w:rPr>
      </w:pPr>
      <w:r w:rsidRPr="003859CD" w:rsidR="0005739A">
        <w:rPr>
          <w:rStyle w:val="FootnoteReference"/>
          <w:rFonts w:ascii="Times New Roman" w:hAnsi="Times New Roman"/>
          <w:sz w:val="18"/>
          <w:szCs w:val="18"/>
        </w:rPr>
        <w:footnoteRef/>
      </w:r>
      <w:r w:rsidRPr="003859CD" w:rsidR="0005739A">
        <w:rPr>
          <w:rFonts w:ascii="Times New Roman" w:hAnsi="Times New Roman"/>
          <w:sz w:val="18"/>
          <w:szCs w:val="18"/>
        </w:rPr>
        <w:t xml:space="preserve"> Všetky uvádzané hodnoty sú počítané v metodike, ktorá sa používa pri posudzovaní plnenia maastrichtského kritéria pre výšku hrubého dlhu verejnej správy – tzv. maastrichtský hrubý dlh verejnej správy.</w:t>
      </w:r>
    </w:p>
  </w:footnote>
  <w:footnote w:id="5">
    <w:p w:rsidP="0005739A">
      <w:pPr>
        <w:pStyle w:val="FootnoteText"/>
        <w:bidi w:val="0"/>
        <w:ind w:left="170" w:hanging="170"/>
        <w:jc w:val="both"/>
        <w:rPr>
          <w:rFonts w:ascii="Times New Roman" w:hAnsi="Times New Roman"/>
        </w:rPr>
      </w:pPr>
      <w:r w:rsidRPr="003859CD" w:rsidR="0005739A">
        <w:rPr>
          <w:rStyle w:val="FootnoteReference"/>
          <w:rFonts w:ascii="Times New Roman" w:hAnsi="Times New Roman"/>
          <w:sz w:val="18"/>
          <w:szCs w:val="18"/>
        </w:rPr>
        <w:footnoteRef/>
      </w:r>
      <w:r w:rsidRPr="003859CD" w:rsidR="0005739A">
        <w:rPr>
          <w:rFonts w:ascii="Times New Roman" w:hAnsi="Times New Roman"/>
          <w:sz w:val="18"/>
          <w:szCs w:val="18"/>
        </w:rPr>
        <w:t xml:space="preserve"> Ide o položku tzv. zosúladenia deficitu a dlhu (stock-flow adjustment). Ekonomicky vzniká kvôli tomu, že deficit je akruálna veličina, kým dlh je hotovostná. Zjednodušene sa skladá sa z nadobudnutia finančných aktív (vkladov, cenných papierov, pôžičiek a akcií) a úprav na maastrichtský dlh (nárast záväzkov, emisia nad alebo pod par, zhodnotenie resp. znehodnotenie dlhu v zahraničnej mene).</w:t>
      </w:r>
    </w:p>
  </w:footnote>
  <w:footnote w:id="6">
    <w:p w:rsidP="0005739A">
      <w:pPr>
        <w:pStyle w:val="FootnoteText"/>
        <w:bidi w:val="0"/>
        <w:ind w:left="113" w:hanging="113"/>
        <w:jc w:val="both"/>
        <w:rPr>
          <w:rFonts w:ascii="Times New Roman" w:hAnsi="Times New Roman"/>
        </w:rPr>
      </w:pPr>
      <w:r w:rsidRPr="001B59DB" w:rsidR="0005739A">
        <w:rPr>
          <w:rStyle w:val="FootnoteReference"/>
          <w:rFonts w:ascii="Times New Roman" w:hAnsi="Times New Roman"/>
          <w:sz w:val="18"/>
          <w:szCs w:val="18"/>
        </w:rPr>
        <w:footnoteRef/>
      </w:r>
      <w:r w:rsidRPr="001B59DB" w:rsidR="0005739A">
        <w:rPr>
          <w:rFonts w:ascii="Times New Roman" w:hAnsi="Times New Roman"/>
          <w:sz w:val="18"/>
          <w:szCs w:val="18"/>
        </w:rPr>
        <w:t xml:space="preserve"> Tzv. pohľadávka EÚ, ktorá je dôsledkom nepreplatenia prostriedkov EÚ kvôli zablokovaným operačným programom v roku 2014.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3386"/>
    <w:multiLevelType w:val="hybridMultilevel"/>
    <w:tmpl w:val="7AD4A914"/>
    <w:lvl w:ilvl="0">
      <w:start w:val="1"/>
      <w:numFmt w:val="decimal"/>
      <w:lvlText w:val="%1."/>
      <w:lvlJc w:val="left"/>
      <w:pPr>
        <w:tabs>
          <w:tab w:val="num" w:pos="510"/>
        </w:tabs>
        <w:ind w:left="510" w:hanging="226"/>
      </w:pPr>
      <w:rPr>
        <w:rFonts w:ascii="Arial Narrow" w:hAnsi="Arial Narrow" w:cs="Times New Roman" w:hint="default"/>
        <w:b w:val="0"/>
        <w:i w:val="0"/>
        <w:sz w:val="22"/>
        <w:szCs w:val="22"/>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2F34DFF"/>
    <w:multiLevelType w:val="hybridMultilevel"/>
    <w:tmpl w:val="DBE8129C"/>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B2834C5"/>
    <w:multiLevelType w:val="hybridMultilevel"/>
    <w:tmpl w:val="DC4CF880"/>
    <w:lvl w:ilvl="0">
      <w:start w:val="4"/>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EE47DD7"/>
    <w:multiLevelType w:val="hybridMultilevel"/>
    <w:tmpl w:val="1FC63F12"/>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FDD4C1D"/>
    <w:multiLevelType w:val="hybridMultilevel"/>
    <w:tmpl w:val="F38A7DC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E950170"/>
    <w:multiLevelType w:val="singleLevel"/>
    <w:tmpl w:val="8AD46048"/>
    <w:lvl w:ilvl="0">
      <w:start w:val="1"/>
      <w:numFmt w:val="decimal"/>
      <w:lvlText w:val="(%1)"/>
      <w:lvlJc w:val="left"/>
      <w:pPr>
        <w:tabs>
          <w:tab w:val="num" w:pos="360"/>
        </w:tabs>
        <w:ind w:left="360" w:hanging="360"/>
      </w:pPr>
      <w:rPr>
        <w:rFonts w:cs="Times New Roman" w:hint="default"/>
        <w:rtl w:val="0"/>
        <w:cs w:val="0"/>
      </w:rPr>
    </w:lvl>
  </w:abstractNum>
  <w:abstractNum w:abstractNumId="6">
    <w:nsid w:val="31FF38D0"/>
    <w:multiLevelType w:val="hybridMultilevel"/>
    <w:tmpl w:val="7828291C"/>
    <w:lvl w:ilvl="0">
      <w:start w:val="2"/>
      <w:numFmt w:val="bullet"/>
      <w:lvlText w:val="-"/>
      <w:lvlJc w:val="left"/>
      <w:pPr>
        <w:tabs>
          <w:tab w:val="num" w:pos="1055"/>
        </w:tabs>
        <w:ind w:left="1055" w:hanging="360"/>
      </w:pPr>
      <w:rPr>
        <w:rFonts w:ascii="Arial" w:eastAsia="Cordia New" w:hAnsi="Arial" w:hint="default"/>
      </w:rPr>
    </w:lvl>
    <w:lvl w:ilvl="1">
      <w:start w:val="1"/>
      <w:numFmt w:val="bullet"/>
      <w:lvlText w:val="o"/>
      <w:lvlJc w:val="left"/>
      <w:pPr>
        <w:tabs>
          <w:tab w:val="num" w:pos="1775"/>
        </w:tabs>
        <w:ind w:left="1775" w:hanging="360"/>
      </w:pPr>
      <w:rPr>
        <w:rFonts w:ascii="Courier New" w:hAnsi="Courier New" w:hint="default"/>
      </w:rPr>
    </w:lvl>
    <w:lvl w:ilvl="2">
      <w:start w:val="1"/>
      <w:numFmt w:val="bullet"/>
      <w:lvlText w:val=""/>
      <w:lvlJc w:val="left"/>
      <w:pPr>
        <w:tabs>
          <w:tab w:val="num" w:pos="2495"/>
        </w:tabs>
        <w:ind w:left="2495" w:hanging="360"/>
      </w:pPr>
      <w:rPr>
        <w:rFonts w:ascii="Wingdings" w:hAnsi="Wingdings" w:hint="default"/>
      </w:rPr>
    </w:lvl>
    <w:lvl w:ilvl="3">
      <w:start w:val="1"/>
      <w:numFmt w:val="bullet"/>
      <w:lvlText w:val=""/>
      <w:lvlJc w:val="left"/>
      <w:pPr>
        <w:tabs>
          <w:tab w:val="num" w:pos="3215"/>
        </w:tabs>
        <w:ind w:left="3215" w:hanging="360"/>
      </w:pPr>
      <w:rPr>
        <w:rFonts w:ascii="Symbol" w:hAnsi="Symbol" w:hint="default"/>
      </w:rPr>
    </w:lvl>
    <w:lvl w:ilvl="4">
      <w:start w:val="1"/>
      <w:numFmt w:val="bullet"/>
      <w:lvlText w:val="o"/>
      <w:lvlJc w:val="left"/>
      <w:pPr>
        <w:tabs>
          <w:tab w:val="num" w:pos="3935"/>
        </w:tabs>
        <w:ind w:left="3935" w:hanging="360"/>
      </w:pPr>
      <w:rPr>
        <w:rFonts w:ascii="Courier New" w:hAnsi="Courier New" w:hint="default"/>
      </w:rPr>
    </w:lvl>
    <w:lvl w:ilvl="5">
      <w:start w:val="1"/>
      <w:numFmt w:val="bullet"/>
      <w:lvlText w:val=""/>
      <w:lvlJc w:val="left"/>
      <w:pPr>
        <w:tabs>
          <w:tab w:val="num" w:pos="4655"/>
        </w:tabs>
        <w:ind w:left="4655" w:hanging="360"/>
      </w:pPr>
      <w:rPr>
        <w:rFonts w:ascii="Wingdings" w:hAnsi="Wingdings" w:hint="default"/>
      </w:rPr>
    </w:lvl>
    <w:lvl w:ilvl="6">
      <w:start w:val="1"/>
      <w:numFmt w:val="bullet"/>
      <w:lvlText w:val=""/>
      <w:lvlJc w:val="left"/>
      <w:pPr>
        <w:tabs>
          <w:tab w:val="num" w:pos="5375"/>
        </w:tabs>
        <w:ind w:left="5375" w:hanging="360"/>
      </w:pPr>
      <w:rPr>
        <w:rFonts w:ascii="Symbol" w:hAnsi="Symbol" w:hint="default"/>
      </w:rPr>
    </w:lvl>
    <w:lvl w:ilvl="7">
      <w:start w:val="1"/>
      <w:numFmt w:val="bullet"/>
      <w:lvlText w:val="o"/>
      <w:lvlJc w:val="left"/>
      <w:pPr>
        <w:tabs>
          <w:tab w:val="num" w:pos="6095"/>
        </w:tabs>
        <w:ind w:left="6095" w:hanging="360"/>
      </w:pPr>
      <w:rPr>
        <w:rFonts w:ascii="Courier New" w:hAnsi="Courier New" w:hint="default"/>
      </w:rPr>
    </w:lvl>
    <w:lvl w:ilvl="8">
      <w:start w:val="1"/>
      <w:numFmt w:val="bullet"/>
      <w:lvlText w:val=""/>
      <w:lvlJc w:val="left"/>
      <w:pPr>
        <w:tabs>
          <w:tab w:val="num" w:pos="6815"/>
        </w:tabs>
        <w:ind w:left="6815" w:hanging="360"/>
      </w:pPr>
      <w:rPr>
        <w:rFonts w:ascii="Wingdings" w:hAnsi="Wingdings" w:hint="default"/>
      </w:rPr>
    </w:lvl>
  </w:abstractNum>
  <w:abstractNum w:abstractNumId="7">
    <w:nsid w:val="349A42EA"/>
    <w:multiLevelType w:val="multilevel"/>
    <w:tmpl w:val="041B001F"/>
    <w:lvl w:ilvl="0">
      <w:start w:val="1"/>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792"/>
        </w:tabs>
        <w:ind w:left="792" w:hanging="432"/>
      </w:pPr>
      <w:rPr>
        <w:rFonts w:cs="Times New Roman"/>
        <w:rtl w:val="0"/>
        <w:cs w:val="0"/>
      </w:rPr>
    </w:lvl>
    <w:lvl w:ilvl="2">
      <w:start w:val="1"/>
      <w:numFmt w:val="decimal"/>
      <w:lvlText w:val="%1.%2.%3."/>
      <w:lvlJc w:val="left"/>
      <w:pPr>
        <w:tabs>
          <w:tab w:val="num" w:pos="1224"/>
        </w:tabs>
        <w:ind w:left="1224" w:hanging="504"/>
      </w:pPr>
      <w:rPr>
        <w:rFonts w:cs="Times New Roman"/>
        <w:rtl w:val="0"/>
        <w:cs w:val="0"/>
      </w:rPr>
    </w:lvl>
    <w:lvl w:ilvl="3">
      <w:start w:val="1"/>
      <w:numFmt w:val="decimal"/>
      <w:lvlText w:val="%1.%2.%3.%4."/>
      <w:lvlJc w:val="left"/>
      <w:pPr>
        <w:tabs>
          <w:tab w:val="num" w:pos="1728"/>
        </w:tabs>
        <w:ind w:left="1728" w:hanging="648"/>
      </w:pPr>
      <w:rPr>
        <w:rFonts w:cs="Times New Roman"/>
        <w:rtl w:val="0"/>
        <w:cs w:val="0"/>
      </w:rPr>
    </w:lvl>
    <w:lvl w:ilvl="4">
      <w:start w:val="1"/>
      <w:numFmt w:val="decimal"/>
      <w:lvlText w:val="%1.%2.%3.%4.%5."/>
      <w:lvlJc w:val="left"/>
      <w:pPr>
        <w:tabs>
          <w:tab w:val="num" w:pos="2232"/>
        </w:tabs>
        <w:ind w:left="2232" w:hanging="792"/>
      </w:pPr>
      <w:rPr>
        <w:rFonts w:cs="Times New Roman"/>
        <w:rtl w:val="0"/>
        <w:cs w:val="0"/>
      </w:rPr>
    </w:lvl>
    <w:lvl w:ilvl="5">
      <w:start w:val="1"/>
      <w:numFmt w:val="decimal"/>
      <w:lvlText w:val="%1.%2.%3.%4.%5.%6."/>
      <w:lvlJc w:val="left"/>
      <w:pPr>
        <w:tabs>
          <w:tab w:val="num" w:pos="2736"/>
        </w:tabs>
        <w:ind w:left="2736" w:hanging="936"/>
      </w:pPr>
      <w:rPr>
        <w:rFonts w:cs="Times New Roman"/>
        <w:rtl w:val="0"/>
        <w:cs w:val="0"/>
      </w:rPr>
    </w:lvl>
    <w:lvl w:ilvl="6">
      <w:start w:val="1"/>
      <w:numFmt w:val="decimal"/>
      <w:lvlText w:val="%1.%2.%3.%4.%5.%6.%7."/>
      <w:lvlJc w:val="left"/>
      <w:pPr>
        <w:tabs>
          <w:tab w:val="num" w:pos="3240"/>
        </w:tabs>
        <w:ind w:left="3240" w:hanging="1080"/>
      </w:pPr>
      <w:rPr>
        <w:rFonts w:cs="Times New Roman"/>
        <w:rtl w:val="0"/>
        <w:cs w:val="0"/>
      </w:rPr>
    </w:lvl>
    <w:lvl w:ilvl="7">
      <w:start w:val="1"/>
      <w:numFmt w:val="decimal"/>
      <w:lvlText w:val="%1.%2.%3.%4.%5.%6.%7.%8."/>
      <w:lvlJc w:val="left"/>
      <w:pPr>
        <w:tabs>
          <w:tab w:val="num" w:pos="3744"/>
        </w:tabs>
        <w:ind w:left="3744" w:hanging="1224"/>
      </w:pPr>
      <w:rPr>
        <w:rFonts w:cs="Times New Roman"/>
        <w:rtl w:val="0"/>
        <w:cs w:val="0"/>
      </w:rPr>
    </w:lvl>
    <w:lvl w:ilvl="8">
      <w:start w:val="1"/>
      <w:numFmt w:val="decimal"/>
      <w:lvlText w:val="%1.%2.%3.%4.%5.%6.%7.%8.%9."/>
      <w:lvlJc w:val="left"/>
      <w:pPr>
        <w:tabs>
          <w:tab w:val="num" w:pos="4320"/>
        </w:tabs>
        <w:ind w:left="4320" w:hanging="1440"/>
      </w:pPr>
      <w:rPr>
        <w:rFonts w:cs="Times New Roman"/>
        <w:rtl w:val="0"/>
        <w:cs w:val="0"/>
      </w:rPr>
    </w:lvl>
  </w:abstractNum>
  <w:abstractNum w:abstractNumId="8">
    <w:nsid w:val="3A4528CA"/>
    <w:multiLevelType w:val="hybridMultilevel"/>
    <w:tmpl w:val="1B2A7A5A"/>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A6C73DD"/>
    <w:multiLevelType w:val="multilevel"/>
    <w:tmpl w:val="041B001F"/>
    <w:lvl w:ilvl="0">
      <w:start w:val="1"/>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792"/>
        </w:tabs>
        <w:ind w:left="792" w:hanging="432"/>
      </w:pPr>
      <w:rPr>
        <w:rFonts w:cs="Times New Roman"/>
        <w:rtl w:val="0"/>
        <w:cs w:val="0"/>
      </w:rPr>
    </w:lvl>
    <w:lvl w:ilvl="2">
      <w:start w:val="1"/>
      <w:numFmt w:val="decimal"/>
      <w:lvlText w:val="%1.%2.%3."/>
      <w:lvlJc w:val="left"/>
      <w:pPr>
        <w:tabs>
          <w:tab w:val="num" w:pos="1224"/>
        </w:tabs>
        <w:ind w:left="1224" w:hanging="504"/>
      </w:pPr>
      <w:rPr>
        <w:rFonts w:cs="Times New Roman"/>
        <w:rtl w:val="0"/>
        <w:cs w:val="0"/>
      </w:rPr>
    </w:lvl>
    <w:lvl w:ilvl="3">
      <w:start w:val="1"/>
      <w:numFmt w:val="decimal"/>
      <w:lvlText w:val="%1.%2.%3.%4."/>
      <w:lvlJc w:val="left"/>
      <w:pPr>
        <w:tabs>
          <w:tab w:val="num" w:pos="1728"/>
        </w:tabs>
        <w:ind w:left="1728" w:hanging="648"/>
      </w:pPr>
      <w:rPr>
        <w:rFonts w:cs="Times New Roman"/>
        <w:rtl w:val="0"/>
        <w:cs w:val="0"/>
      </w:rPr>
    </w:lvl>
    <w:lvl w:ilvl="4">
      <w:start w:val="1"/>
      <w:numFmt w:val="decimal"/>
      <w:lvlText w:val="%1.%2.%3.%4.%5."/>
      <w:lvlJc w:val="left"/>
      <w:pPr>
        <w:tabs>
          <w:tab w:val="num" w:pos="2232"/>
        </w:tabs>
        <w:ind w:left="2232" w:hanging="792"/>
      </w:pPr>
      <w:rPr>
        <w:rFonts w:cs="Times New Roman"/>
        <w:rtl w:val="0"/>
        <w:cs w:val="0"/>
      </w:rPr>
    </w:lvl>
    <w:lvl w:ilvl="5">
      <w:start w:val="1"/>
      <w:numFmt w:val="decimal"/>
      <w:lvlText w:val="%1.%2.%3.%4.%5.%6."/>
      <w:lvlJc w:val="left"/>
      <w:pPr>
        <w:tabs>
          <w:tab w:val="num" w:pos="2736"/>
        </w:tabs>
        <w:ind w:left="2736" w:hanging="936"/>
      </w:pPr>
      <w:rPr>
        <w:rFonts w:cs="Times New Roman"/>
        <w:rtl w:val="0"/>
        <w:cs w:val="0"/>
      </w:rPr>
    </w:lvl>
    <w:lvl w:ilvl="6">
      <w:start w:val="1"/>
      <w:numFmt w:val="decimal"/>
      <w:lvlText w:val="%1.%2.%3.%4.%5.%6.%7."/>
      <w:lvlJc w:val="left"/>
      <w:pPr>
        <w:tabs>
          <w:tab w:val="num" w:pos="3240"/>
        </w:tabs>
        <w:ind w:left="3240" w:hanging="1080"/>
      </w:pPr>
      <w:rPr>
        <w:rFonts w:cs="Times New Roman"/>
        <w:rtl w:val="0"/>
        <w:cs w:val="0"/>
      </w:rPr>
    </w:lvl>
    <w:lvl w:ilvl="7">
      <w:start w:val="1"/>
      <w:numFmt w:val="decimal"/>
      <w:lvlText w:val="%1.%2.%3.%4.%5.%6.%7.%8."/>
      <w:lvlJc w:val="left"/>
      <w:pPr>
        <w:tabs>
          <w:tab w:val="num" w:pos="3744"/>
        </w:tabs>
        <w:ind w:left="3744" w:hanging="1224"/>
      </w:pPr>
      <w:rPr>
        <w:rFonts w:cs="Times New Roman"/>
        <w:rtl w:val="0"/>
        <w:cs w:val="0"/>
      </w:rPr>
    </w:lvl>
    <w:lvl w:ilvl="8">
      <w:start w:val="1"/>
      <w:numFmt w:val="decimal"/>
      <w:lvlText w:val="%1.%2.%3.%4.%5.%6.%7.%8.%9."/>
      <w:lvlJc w:val="left"/>
      <w:pPr>
        <w:tabs>
          <w:tab w:val="num" w:pos="4320"/>
        </w:tabs>
        <w:ind w:left="4320" w:hanging="1440"/>
      </w:pPr>
      <w:rPr>
        <w:rFonts w:cs="Times New Roman"/>
        <w:rtl w:val="0"/>
        <w:cs w:val="0"/>
      </w:rPr>
    </w:lvl>
  </w:abstractNum>
  <w:abstractNum w:abstractNumId="10">
    <w:nsid w:val="3AFD479B"/>
    <w:multiLevelType w:val="hybridMultilevel"/>
    <w:tmpl w:val="A74EF03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5BA23E4"/>
    <w:multiLevelType w:val="hybridMultilevel"/>
    <w:tmpl w:val="1AD0040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3"/>
      <w:numFmt w:val="decimal"/>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8407EBA"/>
    <w:multiLevelType w:val="hybridMultilevel"/>
    <w:tmpl w:val="1B2A7A5A"/>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B0F4708"/>
    <w:multiLevelType w:val="multilevel"/>
    <w:tmpl w:val="041B001F"/>
    <w:lvl w:ilvl="0">
      <w:start w:val="1"/>
      <w:numFmt w:val="decimal"/>
      <w:lvlText w:val="%1."/>
      <w:lvlJc w:val="left"/>
      <w:pPr>
        <w:ind w:left="360" w:hanging="360"/>
      </w:pPr>
      <w:rPr>
        <w:rFonts w:cs="Times New Roman"/>
        <w:rtl w:val="0"/>
        <w:cs w:val="0"/>
      </w:rPr>
    </w:lvl>
    <w:lvl w:ilvl="1">
      <w:start w:val="1"/>
      <w:numFmt w:val="decimal"/>
      <w:lvlText w:val="%1.%2."/>
      <w:lvlJc w:val="left"/>
      <w:pPr>
        <w:ind w:left="792" w:hanging="432"/>
      </w:pPr>
      <w:rPr>
        <w:rFonts w:cs="Times New Roman"/>
        <w:rtl w:val="0"/>
        <w:cs w:val="0"/>
      </w:rPr>
    </w:lvl>
    <w:lvl w:ilvl="2">
      <w:start w:val="1"/>
      <w:numFmt w:val="decimal"/>
      <w:lvlText w:val="%1.%2.%3."/>
      <w:lvlJc w:val="left"/>
      <w:pPr>
        <w:ind w:left="1224" w:hanging="504"/>
      </w:pPr>
      <w:rPr>
        <w:rFonts w:cs="Times New Roman"/>
        <w:rtl w:val="0"/>
        <w:cs w:val="0"/>
      </w:rPr>
    </w:lvl>
    <w:lvl w:ilvl="3">
      <w:start w:val="1"/>
      <w:numFmt w:val="decimal"/>
      <w:lvlText w:val="%1.%2.%3.%4."/>
      <w:lvlJc w:val="left"/>
      <w:pPr>
        <w:ind w:left="1728" w:hanging="648"/>
      </w:pPr>
      <w:rPr>
        <w:rFonts w:cs="Times New Roman"/>
        <w:rtl w:val="0"/>
        <w:cs w:val="0"/>
      </w:rPr>
    </w:lvl>
    <w:lvl w:ilvl="4">
      <w:start w:val="1"/>
      <w:numFmt w:val="decimal"/>
      <w:lvlText w:val="%1.%2.%3.%4.%5."/>
      <w:lvlJc w:val="left"/>
      <w:pPr>
        <w:ind w:left="2232" w:hanging="792"/>
      </w:pPr>
      <w:rPr>
        <w:rFonts w:cs="Times New Roman"/>
        <w:rtl w:val="0"/>
        <w:cs w:val="0"/>
      </w:rPr>
    </w:lvl>
    <w:lvl w:ilvl="5">
      <w:start w:val="1"/>
      <w:numFmt w:val="decimal"/>
      <w:lvlText w:val="%1.%2.%3.%4.%5.%6."/>
      <w:lvlJc w:val="left"/>
      <w:pPr>
        <w:ind w:left="2736" w:hanging="936"/>
      </w:pPr>
      <w:rPr>
        <w:rFonts w:cs="Times New Roman"/>
        <w:rtl w:val="0"/>
        <w:cs w:val="0"/>
      </w:rPr>
    </w:lvl>
    <w:lvl w:ilvl="6">
      <w:start w:val="1"/>
      <w:numFmt w:val="decimal"/>
      <w:lvlText w:val="%1.%2.%3.%4.%5.%6.%7."/>
      <w:lvlJc w:val="left"/>
      <w:pPr>
        <w:ind w:left="3240" w:hanging="1080"/>
      </w:pPr>
      <w:rPr>
        <w:rFonts w:cs="Times New Roman"/>
        <w:rtl w:val="0"/>
        <w:cs w:val="0"/>
      </w:rPr>
    </w:lvl>
    <w:lvl w:ilvl="7">
      <w:start w:val="1"/>
      <w:numFmt w:val="decimal"/>
      <w:lvlText w:val="%1.%2.%3.%4.%5.%6.%7.%8."/>
      <w:lvlJc w:val="left"/>
      <w:pPr>
        <w:ind w:left="3744" w:hanging="1224"/>
      </w:pPr>
      <w:rPr>
        <w:rFonts w:cs="Times New Roman"/>
        <w:rtl w:val="0"/>
        <w:cs w:val="0"/>
      </w:rPr>
    </w:lvl>
    <w:lvl w:ilvl="8">
      <w:start w:val="1"/>
      <w:numFmt w:val="decimal"/>
      <w:lvlText w:val="%1.%2.%3.%4.%5.%6.%7.%8.%9."/>
      <w:lvlJc w:val="left"/>
      <w:pPr>
        <w:ind w:left="4320" w:hanging="1440"/>
      </w:pPr>
      <w:rPr>
        <w:rFonts w:cs="Times New Roman"/>
        <w:rtl w:val="0"/>
        <w:cs w:val="0"/>
      </w:rPr>
    </w:lvl>
  </w:abstractNum>
  <w:abstractNum w:abstractNumId="14">
    <w:nsid w:val="4CEF3A9E"/>
    <w:multiLevelType w:val="hybridMultilevel"/>
    <w:tmpl w:val="E5D4759A"/>
    <w:lvl w:ilvl="0">
      <w:start w:val="2"/>
      <w:numFmt w:val="bullet"/>
      <w:lvlText w:val="-"/>
      <w:lvlJc w:val="left"/>
      <w:pPr>
        <w:tabs>
          <w:tab w:val="num" w:pos="1055"/>
        </w:tabs>
        <w:ind w:left="1055" w:hanging="360"/>
      </w:pPr>
      <w:rPr>
        <w:rFonts w:ascii="Arial" w:eastAsia="Cordia New" w:hAnsi="Arial" w:hint="default"/>
      </w:rPr>
    </w:lvl>
    <w:lvl w:ilvl="1">
      <w:start w:val="1"/>
      <w:numFmt w:val="bullet"/>
      <w:lvlText w:val="o"/>
      <w:lvlJc w:val="left"/>
      <w:pPr>
        <w:tabs>
          <w:tab w:val="num" w:pos="1775"/>
        </w:tabs>
        <w:ind w:left="1775" w:hanging="360"/>
      </w:pPr>
      <w:rPr>
        <w:rFonts w:ascii="Courier New" w:hAnsi="Courier New" w:hint="default"/>
      </w:rPr>
    </w:lvl>
    <w:lvl w:ilvl="2">
      <w:start w:val="1"/>
      <w:numFmt w:val="bullet"/>
      <w:lvlText w:val=""/>
      <w:lvlJc w:val="left"/>
      <w:pPr>
        <w:tabs>
          <w:tab w:val="num" w:pos="2495"/>
        </w:tabs>
        <w:ind w:left="2495" w:hanging="360"/>
      </w:pPr>
      <w:rPr>
        <w:rFonts w:ascii="Wingdings" w:hAnsi="Wingdings" w:hint="default"/>
      </w:rPr>
    </w:lvl>
    <w:lvl w:ilvl="3">
      <w:start w:val="1"/>
      <w:numFmt w:val="bullet"/>
      <w:lvlText w:val=""/>
      <w:lvlJc w:val="left"/>
      <w:pPr>
        <w:tabs>
          <w:tab w:val="num" w:pos="3215"/>
        </w:tabs>
        <w:ind w:left="3215" w:hanging="360"/>
      </w:pPr>
      <w:rPr>
        <w:rFonts w:ascii="Symbol" w:hAnsi="Symbol" w:hint="default"/>
      </w:rPr>
    </w:lvl>
    <w:lvl w:ilvl="4">
      <w:start w:val="1"/>
      <w:numFmt w:val="bullet"/>
      <w:lvlText w:val="o"/>
      <w:lvlJc w:val="left"/>
      <w:pPr>
        <w:tabs>
          <w:tab w:val="num" w:pos="3935"/>
        </w:tabs>
        <w:ind w:left="3935" w:hanging="360"/>
      </w:pPr>
      <w:rPr>
        <w:rFonts w:ascii="Courier New" w:hAnsi="Courier New" w:hint="default"/>
      </w:rPr>
    </w:lvl>
    <w:lvl w:ilvl="5">
      <w:start w:val="1"/>
      <w:numFmt w:val="bullet"/>
      <w:lvlText w:val=""/>
      <w:lvlJc w:val="left"/>
      <w:pPr>
        <w:tabs>
          <w:tab w:val="num" w:pos="4655"/>
        </w:tabs>
        <w:ind w:left="4655" w:hanging="360"/>
      </w:pPr>
      <w:rPr>
        <w:rFonts w:ascii="Wingdings" w:hAnsi="Wingdings" w:hint="default"/>
      </w:rPr>
    </w:lvl>
    <w:lvl w:ilvl="6">
      <w:start w:val="1"/>
      <w:numFmt w:val="bullet"/>
      <w:lvlText w:val=""/>
      <w:lvlJc w:val="left"/>
      <w:pPr>
        <w:tabs>
          <w:tab w:val="num" w:pos="5375"/>
        </w:tabs>
        <w:ind w:left="5375" w:hanging="360"/>
      </w:pPr>
      <w:rPr>
        <w:rFonts w:ascii="Symbol" w:hAnsi="Symbol" w:hint="default"/>
      </w:rPr>
    </w:lvl>
    <w:lvl w:ilvl="7">
      <w:start w:val="1"/>
      <w:numFmt w:val="bullet"/>
      <w:lvlText w:val="o"/>
      <w:lvlJc w:val="left"/>
      <w:pPr>
        <w:tabs>
          <w:tab w:val="num" w:pos="6095"/>
        </w:tabs>
        <w:ind w:left="6095" w:hanging="360"/>
      </w:pPr>
      <w:rPr>
        <w:rFonts w:ascii="Courier New" w:hAnsi="Courier New" w:hint="default"/>
      </w:rPr>
    </w:lvl>
    <w:lvl w:ilvl="8">
      <w:start w:val="1"/>
      <w:numFmt w:val="bullet"/>
      <w:lvlText w:val=""/>
      <w:lvlJc w:val="left"/>
      <w:pPr>
        <w:tabs>
          <w:tab w:val="num" w:pos="6815"/>
        </w:tabs>
        <w:ind w:left="6815" w:hanging="360"/>
      </w:pPr>
      <w:rPr>
        <w:rFonts w:ascii="Wingdings" w:hAnsi="Wingdings" w:hint="default"/>
      </w:rPr>
    </w:lvl>
  </w:abstractNum>
  <w:abstractNum w:abstractNumId="15">
    <w:nsid w:val="554B5523"/>
    <w:multiLevelType w:val="hybridMultilevel"/>
    <w:tmpl w:val="B878481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6">
    <w:nsid w:val="565E2355"/>
    <w:multiLevelType w:val="hybridMultilevel"/>
    <w:tmpl w:val="3B6E67D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3"/>
      <w:numFmt w:val="decimal"/>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ACE6682"/>
    <w:multiLevelType w:val="hybridMultilevel"/>
    <w:tmpl w:val="CFF8DA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99843A1"/>
    <w:multiLevelType w:val="hybridMultilevel"/>
    <w:tmpl w:val="A1025D74"/>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9D133A4"/>
    <w:multiLevelType w:val="multilevel"/>
    <w:tmpl w:val="041B001F"/>
    <w:lvl w:ilvl="0">
      <w:start w:val="1"/>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792"/>
        </w:tabs>
        <w:ind w:left="792" w:hanging="432"/>
      </w:pPr>
      <w:rPr>
        <w:rFonts w:cs="Times New Roman"/>
        <w:rtl w:val="0"/>
        <w:cs w:val="0"/>
      </w:rPr>
    </w:lvl>
    <w:lvl w:ilvl="2">
      <w:start w:val="1"/>
      <w:numFmt w:val="decimal"/>
      <w:lvlText w:val="%1.%2.%3."/>
      <w:lvlJc w:val="left"/>
      <w:pPr>
        <w:tabs>
          <w:tab w:val="num" w:pos="1224"/>
        </w:tabs>
        <w:ind w:left="1224" w:hanging="504"/>
      </w:pPr>
      <w:rPr>
        <w:rFonts w:cs="Times New Roman"/>
        <w:rtl w:val="0"/>
        <w:cs w:val="0"/>
      </w:rPr>
    </w:lvl>
    <w:lvl w:ilvl="3">
      <w:start w:val="1"/>
      <w:numFmt w:val="decimal"/>
      <w:lvlText w:val="%1.%2.%3.%4."/>
      <w:lvlJc w:val="left"/>
      <w:pPr>
        <w:tabs>
          <w:tab w:val="num" w:pos="1728"/>
        </w:tabs>
        <w:ind w:left="1728" w:hanging="648"/>
      </w:pPr>
      <w:rPr>
        <w:rFonts w:cs="Times New Roman"/>
        <w:rtl w:val="0"/>
        <w:cs w:val="0"/>
      </w:rPr>
    </w:lvl>
    <w:lvl w:ilvl="4">
      <w:start w:val="1"/>
      <w:numFmt w:val="decimal"/>
      <w:lvlText w:val="%1.%2.%3.%4.%5."/>
      <w:lvlJc w:val="left"/>
      <w:pPr>
        <w:tabs>
          <w:tab w:val="num" w:pos="2232"/>
        </w:tabs>
        <w:ind w:left="2232" w:hanging="792"/>
      </w:pPr>
      <w:rPr>
        <w:rFonts w:cs="Times New Roman"/>
        <w:rtl w:val="0"/>
        <w:cs w:val="0"/>
      </w:rPr>
    </w:lvl>
    <w:lvl w:ilvl="5">
      <w:start w:val="1"/>
      <w:numFmt w:val="decimal"/>
      <w:lvlText w:val="%1.%2.%3.%4.%5.%6."/>
      <w:lvlJc w:val="left"/>
      <w:pPr>
        <w:tabs>
          <w:tab w:val="num" w:pos="2736"/>
        </w:tabs>
        <w:ind w:left="2736" w:hanging="936"/>
      </w:pPr>
      <w:rPr>
        <w:rFonts w:cs="Times New Roman"/>
        <w:rtl w:val="0"/>
        <w:cs w:val="0"/>
      </w:rPr>
    </w:lvl>
    <w:lvl w:ilvl="6">
      <w:start w:val="1"/>
      <w:numFmt w:val="decimal"/>
      <w:lvlText w:val="%1.%2.%3.%4.%5.%6.%7."/>
      <w:lvlJc w:val="left"/>
      <w:pPr>
        <w:tabs>
          <w:tab w:val="num" w:pos="3240"/>
        </w:tabs>
        <w:ind w:left="3240" w:hanging="1080"/>
      </w:pPr>
      <w:rPr>
        <w:rFonts w:cs="Times New Roman"/>
        <w:rtl w:val="0"/>
        <w:cs w:val="0"/>
      </w:rPr>
    </w:lvl>
    <w:lvl w:ilvl="7">
      <w:start w:val="1"/>
      <w:numFmt w:val="decimal"/>
      <w:lvlText w:val="%1.%2.%3.%4.%5.%6.%7.%8."/>
      <w:lvlJc w:val="left"/>
      <w:pPr>
        <w:tabs>
          <w:tab w:val="num" w:pos="3744"/>
        </w:tabs>
        <w:ind w:left="3744" w:hanging="1224"/>
      </w:pPr>
      <w:rPr>
        <w:rFonts w:cs="Times New Roman"/>
        <w:rtl w:val="0"/>
        <w:cs w:val="0"/>
      </w:rPr>
    </w:lvl>
    <w:lvl w:ilvl="8">
      <w:start w:val="1"/>
      <w:numFmt w:val="decimal"/>
      <w:lvlText w:val="%1.%2.%3.%4.%5.%6.%7.%8.%9."/>
      <w:lvlJc w:val="left"/>
      <w:pPr>
        <w:tabs>
          <w:tab w:val="num" w:pos="4320"/>
        </w:tabs>
        <w:ind w:left="4320" w:hanging="1440"/>
      </w:pPr>
      <w:rPr>
        <w:rFonts w:cs="Times New Roman"/>
        <w:rtl w:val="0"/>
        <w:cs w:val="0"/>
      </w:rPr>
    </w:lvl>
  </w:abstractNum>
  <w:abstractNum w:abstractNumId="20">
    <w:nsid w:val="71E7023A"/>
    <w:multiLevelType w:val="hybridMultilevel"/>
    <w:tmpl w:val="3946ADA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74763191"/>
    <w:multiLevelType w:val="hybridMultilevel"/>
    <w:tmpl w:val="8E6E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A892E7B"/>
    <w:multiLevelType w:val="hybridMultilevel"/>
    <w:tmpl w:val="7AD4A914"/>
    <w:lvl w:ilvl="0">
      <w:start w:val="1"/>
      <w:numFmt w:val="decimal"/>
      <w:lvlText w:val="%1."/>
      <w:lvlJc w:val="left"/>
      <w:pPr>
        <w:tabs>
          <w:tab w:val="num" w:pos="510"/>
        </w:tabs>
        <w:ind w:left="510" w:hanging="226"/>
      </w:pPr>
      <w:rPr>
        <w:rFonts w:ascii="Arial Narrow" w:hAnsi="Arial Narrow" w:cs="Times New Roman" w:hint="default"/>
        <w:b w:val="0"/>
        <w:i w:val="0"/>
        <w:sz w:val="22"/>
        <w:szCs w:val="22"/>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7BA11F5C"/>
    <w:multiLevelType w:val="hybridMultilevel"/>
    <w:tmpl w:val="3B6E67D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3"/>
      <w:numFmt w:val="decimal"/>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F332654"/>
    <w:multiLevelType w:val="hybridMultilevel"/>
    <w:tmpl w:val="8D7EB894"/>
    <w:lvl w:ilvl="0">
      <w:start w:val="4"/>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21"/>
  </w:num>
  <w:num w:numId="4">
    <w:abstractNumId w:val="17"/>
  </w:num>
  <w:num w:numId="5">
    <w:abstractNumId w:val="18"/>
  </w:num>
  <w:num w:numId="6">
    <w:abstractNumId w:val="3"/>
  </w:num>
  <w:num w:numId="7">
    <w:abstractNumId w:val="1"/>
  </w:num>
  <w:num w:numId="8">
    <w:abstractNumId w:val="7"/>
  </w:num>
  <w:num w:numId="9">
    <w:abstractNumId w:val="13"/>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4"/>
  </w:num>
  <w:num w:numId="13">
    <w:abstractNumId w:val="6"/>
  </w:num>
  <w:num w:numId="14">
    <w:abstractNumId w:val="24"/>
  </w:num>
  <w:num w:numId="15">
    <w:abstractNumId w:val="2"/>
  </w:num>
  <w:num w:numId="16">
    <w:abstractNumId w:val="8"/>
  </w:num>
  <w:num w:numId="17">
    <w:abstractNumId w:val="23"/>
  </w:num>
  <w:num w:numId="18">
    <w:abstractNumId w:val="5"/>
  </w:num>
  <w:num w:numId="19">
    <w:abstractNumId w:val="9"/>
  </w:num>
  <w:num w:numId="20">
    <w:abstractNumId w:val="11"/>
  </w:num>
  <w:num w:numId="21">
    <w:abstractNumId w:val="10"/>
  </w:num>
  <w:num w:numId="22">
    <w:abstractNumId w:val="12"/>
  </w:num>
  <w:num w:numId="23">
    <w:abstractNumId w:val="15"/>
  </w:num>
  <w:num w:numId="24">
    <w:abstractNumId w:val="0"/>
  </w:num>
  <w:num w:numId="25">
    <w:abstractNumId w:val="16"/>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20"/>
  <w:displayHorizontalDrawingGridEvery w:val="2"/>
  <w:noPunctuationKerning/>
  <w:characterSpacingControl w:val="doNotCompress"/>
  <w:footnotePr>
    <w:footnote w:id="0"/>
    <w:footnote w:id="1"/>
    <w:footnote w:id="2"/>
  </w:footnotePr>
  <w:compat/>
  <w:rsids>
    <w:rsidRoot w:val="001424FB"/>
    <w:rsid w:val="00001D3F"/>
    <w:rsid w:val="00003BEC"/>
    <w:rsid w:val="00004044"/>
    <w:rsid w:val="00004E19"/>
    <w:rsid w:val="00004E8F"/>
    <w:rsid w:val="00010CB3"/>
    <w:rsid w:val="0001586C"/>
    <w:rsid w:val="00015AB7"/>
    <w:rsid w:val="00017BAF"/>
    <w:rsid w:val="000203BB"/>
    <w:rsid w:val="000234BB"/>
    <w:rsid w:val="0002489C"/>
    <w:rsid w:val="000250D2"/>
    <w:rsid w:val="00025D0A"/>
    <w:rsid w:val="00026DA8"/>
    <w:rsid w:val="0003036D"/>
    <w:rsid w:val="000314AD"/>
    <w:rsid w:val="00032924"/>
    <w:rsid w:val="00036B4D"/>
    <w:rsid w:val="00037BB7"/>
    <w:rsid w:val="00040123"/>
    <w:rsid w:val="000407BE"/>
    <w:rsid w:val="00043E8B"/>
    <w:rsid w:val="000447E5"/>
    <w:rsid w:val="00046952"/>
    <w:rsid w:val="0005083D"/>
    <w:rsid w:val="00052516"/>
    <w:rsid w:val="00055FEA"/>
    <w:rsid w:val="00056629"/>
    <w:rsid w:val="0005739A"/>
    <w:rsid w:val="00057685"/>
    <w:rsid w:val="000636D6"/>
    <w:rsid w:val="00064865"/>
    <w:rsid w:val="000677AA"/>
    <w:rsid w:val="00070D14"/>
    <w:rsid w:val="000740C5"/>
    <w:rsid w:val="00074E46"/>
    <w:rsid w:val="00076926"/>
    <w:rsid w:val="000879C7"/>
    <w:rsid w:val="00090D6B"/>
    <w:rsid w:val="00091B1C"/>
    <w:rsid w:val="000926B3"/>
    <w:rsid w:val="000977AB"/>
    <w:rsid w:val="000A075E"/>
    <w:rsid w:val="000A14B4"/>
    <w:rsid w:val="000A175A"/>
    <w:rsid w:val="000A3470"/>
    <w:rsid w:val="000A6712"/>
    <w:rsid w:val="000B10C2"/>
    <w:rsid w:val="000B2E79"/>
    <w:rsid w:val="000B38FF"/>
    <w:rsid w:val="000B76CB"/>
    <w:rsid w:val="000C1106"/>
    <w:rsid w:val="000D2080"/>
    <w:rsid w:val="000D2FBF"/>
    <w:rsid w:val="000D4817"/>
    <w:rsid w:val="000E298F"/>
    <w:rsid w:val="000E4601"/>
    <w:rsid w:val="000E7065"/>
    <w:rsid w:val="000F0DF2"/>
    <w:rsid w:val="000F1887"/>
    <w:rsid w:val="000F2640"/>
    <w:rsid w:val="000F3D4C"/>
    <w:rsid w:val="000F684C"/>
    <w:rsid w:val="000F7EDB"/>
    <w:rsid w:val="00100132"/>
    <w:rsid w:val="00101923"/>
    <w:rsid w:val="00101FBC"/>
    <w:rsid w:val="00102284"/>
    <w:rsid w:val="00103FBC"/>
    <w:rsid w:val="00104010"/>
    <w:rsid w:val="00104B3B"/>
    <w:rsid w:val="00104BB4"/>
    <w:rsid w:val="00107DE0"/>
    <w:rsid w:val="00111D43"/>
    <w:rsid w:val="001151D8"/>
    <w:rsid w:val="001163C6"/>
    <w:rsid w:val="0012059C"/>
    <w:rsid w:val="00120FE8"/>
    <w:rsid w:val="00121161"/>
    <w:rsid w:val="001231CC"/>
    <w:rsid w:val="00134359"/>
    <w:rsid w:val="00134B37"/>
    <w:rsid w:val="00142101"/>
    <w:rsid w:val="001424FB"/>
    <w:rsid w:val="00147555"/>
    <w:rsid w:val="00152C82"/>
    <w:rsid w:val="001577BE"/>
    <w:rsid w:val="001600C5"/>
    <w:rsid w:val="00161208"/>
    <w:rsid w:val="00161C30"/>
    <w:rsid w:val="00161C8B"/>
    <w:rsid w:val="00162FDF"/>
    <w:rsid w:val="0016463B"/>
    <w:rsid w:val="00166708"/>
    <w:rsid w:val="00167378"/>
    <w:rsid w:val="00171FF9"/>
    <w:rsid w:val="00173A98"/>
    <w:rsid w:val="00173E1E"/>
    <w:rsid w:val="00173E55"/>
    <w:rsid w:val="00173F16"/>
    <w:rsid w:val="0017436A"/>
    <w:rsid w:val="00183258"/>
    <w:rsid w:val="00185312"/>
    <w:rsid w:val="001859B0"/>
    <w:rsid w:val="00191252"/>
    <w:rsid w:val="0019148E"/>
    <w:rsid w:val="00192994"/>
    <w:rsid w:val="00192C08"/>
    <w:rsid w:val="001935D3"/>
    <w:rsid w:val="00196C13"/>
    <w:rsid w:val="001A104F"/>
    <w:rsid w:val="001A3429"/>
    <w:rsid w:val="001A6ECD"/>
    <w:rsid w:val="001B0E99"/>
    <w:rsid w:val="001B396F"/>
    <w:rsid w:val="001B59DB"/>
    <w:rsid w:val="001C51A1"/>
    <w:rsid w:val="001C68DA"/>
    <w:rsid w:val="001D3BCF"/>
    <w:rsid w:val="001D51C4"/>
    <w:rsid w:val="001E0865"/>
    <w:rsid w:val="001E088C"/>
    <w:rsid w:val="001E2103"/>
    <w:rsid w:val="001E5F16"/>
    <w:rsid w:val="001E72F3"/>
    <w:rsid w:val="001F0212"/>
    <w:rsid w:val="001F369D"/>
    <w:rsid w:val="001F63CA"/>
    <w:rsid w:val="001F6856"/>
    <w:rsid w:val="002048C2"/>
    <w:rsid w:val="0021198D"/>
    <w:rsid w:val="00214174"/>
    <w:rsid w:val="0022033B"/>
    <w:rsid w:val="00226186"/>
    <w:rsid w:val="0022639C"/>
    <w:rsid w:val="00226BC9"/>
    <w:rsid w:val="002272A3"/>
    <w:rsid w:val="002275A8"/>
    <w:rsid w:val="0022777B"/>
    <w:rsid w:val="00227F96"/>
    <w:rsid w:val="002338C4"/>
    <w:rsid w:val="00235994"/>
    <w:rsid w:val="00235C33"/>
    <w:rsid w:val="002367DB"/>
    <w:rsid w:val="002371A3"/>
    <w:rsid w:val="002377D0"/>
    <w:rsid w:val="00241339"/>
    <w:rsid w:val="00241F24"/>
    <w:rsid w:val="0024610E"/>
    <w:rsid w:val="0025117F"/>
    <w:rsid w:val="0025222C"/>
    <w:rsid w:val="00252CA4"/>
    <w:rsid w:val="00253303"/>
    <w:rsid w:val="00253B08"/>
    <w:rsid w:val="00254A40"/>
    <w:rsid w:val="00256870"/>
    <w:rsid w:val="00261D75"/>
    <w:rsid w:val="002623FB"/>
    <w:rsid w:val="002713D2"/>
    <w:rsid w:val="002731BD"/>
    <w:rsid w:val="002735E5"/>
    <w:rsid w:val="00274D04"/>
    <w:rsid w:val="00277D07"/>
    <w:rsid w:val="00277FDC"/>
    <w:rsid w:val="0028490A"/>
    <w:rsid w:val="002861E5"/>
    <w:rsid w:val="002965D0"/>
    <w:rsid w:val="002A3DCE"/>
    <w:rsid w:val="002C0D9E"/>
    <w:rsid w:val="002C3D60"/>
    <w:rsid w:val="002C4876"/>
    <w:rsid w:val="002C4B7B"/>
    <w:rsid w:val="002C7E83"/>
    <w:rsid w:val="002D0435"/>
    <w:rsid w:val="002D1314"/>
    <w:rsid w:val="002D2D7D"/>
    <w:rsid w:val="002D6729"/>
    <w:rsid w:val="002D672C"/>
    <w:rsid w:val="002E05C6"/>
    <w:rsid w:val="002E3A41"/>
    <w:rsid w:val="002E4DE8"/>
    <w:rsid w:val="002E6A30"/>
    <w:rsid w:val="002F0E84"/>
    <w:rsid w:val="002F0FA1"/>
    <w:rsid w:val="002F489E"/>
    <w:rsid w:val="002F5482"/>
    <w:rsid w:val="002F7929"/>
    <w:rsid w:val="00302E56"/>
    <w:rsid w:val="00305B0B"/>
    <w:rsid w:val="00313F02"/>
    <w:rsid w:val="00315100"/>
    <w:rsid w:val="003152A7"/>
    <w:rsid w:val="003201D7"/>
    <w:rsid w:val="0032030B"/>
    <w:rsid w:val="00320540"/>
    <w:rsid w:val="003247FC"/>
    <w:rsid w:val="0032624F"/>
    <w:rsid w:val="00326CE9"/>
    <w:rsid w:val="00327594"/>
    <w:rsid w:val="003308AA"/>
    <w:rsid w:val="0033123C"/>
    <w:rsid w:val="003379EE"/>
    <w:rsid w:val="00341644"/>
    <w:rsid w:val="0034181A"/>
    <w:rsid w:val="0034691F"/>
    <w:rsid w:val="00356880"/>
    <w:rsid w:val="00360D23"/>
    <w:rsid w:val="0036578A"/>
    <w:rsid w:val="003663CC"/>
    <w:rsid w:val="00370005"/>
    <w:rsid w:val="003717EE"/>
    <w:rsid w:val="00371EE7"/>
    <w:rsid w:val="003750C1"/>
    <w:rsid w:val="003754A3"/>
    <w:rsid w:val="00381F14"/>
    <w:rsid w:val="00385782"/>
    <w:rsid w:val="003859CD"/>
    <w:rsid w:val="00385DF8"/>
    <w:rsid w:val="0038634B"/>
    <w:rsid w:val="003876A0"/>
    <w:rsid w:val="00390224"/>
    <w:rsid w:val="00390B35"/>
    <w:rsid w:val="003911A5"/>
    <w:rsid w:val="003911BA"/>
    <w:rsid w:val="00392210"/>
    <w:rsid w:val="003957F8"/>
    <w:rsid w:val="00396376"/>
    <w:rsid w:val="003975C4"/>
    <w:rsid w:val="003A122D"/>
    <w:rsid w:val="003A3F36"/>
    <w:rsid w:val="003A40AB"/>
    <w:rsid w:val="003B16A3"/>
    <w:rsid w:val="003B1BD1"/>
    <w:rsid w:val="003B235C"/>
    <w:rsid w:val="003B2AEF"/>
    <w:rsid w:val="003B3F5B"/>
    <w:rsid w:val="003B6122"/>
    <w:rsid w:val="003B665C"/>
    <w:rsid w:val="003B75CB"/>
    <w:rsid w:val="003C0D07"/>
    <w:rsid w:val="003C1843"/>
    <w:rsid w:val="003C2343"/>
    <w:rsid w:val="003C29C6"/>
    <w:rsid w:val="003C2FAC"/>
    <w:rsid w:val="003C4022"/>
    <w:rsid w:val="003C4264"/>
    <w:rsid w:val="003C47B4"/>
    <w:rsid w:val="003C71E0"/>
    <w:rsid w:val="003C7E26"/>
    <w:rsid w:val="003D1158"/>
    <w:rsid w:val="003D3330"/>
    <w:rsid w:val="003D381F"/>
    <w:rsid w:val="003D6F26"/>
    <w:rsid w:val="003E1BD0"/>
    <w:rsid w:val="003E7783"/>
    <w:rsid w:val="003F11F5"/>
    <w:rsid w:val="003F15F4"/>
    <w:rsid w:val="003F1B10"/>
    <w:rsid w:val="003F66D1"/>
    <w:rsid w:val="004012A1"/>
    <w:rsid w:val="004074C5"/>
    <w:rsid w:val="00410EBD"/>
    <w:rsid w:val="00412C37"/>
    <w:rsid w:val="004134F2"/>
    <w:rsid w:val="00413751"/>
    <w:rsid w:val="00421478"/>
    <w:rsid w:val="00421C02"/>
    <w:rsid w:val="00423744"/>
    <w:rsid w:val="00425A2D"/>
    <w:rsid w:val="0043043B"/>
    <w:rsid w:val="00432E65"/>
    <w:rsid w:val="00435D80"/>
    <w:rsid w:val="00441474"/>
    <w:rsid w:val="00441480"/>
    <w:rsid w:val="00442696"/>
    <w:rsid w:val="00443271"/>
    <w:rsid w:val="00443C5A"/>
    <w:rsid w:val="00445E78"/>
    <w:rsid w:val="00447CFF"/>
    <w:rsid w:val="004502A8"/>
    <w:rsid w:val="004507B2"/>
    <w:rsid w:val="004524E4"/>
    <w:rsid w:val="004553A5"/>
    <w:rsid w:val="00461792"/>
    <w:rsid w:val="00462549"/>
    <w:rsid w:val="004635EB"/>
    <w:rsid w:val="00467376"/>
    <w:rsid w:val="0046785F"/>
    <w:rsid w:val="00470977"/>
    <w:rsid w:val="00470DEC"/>
    <w:rsid w:val="00471F55"/>
    <w:rsid w:val="00472106"/>
    <w:rsid w:val="004754C1"/>
    <w:rsid w:val="00476FB9"/>
    <w:rsid w:val="004842AC"/>
    <w:rsid w:val="00486560"/>
    <w:rsid w:val="004869EF"/>
    <w:rsid w:val="004879F6"/>
    <w:rsid w:val="00487AA4"/>
    <w:rsid w:val="00490A0F"/>
    <w:rsid w:val="00490D95"/>
    <w:rsid w:val="00492550"/>
    <w:rsid w:val="004945FE"/>
    <w:rsid w:val="00495003"/>
    <w:rsid w:val="0049591A"/>
    <w:rsid w:val="004B1892"/>
    <w:rsid w:val="004B1A76"/>
    <w:rsid w:val="004B2CCB"/>
    <w:rsid w:val="004B34EF"/>
    <w:rsid w:val="004B386C"/>
    <w:rsid w:val="004B3C9C"/>
    <w:rsid w:val="004B5122"/>
    <w:rsid w:val="004B5539"/>
    <w:rsid w:val="004B5E3D"/>
    <w:rsid w:val="004C1FAE"/>
    <w:rsid w:val="004C3080"/>
    <w:rsid w:val="004C49A8"/>
    <w:rsid w:val="004C4BD5"/>
    <w:rsid w:val="004C5F0B"/>
    <w:rsid w:val="004C6F7A"/>
    <w:rsid w:val="004C73E7"/>
    <w:rsid w:val="004C7F7D"/>
    <w:rsid w:val="004D075A"/>
    <w:rsid w:val="004D0A16"/>
    <w:rsid w:val="004D7352"/>
    <w:rsid w:val="004D7582"/>
    <w:rsid w:val="004D7D11"/>
    <w:rsid w:val="004E5D26"/>
    <w:rsid w:val="004E7BBE"/>
    <w:rsid w:val="004F0DF6"/>
    <w:rsid w:val="00500CDC"/>
    <w:rsid w:val="00501441"/>
    <w:rsid w:val="0050433C"/>
    <w:rsid w:val="005044F2"/>
    <w:rsid w:val="00504CCB"/>
    <w:rsid w:val="00505EA6"/>
    <w:rsid w:val="0051390D"/>
    <w:rsid w:val="0051400B"/>
    <w:rsid w:val="00516C28"/>
    <w:rsid w:val="00516E77"/>
    <w:rsid w:val="00516ECE"/>
    <w:rsid w:val="0051722C"/>
    <w:rsid w:val="00517FDA"/>
    <w:rsid w:val="00521252"/>
    <w:rsid w:val="00524502"/>
    <w:rsid w:val="00526492"/>
    <w:rsid w:val="00527D8A"/>
    <w:rsid w:val="005350B3"/>
    <w:rsid w:val="00537A81"/>
    <w:rsid w:val="00537D29"/>
    <w:rsid w:val="00541922"/>
    <w:rsid w:val="005426F4"/>
    <w:rsid w:val="00544688"/>
    <w:rsid w:val="005468C1"/>
    <w:rsid w:val="005508AE"/>
    <w:rsid w:val="005552F1"/>
    <w:rsid w:val="005617D6"/>
    <w:rsid w:val="00561F1B"/>
    <w:rsid w:val="005632D5"/>
    <w:rsid w:val="005655F7"/>
    <w:rsid w:val="005676B0"/>
    <w:rsid w:val="005747A7"/>
    <w:rsid w:val="005751D4"/>
    <w:rsid w:val="00576E26"/>
    <w:rsid w:val="005840BF"/>
    <w:rsid w:val="005861F2"/>
    <w:rsid w:val="00586296"/>
    <w:rsid w:val="005862B4"/>
    <w:rsid w:val="00586AA7"/>
    <w:rsid w:val="005902C3"/>
    <w:rsid w:val="00590F08"/>
    <w:rsid w:val="0059282F"/>
    <w:rsid w:val="00592CF1"/>
    <w:rsid w:val="00594AE2"/>
    <w:rsid w:val="005A005C"/>
    <w:rsid w:val="005A3043"/>
    <w:rsid w:val="005A365E"/>
    <w:rsid w:val="005B1C1A"/>
    <w:rsid w:val="005B505D"/>
    <w:rsid w:val="005B6B50"/>
    <w:rsid w:val="005C1BFF"/>
    <w:rsid w:val="005C35CE"/>
    <w:rsid w:val="005C626B"/>
    <w:rsid w:val="005C68EA"/>
    <w:rsid w:val="005C6FAE"/>
    <w:rsid w:val="005D5AB4"/>
    <w:rsid w:val="005D5C28"/>
    <w:rsid w:val="005E0651"/>
    <w:rsid w:val="005E5D8E"/>
    <w:rsid w:val="005F3123"/>
    <w:rsid w:val="005F39A7"/>
    <w:rsid w:val="005F49B9"/>
    <w:rsid w:val="005F583B"/>
    <w:rsid w:val="00603EBB"/>
    <w:rsid w:val="0060496D"/>
    <w:rsid w:val="006059E0"/>
    <w:rsid w:val="0060692E"/>
    <w:rsid w:val="00611FC9"/>
    <w:rsid w:val="0061287C"/>
    <w:rsid w:val="00614F49"/>
    <w:rsid w:val="006228AF"/>
    <w:rsid w:val="006231B4"/>
    <w:rsid w:val="00623356"/>
    <w:rsid w:val="00624429"/>
    <w:rsid w:val="00626A93"/>
    <w:rsid w:val="00627E81"/>
    <w:rsid w:val="00640099"/>
    <w:rsid w:val="00642740"/>
    <w:rsid w:val="00642D8D"/>
    <w:rsid w:val="00642FED"/>
    <w:rsid w:val="00644BAC"/>
    <w:rsid w:val="00646CD0"/>
    <w:rsid w:val="00646F39"/>
    <w:rsid w:val="00650E94"/>
    <w:rsid w:val="00653BA7"/>
    <w:rsid w:val="00656F47"/>
    <w:rsid w:val="00657592"/>
    <w:rsid w:val="0066078F"/>
    <w:rsid w:val="0066091E"/>
    <w:rsid w:val="00662A2D"/>
    <w:rsid w:val="00665FE6"/>
    <w:rsid w:val="0066744A"/>
    <w:rsid w:val="0066753C"/>
    <w:rsid w:val="00670B04"/>
    <w:rsid w:val="006743A7"/>
    <w:rsid w:val="0067664D"/>
    <w:rsid w:val="00676F0C"/>
    <w:rsid w:val="00685E6A"/>
    <w:rsid w:val="00685F75"/>
    <w:rsid w:val="00687575"/>
    <w:rsid w:val="006943BE"/>
    <w:rsid w:val="00695526"/>
    <w:rsid w:val="006A0064"/>
    <w:rsid w:val="006A296F"/>
    <w:rsid w:val="006A3D6C"/>
    <w:rsid w:val="006A439A"/>
    <w:rsid w:val="006A5774"/>
    <w:rsid w:val="006A579C"/>
    <w:rsid w:val="006A6465"/>
    <w:rsid w:val="006A6BB1"/>
    <w:rsid w:val="006A777D"/>
    <w:rsid w:val="006A7DF8"/>
    <w:rsid w:val="006B0671"/>
    <w:rsid w:val="006B2CEB"/>
    <w:rsid w:val="006B37C6"/>
    <w:rsid w:val="006B47B7"/>
    <w:rsid w:val="006B560C"/>
    <w:rsid w:val="006C1624"/>
    <w:rsid w:val="006C2C9C"/>
    <w:rsid w:val="006C3AA3"/>
    <w:rsid w:val="006C5547"/>
    <w:rsid w:val="006C7754"/>
    <w:rsid w:val="006D014F"/>
    <w:rsid w:val="006D1D70"/>
    <w:rsid w:val="006D1FFC"/>
    <w:rsid w:val="006D2B95"/>
    <w:rsid w:val="006D7382"/>
    <w:rsid w:val="006D7D13"/>
    <w:rsid w:val="006E16E4"/>
    <w:rsid w:val="006E470B"/>
    <w:rsid w:val="006E795D"/>
    <w:rsid w:val="006F4BCD"/>
    <w:rsid w:val="006F54CB"/>
    <w:rsid w:val="007051B6"/>
    <w:rsid w:val="00705AB3"/>
    <w:rsid w:val="0070601E"/>
    <w:rsid w:val="00706C55"/>
    <w:rsid w:val="007074C1"/>
    <w:rsid w:val="00710178"/>
    <w:rsid w:val="007130BC"/>
    <w:rsid w:val="00717F25"/>
    <w:rsid w:val="00722653"/>
    <w:rsid w:val="007233D0"/>
    <w:rsid w:val="00724CB1"/>
    <w:rsid w:val="00725114"/>
    <w:rsid w:val="007271D5"/>
    <w:rsid w:val="007302C0"/>
    <w:rsid w:val="007379FF"/>
    <w:rsid w:val="00737B78"/>
    <w:rsid w:val="00740754"/>
    <w:rsid w:val="00740B69"/>
    <w:rsid w:val="00741FFB"/>
    <w:rsid w:val="0074534D"/>
    <w:rsid w:val="007509DF"/>
    <w:rsid w:val="00750B6B"/>
    <w:rsid w:val="00753EED"/>
    <w:rsid w:val="0075626F"/>
    <w:rsid w:val="0077291C"/>
    <w:rsid w:val="00781324"/>
    <w:rsid w:val="0078254B"/>
    <w:rsid w:val="00783F3E"/>
    <w:rsid w:val="007840DE"/>
    <w:rsid w:val="00785A92"/>
    <w:rsid w:val="00791218"/>
    <w:rsid w:val="00791E3D"/>
    <w:rsid w:val="00793050"/>
    <w:rsid w:val="00794733"/>
    <w:rsid w:val="0079771C"/>
    <w:rsid w:val="007A07F2"/>
    <w:rsid w:val="007A1214"/>
    <w:rsid w:val="007B0FD9"/>
    <w:rsid w:val="007B235A"/>
    <w:rsid w:val="007B349B"/>
    <w:rsid w:val="007B4120"/>
    <w:rsid w:val="007B48D0"/>
    <w:rsid w:val="007B55B9"/>
    <w:rsid w:val="007B7F27"/>
    <w:rsid w:val="007C69F8"/>
    <w:rsid w:val="007D016F"/>
    <w:rsid w:val="007D24E7"/>
    <w:rsid w:val="007D398C"/>
    <w:rsid w:val="007D3AC5"/>
    <w:rsid w:val="007D4B91"/>
    <w:rsid w:val="007D4CB5"/>
    <w:rsid w:val="007E1358"/>
    <w:rsid w:val="007E30CE"/>
    <w:rsid w:val="007E3441"/>
    <w:rsid w:val="007E4D79"/>
    <w:rsid w:val="007E7CDC"/>
    <w:rsid w:val="007F0340"/>
    <w:rsid w:val="007F1CEE"/>
    <w:rsid w:val="007F66B4"/>
    <w:rsid w:val="007F6912"/>
    <w:rsid w:val="007F7AA6"/>
    <w:rsid w:val="00802436"/>
    <w:rsid w:val="00803CD7"/>
    <w:rsid w:val="00806764"/>
    <w:rsid w:val="00814652"/>
    <w:rsid w:val="008155C6"/>
    <w:rsid w:val="008157F7"/>
    <w:rsid w:val="0082380E"/>
    <w:rsid w:val="008242ED"/>
    <w:rsid w:val="008244F0"/>
    <w:rsid w:val="00831E8E"/>
    <w:rsid w:val="00833758"/>
    <w:rsid w:val="0083509A"/>
    <w:rsid w:val="00840B99"/>
    <w:rsid w:val="008410EF"/>
    <w:rsid w:val="0084294E"/>
    <w:rsid w:val="00847B01"/>
    <w:rsid w:val="00847B04"/>
    <w:rsid w:val="00847C00"/>
    <w:rsid w:val="008504A9"/>
    <w:rsid w:val="008540C2"/>
    <w:rsid w:val="00854ADB"/>
    <w:rsid w:val="00854C01"/>
    <w:rsid w:val="008573DC"/>
    <w:rsid w:val="00857D28"/>
    <w:rsid w:val="00860E8D"/>
    <w:rsid w:val="0086267C"/>
    <w:rsid w:val="00865A46"/>
    <w:rsid w:val="0086658B"/>
    <w:rsid w:val="00866703"/>
    <w:rsid w:val="00867BD7"/>
    <w:rsid w:val="00871866"/>
    <w:rsid w:val="00872BDD"/>
    <w:rsid w:val="008751A0"/>
    <w:rsid w:val="0088291F"/>
    <w:rsid w:val="00884EE0"/>
    <w:rsid w:val="00884EF6"/>
    <w:rsid w:val="00885E3D"/>
    <w:rsid w:val="008918FA"/>
    <w:rsid w:val="00894D6B"/>
    <w:rsid w:val="008960D3"/>
    <w:rsid w:val="008A26BE"/>
    <w:rsid w:val="008A2AF9"/>
    <w:rsid w:val="008A4341"/>
    <w:rsid w:val="008A4F42"/>
    <w:rsid w:val="008A6A01"/>
    <w:rsid w:val="008A76B8"/>
    <w:rsid w:val="008B09B9"/>
    <w:rsid w:val="008B3EF4"/>
    <w:rsid w:val="008C0730"/>
    <w:rsid w:val="008C2E90"/>
    <w:rsid w:val="008C37D7"/>
    <w:rsid w:val="008C4240"/>
    <w:rsid w:val="008C4C98"/>
    <w:rsid w:val="008D6A58"/>
    <w:rsid w:val="008D7D33"/>
    <w:rsid w:val="008E0A1A"/>
    <w:rsid w:val="008E13DB"/>
    <w:rsid w:val="008E183B"/>
    <w:rsid w:val="008E6C4A"/>
    <w:rsid w:val="008F39E8"/>
    <w:rsid w:val="008F48A0"/>
    <w:rsid w:val="009009D1"/>
    <w:rsid w:val="009015A0"/>
    <w:rsid w:val="00901B89"/>
    <w:rsid w:val="00913E25"/>
    <w:rsid w:val="00915F64"/>
    <w:rsid w:val="009161E4"/>
    <w:rsid w:val="009235F7"/>
    <w:rsid w:val="00923629"/>
    <w:rsid w:val="009320AA"/>
    <w:rsid w:val="00932622"/>
    <w:rsid w:val="00937746"/>
    <w:rsid w:val="00937A1D"/>
    <w:rsid w:val="00940BDD"/>
    <w:rsid w:val="00941270"/>
    <w:rsid w:val="0094224A"/>
    <w:rsid w:val="00943B76"/>
    <w:rsid w:val="009464CF"/>
    <w:rsid w:val="009511BF"/>
    <w:rsid w:val="0096347E"/>
    <w:rsid w:val="00965253"/>
    <w:rsid w:val="00965629"/>
    <w:rsid w:val="00966524"/>
    <w:rsid w:val="00967EA9"/>
    <w:rsid w:val="00970DA2"/>
    <w:rsid w:val="009715D4"/>
    <w:rsid w:val="00973965"/>
    <w:rsid w:val="00977A8C"/>
    <w:rsid w:val="00981413"/>
    <w:rsid w:val="0098156E"/>
    <w:rsid w:val="00983999"/>
    <w:rsid w:val="00984F29"/>
    <w:rsid w:val="00985A57"/>
    <w:rsid w:val="00990F8A"/>
    <w:rsid w:val="00991E02"/>
    <w:rsid w:val="00996668"/>
    <w:rsid w:val="00996E63"/>
    <w:rsid w:val="009A044A"/>
    <w:rsid w:val="009A62EC"/>
    <w:rsid w:val="009A7029"/>
    <w:rsid w:val="009B12D9"/>
    <w:rsid w:val="009B31F3"/>
    <w:rsid w:val="009B4C8C"/>
    <w:rsid w:val="009B6368"/>
    <w:rsid w:val="009B63CD"/>
    <w:rsid w:val="009B7936"/>
    <w:rsid w:val="009C35E8"/>
    <w:rsid w:val="009C4AE5"/>
    <w:rsid w:val="009C52D8"/>
    <w:rsid w:val="009C5415"/>
    <w:rsid w:val="009C6FE4"/>
    <w:rsid w:val="009E3B80"/>
    <w:rsid w:val="009F2AA0"/>
    <w:rsid w:val="009F2BE5"/>
    <w:rsid w:val="009F3690"/>
    <w:rsid w:val="009F4613"/>
    <w:rsid w:val="009F4E41"/>
    <w:rsid w:val="009F6ABE"/>
    <w:rsid w:val="00A02971"/>
    <w:rsid w:val="00A04168"/>
    <w:rsid w:val="00A06080"/>
    <w:rsid w:val="00A07BC9"/>
    <w:rsid w:val="00A1128B"/>
    <w:rsid w:val="00A115E9"/>
    <w:rsid w:val="00A12D02"/>
    <w:rsid w:val="00A1741B"/>
    <w:rsid w:val="00A216C7"/>
    <w:rsid w:val="00A2277E"/>
    <w:rsid w:val="00A2287C"/>
    <w:rsid w:val="00A26572"/>
    <w:rsid w:val="00A27BE6"/>
    <w:rsid w:val="00A300AF"/>
    <w:rsid w:val="00A316F1"/>
    <w:rsid w:val="00A31FFC"/>
    <w:rsid w:val="00A3227C"/>
    <w:rsid w:val="00A351DB"/>
    <w:rsid w:val="00A37439"/>
    <w:rsid w:val="00A37834"/>
    <w:rsid w:val="00A422FC"/>
    <w:rsid w:val="00A42BD5"/>
    <w:rsid w:val="00A43514"/>
    <w:rsid w:val="00A43919"/>
    <w:rsid w:val="00A455BA"/>
    <w:rsid w:val="00A46072"/>
    <w:rsid w:val="00A53C7C"/>
    <w:rsid w:val="00A55994"/>
    <w:rsid w:val="00A572B6"/>
    <w:rsid w:val="00A6029B"/>
    <w:rsid w:val="00A62016"/>
    <w:rsid w:val="00A649B2"/>
    <w:rsid w:val="00A731A9"/>
    <w:rsid w:val="00A745BE"/>
    <w:rsid w:val="00A74DCA"/>
    <w:rsid w:val="00A76095"/>
    <w:rsid w:val="00A8151F"/>
    <w:rsid w:val="00A820E9"/>
    <w:rsid w:val="00A8463E"/>
    <w:rsid w:val="00A902D0"/>
    <w:rsid w:val="00AA09DE"/>
    <w:rsid w:val="00AA1680"/>
    <w:rsid w:val="00AA572E"/>
    <w:rsid w:val="00AA7596"/>
    <w:rsid w:val="00AA761A"/>
    <w:rsid w:val="00AB0D36"/>
    <w:rsid w:val="00AB37CC"/>
    <w:rsid w:val="00AB3C09"/>
    <w:rsid w:val="00AB4EC3"/>
    <w:rsid w:val="00AB5E07"/>
    <w:rsid w:val="00AB6488"/>
    <w:rsid w:val="00AB7A7D"/>
    <w:rsid w:val="00AB7EF9"/>
    <w:rsid w:val="00AC06A4"/>
    <w:rsid w:val="00AC0B27"/>
    <w:rsid w:val="00AC180C"/>
    <w:rsid w:val="00AC1E28"/>
    <w:rsid w:val="00AC3604"/>
    <w:rsid w:val="00AC3721"/>
    <w:rsid w:val="00AC4ECD"/>
    <w:rsid w:val="00AC6749"/>
    <w:rsid w:val="00AD0131"/>
    <w:rsid w:val="00AD16B9"/>
    <w:rsid w:val="00AD2C94"/>
    <w:rsid w:val="00AE2944"/>
    <w:rsid w:val="00AE2B0D"/>
    <w:rsid w:val="00AE3DE0"/>
    <w:rsid w:val="00AE7B32"/>
    <w:rsid w:val="00AF6BDC"/>
    <w:rsid w:val="00AF7628"/>
    <w:rsid w:val="00B112E0"/>
    <w:rsid w:val="00B12A7A"/>
    <w:rsid w:val="00B13C6A"/>
    <w:rsid w:val="00B15172"/>
    <w:rsid w:val="00B16A71"/>
    <w:rsid w:val="00B2592F"/>
    <w:rsid w:val="00B27BC3"/>
    <w:rsid w:val="00B318E8"/>
    <w:rsid w:val="00B32375"/>
    <w:rsid w:val="00B35749"/>
    <w:rsid w:val="00B40A33"/>
    <w:rsid w:val="00B41B37"/>
    <w:rsid w:val="00B4387E"/>
    <w:rsid w:val="00B464FE"/>
    <w:rsid w:val="00B47F02"/>
    <w:rsid w:val="00B50219"/>
    <w:rsid w:val="00B51718"/>
    <w:rsid w:val="00B54208"/>
    <w:rsid w:val="00B661B5"/>
    <w:rsid w:val="00B669A9"/>
    <w:rsid w:val="00B70058"/>
    <w:rsid w:val="00B736B1"/>
    <w:rsid w:val="00B76A63"/>
    <w:rsid w:val="00B87E85"/>
    <w:rsid w:val="00B91235"/>
    <w:rsid w:val="00B97060"/>
    <w:rsid w:val="00BA1A02"/>
    <w:rsid w:val="00BA2F20"/>
    <w:rsid w:val="00BA548B"/>
    <w:rsid w:val="00BA590C"/>
    <w:rsid w:val="00BA63BB"/>
    <w:rsid w:val="00BB2D16"/>
    <w:rsid w:val="00BB34CA"/>
    <w:rsid w:val="00BB581F"/>
    <w:rsid w:val="00BC0D65"/>
    <w:rsid w:val="00BC163E"/>
    <w:rsid w:val="00BC7DB3"/>
    <w:rsid w:val="00BD065B"/>
    <w:rsid w:val="00BD15B7"/>
    <w:rsid w:val="00BD2D79"/>
    <w:rsid w:val="00BD3717"/>
    <w:rsid w:val="00BD6A9D"/>
    <w:rsid w:val="00BD73D1"/>
    <w:rsid w:val="00BD79A3"/>
    <w:rsid w:val="00BE40FB"/>
    <w:rsid w:val="00BF2021"/>
    <w:rsid w:val="00BF5A28"/>
    <w:rsid w:val="00BF6B0A"/>
    <w:rsid w:val="00C05376"/>
    <w:rsid w:val="00C06588"/>
    <w:rsid w:val="00C06891"/>
    <w:rsid w:val="00C07F78"/>
    <w:rsid w:val="00C10EF4"/>
    <w:rsid w:val="00C13994"/>
    <w:rsid w:val="00C14C3D"/>
    <w:rsid w:val="00C16B21"/>
    <w:rsid w:val="00C1781F"/>
    <w:rsid w:val="00C20B9B"/>
    <w:rsid w:val="00C20C81"/>
    <w:rsid w:val="00C22C7D"/>
    <w:rsid w:val="00C26910"/>
    <w:rsid w:val="00C27C6D"/>
    <w:rsid w:val="00C31584"/>
    <w:rsid w:val="00C31C0B"/>
    <w:rsid w:val="00C3501B"/>
    <w:rsid w:val="00C37DDF"/>
    <w:rsid w:val="00C410C9"/>
    <w:rsid w:val="00C45009"/>
    <w:rsid w:val="00C461B6"/>
    <w:rsid w:val="00C50A9B"/>
    <w:rsid w:val="00C52122"/>
    <w:rsid w:val="00C5359C"/>
    <w:rsid w:val="00C551D8"/>
    <w:rsid w:val="00C5572A"/>
    <w:rsid w:val="00C60D0A"/>
    <w:rsid w:val="00C60EF7"/>
    <w:rsid w:val="00C611FF"/>
    <w:rsid w:val="00C61F91"/>
    <w:rsid w:val="00C64C2F"/>
    <w:rsid w:val="00C6542C"/>
    <w:rsid w:val="00C655B4"/>
    <w:rsid w:val="00C70D83"/>
    <w:rsid w:val="00C73ABD"/>
    <w:rsid w:val="00C75814"/>
    <w:rsid w:val="00C75E92"/>
    <w:rsid w:val="00C8334B"/>
    <w:rsid w:val="00C8581D"/>
    <w:rsid w:val="00C91EBE"/>
    <w:rsid w:val="00C92551"/>
    <w:rsid w:val="00C9331C"/>
    <w:rsid w:val="00C95721"/>
    <w:rsid w:val="00C96337"/>
    <w:rsid w:val="00CA0767"/>
    <w:rsid w:val="00CA2DFE"/>
    <w:rsid w:val="00CB36CF"/>
    <w:rsid w:val="00CB693D"/>
    <w:rsid w:val="00CC0112"/>
    <w:rsid w:val="00CC3215"/>
    <w:rsid w:val="00CC6D54"/>
    <w:rsid w:val="00CC6D8C"/>
    <w:rsid w:val="00CC7C2E"/>
    <w:rsid w:val="00CD08D8"/>
    <w:rsid w:val="00CD1D1A"/>
    <w:rsid w:val="00CD2526"/>
    <w:rsid w:val="00CD380E"/>
    <w:rsid w:val="00CE03AD"/>
    <w:rsid w:val="00CE3636"/>
    <w:rsid w:val="00CE51C7"/>
    <w:rsid w:val="00CE74E6"/>
    <w:rsid w:val="00CE7C42"/>
    <w:rsid w:val="00CF020A"/>
    <w:rsid w:val="00CF08F4"/>
    <w:rsid w:val="00CF1566"/>
    <w:rsid w:val="00CF7EA8"/>
    <w:rsid w:val="00D04BFA"/>
    <w:rsid w:val="00D110CE"/>
    <w:rsid w:val="00D11FAC"/>
    <w:rsid w:val="00D14EA5"/>
    <w:rsid w:val="00D1605C"/>
    <w:rsid w:val="00D16E8B"/>
    <w:rsid w:val="00D17E02"/>
    <w:rsid w:val="00D215D2"/>
    <w:rsid w:val="00D22C08"/>
    <w:rsid w:val="00D23908"/>
    <w:rsid w:val="00D26083"/>
    <w:rsid w:val="00D269B2"/>
    <w:rsid w:val="00D272D5"/>
    <w:rsid w:val="00D27FBD"/>
    <w:rsid w:val="00D3150A"/>
    <w:rsid w:val="00D325AE"/>
    <w:rsid w:val="00D3568F"/>
    <w:rsid w:val="00D373B6"/>
    <w:rsid w:val="00D436CC"/>
    <w:rsid w:val="00D43973"/>
    <w:rsid w:val="00D44E88"/>
    <w:rsid w:val="00D46D5F"/>
    <w:rsid w:val="00D47F52"/>
    <w:rsid w:val="00D546A3"/>
    <w:rsid w:val="00D66066"/>
    <w:rsid w:val="00D668B1"/>
    <w:rsid w:val="00D7118C"/>
    <w:rsid w:val="00D73C70"/>
    <w:rsid w:val="00D80DFC"/>
    <w:rsid w:val="00D8156A"/>
    <w:rsid w:val="00D82567"/>
    <w:rsid w:val="00D86341"/>
    <w:rsid w:val="00D87A7E"/>
    <w:rsid w:val="00D900E8"/>
    <w:rsid w:val="00D91524"/>
    <w:rsid w:val="00D934BF"/>
    <w:rsid w:val="00D935C0"/>
    <w:rsid w:val="00DA0E9D"/>
    <w:rsid w:val="00DA341F"/>
    <w:rsid w:val="00DA5706"/>
    <w:rsid w:val="00DA6289"/>
    <w:rsid w:val="00DA7872"/>
    <w:rsid w:val="00DA7BD2"/>
    <w:rsid w:val="00DA7D86"/>
    <w:rsid w:val="00DB0691"/>
    <w:rsid w:val="00DB435C"/>
    <w:rsid w:val="00DB781D"/>
    <w:rsid w:val="00DC17E0"/>
    <w:rsid w:val="00DC1AF0"/>
    <w:rsid w:val="00DC1B10"/>
    <w:rsid w:val="00DC2337"/>
    <w:rsid w:val="00DC4212"/>
    <w:rsid w:val="00DC5FA3"/>
    <w:rsid w:val="00DC657E"/>
    <w:rsid w:val="00DC7394"/>
    <w:rsid w:val="00DD26E0"/>
    <w:rsid w:val="00DD350A"/>
    <w:rsid w:val="00DD5946"/>
    <w:rsid w:val="00DD6D7D"/>
    <w:rsid w:val="00DE0C40"/>
    <w:rsid w:val="00DE120A"/>
    <w:rsid w:val="00DE13B8"/>
    <w:rsid w:val="00DE351D"/>
    <w:rsid w:val="00DE3569"/>
    <w:rsid w:val="00DF0A31"/>
    <w:rsid w:val="00DF17C8"/>
    <w:rsid w:val="00DF2694"/>
    <w:rsid w:val="00DF35B1"/>
    <w:rsid w:val="00DF5E4C"/>
    <w:rsid w:val="00DF7081"/>
    <w:rsid w:val="00E0037F"/>
    <w:rsid w:val="00E0100A"/>
    <w:rsid w:val="00E02835"/>
    <w:rsid w:val="00E02901"/>
    <w:rsid w:val="00E040A5"/>
    <w:rsid w:val="00E04A3A"/>
    <w:rsid w:val="00E05A6C"/>
    <w:rsid w:val="00E10CD0"/>
    <w:rsid w:val="00E118AF"/>
    <w:rsid w:val="00E1244E"/>
    <w:rsid w:val="00E137C3"/>
    <w:rsid w:val="00E2005D"/>
    <w:rsid w:val="00E216F0"/>
    <w:rsid w:val="00E236CD"/>
    <w:rsid w:val="00E31135"/>
    <w:rsid w:val="00E317DE"/>
    <w:rsid w:val="00E3692E"/>
    <w:rsid w:val="00E50CD4"/>
    <w:rsid w:val="00E53734"/>
    <w:rsid w:val="00E56BDE"/>
    <w:rsid w:val="00E56DBE"/>
    <w:rsid w:val="00E606E3"/>
    <w:rsid w:val="00E62E88"/>
    <w:rsid w:val="00E62F75"/>
    <w:rsid w:val="00E72244"/>
    <w:rsid w:val="00E72EC5"/>
    <w:rsid w:val="00E73D31"/>
    <w:rsid w:val="00E74D01"/>
    <w:rsid w:val="00E7651C"/>
    <w:rsid w:val="00E8656E"/>
    <w:rsid w:val="00E86CC7"/>
    <w:rsid w:val="00E8725B"/>
    <w:rsid w:val="00E87617"/>
    <w:rsid w:val="00E91EAC"/>
    <w:rsid w:val="00E94C0D"/>
    <w:rsid w:val="00E96731"/>
    <w:rsid w:val="00E96A75"/>
    <w:rsid w:val="00E97908"/>
    <w:rsid w:val="00EA2D0A"/>
    <w:rsid w:val="00EA39C8"/>
    <w:rsid w:val="00EA44AC"/>
    <w:rsid w:val="00EA5365"/>
    <w:rsid w:val="00EB0AB7"/>
    <w:rsid w:val="00EB20B8"/>
    <w:rsid w:val="00EB7410"/>
    <w:rsid w:val="00EC01D4"/>
    <w:rsid w:val="00EC1065"/>
    <w:rsid w:val="00EC3017"/>
    <w:rsid w:val="00EC3BBD"/>
    <w:rsid w:val="00EC77E8"/>
    <w:rsid w:val="00ED139C"/>
    <w:rsid w:val="00ED1DFB"/>
    <w:rsid w:val="00ED33DD"/>
    <w:rsid w:val="00ED3452"/>
    <w:rsid w:val="00ED59C8"/>
    <w:rsid w:val="00EE1AEF"/>
    <w:rsid w:val="00EE1DEF"/>
    <w:rsid w:val="00EE226E"/>
    <w:rsid w:val="00EE4DB2"/>
    <w:rsid w:val="00EE4E5D"/>
    <w:rsid w:val="00EE5DBF"/>
    <w:rsid w:val="00EF5C5A"/>
    <w:rsid w:val="00F04BB9"/>
    <w:rsid w:val="00F04EE6"/>
    <w:rsid w:val="00F06077"/>
    <w:rsid w:val="00F1128F"/>
    <w:rsid w:val="00F125DB"/>
    <w:rsid w:val="00F14895"/>
    <w:rsid w:val="00F1695C"/>
    <w:rsid w:val="00F234D6"/>
    <w:rsid w:val="00F241AF"/>
    <w:rsid w:val="00F25B67"/>
    <w:rsid w:val="00F26E46"/>
    <w:rsid w:val="00F26F55"/>
    <w:rsid w:val="00F3169E"/>
    <w:rsid w:val="00F335D0"/>
    <w:rsid w:val="00F33827"/>
    <w:rsid w:val="00F343EB"/>
    <w:rsid w:val="00F36D0C"/>
    <w:rsid w:val="00F37279"/>
    <w:rsid w:val="00F42286"/>
    <w:rsid w:val="00F449C1"/>
    <w:rsid w:val="00F45D9B"/>
    <w:rsid w:val="00F56383"/>
    <w:rsid w:val="00F568C1"/>
    <w:rsid w:val="00F576E9"/>
    <w:rsid w:val="00F60C17"/>
    <w:rsid w:val="00F628D0"/>
    <w:rsid w:val="00F64582"/>
    <w:rsid w:val="00F6620C"/>
    <w:rsid w:val="00F66D25"/>
    <w:rsid w:val="00F670D9"/>
    <w:rsid w:val="00F75C8F"/>
    <w:rsid w:val="00F77059"/>
    <w:rsid w:val="00F8011D"/>
    <w:rsid w:val="00F835B5"/>
    <w:rsid w:val="00F8481B"/>
    <w:rsid w:val="00F94AA0"/>
    <w:rsid w:val="00F957D8"/>
    <w:rsid w:val="00FA3E65"/>
    <w:rsid w:val="00FA5977"/>
    <w:rsid w:val="00FA6869"/>
    <w:rsid w:val="00FB05F1"/>
    <w:rsid w:val="00FB477B"/>
    <w:rsid w:val="00FB599D"/>
    <w:rsid w:val="00FC103F"/>
    <w:rsid w:val="00FC4CF9"/>
    <w:rsid w:val="00FC5E6E"/>
    <w:rsid w:val="00FC67BC"/>
    <w:rsid w:val="00FD4704"/>
    <w:rsid w:val="00FD507A"/>
    <w:rsid w:val="00FD5750"/>
    <w:rsid w:val="00FD71A9"/>
    <w:rsid w:val="00FE0551"/>
    <w:rsid w:val="00FE0C0A"/>
    <w:rsid w:val="00FE4D25"/>
    <w:rsid w:val="00FE4FC7"/>
    <w:rsid w:val="00FE6DC8"/>
    <w:rsid w:val="00FF24A1"/>
    <w:rsid w:val="00FF3933"/>
    <w:rsid w:val="00FF7BE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10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D934BF"/>
    <w:pPr>
      <w:keepNext/>
      <w:spacing w:before="240" w:after="60"/>
      <w:jc w:val="left"/>
      <w:outlineLvl w:val="0"/>
    </w:pPr>
    <w:rPr>
      <w:rFonts w:ascii="Arial" w:hAnsi="Arial" w:cs="Arial"/>
      <w:b/>
      <w:bCs/>
      <w:kern w:val="32"/>
      <w:sz w:val="32"/>
      <w:szCs w:val="32"/>
    </w:rPr>
  </w:style>
  <w:style w:type="paragraph" w:styleId="Heading2">
    <w:name w:val="heading 2"/>
    <w:aliases w:val="Char24 Char Char,Char24 Char Char Char"/>
    <w:basedOn w:val="Normal"/>
    <w:next w:val="Normal"/>
    <w:link w:val="Nadpis2Char"/>
    <w:uiPriority w:val="99"/>
    <w:qFormat/>
    <w:rsid w:val="001424FB"/>
    <w:pPr>
      <w:keepNext/>
      <w:spacing w:before="240" w:after="60"/>
      <w:jc w:val="left"/>
      <w:outlineLvl w:val="1"/>
    </w:pPr>
    <w:rPr>
      <w:rFonts w:ascii="Arial" w:hAnsi="Arial" w:cs="Arial"/>
      <w:b/>
      <w:bCs/>
      <w:i/>
      <w:iCs/>
      <w:sz w:val="28"/>
      <w:szCs w:val="28"/>
    </w:rPr>
  </w:style>
  <w:style w:type="paragraph" w:styleId="Heading3">
    <w:name w:val="heading 3"/>
    <w:basedOn w:val="Normal"/>
    <w:next w:val="Normal"/>
    <w:link w:val="Nadpis3Char"/>
    <w:qFormat/>
    <w:rsid w:val="001424FB"/>
    <w:pPr>
      <w:keepNext/>
      <w:spacing w:before="240" w:after="60"/>
      <w:jc w:val="left"/>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link w:val="Heading1"/>
    <w:uiPriority w:val="99"/>
    <w:locked/>
    <w:rsid w:val="00D934BF"/>
    <w:rPr>
      <w:rFonts w:ascii="Arial" w:hAnsi="Arial" w:cs="Arial"/>
      <w:b/>
      <w:kern w:val="32"/>
      <w:sz w:val="32"/>
    </w:rPr>
  </w:style>
  <w:style w:type="character" w:styleId="CommentReference">
    <w:name w:val="annotation reference"/>
    <w:uiPriority w:val="99"/>
    <w:semiHidden/>
    <w:unhideWhenUsed/>
    <w:rsid w:val="00107DE0"/>
    <w:rPr>
      <w:sz w:val="16"/>
    </w:rPr>
  </w:style>
  <w:style w:type="paragraph" w:styleId="CommentText">
    <w:name w:val="annotation text"/>
    <w:basedOn w:val="Normal"/>
    <w:link w:val="TextkomentraChar"/>
    <w:uiPriority w:val="99"/>
    <w:semiHidden/>
    <w:unhideWhenUsed/>
    <w:rsid w:val="00107DE0"/>
    <w:pPr>
      <w:jc w:val="left"/>
    </w:pPr>
    <w:rPr>
      <w:sz w:val="20"/>
      <w:szCs w:val="20"/>
    </w:rPr>
  </w:style>
  <w:style w:type="character" w:customStyle="1" w:styleId="TextkomentraChar">
    <w:name w:val="Text komentára Char"/>
    <w:link w:val="CommentText"/>
    <w:uiPriority w:val="99"/>
    <w:semiHidden/>
    <w:locked/>
    <w:rsid w:val="00107DE0"/>
    <w:rPr>
      <w:lang w:val="sk-SK" w:eastAsia="sk-SK"/>
    </w:rPr>
  </w:style>
  <w:style w:type="paragraph" w:styleId="CommentSubject">
    <w:name w:val="annotation subject"/>
    <w:basedOn w:val="CommentText"/>
    <w:next w:val="CommentText"/>
    <w:link w:val="PredmetkomentraChar"/>
    <w:uiPriority w:val="99"/>
    <w:semiHidden/>
    <w:unhideWhenUsed/>
    <w:rsid w:val="00107DE0"/>
    <w:pPr>
      <w:jc w:val="left"/>
    </w:pPr>
    <w:rPr>
      <w:b/>
      <w:bCs/>
    </w:rPr>
  </w:style>
  <w:style w:type="character" w:customStyle="1" w:styleId="PredmetkomentraChar">
    <w:name w:val="Predmet komentára Char"/>
    <w:link w:val="CommentSubject"/>
    <w:uiPriority w:val="99"/>
    <w:semiHidden/>
    <w:locked/>
    <w:rsid w:val="00107DE0"/>
    <w:rPr>
      <w:b/>
      <w:lang w:val="sk-SK" w:eastAsia="sk-SK"/>
    </w:rPr>
  </w:style>
  <w:style w:type="paragraph" w:styleId="BalloonText">
    <w:name w:val="Balloon Text"/>
    <w:basedOn w:val="Normal"/>
    <w:link w:val="TextbublinyChar"/>
    <w:uiPriority w:val="99"/>
    <w:semiHidden/>
    <w:unhideWhenUsed/>
    <w:rsid w:val="00107DE0"/>
    <w:pPr>
      <w:jc w:val="left"/>
    </w:pPr>
    <w:rPr>
      <w:rFonts w:ascii="Tahoma" w:hAnsi="Tahoma" w:cs="Tahoma"/>
      <w:sz w:val="16"/>
      <w:szCs w:val="16"/>
    </w:rPr>
  </w:style>
  <w:style w:type="character" w:customStyle="1" w:styleId="TextbublinyChar">
    <w:name w:val="Text bubliny Char"/>
    <w:link w:val="BalloonText"/>
    <w:uiPriority w:val="99"/>
    <w:semiHidden/>
    <w:locked/>
    <w:rsid w:val="00107DE0"/>
    <w:rPr>
      <w:rFonts w:ascii="Tahoma" w:hAnsi="Tahoma" w:cs="Tahoma"/>
      <w:sz w:val="16"/>
      <w:lang w:val="sk-SK" w:eastAsia="sk-SK"/>
    </w:rPr>
  </w:style>
  <w:style w:type="paragraph" w:styleId="Header">
    <w:name w:val="header"/>
    <w:basedOn w:val="Normal"/>
    <w:link w:val="HlavikaChar"/>
    <w:uiPriority w:val="99"/>
    <w:rsid w:val="00BD065B"/>
    <w:pPr>
      <w:tabs>
        <w:tab w:val="center" w:pos="4536"/>
        <w:tab w:val="right" w:pos="9072"/>
      </w:tabs>
      <w:spacing w:after="240"/>
      <w:ind w:firstLine="284"/>
      <w:jc w:val="both"/>
    </w:pPr>
    <w:rPr>
      <w:rFonts w:ascii="Arial Narrow" w:hAnsi="Arial Narrow" w:cs="Arial Narrow"/>
      <w:sz w:val="22"/>
      <w:szCs w:val="22"/>
    </w:rPr>
  </w:style>
  <w:style w:type="character" w:customStyle="1" w:styleId="HlavikaChar">
    <w:name w:val="Hlavička Char"/>
    <w:link w:val="Header"/>
    <w:uiPriority w:val="99"/>
    <w:locked/>
    <w:rsid w:val="00BD065B"/>
    <w:rPr>
      <w:rFonts w:ascii="Arial Narrow" w:hAnsi="Arial Narrow" w:cs="Arial Narrow"/>
      <w:sz w:val="22"/>
    </w:rPr>
  </w:style>
  <w:style w:type="paragraph" w:customStyle="1" w:styleId="CharCharChar2CharCharCharCharCharCharCharCharCharCharCharCharCharCharCharCharCharCharCharCharCharCharCharCharCharCharCharCharCharCharCharCharCharCharCharChar1CharCharCharChar">
    <w:name w:val="Char Char Char2 Char Char Char Char Char Char Char Char Char Char Char Char Char Char Char Char Char Char Char Char Char Char Char Char Char Char Char Char Char Char Char Char Char Char Char Char1 Char Char Char Char"/>
    <w:basedOn w:val="Normal"/>
    <w:uiPriority w:val="99"/>
    <w:rsid w:val="00BD065B"/>
    <w:pPr>
      <w:spacing w:after="160" w:line="240" w:lineRule="exact"/>
      <w:jc w:val="left"/>
    </w:pPr>
    <w:rPr>
      <w:rFonts w:ascii="Tahoma" w:hAnsi="Tahoma" w:cs="Tahoma"/>
      <w:sz w:val="20"/>
      <w:szCs w:val="20"/>
      <w:lang w:val="en-US" w:eastAsia="en-US"/>
    </w:rPr>
  </w:style>
  <w:style w:type="paragraph" w:styleId="ListParagraph">
    <w:name w:val="List Paragraph"/>
    <w:basedOn w:val="Normal"/>
    <w:uiPriority w:val="34"/>
    <w:qFormat/>
    <w:rsid w:val="001859B0"/>
    <w:pPr>
      <w:ind w:left="708"/>
      <w:jc w:val="left"/>
    </w:pPr>
  </w:style>
  <w:style w:type="paragraph" w:styleId="TOC2">
    <w:name w:val="toc 2"/>
    <w:basedOn w:val="Normal"/>
    <w:next w:val="Normal"/>
    <w:autoRedefine/>
    <w:uiPriority w:val="39"/>
    <w:unhideWhenUsed/>
    <w:rsid w:val="004869EF"/>
    <w:pPr>
      <w:tabs>
        <w:tab w:val="right" w:leader="dot" w:pos="9062"/>
      </w:tabs>
      <w:jc w:val="left"/>
    </w:pPr>
  </w:style>
  <w:style w:type="paragraph" w:styleId="TOC3">
    <w:name w:val="toc 3"/>
    <w:basedOn w:val="Normal"/>
    <w:next w:val="Normal"/>
    <w:autoRedefine/>
    <w:uiPriority w:val="39"/>
    <w:unhideWhenUsed/>
    <w:rsid w:val="001163C6"/>
    <w:pPr>
      <w:ind w:left="480"/>
      <w:jc w:val="left"/>
    </w:pPr>
  </w:style>
  <w:style w:type="paragraph" w:styleId="TOC1">
    <w:name w:val="toc 1"/>
    <w:basedOn w:val="Normal"/>
    <w:next w:val="Normal"/>
    <w:autoRedefine/>
    <w:uiPriority w:val="39"/>
    <w:unhideWhenUsed/>
    <w:rsid w:val="005350B3"/>
    <w:pPr>
      <w:tabs>
        <w:tab w:val="left" w:pos="660"/>
        <w:tab w:val="right" w:leader="dot" w:pos="9062"/>
      </w:tabs>
      <w:spacing w:before="120" w:after="120"/>
      <w:jc w:val="left"/>
    </w:pPr>
  </w:style>
  <w:style w:type="character" w:styleId="Hyperlink">
    <w:name w:val="Hyperlink"/>
    <w:uiPriority w:val="99"/>
    <w:unhideWhenUsed/>
    <w:rsid w:val="001163C6"/>
    <w:rPr>
      <w:color w:val="0000FF"/>
      <w:u w:val="single"/>
    </w:rPr>
  </w:style>
  <w:style w:type="paragraph" w:styleId="FootnoteText">
    <w:name w:val="footnote text"/>
    <w:aliases w:val="Footnote Text Char Char1 Char Char Char Char,Footnote Text Char1,Footnote Text Char1 Char,Footnote Text Char1 Char Char Char,Footnote Text Char2,Footnote Text Char2 Char Char,Footnote Text Char2 Char Char Char Char,f"/>
    <w:basedOn w:val="Normal"/>
    <w:link w:val="TextpoznmkypodiarouChar"/>
    <w:unhideWhenUsed/>
    <w:qFormat/>
    <w:rsid w:val="00F449C1"/>
    <w:pPr>
      <w:jc w:val="left"/>
    </w:pPr>
    <w:rPr>
      <w:sz w:val="20"/>
      <w:szCs w:val="20"/>
    </w:rPr>
  </w:style>
  <w:style w:type="character" w:customStyle="1" w:styleId="TextpoznmkypodiarouChar">
    <w:name w:val="Text poznámky pod čiarou Char"/>
    <w:aliases w:val="Footnote Text Char1 Char Char,Footnote Text Char1 Char Char Char Char,Footnote Text Char1 Char1,Footnote Text Char2 Char,Footnote Text Char2 Char Char Char,Footnote Text Char2 Char Char Char Char Char,f Char"/>
    <w:basedOn w:val="DefaultParagraphFont"/>
    <w:link w:val="FootnoteText"/>
    <w:uiPriority w:val="99"/>
    <w:locked/>
    <w:rsid w:val="00F449C1"/>
    <w:rPr>
      <w:rFonts w:cs="Times New Roman"/>
      <w:rtl w:val="0"/>
      <w:cs w:val="0"/>
    </w:rPr>
  </w:style>
  <w:style w:type="character" w:styleId="FootnoteReference">
    <w:name w:val="footnote reference"/>
    <w:aliases w:val="16 Point,BVI fnr,Footnote Reference Number,Footnote Reference_LVL6,Footnote Reference_LVL61,Footnote Reference_LVL62,Footnote Reference_LVL63,Footnote Reference_LVL64,Footnote call,Footnote symbol,SUPERS,Superscript 6 Point"/>
    <w:uiPriority w:val="99"/>
    <w:unhideWhenUsed/>
    <w:rsid w:val="00F449C1"/>
    <w:rPr>
      <w:vertAlign w:val="superscript"/>
    </w:rPr>
  </w:style>
  <w:style w:type="character" w:customStyle="1" w:styleId="Nadpis3Char">
    <w:name w:val="Nadpis 3 Char"/>
    <w:link w:val="Heading3"/>
    <w:locked/>
    <w:rsid w:val="009E3B80"/>
    <w:rPr>
      <w:rFonts w:ascii="Arial" w:hAnsi="Arial" w:cs="Arial"/>
      <w:b/>
      <w:sz w:val="26"/>
    </w:rPr>
  </w:style>
  <w:style w:type="paragraph" w:customStyle="1" w:styleId="Char">
    <w:name w:val="Char"/>
    <w:basedOn w:val="Normal"/>
    <w:uiPriority w:val="99"/>
    <w:rsid w:val="00BB581F"/>
    <w:pPr>
      <w:spacing w:after="160" w:line="240" w:lineRule="exact"/>
      <w:jc w:val="left"/>
    </w:pPr>
    <w:rPr>
      <w:rFonts w:ascii="Tahoma" w:hAnsi="Tahoma" w:cs="Tahoma"/>
      <w:sz w:val="20"/>
      <w:szCs w:val="20"/>
      <w:lang w:val="en-US" w:eastAsia="en-US"/>
    </w:rPr>
  </w:style>
  <w:style w:type="paragraph" w:styleId="Footer">
    <w:name w:val="footer"/>
    <w:basedOn w:val="Normal"/>
    <w:link w:val="PtaChar"/>
    <w:unhideWhenUsed/>
    <w:rsid w:val="006F4BCD"/>
    <w:pPr>
      <w:tabs>
        <w:tab w:val="center" w:pos="4536"/>
        <w:tab w:val="right" w:pos="9072"/>
      </w:tabs>
      <w:jc w:val="left"/>
    </w:pPr>
  </w:style>
  <w:style w:type="character" w:customStyle="1" w:styleId="PtaChar">
    <w:name w:val="Päta Char"/>
    <w:link w:val="Footer"/>
    <w:uiPriority w:val="99"/>
    <w:locked/>
    <w:rsid w:val="006F4BCD"/>
    <w:rPr>
      <w:sz w:val="24"/>
    </w:rPr>
  </w:style>
  <w:style w:type="paragraph" w:styleId="Revision">
    <w:name w:val="Revision"/>
    <w:hidden/>
    <w:uiPriority w:val="99"/>
    <w:semiHidden/>
    <w:rsid w:val="00C64C2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customStyle="1" w:styleId="Nadpis2Char">
    <w:name w:val="Nadpis 2 Char"/>
    <w:aliases w:val="Char24 Char Char Char Char,Char24 Char Char Char1"/>
    <w:link w:val="Heading2"/>
    <w:uiPriority w:val="99"/>
    <w:locked/>
    <w:rsid w:val="0024610E"/>
    <w:rPr>
      <w:rFonts w:ascii="Arial" w:hAnsi="Arial" w:cs="Arial"/>
      <w:b/>
      <w:i/>
      <w:sz w:val="28"/>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4B809E2-C30E-4FF2-826D-4BDA46F61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Pages>
  <Words>1977</Words>
  <Characters>11271</Characters>
  <Application>Microsoft Office Word</Application>
  <DocSecurity>0</DocSecurity>
  <Lines>0</Lines>
  <Paragraphs>0</Paragraphs>
  <ScaleCrop>false</ScaleCrop>
  <Company>MFSR</Company>
  <LinksUpToDate>false</LinksUpToDate>
  <CharactersWithSpaces>13222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Komentovaný návrh obsahu Aktualizácie stratégie riadenia štátneho dlhu</dc:title>
  <dc:creator>ARDAL</dc:creator>
  <cp:lastModifiedBy>Vinický, Filip</cp:lastModifiedBy>
  <cp:revision>2</cp:revision>
  <cp:lastPrinted>2015-10-01T14:38:00Z</cp:lastPrinted>
  <dcterms:created xsi:type="dcterms:W3CDTF">2015-10-15T11:27:00Z</dcterms:created>
  <dcterms:modified xsi:type="dcterms:W3CDTF">2015-10-15T11:27:00Z</dcterms:modified>
</cp:coreProperties>
</file>