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Príloha č. 5</w:t>
      </w:r>
    </w:p>
    <w:p w:rsidR="00F73BE1" w:rsidP="00F73BE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73BE1" w:rsidP="00F73BE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Implicitné záväzky</w:t>
      </w: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F73BE1" w:rsidP="00F73BE1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A8025E" w:rsidRPr="00F73BE1" w:rsidP="00F73BE1">
      <w:pPr>
        <w:bidi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3BE1" w:rsidR="00627A2A">
        <w:rPr>
          <w:rFonts w:ascii="Times New Roman" w:hAnsi="Times New Roman" w:cs="Times New Roman"/>
          <w:b/>
          <w:sz w:val="24"/>
          <w:szCs w:val="24"/>
        </w:rPr>
        <w:t>Implicitné záväzky</w:t>
      </w:r>
    </w:p>
    <w:p w:rsidR="00627A2A" w:rsidRPr="00F73BE1" w:rsidP="00F73BE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0E" w:rsidRPr="00F73BE1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BE1">
        <w:rPr>
          <w:rFonts w:ascii="Times New Roman" w:hAnsi="Times New Roman" w:cs="Times New Roman"/>
          <w:sz w:val="24"/>
          <w:szCs w:val="24"/>
        </w:rPr>
        <w:t>Implicitné záväzky sú podľa ústavného zákona č. 493/2011 Z.</w:t>
      </w:r>
      <w:r w:rsidR="00F73BE1">
        <w:rPr>
          <w:rFonts w:ascii="Times New Roman" w:hAnsi="Times New Roman" w:cs="Times New Roman"/>
          <w:sz w:val="24"/>
          <w:szCs w:val="24"/>
        </w:rPr>
        <w:t xml:space="preserve"> </w:t>
      </w:r>
      <w:r w:rsidRPr="00F73BE1">
        <w:rPr>
          <w:rFonts w:ascii="Times New Roman" w:hAnsi="Times New Roman" w:cs="Times New Roman"/>
          <w:sz w:val="24"/>
          <w:szCs w:val="24"/>
        </w:rPr>
        <w:t xml:space="preserve">z. o rozpočtovej zodpovednosti definované ako „rozdiel medzi očakávanými budúcimi výdavkami subjektov verejnej správy a očakávanými budúcimi príjmami subjektov verejnej správy, ktoré vyplývajú z finančných dôsledkov spôsobených budúcim uplatňovaním práv a povinností ustanovených právnym poriadkom Slovenskej republiky, ak tieto nie sú súčasťou dlhu verejnej správy“. </w:t>
      </w:r>
      <w:r w:rsidRPr="00F73BE1" w:rsidR="007110B3">
        <w:rPr>
          <w:rFonts w:ascii="Times New Roman" w:hAnsi="Times New Roman" w:cs="Times New Roman"/>
          <w:sz w:val="24"/>
          <w:szCs w:val="24"/>
        </w:rPr>
        <w:t>Ide o</w:t>
      </w:r>
      <w:r w:rsidRPr="00F73BE1">
        <w:rPr>
          <w:rFonts w:ascii="Times New Roman" w:hAnsi="Times New Roman" w:cs="Times New Roman"/>
          <w:sz w:val="24"/>
          <w:szCs w:val="24"/>
        </w:rPr>
        <w:t xml:space="preserve"> čisté záväzky v sektore sociálnych vecí, zdravotníctva a školstva spojené so st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arnutím populácie a </w:t>
      </w:r>
      <w:r w:rsidRPr="00F73BE1" w:rsidR="003D49CE">
        <w:rPr>
          <w:rFonts w:ascii="Times New Roman" w:hAnsi="Times New Roman" w:cs="Times New Roman"/>
          <w:sz w:val="24"/>
          <w:szCs w:val="24"/>
        </w:rPr>
        <w:t>ďalšie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 typy záväzkov</w:t>
      </w:r>
      <w:r w:rsidRPr="00F73BE1" w:rsidR="003D49CE">
        <w:rPr>
          <w:rFonts w:ascii="Times New Roman" w:hAnsi="Times New Roman" w:cs="Times New Roman"/>
          <w:sz w:val="24"/>
          <w:szCs w:val="24"/>
        </w:rPr>
        <w:t xml:space="preserve">, ako 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napríklad </w:t>
      </w:r>
      <w:r w:rsidRPr="00F73BE1" w:rsidR="003D49CE">
        <w:rPr>
          <w:rFonts w:ascii="Times New Roman" w:hAnsi="Times New Roman" w:cs="Times New Roman"/>
          <w:sz w:val="24"/>
          <w:szCs w:val="24"/>
        </w:rPr>
        <w:t xml:space="preserve">v súvislosti s </w:t>
      </w:r>
      <w:r w:rsidRPr="00F73BE1" w:rsidR="00F979FA">
        <w:rPr>
          <w:rFonts w:ascii="Times New Roman" w:hAnsi="Times New Roman" w:cs="Times New Roman"/>
          <w:sz w:val="24"/>
          <w:szCs w:val="24"/>
        </w:rPr>
        <w:t>PPP projekt</w:t>
      </w:r>
      <w:r w:rsidRPr="00F73BE1" w:rsidR="003D49CE">
        <w:rPr>
          <w:rFonts w:ascii="Times New Roman" w:hAnsi="Times New Roman" w:cs="Times New Roman"/>
          <w:sz w:val="24"/>
          <w:szCs w:val="24"/>
        </w:rPr>
        <w:t>mi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 a náklad</w:t>
      </w:r>
      <w:r w:rsidRPr="00F73BE1" w:rsidR="003D49CE">
        <w:rPr>
          <w:rFonts w:ascii="Times New Roman" w:hAnsi="Times New Roman" w:cs="Times New Roman"/>
          <w:sz w:val="24"/>
          <w:szCs w:val="24"/>
        </w:rPr>
        <w:t>mi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 na odstavenie jadrových elektrární.</w:t>
      </w:r>
    </w:p>
    <w:p w:rsidR="00C53E0E" w:rsidRPr="00F73BE1" w:rsidP="00F73BE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F73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B7C" w:rsidRPr="00F73BE1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BE1">
        <w:rPr>
          <w:rFonts w:ascii="Times New Roman" w:hAnsi="Times New Roman" w:cs="Times New Roman"/>
          <w:sz w:val="24"/>
          <w:szCs w:val="24"/>
        </w:rPr>
        <w:t>Z uvedeného vyplýva, že nejde o záväzky vykázané v súvahe účtovných závierok subjektov verejnej správy</w:t>
      </w:r>
      <w:r w:rsidRPr="00F73BE1" w:rsidR="008A3805">
        <w:rPr>
          <w:rFonts w:ascii="Times New Roman" w:hAnsi="Times New Roman" w:cs="Times New Roman"/>
          <w:sz w:val="24"/>
          <w:szCs w:val="24"/>
        </w:rPr>
        <w:t xml:space="preserve"> v aktuálnom roku</w:t>
      </w:r>
      <w:r w:rsidRPr="00F73BE1">
        <w:rPr>
          <w:rFonts w:ascii="Times New Roman" w:hAnsi="Times New Roman" w:cs="Times New Roman"/>
          <w:sz w:val="24"/>
          <w:szCs w:val="24"/>
        </w:rPr>
        <w:t xml:space="preserve">, keďže ich ocenenie môže byť problematické. Napriek tomu však možno </w:t>
      </w:r>
      <w:r w:rsidRPr="00F73BE1" w:rsidR="003D49CE">
        <w:rPr>
          <w:rFonts w:ascii="Times New Roman" w:hAnsi="Times New Roman" w:cs="Times New Roman"/>
          <w:sz w:val="24"/>
          <w:szCs w:val="24"/>
        </w:rPr>
        <w:t xml:space="preserve">pri zohľadnení aktuálneho legislatívneho stavu </w:t>
      </w:r>
      <w:r w:rsidRPr="00F73BE1">
        <w:rPr>
          <w:rFonts w:ascii="Times New Roman" w:hAnsi="Times New Roman" w:cs="Times New Roman"/>
          <w:sz w:val="24"/>
          <w:szCs w:val="24"/>
        </w:rPr>
        <w:t>odhadnúť ich výšku</w:t>
      </w:r>
      <w:r w:rsidRPr="00F73BE1" w:rsidR="00F979FA">
        <w:rPr>
          <w:rFonts w:ascii="Times New Roman" w:hAnsi="Times New Roman" w:cs="Times New Roman"/>
          <w:sz w:val="24"/>
          <w:szCs w:val="24"/>
        </w:rPr>
        <w:t xml:space="preserve">. </w:t>
      </w:r>
      <w:r w:rsidRPr="00F73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EE" w:rsidRPr="00F73BE1" w:rsidP="00F73BE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FB3" w:rsidRPr="00F73BE1" w:rsidP="00F73BE1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BE1" w:rsidR="00CB12EE">
        <w:rPr>
          <w:rFonts w:ascii="Times New Roman" w:hAnsi="Times New Roman" w:cs="Times New Roman"/>
          <w:b/>
          <w:sz w:val="24"/>
          <w:szCs w:val="24"/>
        </w:rPr>
        <w:t>Celkové implicitné záväzky</w:t>
      </w:r>
    </w:p>
    <w:p w:rsidR="00007FB3" w:rsidRPr="00F73BE1" w:rsidP="00F73BE1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F73B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2EE" w:rsidRPr="00F73BE1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BE1">
        <w:rPr>
          <w:rFonts w:ascii="Times New Roman" w:hAnsi="Times New Roman" w:cs="Times New Roman"/>
          <w:sz w:val="24"/>
          <w:szCs w:val="24"/>
        </w:rPr>
        <w:t xml:space="preserve">Implicitné záväzky sú odhadnuté ako súčasná hodnota budúcich záväzkov vyplývajúcich zo starnutia populácie, záväzkov z PPP projektov a Národného jadrového fondu v nekonečnom horizonte vyjadrené ako percento aktuálneho HDP roku </w:t>
      </w:r>
      <w:r w:rsidRPr="00F73BE1" w:rsidR="00E91C7F">
        <w:rPr>
          <w:rFonts w:ascii="Times New Roman" w:hAnsi="Times New Roman" w:cs="Times New Roman"/>
          <w:sz w:val="24"/>
          <w:szCs w:val="24"/>
        </w:rPr>
        <w:t>2015</w:t>
      </w:r>
      <w:r w:rsidRPr="00F73BE1">
        <w:rPr>
          <w:rFonts w:ascii="Times New Roman" w:hAnsi="Times New Roman" w:cs="Times New Roman"/>
          <w:sz w:val="24"/>
          <w:szCs w:val="24"/>
        </w:rPr>
        <w:t xml:space="preserve">. </w:t>
      </w:r>
      <w:r w:rsidRPr="00F73BE1" w:rsidR="00F2433E">
        <w:rPr>
          <w:rFonts w:ascii="Times New Roman" w:hAnsi="Times New Roman" w:cs="Times New Roman"/>
          <w:sz w:val="24"/>
          <w:szCs w:val="24"/>
        </w:rPr>
        <w:t>J</w:t>
      </w:r>
      <w:r w:rsidRPr="00F73BE1">
        <w:rPr>
          <w:rFonts w:ascii="Times New Roman" w:hAnsi="Times New Roman" w:cs="Times New Roman"/>
          <w:sz w:val="24"/>
          <w:szCs w:val="24"/>
        </w:rPr>
        <w:t xml:space="preserve">ednotlivým oblastiam </w:t>
      </w:r>
      <w:r w:rsidRPr="00F73BE1" w:rsidR="00F2433E">
        <w:rPr>
          <w:rFonts w:ascii="Times New Roman" w:hAnsi="Times New Roman" w:cs="Times New Roman"/>
          <w:sz w:val="24"/>
          <w:szCs w:val="24"/>
        </w:rPr>
        <w:t xml:space="preserve">sa </w:t>
      </w:r>
      <w:r w:rsidRPr="00F73BE1">
        <w:rPr>
          <w:rFonts w:ascii="Times New Roman" w:hAnsi="Times New Roman" w:cs="Times New Roman"/>
          <w:sz w:val="24"/>
          <w:szCs w:val="24"/>
        </w:rPr>
        <w:t xml:space="preserve">venujú nasledujúce </w:t>
      </w:r>
      <w:r w:rsidRPr="00F73BE1" w:rsidR="00E91C7F">
        <w:rPr>
          <w:rFonts w:ascii="Times New Roman" w:hAnsi="Times New Roman" w:cs="Times New Roman"/>
          <w:sz w:val="24"/>
          <w:szCs w:val="24"/>
        </w:rPr>
        <w:t xml:space="preserve">časti </w:t>
      </w:r>
      <w:r w:rsidRPr="00F73BE1">
        <w:rPr>
          <w:rFonts w:ascii="Times New Roman" w:hAnsi="Times New Roman" w:cs="Times New Roman"/>
          <w:sz w:val="24"/>
          <w:szCs w:val="24"/>
        </w:rPr>
        <w:t xml:space="preserve">tejto </w:t>
      </w:r>
      <w:r w:rsidRPr="00F73BE1" w:rsidR="0040053A">
        <w:rPr>
          <w:rFonts w:ascii="Times New Roman" w:hAnsi="Times New Roman" w:cs="Times New Roman"/>
          <w:sz w:val="24"/>
          <w:szCs w:val="24"/>
        </w:rPr>
        <w:t>prílohy</w:t>
      </w:r>
      <w:r w:rsidRPr="00F73BE1">
        <w:rPr>
          <w:rFonts w:ascii="Times New Roman" w:hAnsi="Times New Roman" w:cs="Times New Roman"/>
          <w:sz w:val="24"/>
          <w:szCs w:val="24"/>
        </w:rPr>
        <w:t>.</w:t>
      </w:r>
      <w:r w:rsidRPr="00F73BE1" w:rsidR="00F2433E">
        <w:rPr>
          <w:rFonts w:ascii="Times New Roman" w:hAnsi="Times New Roman" w:cs="Times New Roman"/>
          <w:sz w:val="24"/>
          <w:szCs w:val="24"/>
        </w:rPr>
        <w:t xml:space="preserve"> Manuál k implicitným záväzkom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F73BE1" w:rsidR="00F2433E">
        <w:rPr>
          <w:rFonts w:ascii="Times New Roman" w:hAnsi="Times New Roman" w:cs="Times New Roman"/>
          <w:sz w:val="24"/>
          <w:szCs w:val="24"/>
        </w:rPr>
        <w:t xml:space="preserve"> popisuje </w:t>
      </w:r>
      <w:r w:rsidRPr="00F73BE1" w:rsidR="005211E9">
        <w:rPr>
          <w:rFonts w:ascii="Times New Roman" w:hAnsi="Times New Roman" w:cs="Times New Roman"/>
          <w:sz w:val="24"/>
          <w:szCs w:val="24"/>
        </w:rPr>
        <w:t xml:space="preserve">podrobnejšie </w:t>
      </w:r>
      <w:r w:rsidRPr="00F73BE1" w:rsidR="00F2433E">
        <w:rPr>
          <w:rFonts w:ascii="Times New Roman" w:hAnsi="Times New Roman" w:cs="Times New Roman"/>
          <w:sz w:val="24"/>
          <w:szCs w:val="24"/>
        </w:rPr>
        <w:t>postup výpočtu</w:t>
      </w:r>
      <w:r w:rsidRPr="00F73BE1" w:rsidR="0040053A">
        <w:rPr>
          <w:rFonts w:ascii="Times New Roman" w:hAnsi="Times New Roman" w:cs="Times New Roman"/>
          <w:sz w:val="24"/>
          <w:szCs w:val="24"/>
        </w:rPr>
        <w:t>.</w:t>
      </w:r>
      <w:r w:rsidRPr="00F73BE1" w:rsidR="00F24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EE" w:rsidRPr="00F73BE1" w:rsidP="00CB12EE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71"/>
        <w:gridCol w:w="1701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B12EE" w:rsidRPr="00F73BE1" w:rsidP="004F07E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  <w:t>Implicitné záväzky – scenár nezmenených politík (hodnota k roku 201</w:t>
            </w:r>
            <w:r w:rsidRPr="00F73BE1" w:rsidR="004F07E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  <w:t>5</w:t>
            </w:r>
            <w:r w:rsidRPr="00F73BE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  <w:t>, v % HDP)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CB12EE" w:rsidRPr="00F73BE1" w:rsidP="00DB6BE4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CB12EE" w:rsidRPr="00F73BE1" w:rsidP="00DB6BE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93358" w:rsidRPr="00F73BE1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  <w:t xml:space="preserve">1. Vplyv starnutia populácie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93358" w:rsidRPr="00F73BE1" w:rsidP="0053738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Pr="00F73BE1" w:rsidR="006C226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48,</w:t>
            </w:r>
            <w:r w:rsidRPr="00F73BE1" w:rsidR="005373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93358" w:rsidRPr="00F73BE1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  <w:t xml:space="preserve">2. </w:t>
            </w:r>
            <w:r w:rsidRPr="00F73BE1" w:rsidR="00C305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  <w:t>Vplyv PPP projektu - rýchlostná cesta R1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93358" w:rsidRPr="00F73BE1" w:rsidP="00484CB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 w:rsidR="00C305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F73BE1" w:rsidR="005373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93358" w:rsidRPr="00F73BE1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  <w:t>3. Vplyv Národného jadrového fondu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93358" w:rsidRPr="00F73BE1" w:rsidP="00F73BE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F73BE1" w:rsidR="001127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F73B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3,</w:t>
            </w:r>
            <w:r w:rsidRPr="00F73BE1" w:rsidR="00C305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F73BE1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Celková výška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E93358" w:rsidRPr="00F73BE1" w:rsidP="00F73BE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73BE1" w:rsidR="00C305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14</w:t>
            </w:r>
            <w:r w:rsidRPr="00F73BE1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  <w:r w:rsidRPr="00F73B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,</w:t>
            </w:r>
            <w:r w:rsidRPr="00F73BE1" w:rsidR="0053738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5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305E8" w:rsidRPr="00F73BE1" w:rsidP="004D334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p.m. PPP projekt –</w:t>
            </w:r>
            <w:r w:rsidRPr="00F73BE1" w:rsidR="009106B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 xml:space="preserve"> Obchvat </w:t>
            </w: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D4 a rýchlostna cesta R7</w:t>
            </w:r>
            <w:bookmarkStart w:id="0" w:name="_Ref431385982"/>
            <w:r>
              <w:rPr>
                <w:rStyle w:val="FootnoteReference"/>
                <w:rFonts w:ascii="Times New Roman" w:hAnsi="Times New Roman"/>
                <w:bCs/>
                <w:i/>
                <w:color w:val="000000" w:themeColor="tx1" w:themeShade="FF"/>
                <w:sz w:val="16"/>
                <w:szCs w:val="16"/>
                <w:rtl w:val="0"/>
                <w:lang w:eastAsia="sk-SK"/>
              </w:rPr>
              <w:footnoteReference w:id="3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05E8" w:rsidRPr="00F73BE1" w:rsidP="00C305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73BE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2,4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305E8" w:rsidRPr="00F73BE1" w:rsidP="0002713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 xml:space="preserve">p.m. PPP projekt – </w:t>
            </w:r>
            <w:r w:rsidRPr="00F73BE1" w:rsidR="004D334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Nová u</w:t>
            </w: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 xml:space="preserve">niverzitná </w:t>
            </w:r>
            <w:r w:rsidRPr="00F73BE1" w:rsidR="009106B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n</w:t>
            </w: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 xml:space="preserve">emocnica </w:t>
            </w:r>
            <w:r w:rsidRPr="00F73BE1" w:rsidR="004D334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 xml:space="preserve">v </w:t>
            </w:r>
            <w:r w:rsidRP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B</w:t>
            </w:r>
            <w:r w:rsidRPr="00F73BE1" w:rsidR="009106B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rat</w:t>
            </w:r>
            <w:r w:rsidRPr="00F73BE1" w:rsidR="004D334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t>islave</w:t>
            </w:r>
            <w:r w:rsidRPr="00F73BE1" w:rsidR="0002713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fldChar w:fldCharType="begin"/>
            </w:r>
            <w:r w:rsidRPr="00F73BE1" w:rsidR="0002713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instrText xml:space="preserve"> NOTEREF _Ref431385982 \h \f </w:instrText>
            </w:r>
            <w:r w:rsidRPr="00F73BE1" w:rsidR="00F73BE1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instrText xml:space="preserve"> \* MERGEFORMAT </w:instrText>
            </w:r>
            <w:r w:rsidRPr="00F73BE1" w:rsidR="0002713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fldChar w:fldCharType="separate"/>
            </w:r>
            <w:r w:rsidRPr="00F73BE1" w:rsidR="00027137">
              <w:rPr>
                <w:rStyle w:val="FootnoteReference"/>
                <w:rFonts w:ascii="Times New Roman" w:hAnsi="Times New Roman"/>
                <w:sz w:val="16"/>
                <w:szCs w:val="16"/>
              </w:rPr>
              <w:t>2</w:t>
            </w:r>
            <w:r w:rsidRPr="00F73BE1" w:rsidR="00027137">
              <w:rPr>
                <w:rFonts w:ascii="Times New Roman" w:hAnsi="Times New Roman" w:cs="Times New Roman"/>
                <w:bCs/>
                <w:i/>
                <w:color w:val="000000" w:themeColor="tx1" w:themeShade="FF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05E8" w:rsidRPr="00F73BE1" w:rsidP="00F73BE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73BE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0,2</w:t>
            </w:r>
          </w:p>
        </w:tc>
      </w:tr>
      <w:tr>
        <w:tblPrEx>
          <w:tblW w:w="907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05E8" w:rsidRPr="00F73BE1" w:rsidP="00C305E8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* (-) pokles a (+) nárast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305E8" w:rsidRPr="00F73BE1" w:rsidP="00C305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F73BE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:rsidR="00CB12EE" w:rsidRPr="00F73BE1" w:rsidP="00CB12E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="00F73BE1">
        <w:rPr>
          <w:rFonts w:ascii="Times New Roman" w:hAnsi="Times New Roman" w:cs="Times New Roman"/>
          <w:sz w:val="24"/>
          <w:highlight w:val="yellow"/>
        </w:rPr>
        <w:t xml:space="preserve"> </w:t>
      </w:r>
    </w:p>
    <w:p w:rsidR="00B6300A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8E09B7">
        <w:rPr>
          <w:rFonts w:ascii="Times New Roman" w:hAnsi="Times New Roman" w:cs="Times New Roman"/>
          <w:sz w:val="24"/>
        </w:rPr>
        <w:t xml:space="preserve">V roku </w:t>
      </w:r>
      <w:r w:rsidRPr="002558D3" w:rsidR="004775B2">
        <w:rPr>
          <w:rFonts w:ascii="Times New Roman" w:hAnsi="Times New Roman" w:cs="Times New Roman"/>
          <w:sz w:val="24"/>
        </w:rPr>
        <w:t xml:space="preserve">2015 </w:t>
      </w:r>
      <w:r w:rsidRPr="002558D3" w:rsidR="008E09B7">
        <w:rPr>
          <w:rFonts w:ascii="Times New Roman" w:hAnsi="Times New Roman" w:cs="Times New Roman"/>
          <w:sz w:val="24"/>
        </w:rPr>
        <w:t>dosahujú c</w:t>
      </w:r>
      <w:r w:rsidRPr="002558D3" w:rsidR="00CB12EE">
        <w:rPr>
          <w:rFonts w:ascii="Times New Roman" w:hAnsi="Times New Roman" w:cs="Times New Roman"/>
          <w:sz w:val="24"/>
        </w:rPr>
        <w:t xml:space="preserve">elkové implicitné záväzky </w:t>
      </w:r>
      <w:r w:rsidRPr="002558D3" w:rsidR="00FA4B21">
        <w:rPr>
          <w:rFonts w:ascii="Times New Roman" w:hAnsi="Times New Roman" w:cs="Times New Roman"/>
          <w:sz w:val="24"/>
        </w:rPr>
        <w:t>14</w:t>
      </w:r>
      <w:r w:rsidRPr="002558D3" w:rsidR="006C226B">
        <w:rPr>
          <w:rFonts w:ascii="Times New Roman" w:hAnsi="Times New Roman" w:cs="Times New Roman"/>
          <w:sz w:val="24"/>
        </w:rPr>
        <w:t>8</w:t>
      </w:r>
      <w:r w:rsidRPr="002558D3" w:rsidR="008E09B7">
        <w:rPr>
          <w:rFonts w:ascii="Times New Roman" w:hAnsi="Times New Roman" w:cs="Times New Roman"/>
          <w:sz w:val="24"/>
        </w:rPr>
        <w:t>,</w:t>
      </w:r>
      <w:r w:rsidRPr="002558D3" w:rsidR="0053738B">
        <w:rPr>
          <w:rFonts w:ascii="Times New Roman" w:hAnsi="Times New Roman" w:cs="Times New Roman"/>
          <w:sz w:val="24"/>
        </w:rPr>
        <w:t>3</w:t>
      </w:r>
      <w:r w:rsidRPr="002558D3" w:rsidR="00FA4B21">
        <w:rPr>
          <w:rFonts w:ascii="Times New Roman" w:hAnsi="Times New Roman" w:cs="Times New Roman"/>
          <w:sz w:val="24"/>
        </w:rPr>
        <w:t xml:space="preserve"> </w:t>
      </w:r>
      <w:r w:rsidRPr="002558D3" w:rsidR="008E09B7">
        <w:rPr>
          <w:rFonts w:ascii="Times New Roman" w:hAnsi="Times New Roman" w:cs="Times New Roman"/>
          <w:sz w:val="24"/>
        </w:rPr>
        <w:t>% HDP</w:t>
      </w:r>
      <w:r w:rsidRPr="002558D3" w:rsidR="00CB12EE">
        <w:rPr>
          <w:rFonts w:ascii="Times New Roman" w:hAnsi="Times New Roman" w:cs="Times New Roman"/>
          <w:sz w:val="24"/>
        </w:rPr>
        <w:t>. V porovnaní s údajmi prezentovanými v rozpočte verejnej správy na roky 201</w:t>
      </w:r>
      <w:r w:rsidRPr="002558D3" w:rsidR="00650B74">
        <w:rPr>
          <w:rFonts w:ascii="Times New Roman" w:hAnsi="Times New Roman" w:cs="Times New Roman"/>
          <w:sz w:val="24"/>
        </w:rPr>
        <w:t>5</w:t>
      </w:r>
      <w:r w:rsidRPr="002558D3" w:rsidR="00CB12EE">
        <w:rPr>
          <w:rFonts w:ascii="Times New Roman" w:hAnsi="Times New Roman" w:cs="Times New Roman"/>
          <w:sz w:val="24"/>
        </w:rPr>
        <w:t xml:space="preserve"> až 201</w:t>
      </w:r>
      <w:r w:rsidRPr="002558D3" w:rsidR="00650B74">
        <w:rPr>
          <w:rFonts w:ascii="Times New Roman" w:hAnsi="Times New Roman" w:cs="Times New Roman"/>
          <w:sz w:val="24"/>
        </w:rPr>
        <w:t>7</w:t>
      </w:r>
      <w:r w:rsidRPr="002558D3" w:rsidR="00CB12EE">
        <w:rPr>
          <w:rFonts w:ascii="Times New Roman" w:hAnsi="Times New Roman" w:cs="Times New Roman"/>
          <w:sz w:val="24"/>
        </w:rPr>
        <w:t xml:space="preserve"> (implicitné záväzky vo výške</w:t>
      </w:r>
      <w:r w:rsidR="002558D3">
        <w:rPr>
          <w:rFonts w:ascii="Times New Roman" w:hAnsi="Times New Roman" w:cs="Times New Roman"/>
          <w:sz w:val="24"/>
        </w:rPr>
        <w:t xml:space="preserve"> </w:t>
      </w:r>
      <w:r w:rsidRPr="002558D3" w:rsidR="000D0FCD">
        <w:rPr>
          <w:rFonts w:ascii="Times New Roman" w:hAnsi="Times New Roman" w:cs="Times New Roman"/>
          <w:sz w:val="24"/>
        </w:rPr>
        <w:t>229</w:t>
      </w:r>
      <w:r w:rsidRPr="002558D3" w:rsidR="004978C1">
        <w:rPr>
          <w:rFonts w:ascii="Times New Roman" w:hAnsi="Times New Roman" w:cs="Times New Roman"/>
          <w:sz w:val="24"/>
        </w:rPr>
        <w:t>,2</w:t>
      </w:r>
      <w:r w:rsidRPr="002558D3" w:rsidR="000D0FCD">
        <w:rPr>
          <w:rFonts w:ascii="Times New Roman" w:hAnsi="Times New Roman" w:cs="Times New Roman"/>
          <w:sz w:val="24"/>
        </w:rPr>
        <w:t xml:space="preserve"> </w:t>
      </w:r>
      <w:r w:rsidRPr="002558D3" w:rsidR="00CB12EE">
        <w:rPr>
          <w:rFonts w:ascii="Times New Roman" w:hAnsi="Times New Roman" w:cs="Times New Roman"/>
          <w:sz w:val="24"/>
        </w:rPr>
        <w:t>% HDP) došlo k</w:t>
      </w:r>
      <w:r w:rsidRPr="002558D3" w:rsidR="00650B74">
        <w:rPr>
          <w:rFonts w:ascii="Times New Roman" w:hAnsi="Times New Roman" w:cs="Times New Roman"/>
          <w:sz w:val="24"/>
        </w:rPr>
        <w:t> zníženiu odhadovaných implicitných záväzkov o</w:t>
      </w:r>
      <w:r w:rsidRPr="002558D3" w:rsidR="00F33803">
        <w:rPr>
          <w:rFonts w:ascii="Times New Roman" w:hAnsi="Times New Roman" w:cs="Times New Roman"/>
          <w:sz w:val="24"/>
        </w:rPr>
        <w:t> </w:t>
      </w:r>
      <w:r w:rsidRPr="002558D3" w:rsidR="00650B74">
        <w:rPr>
          <w:rFonts w:ascii="Times New Roman" w:hAnsi="Times New Roman" w:cs="Times New Roman"/>
          <w:sz w:val="24"/>
        </w:rPr>
        <w:t>8</w:t>
      </w:r>
      <w:r w:rsidRPr="002558D3" w:rsidR="0053738B">
        <w:rPr>
          <w:rFonts w:ascii="Times New Roman" w:hAnsi="Times New Roman" w:cs="Times New Roman"/>
          <w:sz w:val="24"/>
        </w:rPr>
        <w:t>0</w:t>
      </w:r>
      <w:r w:rsidRPr="002558D3" w:rsidR="006C226B">
        <w:rPr>
          <w:rFonts w:ascii="Times New Roman" w:hAnsi="Times New Roman" w:cs="Times New Roman"/>
          <w:sz w:val="24"/>
        </w:rPr>
        <w:t>,</w:t>
      </w:r>
      <w:r w:rsidRPr="002558D3" w:rsidR="0053738B">
        <w:rPr>
          <w:rFonts w:ascii="Times New Roman" w:hAnsi="Times New Roman" w:cs="Times New Roman"/>
          <w:sz w:val="24"/>
        </w:rPr>
        <w:t>9</w:t>
      </w:r>
      <w:r w:rsidRPr="002558D3" w:rsidR="008E09B7">
        <w:rPr>
          <w:rFonts w:ascii="Times New Roman" w:hAnsi="Times New Roman" w:cs="Times New Roman"/>
          <w:sz w:val="24"/>
        </w:rPr>
        <w:t xml:space="preserve"> </w:t>
      </w:r>
      <w:r w:rsidRPr="002558D3" w:rsidR="00650B74">
        <w:rPr>
          <w:rFonts w:ascii="Times New Roman" w:hAnsi="Times New Roman" w:cs="Times New Roman"/>
          <w:sz w:val="24"/>
        </w:rPr>
        <w:t>% HDP</w:t>
      </w:r>
      <w:r w:rsidRPr="002558D3" w:rsidR="008E09B7">
        <w:rPr>
          <w:rFonts w:ascii="Times New Roman" w:hAnsi="Times New Roman" w:cs="Times New Roman"/>
          <w:sz w:val="24"/>
        </w:rPr>
        <w:t xml:space="preserve">. </w:t>
      </w:r>
    </w:p>
    <w:p w:rsidR="00B6300A" w:rsidRPr="002558D3" w:rsidP="00CB12E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58D3" w:rsidR="00F73BE1">
        <w:rPr>
          <w:rFonts w:ascii="Times New Roman" w:hAnsi="Times New Roman" w:cs="Times New Roman"/>
          <w:sz w:val="24"/>
        </w:rPr>
        <w:t xml:space="preserve"> </w:t>
      </w:r>
    </w:p>
    <w:p w:rsidR="00E30C89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8E09B7">
        <w:rPr>
          <w:rFonts w:ascii="Times New Roman" w:hAnsi="Times New Roman" w:cs="Times New Roman"/>
          <w:sz w:val="24"/>
        </w:rPr>
        <w:t xml:space="preserve">Medziročná zmena je </w:t>
      </w:r>
      <w:r w:rsidRPr="002558D3" w:rsidR="00E93358">
        <w:rPr>
          <w:rFonts w:ascii="Times New Roman" w:hAnsi="Times New Roman" w:cs="Times New Roman"/>
          <w:sz w:val="24"/>
        </w:rPr>
        <w:t xml:space="preserve">predovšetkým </w:t>
      </w:r>
      <w:r w:rsidRPr="002558D3" w:rsidR="008E09B7">
        <w:rPr>
          <w:rFonts w:ascii="Times New Roman" w:hAnsi="Times New Roman" w:cs="Times New Roman"/>
          <w:sz w:val="24"/>
        </w:rPr>
        <w:t>dôsledkom</w:t>
      </w:r>
      <w:r w:rsidRPr="002558D3" w:rsidR="00650B74">
        <w:rPr>
          <w:rFonts w:ascii="Times New Roman" w:hAnsi="Times New Roman" w:cs="Times New Roman"/>
          <w:sz w:val="24"/>
        </w:rPr>
        <w:t xml:space="preserve"> aktualizácie dlhodobých </w:t>
      </w:r>
      <w:r w:rsidRPr="002558D3" w:rsidR="00F73BE1">
        <w:rPr>
          <w:rFonts w:ascii="Times New Roman" w:hAnsi="Times New Roman" w:cs="Times New Roman"/>
          <w:sz w:val="24"/>
        </w:rPr>
        <w:t>projekcií</w:t>
      </w:r>
      <w:r w:rsidRPr="002558D3" w:rsidR="00650B74">
        <w:rPr>
          <w:rFonts w:ascii="Times New Roman" w:hAnsi="Times New Roman" w:cs="Times New Roman"/>
          <w:sz w:val="24"/>
        </w:rPr>
        <w:t xml:space="preserve"> výdavkov spojených so starnutím populácie</w:t>
      </w:r>
      <w:r w:rsidRPr="002558D3" w:rsidR="00E91C7F">
        <w:rPr>
          <w:rFonts w:ascii="Times New Roman" w:hAnsi="Times New Roman" w:cs="Times New Roman"/>
          <w:sz w:val="24"/>
        </w:rPr>
        <w:t>, najmä v oblasti zdravotníctva</w:t>
      </w:r>
      <w:r w:rsidRPr="002558D3" w:rsidR="0082642E">
        <w:rPr>
          <w:rFonts w:ascii="Times New Roman" w:hAnsi="Times New Roman" w:cs="Times New Roman"/>
          <w:sz w:val="24"/>
        </w:rPr>
        <w:t xml:space="preserve"> (viac v boxe 1)</w:t>
      </w:r>
      <w:r w:rsidRPr="002558D3" w:rsidR="00614F59">
        <w:rPr>
          <w:rFonts w:ascii="Times New Roman" w:hAnsi="Times New Roman" w:cs="Times New Roman"/>
          <w:sz w:val="24"/>
        </w:rPr>
        <w:t>.</w:t>
      </w:r>
      <w:r w:rsidRPr="002558D3" w:rsidR="00B6300A">
        <w:rPr>
          <w:rFonts w:ascii="Times New Roman" w:hAnsi="Times New Roman" w:cs="Times New Roman"/>
          <w:sz w:val="24"/>
        </w:rPr>
        <w:t xml:space="preserve"> </w:t>
      </w:r>
      <w:r w:rsidRPr="002558D3" w:rsidR="004775B2">
        <w:rPr>
          <w:rFonts w:ascii="Times New Roman" w:hAnsi="Times New Roman" w:cs="Times New Roman"/>
          <w:sz w:val="24"/>
        </w:rPr>
        <w:t>V</w:t>
      </w:r>
      <w:r w:rsidRPr="002558D3" w:rsidR="00B6300A">
        <w:rPr>
          <w:rFonts w:ascii="Times New Roman" w:hAnsi="Times New Roman" w:cs="Times New Roman"/>
          <w:sz w:val="24"/>
        </w:rPr>
        <w:t xml:space="preserve"> prípade Slovenskej republiky </w:t>
      </w:r>
      <w:r w:rsidRPr="002558D3" w:rsidR="004775B2">
        <w:rPr>
          <w:rFonts w:ascii="Times New Roman" w:hAnsi="Times New Roman" w:cs="Times New Roman"/>
          <w:sz w:val="24"/>
        </w:rPr>
        <w:t xml:space="preserve">sú prvýkrát </w:t>
      </w:r>
      <w:r w:rsidRPr="002558D3" w:rsidR="00B6300A">
        <w:rPr>
          <w:rFonts w:ascii="Times New Roman" w:hAnsi="Times New Roman" w:cs="Times New Roman"/>
          <w:sz w:val="24"/>
        </w:rPr>
        <w:t xml:space="preserve">zahrnuté </w:t>
      </w:r>
      <w:r w:rsidRPr="002558D3" w:rsidR="004775B2">
        <w:rPr>
          <w:rFonts w:ascii="Times New Roman" w:hAnsi="Times New Roman" w:cs="Times New Roman"/>
          <w:sz w:val="24"/>
        </w:rPr>
        <w:t xml:space="preserve">aj </w:t>
      </w:r>
      <w:r w:rsidRPr="002558D3" w:rsidR="00B6300A">
        <w:rPr>
          <w:rFonts w:ascii="Times New Roman" w:hAnsi="Times New Roman" w:cs="Times New Roman"/>
          <w:sz w:val="24"/>
        </w:rPr>
        <w:t xml:space="preserve">vplyvy reformy </w:t>
      </w:r>
      <w:r w:rsidRPr="002558D3" w:rsidR="00C006E9">
        <w:rPr>
          <w:rFonts w:ascii="Times New Roman" w:hAnsi="Times New Roman" w:cs="Times New Roman"/>
          <w:sz w:val="24"/>
        </w:rPr>
        <w:t xml:space="preserve">dôchodkov </w:t>
      </w:r>
      <w:r w:rsidRPr="002558D3" w:rsidR="00B6300A">
        <w:rPr>
          <w:rFonts w:ascii="Times New Roman" w:hAnsi="Times New Roman" w:cs="Times New Roman"/>
          <w:sz w:val="24"/>
        </w:rPr>
        <w:t>výsluhových zložiek z roku 2013. Nová projekcia je</w:t>
      </w:r>
      <w:r w:rsidRPr="002558D3" w:rsidR="004775B2">
        <w:rPr>
          <w:rFonts w:ascii="Times New Roman" w:hAnsi="Times New Roman" w:cs="Times New Roman"/>
          <w:sz w:val="24"/>
        </w:rPr>
        <w:t xml:space="preserve"> zároveň </w:t>
      </w:r>
      <w:r w:rsidRPr="002558D3" w:rsidR="00B6300A">
        <w:rPr>
          <w:rFonts w:ascii="Times New Roman" w:hAnsi="Times New Roman" w:cs="Times New Roman"/>
          <w:sz w:val="24"/>
        </w:rPr>
        <w:t xml:space="preserve">ovplyvnená aj výraznou revíziou </w:t>
      </w:r>
      <w:r w:rsidRPr="002558D3" w:rsidR="004775B2">
        <w:rPr>
          <w:rFonts w:ascii="Times New Roman" w:hAnsi="Times New Roman" w:cs="Times New Roman"/>
          <w:sz w:val="24"/>
        </w:rPr>
        <w:t xml:space="preserve">makroekonomických </w:t>
      </w:r>
      <w:r w:rsidRPr="002558D3" w:rsidR="00B6300A">
        <w:rPr>
          <w:rFonts w:ascii="Times New Roman" w:hAnsi="Times New Roman" w:cs="Times New Roman"/>
          <w:sz w:val="24"/>
        </w:rPr>
        <w:t>predpokladov</w:t>
      </w:r>
      <w:r w:rsidRPr="002558D3" w:rsidR="00E91C7F">
        <w:rPr>
          <w:rFonts w:ascii="Times New Roman" w:hAnsi="Times New Roman" w:cs="Times New Roman"/>
          <w:sz w:val="24"/>
        </w:rPr>
        <w:t>, </w:t>
      </w:r>
      <w:r w:rsidRPr="002558D3" w:rsidR="00B6300A">
        <w:rPr>
          <w:rFonts w:ascii="Times New Roman" w:hAnsi="Times New Roman" w:cs="Times New Roman"/>
          <w:sz w:val="24"/>
        </w:rPr>
        <w:t>demografie</w:t>
      </w:r>
      <w:r w:rsidRPr="002558D3" w:rsidR="00E91C7F">
        <w:rPr>
          <w:rFonts w:ascii="Times New Roman" w:hAnsi="Times New Roman" w:cs="Times New Roman"/>
          <w:sz w:val="24"/>
        </w:rPr>
        <w:t xml:space="preserve"> a </w:t>
      </w:r>
      <w:r w:rsidRPr="002558D3" w:rsidR="00EF2124">
        <w:rPr>
          <w:rFonts w:ascii="Times New Roman" w:hAnsi="Times New Roman" w:cs="Times New Roman"/>
          <w:sz w:val="24"/>
        </w:rPr>
        <w:t>tiež</w:t>
      </w:r>
      <w:r w:rsidRPr="002558D3" w:rsidR="00E91C7F">
        <w:rPr>
          <w:rFonts w:ascii="Times New Roman" w:hAnsi="Times New Roman" w:cs="Times New Roman"/>
          <w:sz w:val="24"/>
        </w:rPr>
        <w:t xml:space="preserve"> vplyvom aktualizácie systému národných účtov ESA 2010.</w:t>
      </w:r>
    </w:p>
    <w:p w:rsidR="006B63E7" w:rsidRPr="00F73BE1">
      <w:pPr>
        <w:bidi w:val="0"/>
        <w:rPr>
          <w:rFonts w:ascii="Times New Roman" w:hAnsi="Times New Roman" w:cs="Times New Roman"/>
        </w:rPr>
      </w:pPr>
      <w:r w:rsidRPr="00F73BE1">
        <w:rPr>
          <w:rFonts w:ascii="Times New Roman" w:hAnsi="Times New Roman" w:cs="Times New Roman"/>
        </w:rPr>
        <w:br w:type="page"/>
      </w:r>
    </w:p>
    <w:p w:rsidR="0055664A" w:rsidRPr="00F73BE1" w:rsidP="00CB12EE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C7715" w:rsidRPr="00F73BE1" w:rsidP="00007FB3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b/>
        </w:rPr>
      </w:pPr>
      <w:r w:rsidRPr="00F73BE1" w:rsidR="00F979FA">
        <w:rPr>
          <w:rFonts w:ascii="Times New Roman" w:hAnsi="Times New Roman" w:cs="Times New Roman"/>
          <w:b/>
        </w:rPr>
        <w:t>Záväzky spojené so starnutím populácie</w:t>
      </w:r>
      <w:r w:rsidRPr="00F73BE1">
        <w:rPr>
          <w:rFonts w:ascii="Times New Roman" w:hAnsi="Times New Roman" w:cs="Times New Roman"/>
          <w:b/>
        </w:rPr>
        <w:t xml:space="preserve"> </w:t>
      </w:r>
    </w:p>
    <w:p w:rsidR="00007FB3" w:rsidRPr="00F73BE1" w:rsidP="00007FB3">
      <w:pPr>
        <w:pStyle w:val="ListParagraph"/>
        <w:bidi w:val="0"/>
        <w:jc w:val="both"/>
        <w:rPr>
          <w:rFonts w:ascii="Times New Roman" w:hAnsi="Times New Roman" w:cs="Times New Roman"/>
          <w:b/>
        </w:rPr>
      </w:pPr>
      <w:r w:rsidR="00F73BE1">
        <w:rPr>
          <w:rFonts w:ascii="Times New Roman" w:hAnsi="Times New Roman" w:cs="Times New Roman"/>
          <w:b/>
        </w:rPr>
        <w:t xml:space="preserve"> </w:t>
      </w:r>
    </w:p>
    <w:p w:rsidR="00F979FA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DC7715">
        <w:rPr>
          <w:rFonts w:ascii="Times New Roman" w:hAnsi="Times New Roman" w:cs="Times New Roman"/>
          <w:sz w:val="24"/>
        </w:rPr>
        <w:t>Základom kvantifikácie sú predpoklady a projekcie pracovnej skupiny AWG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4"/>
      </w:r>
      <w:r w:rsidRPr="002558D3" w:rsidR="00DC7715">
        <w:rPr>
          <w:rFonts w:ascii="Times New Roman" w:hAnsi="Times New Roman" w:cs="Times New Roman"/>
          <w:sz w:val="24"/>
        </w:rPr>
        <w:t xml:space="preserve"> zaoberajúcej sa vplyvmi starnutia populácie na verejné financie členských krajín</w:t>
      </w:r>
      <w:r w:rsidRPr="002558D3" w:rsidR="003D49CE">
        <w:rPr>
          <w:rFonts w:ascii="Times New Roman" w:hAnsi="Times New Roman" w:cs="Times New Roman"/>
          <w:sz w:val="24"/>
        </w:rPr>
        <w:t xml:space="preserve"> EÚ</w:t>
      </w:r>
      <w:r w:rsidRPr="002558D3" w:rsidR="00DC7715">
        <w:rPr>
          <w:rFonts w:ascii="Times New Roman" w:hAnsi="Times New Roman" w:cs="Times New Roman"/>
          <w:sz w:val="24"/>
        </w:rPr>
        <w:t xml:space="preserve">. Táto pracovná skupina publikuje každé tri roky  </w:t>
      </w:r>
      <w:r w:rsidRPr="002558D3" w:rsidR="00DC7715">
        <w:rPr>
          <w:rFonts w:ascii="Times New Roman" w:hAnsi="Times New Roman" w:cs="Times New Roman"/>
          <w:color w:val="000000"/>
          <w:sz w:val="24"/>
        </w:rPr>
        <w:t xml:space="preserve">dlhodobé projekcie príjmov a výdavkov citlivých na starnutie populácie do roku 2060 na základe projekcií demografického vývoja Eurostatu a dlhodobých makroekonomických projekcií Európskej komisie (EK). </w:t>
      </w:r>
      <w:r w:rsidRPr="002558D3" w:rsidR="00D11B80">
        <w:rPr>
          <w:rFonts w:ascii="Times New Roman" w:hAnsi="Times New Roman" w:cs="Times New Roman"/>
          <w:sz w:val="24"/>
        </w:rPr>
        <w:t>Odhad implicitných záväzkov spojených so starnutím populácie</w:t>
      </w:r>
      <w:r w:rsidRPr="002558D3" w:rsidR="004C1B5F">
        <w:rPr>
          <w:rFonts w:ascii="Times New Roman" w:hAnsi="Times New Roman" w:cs="Times New Roman"/>
          <w:sz w:val="24"/>
        </w:rPr>
        <w:t xml:space="preserve"> v scenári nezmenených politík</w:t>
      </w:r>
      <w:r w:rsidRPr="002558D3" w:rsidR="00D11B80">
        <w:rPr>
          <w:rFonts w:ascii="Times New Roman" w:hAnsi="Times New Roman" w:cs="Times New Roman"/>
          <w:sz w:val="24"/>
        </w:rPr>
        <w:t xml:space="preserve"> je založený na </w:t>
      </w:r>
      <w:r w:rsidRPr="002558D3" w:rsidR="00FD16C3">
        <w:rPr>
          <w:rFonts w:ascii="Times New Roman" w:hAnsi="Times New Roman" w:cs="Times New Roman"/>
          <w:sz w:val="24"/>
        </w:rPr>
        <w:t>aktuálnych</w:t>
      </w:r>
      <w:r w:rsidRPr="002558D3" w:rsidR="00D11B80">
        <w:rPr>
          <w:rFonts w:ascii="Times New Roman" w:hAnsi="Times New Roman" w:cs="Times New Roman"/>
          <w:sz w:val="24"/>
        </w:rPr>
        <w:t xml:space="preserve"> projekciách</w:t>
      </w:r>
      <w:r w:rsidRPr="002558D3" w:rsidR="00FD16C3">
        <w:rPr>
          <w:rFonts w:ascii="Times New Roman" w:hAnsi="Times New Roman" w:cs="Times New Roman"/>
          <w:sz w:val="24"/>
        </w:rPr>
        <w:t xml:space="preserve"> pracovnej skupiny AWG</w:t>
      </w:r>
      <w:r w:rsidRPr="002558D3" w:rsidR="004775B2">
        <w:rPr>
          <w:rFonts w:ascii="Times New Roman" w:hAnsi="Times New Roman" w:cs="Times New Roman"/>
          <w:sz w:val="24"/>
        </w:rPr>
        <w:t xml:space="preserve"> z roku 2015</w:t>
      </w:r>
      <w:r w:rsidRPr="002558D3" w:rsidR="00D11B80">
        <w:rPr>
          <w:rFonts w:ascii="Times New Roman" w:hAnsi="Times New Roman" w:cs="Times New Roman"/>
          <w:sz w:val="24"/>
        </w:rPr>
        <w:t>.</w:t>
      </w:r>
      <w:r w:rsidRPr="002558D3" w:rsidR="002630F2">
        <w:rPr>
          <w:rFonts w:ascii="Times New Roman" w:hAnsi="Times New Roman" w:cs="Times New Roman"/>
          <w:sz w:val="24"/>
        </w:rPr>
        <w:t xml:space="preserve"> </w:t>
      </w:r>
    </w:p>
    <w:p w:rsidR="00DC7715" w:rsidRPr="002558D3" w:rsidP="00353746">
      <w:pPr>
        <w:bidi w:val="0"/>
        <w:spacing w:after="0"/>
        <w:rPr>
          <w:rFonts w:ascii="Times New Roman" w:hAnsi="Times New Roman" w:cs="Times New Roman"/>
          <w:sz w:val="24"/>
        </w:rPr>
      </w:pPr>
    </w:p>
    <w:p w:rsidR="00373B7C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 xml:space="preserve">Postup výpočtu </w:t>
      </w:r>
      <w:r w:rsidRPr="002558D3" w:rsidR="002630F2">
        <w:rPr>
          <w:rFonts w:ascii="Times New Roman" w:hAnsi="Times New Roman" w:cs="Times New Roman"/>
          <w:sz w:val="24"/>
        </w:rPr>
        <w:t xml:space="preserve">záväzkov spojených so starnutím </w:t>
      </w:r>
      <w:r w:rsidRPr="002558D3">
        <w:rPr>
          <w:rFonts w:ascii="Times New Roman" w:hAnsi="Times New Roman" w:cs="Times New Roman"/>
          <w:sz w:val="24"/>
        </w:rPr>
        <w:t>možno rozdeliť do dvoch krokov:</w:t>
      </w:r>
    </w:p>
    <w:p w:rsidR="00373B7C" w:rsidRPr="002558D3" w:rsidP="00373B7C">
      <w:pPr>
        <w:bidi w:val="0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373B7C" w:rsidRPr="002558D3" w:rsidP="00353746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 xml:space="preserve">Prvým krokom výpočtu je zostavenie bilancie príjmov a výdavkov spojených so starnutím populácie, pričom východiskovým rokom je </w:t>
      </w:r>
      <w:r w:rsidRPr="002558D3" w:rsidR="00F73BE1">
        <w:rPr>
          <w:rFonts w:ascii="Times New Roman" w:hAnsi="Times New Roman" w:cs="Times New Roman"/>
          <w:sz w:val="24"/>
        </w:rPr>
        <w:t xml:space="preserve">rok </w:t>
      </w:r>
      <w:r w:rsidRPr="002558D3" w:rsidR="00C53E0E">
        <w:rPr>
          <w:rFonts w:ascii="Times New Roman" w:hAnsi="Times New Roman" w:cs="Times New Roman"/>
          <w:sz w:val="24"/>
        </w:rPr>
        <w:t>201</w:t>
      </w:r>
      <w:r w:rsidRPr="002558D3" w:rsidR="00E91C7F">
        <w:rPr>
          <w:rFonts w:ascii="Times New Roman" w:hAnsi="Times New Roman" w:cs="Times New Roman"/>
          <w:sz w:val="24"/>
        </w:rPr>
        <w:t>5</w:t>
      </w:r>
      <w:r w:rsidRPr="002558D3">
        <w:rPr>
          <w:rFonts w:ascii="Times New Roman" w:hAnsi="Times New Roman" w:cs="Times New Roman"/>
          <w:sz w:val="24"/>
        </w:rPr>
        <w:t xml:space="preserve">, </w:t>
      </w:r>
      <w:r w:rsidRPr="002558D3" w:rsidR="00353746">
        <w:rPr>
          <w:rFonts w:ascii="Times New Roman" w:hAnsi="Times New Roman" w:cs="Times New Roman"/>
          <w:sz w:val="24"/>
        </w:rPr>
        <w:t>t.</w:t>
      </w:r>
      <w:r w:rsidRPr="002558D3" w:rsidR="00F73BE1">
        <w:rPr>
          <w:rFonts w:ascii="Times New Roman" w:hAnsi="Times New Roman" w:cs="Times New Roman"/>
          <w:sz w:val="24"/>
        </w:rPr>
        <w:t xml:space="preserve"> </w:t>
      </w:r>
      <w:r w:rsidRPr="002558D3" w:rsidR="00353746">
        <w:rPr>
          <w:rFonts w:ascii="Times New Roman" w:hAnsi="Times New Roman" w:cs="Times New Roman"/>
          <w:sz w:val="24"/>
        </w:rPr>
        <w:t>j. rok, z ktorého sa vychádza pri zostavovaní rozpočtu verejnej správy na roky 201</w:t>
      </w:r>
      <w:r w:rsidRPr="002558D3" w:rsidR="00E91C7F">
        <w:rPr>
          <w:rFonts w:ascii="Times New Roman" w:hAnsi="Times New Roman" w:cs="Times New Roman"/>
          <w:sz w:val="24"/>
        </w:rPr>
        <w:t>6</w:t>
      </w:r>
      <w:r w:rsidRPr="002558D3" w:rsidR="002630F2">
        <w:rPr>
          <w:rFonts w:ascii="Times New Roman" w:hAnsi="Times New Roman" w:cs="Times New Roman"/>
          <w:sz w:val="24"/>
        </w:rPr>
        <w:t xml:space="preserve"> až 201</w:t>
      </w:r>
      <w:r w:rsidRPr="002558D3" w:rsidR="00E91C7F">
        <w:rPr>
          <w:rFonts w:ascii="Times New Roman" w:hAnsi="Times New Roman" w:cs="Times New Roman"/>
          <w:sz w:val="24"/>
        </w:rPr>
        <w:t>8</w:t>
      </w:r>
      <w:r w:rsidRPr="002558D3" w:rsidR="00353746">
        <w:rPr>
          <w:rFonts w:ascii="Times New Roman" w:hAnsi="Times New Roman" w:cs="Times New Roman"/>
          <w:sz w:val="24"/>
        </w:rPr>
        <w:t xml:space="preserve">. </w:t>
      </w:r>
      <w:r w:rsidRPr="002558D3" w:rsidR="003D49CE">
        <w:rPr>
          <w:rFonts w:ascii="Times New Roman" w:hAnsi="Times New Roman" w:cs="Times New Roman"/>
          <w:sz w:val="24"/>
        </w:rPr>
        <w:t>Zostavuje sa do roku 2060 (posledný rok projekcií AWG). Po tomto roku sa vo výpočtoch uvažuje s konštantnými podielmi jednotlivých príjmov a výdavkov na HDP.</w:t>
      </w:r>
    </w:p>
    <w:p w:rsidR="00373B7C" w:rsidRPr="002558D3" w:rsidP="00373B7C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 xml:space="preserve">V druhom kroku sa vyčísli suma súčasnej </w:t>
      </w:r>
      <w:r w:rsidRPr="002558D3" w:rsidR="00353746">
        <w:rPr>
          <w:rFonts w:ascii="Times New Roman" w:hAnsi="Times New Roman" w:cs="Times New Roman"/>
          <w:sz w:val="24"/>
        </w:rPr>
        <w:t xml:space="preserve">(diskontovanej) </w:t>
      </w:r>
      <w:r w:rsidRPr="002558D3">
        <w:rPr>
          <w:rFonts w:ascii="Times New Roman" w:hAnsi="Times New Roman" w:cs="Times New Roman"/>
          <w:sz w:val="24"/>
        </w:rPr>
        <w:t>hodnoty tejto bilancie v </w:t>
      </w:r>
      <w:r w:rsidRPr="002558D3" w:rsidR="003D49CE">
        <w:rPr>
          <w:rFonts w:ascii="Times New Roman" w:hAnsi="Times New Roman" w:cs="Times New Roman"/>
          <w:sz w:val="24"/>
        </w:rPr>
        <w:t>nekonečnom</w:t>
      </w:r>
      <w:r w:rsidRPr="002558D3">
        <w:rPr>
          <w:rFonts w:ascii="Times New Roman" w:hAnsi="Times New Roman" w:cs="Times New Roman"/>
          <w:sz w:val="24"/>
        </w:rPr>
        <w:t xml:space="preserve"> horizonte. Táto suma predstavuje samotnú výšku implicitných záväzkov.</w:t>
      </w:r>
    </w:p>
    <w:p w:rsidR="00C5744E" w:rsidRPr="002558D3" w:rsidP="008839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58D3" w:rsidR="00F73BE1">
        <w:rPr>
          <w:rFonts w:ascii="Times New Roman" w:hAnsi="Times New Roman" w:cs="Times New Roman"/>
          <w:sz w:val="24"/>
        </w:rPr>
        <w:t xml:space="preserve"> </w:t>
      </w:r>
    </w:p>
    <w:p w:rsidR="00431A4A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>Na strane príjmov ide konkrétne o príjmy Sociálnej poisťovne plynúce z dôchodkového poistenia a poistenia v nezamestnanosti a zdravotných poisťovní zo zdravotného poistenia. Ide o príjmy od ekonomicky aktívneho obyvateľstva a dlžné poistné. Časť výdavkov citlivých na starnutie populácie je financovaná aj z daní a iných príjmov. Vo výpočtoch sa uvažuje s nimi tak, aby vo východiskovom roku vykryli rozdiel príjmov a výdavkov spojených so starnutím populácie (prostredníctvom bilancujúcej položky - ostatné príjmy)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5"/>
      </w:r>
      <w:r w:rsidRPr="002558D3" w:rsidR="00AD6879">
        <w:rPr>
          <w:rFonts w:ascii="Times New Roman" w:hAnsi="Times New Roman" w:cs="Times New Roman"/>
          <w:sz w:val="24"/>
        </w:rPr>
        <w:t>.</w:t>
      </w:r>
      <w:r w:rsidRPr="002558D3">
        <w:rPr>
          <w:rFonts w:ascii="Times New Roman" w:hAnsi="Times New Roman" w:cs="Times New Roman"/>
          <w:sz w:val="24"/>
        </w:rPr>
        <w:t xml:space="preserve"> </w:t>
      </w:r>
    </w:p>
    <w:p w:rsidR="00431A4A" w:rsidRPr="002558D3" w:rsidP="008839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58D3" w:rsidR="00F73BE1">
        <w:rPr>
          <w:rFonts w:ascii="Times New Roman" w:hAnsi="Times New Roman" w:cs="Times New Roman"/>
          <w:sz w:val="24"/>
        </w:rPr>
        <w:t xml:space="preserve"> </w:t>
      </w:r>
    </w:p>
    <w:p w:rsidR="00431A4A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>Vo všeobecnosti sa v prognózovanom období uvažuje s</w:t>
      </w:r>
      <w:r w:rsidRPr="002558D3" w:rsidR="004978C1">
        <w:rPr>
          <w:rFonts w:ascii="Times New Roman" w:hAnsi="Times New Roman" w:cs="Times New Roman"/>
          <w:sz w:val="24"/>
        </w:rPr>
        <w:t xml:space="preserve"> približne </w:t>
      </w:r>
      <w:r w:rsidRPr="002558D3">
        <w:rPr>
          <w:rFonts w:ascii="Times New Roman" w:hAnsi="Times New Roman" w:cs="Times New Roman"/>
          <w:sz w:val="24"/>
        </w:rPr>
        <w:t>nezmeneným podielom uvedených príjmov na HDP, čo zodpovedá teoretickému predpokladu o tom, že daňové príjmy a odvody by mali v dlhodobom horizonte rásť v súlade s rastom nominálneho HDP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6"/>
      </w:r>
      <w:r w:rsidRPr="002558D3">
        <w:rPr>
          <w:rFonts w:ascii="Times New Roman" w:hAnsi="Times New Roman" w:cs="Times New Roman"/>
          <w:sz w:val="24"/>
        </w:rPr>
        <w:t>. Prípadná zmena podielu príjmov z dôchodkového poistenia na HDP v čase by súvisela s tým, že časť odvodov je presmerovaná do II. piliera dôchodkového systému (t.</w:t>
      </w:r>
      <w:r w:rsidRPr="002558D3" w:rsidR="00F73BE1">
        <w:rPr>
          <w:rFonts w:ascii="Times New Roman" w:hAnsi="Times New Roman" w:cs="Times New Roman"/>
          <w:sz w:val="24"/>
        </w:rPr>
        <w:t xml:space="preserve"> </w:t>
      </w:r>
      <w:r w:rsidRPr="002558D3">
        <w:rPr>
          <w:rFonts w:ascii="Times New Roman" w:hAnsi="Times New Roman" w:cs="Times New Roman"/>
          <w:sz w:val="24"/>
        </w:rPr>
        <w:t>j. mimo sektor verejnej správy), pričom táto časť sa v čase môže meniť v dôsledku zmeny podielu sporiteľov na celkovom počte poistencov.</w:t>
      </w:r>
    </w:p>
    <w:p w:rsidR="00746170" w:rsidRPr="002558D3" w:rsidP="008839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58D3" w:rsidR="00F73BE1">
        <w:rPr>
          <w:rFonts w:ascii="Times New Roman" w:hAnsi="Times New Roman" w:cs="Times New Roman"/>
          <w:sz w:val="24"/>
        </w:rPr>
        <w:t xml:space="preserve"> </w:t>
      </w:r>
    </w:p>
    <w:p w:rsidR="00431A4A" w:rsidRPr="002558D3" w:rsidP="00F73BE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5D02DB">
        <w:rPr>
          <w:rFonts w:ascii="Times New Roman" w:hAnsi="Times New Roman" w:cs="Times New Roman"/>
          <w:sz w:val="24"/>
        </w:rPr>
        <w:t>Na strane výdavkov ide o výdavky na dôchodkové dávky, zdravotnú a dlhodobú starostlivosť, školstvo a dávky v nezamestnanosti.</w:t>
      </w:r>
      <w:r w:rsidRPr="002558D3" w:rsidR="00E51A0A">
        <w:rPr>
          <w:rFonts w:ascii="Times New Roman" w:hAnsi="Times New Roman" w:cs="Times New Roman"/>
          <w:sz w:val="24"/>
        </w:rPr>
        <w:t xml:space="preserve"> </w:t>
      </w:r>
      <w:r w:rsidRPr="002558D3" w:rsidR="003C5779">
        <w:rPr>
          <w:rFonts w:ascii="Times New Roman" w:hAnsi="Times New Roman" w:cs="Times New Roman"/>
          <w:sz w:val="24"/>
        </w:rPr>
        <w:t>Neuvažuje</w:t>
      </w:r>
      <w:r w:rsidRPr="002558D3" w:rsidR="001B57C8">
        <w:rPr>
          <w:rFonts w:ascii="Times New Roman" w:hAnsi="Times New Roman" w:cs="Times New Roman"/>
          <w:sz w:val="24"/>
        </w:rPr>
        <w:t xml:space="preserve"> sa tu so zmenou úrokových nákladov vyvolaných zmenou primárneho salda verejnej správy v dôsledku starnutia populácie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7"/>
      </w:r>
      <w:r w:rsidRPr="002558D3" w:rsidR="001B57C8">
        <w:rPr>
          <w:rFonts w:ascii="Times New Roman" w:hAnsi="Times New Roman" w:cs="Times New Roman"/>
          <w:sz w:val="24"/>
        </w:rPr>
        <w:t xml:space="preserve">. </w:t>
      </w:r>
      <w:r w:rsidRPr="002558D3">
        <w:rPr>
          <w:rFonts w:ascii="Times New Roman" w:hAnsi="Times New Roman" w:cs="Times New Roman"/>
          <w:sz w:val="24"/>
        </w:rPr>
        <w:t xml:space="preserve">V prípade výdavkov na dôchodkové dávky ide o projekcie MF SR konzultované a schvaľované v rámci </w:t>
      </w:r>
      <w:r w:rsidRPr="002558D3" w:rsidR="009F6EE1">
        <w:rPr>
          <w:rFonts w:ascii="Times New Roman" w:hAnsi="Times New Roman" w:cs="Times New Roman"/>
          <w:sz w:val="24"/>
        </w:rPr>
        <w:t xml:space="preserve">pracovnej skupiny </w:t>
      </w:r>
      <w:r w:rsidRPr="002558D3">
        <w:rPr>
          <w:rFonts w:ascii="Times New Roman" w:hAnsi="Times New Roman" w:cs="Times New Roman"/>
          <w:sz w:val="24"/>
        </w:rPr>
        <w:t>AWG. Projekcie ostatných výdavkov sú prevzaté priamo z AWG.</w:t>
      </w:r>
    </w:p>
    <w:p w:rsidR="008C658A" w:rsidRPr="00F73BE1" w:rsidP="00431A4A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789"/>
        <w:gridCol w:w="790"/>
        <w:gridCol w:w="790"/>
        <w:gridCol w:w="789"/>
        <w:gridCol w:w="790"/>
        <w:gridCol w:w="790"/>
        <w:gridCol w:w="790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8C658A" w:rsidRPr="002558D3" w:rsidP="008C658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Vplyv demografických zmien na príjmy a výdavky verejnej správy (% HDP, </w:t>
            </w:r>
            <w:r w:rsidRPr="002558D3" w:rsidR="001753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scenár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nezmenených politík)  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850D1" w:rsidRPr="002558D3" w:rsidP="008850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2060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</w:t>
            </w:r>
            <w:r w:rsidRPr="002558D3" w:rsidR="006C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dôchodkové poistenie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poistenie v nezamestnanosti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zdravotné poistenie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2558D3" w:rsidR="008E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</w:t>
            </w:r>
            <w:r w:rsidRPr="002558D3" w:rsidR="00F3380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58D3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558D3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22,1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dôchodkové dávky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10,7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Pr="002558D3" w:rsidR="005373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Pr="002558D3" w:rsidR="00F338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B30F3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C006E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Primárne saldo diskontované k roku 201</w:t>
            </w:r>
            <w:r w:rsidRPr="002558D3" w:rsidR="00C006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558D3" w:rsidR="00F338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558D3" w:rsidR="00F338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558D3" w:rsidR="00F338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2558D3" w:rsidR="006C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30F3C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2558D3" w:rsidR="00F338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2558D3" w:rsidR="00F338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8850D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p.m. nominálny rast HDP (v %)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</w:t>
            </w:r>
            <w:r w:rsidRPr="002558D3" w:rsidR="006C226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 w:rsidR="00F3380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</w:t>
            </w:r>
            <w:r w:rsidRPr="002558D3" w:rsidR="006C226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2,8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8850D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p.m. nominálna úroková miera (v %)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</w:t>
            </w:r>
            <w:r w:rsidRPr="002558D3" w:rsidR="00F3380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3,</w:t>
            </w:r>
            <w:r w:rsidRPr="002558D3" w:rsidR="00F3380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50D1" w:rsidRPr="002558D3" w:rsidP="002558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5,1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67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2558D3" w:rsidP="008C65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2558D3" w:rsidP="008C65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2558D3" w:rsidP="00DB6BE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58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Zdroj: MF SR, EK</w:t>
            </w:r>
          </w:p>
        </w:tc>
      </w:tr>
    </w:tbl>
    <w:p w:rsidR="009530C6" w:rsidRPr="00F73BE1" w:rsidP="0088390C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2045D4" w:rsidRPr="002558D3" w:rsidP="002558D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397E9A">
        <w:rPr>
          <w:rFonts w:ascii="Times New Roman" w:hAnsi="Times New Roman" w:cs="Times New Roman"/>
          <w:sz w:val="24"/>
        </w:rPr>
        <w:t>Výsledky v tabuľke možno interpretovať tak, že v roku 2060 dôjde v porovnaní s rokom 201</w:t>
      </w:r>
      <w:r w:rsidRPr="002558D3" w:rsidR="00E91C7F">
        <w:rPr>
          <w:rFonts w:ascii="Times New Roman" w:hAnsi="Times New Roman" w:cs="Times New Roman"/>
          <w:sz w:val="24"/>
        </w:rPr>
        <w:t>5</w:t>
      </w:r>
      <w:r w:rsidRPr="002558D3" w:rsidR="00FB1DC7">
        <w:rPr>
          <w:rFonts w:ascii="Times New Roman" w:hAnsi="Times New Roman" w:cs="Times New Roman"/>
          <w:sz w:val="24"/>
        </w:rPr>
        <w:t xml:space="preserve"> k zhoršeniu </w:t>
      </w:r>
      <w:r w:rsidRPr="002558D3" w:rsidR="00EA3DF2">
        <w:rPr>
          <w:rFonts w:ascii="Times New Roman" w:hAnsi="Times New Roman" w:cs="Times New Roman"/>
          <w:sz w:val="24"/>
        </w:rPr>
        <w:t xml:space="preserve">diskontovaného </w:t>
      </w:r>
      <w:r w:rsidRPr="002558D3" w:rsidR="00FB1DC7">
        <w:rPr>
          <w:rFonts w:ascii="Times New Roman" w:hAnsi="Times New Roman" w:cs="Times New Roman"/>
          <w:sz w:val="24"/>
        </w:rPr>
        <w:t xml:space="preserve">primárneho salda </w:t>
      </w:r>
      <w:r w:rsidRPr="002558D3" w:rsidR="003D49CE">
        <w:rPr>
          <w:rFonts w:ascii="Times New Roman" w:hAnsi="Times New Roman" w:cs="Times New Roman"/>
          <w:sz w:val="24"/>
        </w:rPr>
        <w:t>v dôsledku</w:t>
      </w:r>
      <w:r w:rsidRPr="002558D3" w:rsidR="00FB1DC7">
        <w:rPr>
          <w:rFonts w:ascii="Times New Roman" w:hAnsi="Times New Roman" w:cs="Times New Roman"/>
          <w:sz w:val="24"/>
        </w:rPr>
        <w:t xml:space="preserve"> starnuti</w:t>
      </w:r>
      <w:r w:rsidRPr="002558D3" w:rsidR="003D49CE">
        <w:rPr>
          <w:rFonts w:ascii="Times New Roman" w:hAnsi="Times New Roman" w:cs="Times New Roman"/>
          <w:sz w:val="24"/>
        </w:rPr>
        <w:t>a</w:t>
      </w:r>
      <w:r w:rsidRPr="002558D3" w:rsidR="00397E9A">
        <w:rPr>
          <w:rFonts w:ascii="Times New Roman" w:hAnsi="Times New Roman" w:cs="Times New Roman"/>
          <w:sz w:val="24"/>
        </w:rPr>
        <w:t xml:space="preserve"> populácie o</w:t>
      </w:r>
      <w:r w:rsidRPr="002558D3" w:rsidR="00374999">
        <w:rPr>
          <w:rFonts w:ascii="Times New Roman" w:hAnsi="Times New Roman" w:cs="Times New Roman"/>
          <w:sz w:val="24"/>
        </w:rPr>
        <w:t> </w:t>
      </w:r>
      <w:r w:rsidRPr="002558D3" w:rsidR="00A86AC0">
        <w:rPr>
          <w:rFonts w:ascii="Times New Roman" w:hAnsi="Times New Roman" w:cs="Times New Roman"/>
          <w:sz w:val="24"/>
        </w:rPr>
        <w:t>2</w:t>
      </w:r>
      <w:r w:rsidRPr="002558D3" w:rsidR="00374999">
        <w:rPr>
          <w:rFonts w:ascii="Times New Roman" w:hAnsi="Times New Roman" w:cs="Times New Roman"/>
          <w:sz w:val="24"/>
        </w:rPr>
        <w:t>,</w:t>
      </w:r>
      <w:r w:rsidRPr="002558D3" w:rsidR="00A86AC0">
        <w:rPr>
          <w:rFonts w:ascii="Times New Roman" w:hAnsi="Times New Roman" w:cs="Times New Roman"/>
          <w:sz w:val="24"/>
        </w:rPr>
        <w:t>2</w:t>
      </w:r>
      <w:r w:rsidRPr="002558D3" w:rsidR="00397E9A">
        <w:rPr>
          <w:rFonts w:ascii="Times New Roman" w:hAnsi="Times New Roman" w:cs="Times New Roman"/>
          <w:sz w:val="24"/>
        </w:rPr>
        <w:t xml:space="preserve"> p. b. </w:t>
      </w:r>
      <w:r w:rsidRPr="002558D3" w:rsidR="002558D3">
        <w:rPr>
          <w:rFonts w:ascii="Times New Roman" w:hAnsi="Times New Roman" w:cs="Times New Roman"/>
          <w:sz w:val="24"/>
        </w:rPr>
        <w:t xml:space="preserve"> </w:t>
      </w:r>
    </w:p>
    <w:p w:rsidR="007935DE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58D3" w:rsidP="00FD16C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062"/>
      </w:tblGrid>
      <w:tr>
        <w:tblPrEx>
          <w:tblW w:w="0" w:type="auto"/>
          <w:tblLayout w:type="fixed"/>
          <w:tblLook w:val="04A0"/>
        </w:tblPrEx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</w:tcPr>
          <w:p w:rsidR="00A3507B" w:rsidRPr="002558D3" w:rsidP="00A3507B">
            <w:pPr>
              <w:pStyle w:val="Default"/>
              <w:bidi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2558D3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BOX 1 </w:t>
            </w:r>
            <w:r w:rsidRPr="002558D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– </w:t>
            </w:r>
            <w:r w:rsidRPr="002558D3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Aktualizácia implic</w:t>
            </w:r>
            <w:r w:rsidRPr="002558D3" w:rsidR="00601CA4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i</w:t>
            </w:r>
            <w:r w:rsidRPr="002558D3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tných výdavkov spojených so starnutím populácie</w:t>
            </w:r>
          </w:p>
          <w:p w:rsidR="00A3507B" w:rsidRPr="002558D3" w:rsidP="00A3507B">
            <w:pPr>
              <w:pStyle w:val="Default"/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  <w:p w:rsidR="00A3507B" w:rsidRPr="002558D3" w:rsidP="008A380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8D3" w:rsidR="008A3805">
              <w:rPr>
                <w:rFonts w:ascii="Times New Roman" w:hAnsi="Times New Roman" w:cs="Times New Roman"/>
              </w:rPr>
              <w:t>V rozpočte verejnej správy na roky 2015 až 2017 bol uvedený odhad implicitných záväzkov spojených</w:t>
            </w:r>
            <w:r w:rsidRPr="002558D3" w:rsidR="0082642E">
              <w:rPr>
                <w:rFonts w:ascii="Times New Roman" w:hAnsi="Times New Roman" w:cs="Times New Roman"/>
              </w:rPr>
              <w:t xml:space="preserve"> so starnutím populácie na úrov</w:t>
            </w:r>
            <w:r w:rsidRPr="002558D3" w:rsidR="00A54BAE">
              <w:rPr>
                <w:rFonts w:ascii="Times New Roman" w:hAnsi="Times New Roman" w:cs="Times New Roman"/>
              </w:rPr>
              <w:t>ni</w:t>
            </w:r>
            <w:r w:rsidRPr="002558D3" w:rsidR="008A3805">
              <w:rPr>
                <w:rFonts w:ascii="Times New Roman" w:hAnsi="Times New Roman" w:cs="Times New Roman"/>
              </w:rPr>
              <w:t xml:space="preserve"> 230</w:t>
            </w:r>
            <w:r w:rsidRPr="002558D3" w:rsidR="001E3819">
              <w:rPr>
                <w:rFonts w:ascii="Times New Roman" w:hAnsi="Times New Roman" w:cs="Times New Roman"/>
              </w:rPr>
              <w:t xml:space="preserve"> % HDP v roku 201</w:t>
            </w:r>
            <w:r w:rsidRPr="002558D3" w:rsidR="00A54BAE">
              <w:rPr>
                <w:rFonts w:ascii="Times New Roman" w:hAnsi="Times New Roman" w:cs="Times New Roman"/>
              </w:rPr>
              <w:t>4</w:t>
            </w:r>
            <w:r w:rsidRPr="002558D3" w:rsidR="001E3819">
              <w:rPr>
                <w:rFonts w:ascii="Times New Roman" w:hAnsi="Times New Roman" w:cs="Times New Roman"/>
              </w:rPr>
              <w:t>. Aktuálne sa k roku 2015 o</w:t>
            </w:r>
            <w:r w:rsidRPr="002558D3" w:rsidR="008A3805">
              <w:rPr>
                <w:rFonts w:ascii="Times New Roman" w:hAnsi="Times New Roman" w:cs="Times New Roman"/>
              </w:rPr>
              <w:t xml:space="preserve">dhadujú vo výške </w:t>
            </w:r>
            <w:r w:rsidRPr="002558D3" w:rsidR="001E3819">
              <w:rPr>
                <w:rFonts w:ascii="Times New Roman" w:hAnsi="Times New Roman" w:cs="Times New Roman"/>
              </w:rPr>
              <w:t>14</w:t>
            </w:r>
            <w:r w:rsidRPr="002558D3" w:rsidR="006C226B">
              <w:rPr>
                <w:rFonts w:ascii="Times New Roman" w:hAnsi="Times New Roman" w:cs="Times New Roman"/>
              </w:rPr>
              <w:t>8</w:t>
            </w:r>
            <w:r w:rsidRPr="002558D3" w:rsidR="00F33803">
              <w:rPr>
                <w:rFonts w:ascii="Times New Roman" w:hAnsi="Times New Roman" w:cs="Times New Roman"/>
              </w:rPr>
              <w:t>,</w:t>
            </w:r>
            <w:r w:rsidRPr="002558D3" w:rsidR="0053738B">
              <w:rPr>
                <w:rFonts w:ascii="Times New Roman" w:hAnsi="Times New Roman" w:cs="Times New Roman"/>
              </w:rPr>
              <w:t>8</w:t>
            </w:r>
            <w:r w:rsidRPr="002558D3" w:rsidR="008A3805">
              <w:rPr>
                <w:rFonts w:ascii="Times New Roman" w:hAnsi="Times New Roman" w:cs="Times New Roman"/>
              </w:rPr>
              <w:t xml:space="preserve"> % HDP, čo predstavuje pokles záväzkov o</w:t>
            </w:r>
            <w:r w:rsidRPr="002558D3" w:rsidR="00227631">
              <w:rPr>
                <w:rFonts w:ascii="Times New Roman" w:hAnsi="Times New Roman" w:cs="Times New Roman"/>
              </w:rPr>
              <w:t> </w:t>
            </w:r>
            <w:r w:rsidRPr="002558D3" w:rsidR="001E3819">
              <w:rPr>
                <w:rFonts w:ascii="Times New Roman" w:hAnsi="Times New Roman" w:cs="Times New Roman"/>
              </w:rPr>
              <w:t>8</w:t>
            </w:r>
            <w:r w:rsidRPr="002558D3" w:rsidR="006C226B">
              <w:rPr>
                <w:rFonts w:ascii="Times New Roman" w:hAnsi="Times New Roman" w:cs="Times New Roman"/>
              </w:rPr>
              <w:t>1</w:t>
            </w:r>
            <w:r w:rsidRPr="002558D3" w:rsidR="009106B1">
              <w:rPr>
                <w:rFonts w:ascii="Times New Roman" w:hAnsi="Times New Roman" w:cs="Times New Roman"/>
              </w:rPr>
              <w:t>,</w:t>
            </w:r>
            <w:r w:rsidRPr="002558D3" w:rsidR="0053738B">
              <w:rPr>
                <w:rFonts w:ascii="Times New Roman" w:hAnsi="Times New Roman" w:cs="Times New Roman"/>
              </w:rPr>
              <w:t>2</w:t>
            </w:r>
            <w:r w:rsidRPr="002558D3" w:rsidR="008A3805">
              <w:rPr>
                <w:rFonts w:ascii="Times New Roman" w:hAnsi="Times New Roman" w:cs="Times New Roman"/>
              </w:rPr>
              <w:t xml:space="preserve"> </w:t>
            </w:r>
            <w:r w:rsidRPr="002558D3" w:rsidR="001E3819">
              <w:rPr>
                <w:rFonts w:ascii="Times New Roman" w:hAnsi="Times New Roman" w:cs="Times New Roman"/>
              </w:rPr>
              <w:t>% HDP</w:t>
            </w:r>
            <w:r w:rsidRPr="002558D3" w:rsidR="008A3805">
              <w:rPr>
                <w:rFonts w:ascii="Times New Roman" w:hAnsi="Times New Roman" w:cs="Times New Roman"/>
              </w:rPr>
              <w:t xml:space="preserve">. </w:t>
            </w:r>
          </w:p>
          <w:p w:rsidR="0005513F" w:rsidRPr="002558D3" w:rsidP="008A3805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516" w:rsidRPr="002558D3" w:rsidP="00601CA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8D3" w:rsidR="0005513F">
              <w:rPr>
                <w:rFonts w:ascii="Times New Roman" w:hAnsi="Times New Roman" w:cs="Times New Roman"/>
              </w:rPr>
              <w:t>Nová projekcia je ovplyvnená revíziou makroekonomických predpokladov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8"/>
            </w:r>
            <w:r w:rsidRPr="002558D3" w:rsidR="0005513F">
              <w:rPr>
                <w:rFonts w:ascii="Times New Roman" w:hAnsi="Times New Roman" w:cs="Times New Roman"/>
              </w:rPr>
              <w:t xml:space="preserve">, </w:t>
            </w:r>
            <w:r w:rsidRPr="002558D3" w:rsidR="00C006E9">
              <w:rPr>
                <w:rFonts w:ascii="Times New Roman" w:hAnsi="Times New Roman" w:cs="Times New Roman"/>
              </w:rPr>
              <w:t>modelových</w:t>
            </w:r>
            <w:r w:rsidRPr="002558D3" w:rsidR="0005513F">
              <w:rPr>
                <w:rFonts w:ascii="Times New Roman" w:hAnsi="Times New Roman" w:cs="Times New Roman"/>
              </w:rPr>
              <w:t xml:space="preserve"> predpokladov a novým odhadom demografie. V novej projekcii je tiež novinkou zahrnutie systému dôchodkov ozbrojených zložiek a vianočných dôchodkov do projekcií v rámci výdavkov na dôchodky</w:t>
            </w:r>
            <w:r w:rsidRPr="002558D3">
              <w:rPr>
                <w:rFonts w:ascii="Times New Roman" w:hAnsi="Times New Roman" w:cs="Times New Roman"/>
              </w:rPr>
              <w:t>.</w:t>
            </w:r>
            <w:r w:rsidRPr="002558D3" w:rsidR="0005513F">
              <w:rPr>
                <w:rFonts w:ascii="Times New Roman" w:hAnsi="Times New Roman" w:cs="Times New Roman"/>
              </w:rPr>
              <w:t xml:space="preserve"> </w:t>
            </w:r>
            <w:r w:rsidRPr="002558D3" w:rsidR="00A54BAE">
              <w:rPr>
                <w:rFonts w:ascii="Times New Roman" w:hAnsi="Times New Roman" w:cs="Times New Roman"/>
              </w:rPr>
              <w:t>Najvýznamnejšou zmenou je</w:t>
            </w:r>
            <w:r w:rsidRPr="002558D3" w:rsidR="0005513F">
              <w:rPr>
                <w:rFonts w:ascii="Times New Roman" w:hAnsi="Times New Roman" w:cs="Times New Roman"/>
              </w:rPr>
              <w:t xml:space="preserve"> zvýšenie počtu odslúžených rokov potrebných na priznanie výsluhového </w:t>
            </w:r>
            <w:r w:rsidRPr="002558D3" w:rsidR="00A54BAE">
              <w:rPr>
                <w:rFonts w:ascii="Times New Roman" w:hAnsi="Times New Roman" w:cs="Times New Roman"/>
              </w:rPr>
              <w:t>dôchodku.</w:t>
            </w:r>
            <w:r w:rsidRPr="002558D3">
              <w:rPr>
                <w:rFonts w:ascii="Times New Roman" w:hAnsi="Times New Roman" w:cs="Times New Roman"/>
              </w:rPr>
              <w:t xml:space="preserve"> </w:t>
            </w:r>
          </w:p>
          <w:p w:rsidR="00302516" w:rsidRPr="002558D3" w:rsidP="00934E5F">
            <w:pPr>
              <w:tabs>
                <w:tab w:val="left" w:pos="330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8D3" w:rsidR="00934E5F">
              <w:rPr>
                <w:rFonts w:ascii="Times New Roman" w:hAnsi="Times New Roman" w:cs="Times New Roman"/>
              </w:rPr>
              <w:tab/>
            </w:r>
          </w:p>
          <w:p w:rsidR="00BC7E80" w:rsidRPr="002558D3" w:rsidP="00601CA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8D3" w:rsidR="00302516">
              <w:rPr>
                <w:rFonts w:ascii="Times New Roman" w:hAnsi="Times New Roman" w:cs="Times New Roman"/>
              </w:rPr>
              <w:t xml:space="preserve">Pre lepšiu prehľadnosť sú zmeny spojené s novým AWG vyčlenené samostatne. </w:t>
            </w:r>
            <w:r w:rsidRPr="002558D3" w:rsidR="00963595">
              <w:rPr>
                <w:rFonts w:ascii="Times New Roman" w:hAnsi="Times New Roman" w:cs="Times New Roman"/>
              </w:rPr>
              <w:t xml:space="preserve">Celkovo sa </w:t>
            </w:r>
            <w:r w:rsidRPr="002558D3" w:rsidR="00C27AC8">
              <w:rPr>
                <w:rFonts w:ascii="Times New Roman" w:hAnsi="Times New Roman" w:cs="Times New Roman"/>
              </w:rPr>
              <w:t xml:space="preserve">implicitné </w:t>
            </w:r>
            <w:r w:rsidRPr="002558D3" w:rsidR="001753EE">
              <w:rPr>
                <w:rFonts w:ascii="Times New Roman" w:hAnsi="Times New Roman" w:cs="Times New Roman"/>
              </w:rPr>
              <w:t>záväzky</w:t>
            </w:r>
            <w:r w:rsidRPr="002558D3" w:rsidR="00C27AC8">
              <w:rPr>
                <w:rFonts w:ascii="Times New Roman" w:hAnsi="Times New Roman" w:cs="Times New Roman"/>
              </w:rPr>
              <w:t xml:space="preserve"> z </w:t>
            </w:r>
            <w:r w:rsidRPr="002558D3" w:rsidR="00963595">
              <w:rPr>
                <w:rFonts w:ascii="Times New Roman" w:hAnsi="Times New Roman" w:cs="Times New Roman"/>
              </w:rPr>
              <w:t>výdavk</w:t>
            </w:r>
            <w:r w:rsidRPr="002558D3" w:rsidR="00C27AC8">
              <w:rPr>
                <w:rFonts w:ascii="Times New Roman" w:hAnsi="Times New Roman" w:cs="Times New Roman"/>
              </w:rPr>
              <w:t>ov</w:t>
            </w:r>
            <w:r w:rsidRPr="002558D3" w:rsidR="00963595">
              <w:rPr>
                <w:rFonts w:ascii="Times New Roman" w:hAnsi="Times New Roman" w:cs="Times New Roman"/>
              </w:rPr>
              <w:t xml:space="preserve"> citliv</w:t>
            </w:r>
            <w:r w:rsidRPr="002558D3" w:rsidR="00C27AC8">
              <w:rPr>
                <w:rFonts w:ascii="Times New Roman" w:hAnsi="Times New Roman" w:cs="Times New Roman"/>
              </w:rPr>
              <w:t>ých</w:t>
            </w:r>
            <w:r w:rsidRPr="002558D3" w:rsidR="00963595">
              <w:rPr>
                <w:rFonts w:ascii="Times New Roman" w:hAnsi="Times New Roman" w:cs="Times New Roman"/>
              </w:rPr>
              <w:t xml:space="preserve"> na starnutie znížili oproti </w:t>
            </w:r>
            <w:r w:rsidR="002558D3">
              <w:rPr>
                <w:rFonts w:ascii="Times New Roman" w:hAnsi="Times New Roman" w:cs="Times New Roman"/>
              </w:rPr>
              <w:t>rozpočtu verejnej správy</w:t>
            </w:r>
            <w:r w:rsidRPr="002558D3" w:rsidR="00963595">
              <w:rPr>
                <w:rFonts w:ascii="Times New Roman" w:hAnsi="Times New Roman" w:cs="Times New Roman"/>
              </w:rPr>
              <w:t xml:space="preserve"> </w:t>
            </w:r>
            <w:r w:rsidR="002558D3">
              <w:rPr>
                <w:rFonts w:ascii="Times New Roman" w:hAnsi="Times New Roman" w:cs="Times New Roman"/>
              </w:rPr>
              <w:br/>
            </w:r>
            <w:r w:rsidRPr="002558D3" w:rsidR="00963595">
              <w:rPr>
                <w:rFonts w:ascii="Times New Roman" w:hAnsi="Times New Roman" w:cs="Times New Roman"/>
              </w:rPr>
              <w:t>o 169 % HD</w:t>
            </w:r>
            <w:r w:rsidRPr="002558D3" w:rsidR="00B634FE">
              <w:rPr>
                <w:rFonts w:ascii="Times New Roman" w:hAnsi="Times New Roman" w:cs="Times New Roman"/>
              </w:rPr>
              <w:t>P</w:t>
            </w:r>
            <w:r w:rsidRPr="002558D3" w:rsidR="00C27AC8">
              <w:rPr>
                <w:rFonts w:ascii="Times New Roman" w:hAnsi="Times New Roman" w:cs="Times New Roman"/>
              </w:rPr>
              <w:t>, zatiaľ čo p</w:t>
            </w:r>
            <w:r w:rsidRPr="002558D3" w:rsidR="00963595">
              <w:rPr>
                <w:rFonts w:ascii="Times New Roman" w:hAnsi="Times New Roman" w:cs="Times New Roman"/>
              </w:rPr>
              <w:t xml:space="preserve">ríjmy </w:t>
            </w:r>
            <w:r w:rsidRPr="002558D3" w:rsidR="00C27AC8">
              <w:rPr>
                <w:rFonts w:ascii="Times New Roman" w:hAnsi="Times New Roman" w:cs="Times New Roman"/>
              </w:rPr>
              <w:t xml:space="preserve">poklesli </w:t>
            </w:r>
            <w:r w:rsidRPr="002558D3" w:rsidR="00963595">
              <w:rPr>
                <w:rFonts w:ascii="Times New Roman" w:hAnsi="Times New Roman" w:cs="Times New Roman"/>
              </w:rPr>
              <w:t xml:space="preserve">o 111 % HDP. </w:t>
            </w:r>
            <w:r w:rsidRPr="002558D3">
              <w:rPr>
                <w:rFonts w:ascii="Times New Roman" w:hAnsi="Times New Roman" w:cs="Times New Roman"/>
              </w:rPr>
              <w:t xml:space="preserve">Hlavným dôvodom </w:t>
            </w:r>
            <w:r w:rsidRPr="002558D3" w:rsidR="00824A54">
              <w:rPr>
                <w:rFonts w:ascii="Times New Roman" w:hAnsi="Times New Roman" w:cs="Times New Roman"/>
              </w:rPr>
              <w:t xml:space="preserve">revízie nadol </w:t>
            </w:r>
            <w:r w:rsidRPr="002558D3">
              <w:rPr>
                <w:rFonts w:ascii="Times New Roman" w:hAnsi="Times New Roman" w:cs="Times New Roman"/>
              </w:rPr>
              <w:t xml:space="preserve">sú nižšie výdavky na </w:t>
            </w:r>
            <w:r w:rsidRPr="002558D3" w:rsidR="00E91C7F">
              <w:rPr>
                <w:rFonts w:ascii="Times New Roman" w:hAnsi="Times New Roman" w:cs="Times New Roman"/>
              </w:rPr>
              <w:t>zdravotníctvo</w:t>
            </w:r>
            <w:r w:rsidRPr="002558D3" w:rsidR="00824A54">
              <w:rPr>
                <w:rFonts w:ascii="Times New Roman" w:hAnsi="Times New Roman" w:cs="Times New Roman"/>
              </w:rPr>
              <w:t xml:space="preserve"> - i</w:t>
            </w:r>
            <w:r w:rsidRPr="002558D3">
              <w:rPr>
                <w:rFonts w:ascii="Times New Roman" w:hAnsi="Times New Roman" w:cs="Times New Roman"/>
              </w:rPr>
              <w:t>mplicitné záväzky zdravotníctva</w:t>
            </w:r>
            <w:r w:rsidRPr="002558D3" w:rsidR="0005513F">
              <w:rPr>
                <w:rFonts w:ascii="Times New Roman" w:hAnsi="Times New Roman" w:cs="Times New Roman"/>
              </w:rPr>
              <w:t xml:space="preserve"> </w:t>
            </w:r>
            <w:r w:rsidRPr="002558D3">
              <w:rPr>
                <w:rFonts w:ascii="Times New Roman" w:hAnsi="Times New Roman" w:cs="Times New Roman"/>
              </w:rPr>
              <w:t>sú oproti minulému roku nižšie o</w:t>
            </w:r>
            <w:r w:rsidRPr="002558D3" w:rsidR="00963595">
              <w:rPr>
                <w:rFonts w:ascii="Times New Roman" w:hAnsi="Times New Roman" w:cs="Times New Roman"/>
              </w:rPr>
              <w:t> </w:t>
            </w:r>
            <w:r w:rsidRPr="002558D3" w:rsidR="00302516">
              <w:rPr>
                <w:rFonts w:ascii="Times New Roman" w:hAnsi="Times New Roman" w:cs="Times New Roman"/>
              </w:rPr>
              <w:t>126</w:t>
            </w:r>
            <w:r w:rsidRPr="002558D3" w:rsidR="00963595">
              <w:rPr>
                <w:rFonts w:ascii="Times New Roman" w:hAnsi="Times New Roman" w:cs="Times New Roman"/>
              </w:rPr>
              <w:t> </w:t>
            </w:r>
            <w:r w:rsidRPr="002558D3">
              <w:rPr>
                <w:rFonts w:ascii="Times New Roman" w:hAnsi="Times New Roman" w:cs="Times New Roman"/>
              </w:rPr>
              <w:t>%</w:t>
            </w:r>
            <w:r w:rsidRPr="002558D3" w:rsidR="0005513F">
              <w:rPr>
                <w:rFonts w:ascii="Times New Roman" w:hAnsi="Times New Roman" w:cs="Times New Roman"/>
              </w:rPr>
              <w:t xml:space="preserve"> HDP. </w:t>
            </w:r>
            <w:r w:rsidRPr="002558D3" w:rsidR="00C006E9">
              <w:rPr>
                <w:rFonts w:ascii="Times New Roman" w:hAnsi="Times New Roman" w:cs="Times New Roman"/>
              </w:rPr>
              <w:t>Zmenu</w:t>
            </w:r>
            <w:r w:rsidRPr="002558D3">
              <w:rPr>
                <w:rFonts w:ascii="Times New Roman" w:hAnsi="Times New Roman" w:cs="Times New Roman"/>
              </w:rPr>
              <w:t xml:space="preserve"> najviac vysvetľuje </w:t>
            </w:r>
            <w:r w:rsidRPr="002558D3" w:rsidR="00926ED7">
              <w:rPr>
                <w:rFonts w:ascii="Times New Roman" w:hAnsi="Times New Roman" w:cs="Times New Roman"/>
              </w:rPr>
              <w:t xml:space="preserve">vývoj </w:t>
            </w:r>
            <w:r w:rsidRPr="002558D3">
              <w:rPr>
                <w:rFonts w:ascii="Times New Roman" w:hAnsi="Times New Roman" w:cs="Times New Roman"/>
              </w:rPr>
              <w:t>celkov</w:t>
            </w:r>
            <w:r w:rsidRPr="002558D3" w:rsidR="00926ED7">
              <w:rPr>
                <w:rFonts w:ascii="Times New Roman" w:hAnsi="Times New Roman" w:cs="Times New Roman"/>
              </w:rPr>
              <w:t>ej</w:t>
            </w:r>
            <w:r w:rsidRPr="002558D3">
              <w:rPr>
                <w:rFonts w:ascii="Times New Roman" w:hAnsi="Times New Roman" w:cs="Times New Roman"/>
              </w:rPr>
              <w:t xml:space="preserve"> populá</w:t>
            </w:r>
            <w:r w:rsidRPr="002558D3" w:rsidR="0005513F">
              <w:rPr>
                <w:rFonts w:ascii="Times New Roman" w:hAnsi="Times New Roman" w:cs="Times New Roman"/>
              </w:rPr>
              <w:t>ci</w:t>
            </w:r>
            <w:r w:rsidRPr="002558D3" w:rsidR="00926ED7">
              <w:rPr>
                <w:rFonts w:ascii="Times New Roman" w:hAnsi="Times New Roman" w:cs="Times New Roman"/>
              </w:rPr>
              <w:t>e</w:t>
            </w:r>
            <w:r w:rsidRPr="002558D3" w:rsidR="0005513F">
              <w:rPr>
                <w:rFonts w:ascii="Times New Roman" w:hAnsi="Times New Roman" w:cs="Times New Roman"/>
              </w:rPr>
              <w:t>, ktorá v roku 2060 pokles</w:t>
            </w:r>
            <w:r w:rsidRPr="002558D3" w:rsidR="00824A54">
              <w:rPr>
                <w:rFonts w:ascii="Times New Roman" w:hAnsi="Times New Roman" w:cs="Times New Roman"/>
              </w:rPr>
              <w:t>ne</w:t>
            </w:r>
            <w:r w:rsidRPr="002558D3" w:rsidR="0005513F">
              <w:rPr>
                <w:rFonts w:ascii="Times New Roman" w:hAnsi="Times New Roman" w:cs="Times New Roman"/>
              </w:rPr>
              <w:t xml:space="preserve"> </w:t>
            </w:r>
            <w:r w:rsidRPr="002558D3">
              <w:rPr>
                <w:rFonts w:ascii="Times New Roman" w:hAnsi="Times New Roman" w:cs="Times New Roman"/>
              </w:rPr>
              <w:t>oproti predchádzajúcej prognóze o 0,5 milióna</w:t>
            </w:r>
            <w:r w:rsidRPr="002558D3" w:rsidR="00CA5766">
              <w:rPr>
                <w:rFonts w:ascii="Times New Roman" w:hAnsi="Times New Roman" w:cs="Times New Roman"/>
              </w:rPr>
              <w:t xml:space="preserve"> obyvateľov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9"/>
            </w:r>
            <w:r w:rsidRPr="002558D3">
              <w:rPr>
                <w:rFonts w:ascii="Times New Roman" w:hAnsi="Times New Roman" w:cs="Times New Roman"/>
              </w:rPr>
              <w:t xml:space="preserve">. </w:t>
            </w:r>
            <w:r w:rsidRPr="002558D3" w:rsidR="00A54BAE">
              <w:rPr>
                <w:rFonts w:ascii="Times New Roman" w:hAnsi="Times New Roman" w:cs="Times New Roman"/>
              </w:rPr>
              <w:t xml:space="preserve">Dôvodom </w:t>
            </w:r>
            <w:r w:rsidRPr="002558D3">
              <w:rPr>
                <w:rFonts w:ascii="Times New Roman" w:hAnsi="Times New Roman" w:cs="Times New Roman"/>
              </w:rPr>
              <w:t>pomalšieho ná</w:t>
            </w:r>
            <w:r w:rsidRPr="002558D3" w:rsidR="0005513F">
              <w:rPr>
                <w:rFonts w:ascii="Times New Roman" w:hAnsi="Times New Roman" w:cs="Times New Roman"/>
              </w:rPr>
              <w:t xml:space="preserve">rastu </w:t>
            </w:r>
            <w:r w:rsidRPr="002558D3">
              <w:rPr>
                <w:rFonts w:ascii="Times New Roman" w:hAnsi="Times New Roman" w:cs="Times New Roman"/>
              </w:rPr>
              <w:t>výdavkov na zdravotníctvo je nižší celkový počet pacientov.</w:t>
            </w:r>
          </w:p>
          <w:p w:rsidR="0005513F" w:rsidRPr="002558D3" w:rsidP="00601CA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513F" w:rsidRPr="002558D3" w:rsidP="00601C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558D3">
              <w:rPr>
                <w:rFonts w:ascii="Times New Roman" w:hAnsi="Times New Roman" w:cs="Times New Roman"/>
                <w:szCs w:val="22"/>
              </w:rPr>
              <w:t xml:space="preserve">Implicitné </w:t>
            </w:r>
            <w:r w:rsidRPr="002558D3" w:rsidR="00E91C7F">
              <w:rPr>
                <w:rFonts w:ascii="Times New Roman" w:hAnsi="Times New Roman" w:cs="Times New Roman"/>
                <w:szCs w:val="22"/>
              </w:rPr>
              <w:t>záväzky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sú oproti </w:t>
            </w:r>
            <w:r w:rsidR="002558D3">
              <w:rPr>
                <w:rFonts w:ascii="Times New Roman" w:hAnsi="Times New Roman" w:cs="Times New Roman"/>
                <w:szCs w:val="22"/>
              </w:rPr>
              <w:t>rozpočtu verejnej správy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nižšie aj v prípade dôchodkový</w:t>
            </w:r>
            <w:r w:rsidRPr="002558D3" w:rsidR="00601CA4">
              <w:rPr>
                <w:rFonts w:ascii="Times New Roman" w:hAnsi="Times New Roman" w:cs="Times New Roman"/>
                <w:szCs w:val="22"/>
              </w:rPr>
              <w:t>c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h dávok. Pokles </w:t>
            </w:r>
            <w:r w:rsidRPr="002558D3" w:rsidR="00601CA4">
              <w:rPr>
                <w:rFonts w:ascii="Times New Roman" w:hAnsi="Times New Roman" w:cs="Times New Roman"/>
                <w:szCs w:val="22"/>
              </w:rPr>
              <w:t xml:space="preserve">záväzkov </w:t>
            </w:r>
            <w:r w:rsidRPr="002558D3">
              <w:rPr>
                <w:rFonts w:ascii="Times New Roman" w:hAnsi="Times New Roman" w:cs="Times New Roman"/>
                <w:szCs w:val="22"/>
              </w:rPr>
              <w:t>o </w:t>
            </w:r>
            <w:r w:rsidRPr="002558D3" w:rsidR="00302516">
              <w:rPr>
                <w:rFonts w:ascii="Times New Roman" w:hAnsi="Times New Roman" w:cs="Times New Roman"/>
                <w:szCs w:val="22"/>
              </w:rPr>
              <w:t xml:space="preserve">48 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% HDP je spôsobený </w:t>
            </w:r>
            <w:r w:rsidRPr="002558D3" w:rsidR="00A54BAE">
              <w:rPr>
                <w:rFonts w:ascii="Times New Roman" w:hAnsi="Times New Roman" w:cs="Times New Roman"/>
                <w:szCs w:val="22"/>
              </w:rPr>
              <w:t xml:space="preserve">taktiež 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poklesom populácie, pričom vplyv </w:t>
            </w:r>
            <w:r w:rsidRPr="002558D3" w:rsidR="00601CA4">
              <w:rPr>
                <w:rFonts w:ascii="Times New Roman" w:hAnsi="Times New Roman" w:cs="Times New Roman"/>
                <w:szCs w:val="22"/>
              </w:rPr>
              <w:t>zníženia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počtu dôchodcov </w:t>
            </w:r>
            <w:r w:rsidRPr="002558D3" w:rsidR="00E91C7F">
              <w:rPr>
                <w:rFonts w:ascii="Times New Roman" w:hAnsi="Times New Roman" w:cs="Times New Roman"/>
                <w:szCs w:val="22"/>
              </w:rPr>
              <w:t>prevažuje</w:t>
            </w:r>
            <w:r w:rsidRPr="002558D3" w:rsidR="00601CA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558D3" w:rsidR="00A54BAE">
              <w:rPr>
                <w:rFonts w:ascii="Times New Roman" w:hAnsi="Times New Roman" w:cs="Times New Roman"/>
                <w:szCs w:val="22"/>
              </w:rPr>
              <w:t xml:space="preserve">nad </w:t>
            </w:r>
            <w:r w:rsidRPr="002558D3">
              <w:rPr>
                <w:rFonts w:ascii="Times New Roman" w:hAnsi="Times New Roman" w:cs="Times New Roman"/>
                <w:szCs w:val="22"/>
              </w:rPr>
              <w:t>negatívny</w:t>
            </w:r>
            <w:r w:rsidRPr="002558D3" w:rsidR="00A54BAE">
              <w:rPr>
                <w:rFonts w:ascii="Times New Roman" w:hAnsi="Times New Roman" w:cs="Times New Roman"/>
                <w:szCs w:val="22"/>
              </w:rPr>
              <w:t>m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vplyv</w:t>
            </w:r>
            <w:r w:rsidRPr="002558D3" w:rsidR="00A54BAE">
              <w:rPr>
                <w:rFonts w:ascii="Times New Roman" w:hAnsi="Times New Roman" w:cs="Times New Roman"/>
                <w:szCs w:val="22"/>
              </w:rPr>
              <w:t>om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poklesu počtu prispievateľov. Nižšie očakávané </w:t>
            </w:r>
            <w:r w:rsidRPr="002558D3" w:rsidR="00B30F3C">
              <w:rPr>
                <w:rFonts w:ascii="Times New Roman" w:hAnsi="Times New Roman" w:cs="Times New Roman"/>
                <w:szCs w:val="22"/>
              </w:rPr>
              <w:t xml:space="preserve">výdavky na 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dôchodky sú tiež výsledkom zníženého odhadu </w:t>
            </w:r>
            <w:r w:rsidRPr="002558D3" w:rsidR="00E91C7F">
              <w:rPr>
                <w:rFonts w:ascii="Times New Roman" w:hAnsi="Times New Roman" w:cs="Times New Roman"/>
                <w:szCs w:val="22"/>
              </w:rPr>
              <w:t>pravdepodobnosti</w:t>
            </w:r>
            <w:r w:rsidRPr="002558D3">
              <w:rPr>
                <w:rFonts w:ascii="Times New Roman" w:hAnsi="Times New Roman" w:cs="Times New Roman"/>
                <w:szCs w:val="22"/>
              </w:rPr>
              <w:t xml:space="preserve"> odchodu do dôchodku</w:t>
            </w:r>
            <w:r w:rsidRPr="002558D3" w:rsidR="00824A54">
              <w:rPr>
                <w:rFonts w:ascii="Times New Roman" w:hAnsi="Times New Roman" w:cs="Times New Roman"/>
                <w:szCs w:val="22"/>
              </w:rPr>
              <w:t>.</w:t>
            </w:r>
          </w:p>
          <w:p w:rsidR="0005513F" w:rsidRPr="00F73BE1" w:rsidP="0005513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140"/>
              <w:gridCol w:w="850"/>
              <w:gridCol w:w="851"/>
              <w:gridCol w:w="945"/>
              <w:gridCol w:w="945"/>
              <w:gridCol w:w="945"/>
            </w:tblGrid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91"/>
              </w:trPr>
              <w:tc>
                <w:tcPr>
                  <w:tcW w:w="86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textDirection w:val="lrTb"/>
                  <w:vAlign w:val="bottom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  <w:lang w:eastAsia="sk-SK"/>
                    </w:rPr>
                    <w:t>Porovnanie zmien v implicitných záväzkoch súvisiacich so starnutím výdavkov (v % HDP)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textDirection w:val="lrTb"/>
                  <w:vAlign w:val="bottom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textDirection w:val="lrTb"/>
                  <w:vAlign w:val="center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1. RVS 2016-18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textDirection w:val="lrTb"/>
                  <w:vAlign w:val="center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2. RVS 2015-17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textDirection w:val="lrTb"/>
                  <w:vAlign w:val="top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3. Rozdiely (2-1)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637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extDirection w:val="lrTb"/>
                  <w:vAlign w:val="bottom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extDirection w:val="lrTb"/>
                  <w:vAlign w:val="bottom"/>
                  <w:hideMark/>
                </w:tcPr>
                <w:p w:rsidR="001E3819" w:rsidRPr="002558D3" w:rsidP="001E3819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textDirection w:val="lrTb"/>
                  <w:vAlign w:val="top"/>
                  <w:hideMark/>
                </w:tcPr>
                <w:p w:rsidR="001E3819" w:rsidRPr="002558D3" w:rsidP="00926ED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Z toho:</w:t>
                  </w:r>
                </w:p>
                <w:p w:rsidR="001E3819" w:rsidRPr="002558D3" w:rsidP="00926ED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926E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AWG Projekcie 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textDirection w:val="lrTb"/>
                  <w:vAlign w:val="top"/>
                  <w:hideMark/>
                </w:tcPr>
                <w:p w:rsidR="001E3819" w:rsidRPr="002558D3" w:rsidP="00926ED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Z toho: Ostatné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textDirection w:val="lrTb"/>
                  <w:vAlign w:val="top"/>
                  <w:hideMark/>
                </w:tcPr>
                <w:p w:rsidR="001E3819" w:rsidRPr="002558D3" w:rsidP="00926ED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Spolu (1-2)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7243F8" w:rsidRPr="002558D3" w:rsidP="007243F8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A. Príjmy VS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1 </w:t>
                  </w:r>
                  <w:r w:rsidRPr="002558D3" w:rsidR="006C22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</w:t>
                  </w:r>
                  <w:r w:rsidRPr="002558D3" w:rsidR="008E36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280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-111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53738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3025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93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7243F8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Dôchodkové poistenie (EAO + dlžné)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4</w:t>
                  </w: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1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414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-4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7243F8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Zdravotné poistenie (EAO + dlžné)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</w:t>
                  </w:r>
                  <w:r w:rsidRPr="002558D3" w:rsidR="0022763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60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30251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25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7243F8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Ostatné príjmy *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54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22763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607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8E367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-91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 w:rsidP="006B63E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30251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</w:t>
                  </w:r>
                  <w:r w:rsidRPr="002558D3" w:rsidR="0022763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6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5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7243F8" w:rsidRPr="002558D3" w:rsidP="007243F8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B. Výdavky citlivé na starnutie populácie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 w:rsidP="006B63E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</w:t>
                  </w:r>
                  <w:r w:rsidRPr="002558D3" w:rsidR="008E36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3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</w:t>
                  </w:r>
                  <w:r w:rsidRPr="002558D3" w:rsidR="008E36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510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302516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-169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7243F8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3025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-1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74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</w:tcPr>
                <w:p w:rsidR="00963595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Zdravotná starostlivosť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47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600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-126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128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</w:tcPr>
                <w:p w:rsidR="00963595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Dôchodkové dávky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 w:rsidP="00963595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6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 w:rsidP="00963595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675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 w:rsidP="00963595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558D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-48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 w:rsidP="00963595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-2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</w:tcPr>
                <w:p w:rsidR="00963595" w:rsidRPr="002558D3" w:rsidP="00963595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-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50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2558D3">
                  <w:pPr>
                    <w:bidi w:val="0"/>
                    <w:spacing w:after="0" w:line="240" w:lineRule="auto"/>
                    <w:ind w:firstLine="160" w:firstLineChars="100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Ostatné **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24</w:t>
                  </w: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  <w:lang w:eastAsia="sk-SK"/>
                    </w:rPr>
                    <w:t>236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963595" w:rsidRPr="002558D3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 w:rsidR="0043364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k-SK"/>
                    </w:rPr>
                    <w:t>4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3"/>
              </w:trPr>
              <w:tc>
                <w:tcPr>
                  <w:tcW w:w="414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963595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sk-SK"/>
                    </w:rPr>
                    <w:t>C. Implicitné záväzky - vplyv na primárne saldo (A-B)***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D32B1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-14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D32B1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-230</w:t>
                  </w:r>
                </w:p>
              </w:tc>
              <w:tc>
                <w:tcPr>
                  <w:tcW w:w="945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D32B1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58</w:t>
                  </w:r>
                </w:p>
              </w:tc>
              <w:tc>
                <w:tcPr>
                  <w:tcW w:w="945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D32B1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2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3</w:t>
                  </w:r>
                </w:p>
              </w:tc>
              <w:tc>
                <w:tcPr>
                  <w:tcW w:w="945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D32B1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8</w:t>
                  </w:r>
                  <w:r w:rsidRPr="002558D3" w:rsidR="004336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1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70"/>
              </w:trPr>
              <w:tc>
                <w:tcPr>
                  <w:tcW w:w="86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963595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* Najmä príjmy nesúvisiace z dôchodkovým systémom, s výnimkou príjmov z poistenia v nezamestnanosti</w:t>
                  </w: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70"/>
              </w:trPr>
              <w:tc>
                <w:tcPr>
                  <w:tcW w:w="86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963595" w:rsidRPr="002558D3" w:rsidP="00963595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** Výdavky na školstvo, dlhodobú starostlivosť, dávky v nezamestnanosti</w:t>
                  </w:r>
                </w:p>
                <w:p w:rsidR="00963595" w:rsidRPr="002558D3" w:rsidP="00963595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</w:pP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 xml:space="preserve">*** Implicitné </w:t>
                  </w:r>
                  <w:r w:rsidRPr="002558D3" w:rsidR="001753EE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>záväzky</w:t>
                  </w:r>
                  <w:r w:rsidRPr="002558D3">
                    <w:rPr>
                      <w:rFonts w:ascii="Times New Roman" w:hAnsi="Times New Roman" w:cs="Times New Roman"/>
                      <w:sz w:val="16"/>
                      <w:szCs w:val="16"/>
                      <w:lang w:eastAsia="sk-SK"/>
                    </w:rPr>
                    <w:t xml:space="preserve"> sú vyčíslené na základe projekcií AWG do roku 2060, ku ktorému sa pripočítava vplyv v nekonečnom horizonte</w:t>
                  </w:r>
                </w:p>
              </w:tc>
            </w:tr>
          </w:tbl>
          <w:p w:rsidR="00A3507B" w:rsidRPr="00F73BE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BE1" w:rsidR="00AE45FC">
              <w:rPr>
                <w:rFonts w:ascii="Times New Roman" w:hAnsi="Times New Roman" w:cs="Times New Roman"/>
              </w:rPr>
              <w:t xml:space="preserve">Oproti poslednému kolu projekcií AWG je </w:t>
            </w:r>
            <w:r w:rsidRPr="00F73BE1" w:rsidR="00BC7E80">
              <w:rPr>
                <w:rFonts w:ascii="Times New Roman" w:hAnsi="Times New Roman" w:cs="Times New Roman"/>
              </w:rPr>
              <w:t xml:space="preserve">celkový </w:t>
            </w:r>
            <w:r w:rsidRPr="00F73BE1" w:rsidR="00AE45FC">
              <w:rPr>
                <w:rFonts w:ascii="Times New Roman" w:hAnsi="Times New Roman" w:cs="Times New Roman"/>
              </w:rPr>
              <w:t xml:space="preserve">nárast výdavkov citlivých na starnutie </w:t>
            </w:r>
            <w:r w:rsidRPr="00F73BE1" w:rsidR="00BC7E80">
              <w:rPr>
                <w:rFonts w:ascii="Times New Roman" w:hAnsi="Times New Roman" w:cs="Times New Roman"/>
              </w:rPr>
              <w:t>medzi rokmi 201</w:t>
            </w:r>
            <w:r w:rsidRPr="00F73BE1" w:rsidR="00824A54">
              <w:rPr>
                <w:rFonts w:ascii="Times New Roman" w:hAnsi="Times New Roman" w:cs="Times New Roman"/>
              </w:rPr>
              <w:t>5</w:t>
            </w:r>
            <w:r w:rsidRPr="00F73BE1" w:rsidR="00BC7E80">
              <w:rPr>
                <w:rFonts w:ascii="Times New Roman" w:hAnsi="Times New Roman" w:cs="Times New Roman"/>
              </w:rPr>
              <w:t xml:space="preserve"> </w:t>
            </w:r>
            <w:r w:rsidR="002558D3">
              <w:rPr>
                <w:rFonts w:ascii="Times New Roman" w:hAnsi="Times New Roman" w:cs="Times New Roman"/>
              </w:rPr>
              <w:t>až</w:t>
            </w:r>
            <w:r w:rsidRPr="00F73BE1" w:rsidR="00AE45FC">
              <w:rPr>
                <w:rFonts w:ascii="Times New Roman" w:hAnsi="Times New Roman" w:cs="Times New Roman"/>
              </w:rPr>
              <w:t xml:space="preserve"> 2060 pomalší o 1,5 % HDP. </w:t>
            </w:r>
            <w:r w:rsidRPr="00F73BE1" w:rsidR="00BC7E80">
              <w:rPr>
                <w:rFonts w:ascii="Times New Roman" w:hAnsi="Times New Roman" w:cs="Times New Roman"/>
              </w:rPr>
              <w:t>Napriek tejto revízii porastú verejné výdavky SR</w:t>
            </w:r>
            <w:r w:rsidRPr="00F73BE1" w:rsidR="0005513F">
              <w:rPr>
                <w:rFonts w:ascii="Times New Roman" w:hAnsi="Times New Roman" w:cs="Times New Roman"/>
              </w:rPr>
              <w:t xml:space="preserve"> spojené so starnutím populácie </w:t>
            </w:r>
            <w:r w:rsidRPr="00F73BE1" w:rsidR="00BC7E80">
              <w:rPr>
                <w:rFonts w:ascii="Times New Roman" w:hAnsi="Times New Roman" w:cs="Times New Roman"/>
              </w:rPr>
              <w:t>do roku 2060 piatym najrýchlejším tempom v</w:t>
            </w:r>
            <w:r w:rsidRPr="00F73BE1" w:rsidR="0005513F">
              <w:rPr>
                <w:rFonts w:ascii="Times New Roman" w:hAnsi="Times New Roman" w:cs="Times New Roman"/>
              </w:rPr>
              <w:t> </w:t>
            </w:r>
            <w:r w:rsidRPr="00F73BE1" w:rsidR="00BC7E80">
              <w:rPr>
                <w:rFonts w:ascii="Times New Roman" w:hAnsi="Times New Roman" w:cs="Times New Roman"/>
              </w:rPr>
              <w:t>EÚ</w:t>
            </w:r>
            <w:r w:rsidRPr="00F73BE1" w:rsidR="0005513F">
              <w:rPr>
                <w:rFonts w:ascii="Times New Roman" w:hAnsi="Times New Roman" w:cs="Times New Roman"/>
              </w:rPr>
              <w:t xml:space="preserve">, </w:t>
            </w:r>
            <w:r w:rsidRPr="00F73BE1" w:rsidR="00824A54">
              <w:rPr>
                <w:rFonts w:ascii="Times New Roman" w:hAnsi="Times New Roman" w:cs="Times New Roman"/>
              </w:rPr>
              <w:t xml:space="preserve">keď </w:t>
            </w:r>
            <w:r w:rsidRPr="00F73BE1" w:rsidR="00601CA4">
              <w:rPr>
                <w:rFonts w:ascii="Times New Roman" w:hAnsi="Times New Roman" w:cs="Times New Roman"/>
              </w:rPr>
              <w:t xml:space="preserve">sa </w:t>
            </w:r>
            <w:r w:rsidRPr="00F73BE1" w:rsidR="00824A54">
              <w:rPr>
                <w:rFonts w:ascii="Times New Roman" w:hAnsi="Times New Roman" w:cs="Times New Roman"/>
              </w:rPr>
              <w:t xml:space="preserve">počas celého horizontu </w:t>
            </w:r>
            <w:r w:rsidRPr="00F73BE1" w:rsidR="00601CA4">
              <w:rPr>
                <w:rFonts w:ascii="Times New Roman" w:hAnsi="Times New Roman" w:cs="Times New Roman"/>
              </w:rPr>
              <w:t xml:space="preserve">predpokladá </w:t>
            </w:r>
            <w:r w:rsidRPr="00F73BE1" w:rsidR="00824A54">
              <w:rPr>
                <w:rFonts w:ascii="Times New Roman" w:hAnsi="Times New Roman" w:cs="Times New Roman"/>
              </w:rPr>
              <w:t>n</w:t>
            </w:r>
            <w:r w:rsidRPr="00F73BE1" w:rsidR="00601CA4">
              <w:rPr>
                <w:rFonts w:ascii="Times New Roman" w:hAnsi="Times New Roman" w:cs="Times New Roman"/>
              </w:rPr>
              <w:t>á</w:t>
            </w:r>
            <w:r w:rsidRPr="00F73BE1" w:rsidR="00824A54">
              <w:rPr>
                <w:rFonts w:ascii="Times New Roman" w:hAnsi="Times New Roman" w:cs="Times New Roman"/>
              </w:rPr>
              <w:t>r</w:t>
            </w:r>
            <w:r w:rsidRPr="00F73BE1" w:rsidR="00601CA4">
              <w:rPr>
                <w:rFonts w:ascii="Times New Roman" w:hAnsi="Times New Roman" w:cs="Times New Roman"/>
              </w:rPr>
              <w:t>a</w:t>
            </w:r>
            <w:r w:rsidRPr="00F73BE1" w:rsidR="00824A54">
              <w:rPr>
                <w:rFonts w:ascii="Times New Roman" w:hAnsi="Times New Roman" w:cs="Times New Roman"/>
              </w:rPr>
              <w:t>s</w:t>
            </w:r>
            <w:r w:rsidRPr="00F73BE1" w:rsidR="00601CA4">
              <w:rPr>
                <w:rFonts w:ascii="Times New Roman" w:hAnsi="Times New Roman" w:cs="Times New Roman"/>
              </w:rPr>
              <w:t>t</w:t>
            </w:r>
            <w:r w:rsidRPr="00F73BE1" w:rsidR="00824A54">
              <w:rPr>
                <w:rFonts w:ascii="Times New Roman" w:hAnsi="Times New Roman" w:cs="Times New Roman"/>
              </w:rPr>
              <w:t xml:space="preserve"> o 3,9</w:t>
            </w:r>
            <w:r w:rsidRPr="00F73BE1" w:rsidR="00963595">
              <w:rPr>
                <w:rFonts w:ascii="Times New Roman" w:hAnsi="Times New Roman" w:cs="Times New Roman"/>
              </w:rPr>
              <w:t> </w:t>
            </w:r>
            <w:r w:rsidRPr="00F73BE1" w:rsidR="00824A54">
              <w:rPr>
                <w:rFonts w:ascii="Times New Roman" w:hAnsi="Times New Roman" w:cs="Times New Roman"/>
              </w:rPr>
              <w:t>%</w:t>
            </w:r>
            <w:r w:rsidRPr="00F73BE1" w:rsidR="00963595">
              <w:rPr>
                <w:rFonts w:ascii="Times New Roman" w:hAnsi="Times New Roman" w:cs="Times New Roman"/>
              </w:rPr>
              <w:t> </w:t>
            </w:r>
            <w:r w:rsidRPr="00F73BE1" w:rsidR="00824A54">
              <w:rPr>
                <w:rFonts w:ascii="Times New Roman" w:hAnsi="Times New Roman" w:cs="Times New Roman"/>
              </w:rPr>
              <w:t>HDP</w:t>
            </w:r>
            <w:r w:rsidRPr="00F73BE1" w:rsidR="00BC7E80">
              <w:rPr>
                <w:rFonts w:ascii="Times New Roman" w:hAnsi="Times New Roman" w:cs="Times New Roman"/>
              </w:rPr>
              <w:t>.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10"/>
            </w:r>
          </w:p>
          <w:p w:rsidR="00A3507B" w:rsidRPr="00F73BE1" w:rsidP="00FD16C3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79FA" w:rsidRPr="002558D3" w:rsidP="002558D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558D3" w:rsidR="005211E9">
        <w:rPr>
          <w:rFonts w:ascii="Times New Roman" w:hAnsi="Times New Roman" w:cs="Times New Roman"/>
          <w:b/>
          <w:sz w:val="24"/>
        </w:rPr>
        <w:t>3</w:t>
      </w:r>
      <w:r w:rsidRPr="002558D3" w:rsidR="007F6022">
        <w:rPr>
          <w:rFonts w:ascii="Times New Roman" w:hAnsi="Times New Roman" w:cs="Times New Roman"/>
          <w:b/>
          <w:sz w:val="24"/>
        </w:rPr>
        <w:t xml:space="preserve">.  </w:t>
      </w:r>
      <w:r w:rsidRPr="002558D3">
        <w:rPr>
          <w:rFonts w:ascii="Times New Roman" w:hAnsi="Times New Roman" w:cs="Times New Roman"/>
          <w:b/>
          <w:sz w:val="24"/>
        </w:rPr>
        <w:t>Iné záväzky</w:t>
      </w:r>
      <w:r w:rsidRPr="002558D3" w:rsidR="007C1220">
        <w:rPr>
          <w:rFonts w:ascii="Times New Roman" w:hAnsi="Times New Roman" w:cs="Times New Roman"/>
          <w:b/>
          <w:sz w:val="24"/>
        </w:rPr>
        <w:t xml:space="preserve"> – PPP projekty a Národný jadrový fond</w:t>
      </w:r>
    </w:p>
    <w:p w:rsidR="00007FB3" w:rsidRPr="002558D3" w:rsidP="0088390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19F1" w:rsidRPr="002558D3" w:rsidP="002558D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58D3" w:rsidR="00E156E0">
        <w:rPr>
          <w:rFonts w:ascii="Times New Roman" w:hAnsi="Times New Roman" w:cs="Times New Roman"/>
          <w:sz w:val="24"/>
        </w:rPr>
        <w:t>Do celkovej kvantifikácie implicitných záväzkov</w:t>
      </w:r>
      <w:r w:rsidRPr="002558D3" w:rsidR="00696808">
        <w:rPr>
          <w:rFonts w:ascii="Times New Roman" w:hAnsi="Times New Roman" w:cs="Times New Roman"/>
          <w:sz w:val="24"/>
        </w:rPr>
        <w:t xml:space="preserve"> </w:t>
      </w:r>
      <w:r w:rsidRPr="002558D3" w:rsidR="00E156E0">
        <w:rPr>
          <w:rFonts w:ascii="Times New Roman" w:hAnsi="Times New Roman" w:cs="Times New Roman"/>
          <w:sz w:val="24"/>
        </w:rPr>
        <w:t xml:space="preserve">bol </w:t>
      </w:r>
      <w:r w:rsidRPr="002558D3" w:rsidR="0008369B">
        <w:rPr>
          <w:rFonts w:ascii="Times New Roman" w:hAnsi="Times New Roman" w:cs="Times New Roman"/>
          <w:sz w:val="24"/>
        </w:rPr>
        <w:t>zahrn</w:t>
      </w:r>
      <w:r w:rsidRPr="002558D3" w:rsidR="004137E6">
        <w:rPr>
          <w:rFonts w:ascii="Times New Roman" w:hAnsi="Times New Roman" w:cs="Times New Roman"/>
          <w:sz w:val="24"/>
        </w:rPr>
        <w:t>u</w:t>
      </w:r>
      <w:r w:rsidRPr="002558D3" w:rsidR="0008369B">
        <w:rPr>
          <w:rFonts w:ascii="Times New Roman" w:hAnsi="Times New Roman" w:cs="Times New Roman"/>
          <w:sz w:val="24"/>
        </w:rPr>
        <w:t>t</w:t>
      </w:r>
      <w:r w:rsidRPr="002558D3" w:rsidR="00CE6764">
        <w:rPr>
          <w:rFonts w:ascii="Times New Roman" w:hAnsi="Times New Roman" w:cs="Times New Roman"/>
          <w:sz w:val="24"/>
        </w:rPr>
        <w:t>ý</w:t>
      </w:r>
      <w:r w:rsidRPr="002558D3" w:rsidR="0008369B">
        <w:rPr>
          <w:rFonts w:ascii="Times New Roman" w:hAnsi="Times New Roman" w:cs="Times New Roman"/>
          <w:sz w:val="24"/>
        </w:rPr>
        <w:t xml:space="preserve"> aj </w:t>
      </w:r>
      <w:r w:rsidRPr="002558D3" w:rsidR="00CE6764">
        <w:rPr>
          <w:rFonts w:ascii="Times New Roman" w:hAnsi="Times New Roman" w:cs="Times New Roman"/>
          <w:sz w:val="24"/>
        </w:rPr>
        <w:t>vpl</w:t>
      </w:r>
      <w:r w:rsidRPr="002558D3" w:rsidR="00D73235">
        <w:rPr>
          <w:rFonts w:ascii="Times New Roman" w:hAnsi="Times New Roman" w:cs="Times New Roman"/>
          <w:sz w:val="24"/>
        </w:rPr>
        <w:t>y</w:t>
      </w:r>
      <w:r w:rsidRPr="002558D3" w:rsidR="00CE6764">
        <w:rPr>
          <w:rFonts w:ascii="Times New Roman" w:hAnsi="Times New Roman" w:cs="Times New Roman"/>
          <w:sz w:val="24"/>
        </w:rPr>
        <w:t xml:space="preserve">v </w:t>
      </w:r>
      <w:r w:rsidRPr="002558D3" w:rsidR="0008369B">
        <w:rPr>
          <w:rFonts w:ascii="Times New Roman" w:hAnsi="Times New Roman" w:cs="Times New Roman"/>
          <w:sz w:val="24"/>
        </w:rPr>
        <w:t>splácani</w:t>
      </w:r>
      <w:r w:rsidRPr="002558D3" w:rsidR="00CE6764">
        <w:rPr>
          <w:rFonts w:ascii="Times New Roman" w:hAnsi="Times New Roman" w:cs="Times New Roman"/>
          <w:sz w:val="24"/>
        </w:rPr>
        <w:t>a</w:t>
      </w:r>
      <w:r w:rsidRPr="002558D3" w:rsidR="00DC0573">
        <w:rPr>
          <w:rFonts w:ascii="Times New Roman" w:hAnsi="Times New Roman" w:cs="Times New Roman"/>
          <w:sz w:val="24"/>
        </w:rPr>
        <w:t xml:space="preserve"> PPP projekt</w:t>
      </w:r>
      <w:r w:rsidRPr="002558D3">
        <w:rPr>
          <w:rFonts w:ascii="Times New Roman" w:hAnsi="Times New Roman" w:cs="Times New Roman"/>
          <w:sz w:val="24"/>
        </w:rPr>
        <w:t>u</w:t>
      </w:r>
      <w:r w:rsidRPr="002558D3" w:rsidR="00042B41">
        <w:rPr>
          <w:rFonts w:ascii="Times New Roman" w:hAnsi="Times New Roman" w:cs="Times New Roman"/>
          <w:sz w:val="24"/>
        </w:rPr>
        <w:t xml:space="preserve"> – rýchlostná cesta R1</w:t>
      </w:r>
      <w:r w:rsidRPr="002558D3" w:rsidR="00DC0573">
        <w:rPr>
          <w:rFonts w:ascii="Times New Roman" w:hAnsi="Times New Roman" w:cs="Times New Roman"/>
          <w:sz w:val="24"/>
        </w:rPr>
        <w:t xml:space="preserve">. </w:t>
      </w:r>
      <w:r w:rsidRPr="002558D3" w:rsidR="004137E6">
        <w:rPr>
          <w:rFonts w:ascii="Times New Roman" w:hAnsi="Times New Roman" w:cs="Times New Roman"/>
          <w:sz w:val="24"/>
        </w:rPr>
        <w:t xml:space="preserve">Východiskom boli predpokladané platby štátu za dostupnosť počas celej doby </w:t>
      </w:r>
      <w:r w:rsidRPr="002558D3" w:rsidR="00E92121">
        <w:rPr>
          <w:rFonts w:ascii="Times New Roman" w:hAnsi="Times New Roman" w:cs="Times New Roman"/>
          <w:sz w:val="24"/>
        </w:rPr>
        <w:t>trvania koncesie</w:t>
      </w:r>
      <w:r w:rsidRPr="002558D3" w:rsidR="004137E6">
        <w:rPr>
          <w:rFonts w:ascii="Times New Roman" w:hAnsi="Times New Roman" w:cs="Times New Roman"/>
          <w:sz w:val="24"/>
        </w:rPr>
        <w:t>, t.</w:t>
      </w:r>
      <w:r w:rsidRPr="002558D3" w:rsidR="002558D3">
        <w:rPr>
          <w:rFonts w:ascii="Times New Roman" w:hAnsi="Times New Roman" w:cs="Times New Roman"/>
          <w:sz w:val="24"/>
        </w:rPr>
        <w:t xml:space="preserve"> </w:t>
      </w:r>
      <w:r w:rsidRPr="002558D3" w:rsidR="004137E6">
        <w:rPr>
          <w:rFonts w:ascii="Times New Roman" w:hAnsi="Times New Roman" w:cs="Times New Roman"/>
          <w:sz w:val="24"/>
        </w:rPr>
        <w:t>j. do roku 2041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1"/>
      </w:r>
      <w:r w:rsidRPr="002558D3" w:rsidR="004137E6">
        <w:rPr>
          <w:rFonts w:ascii="Times New Roman" w:hAnsi="Times New Roman" w:cs="Times New Roman"/>
          <w:sz w:val="24"/>
        </w:rPr>
        <w:t>. Platby za dostupnosť boli znížené o platbu DPH za služby, keďže táto je z pohľadu vplyvu na saldo a dlh neutrálna. Súčasne sa tu neuvažuje ani s</w:t>
      </w:r>
      <w:r w:rsidRPr="002558D3" w:rsidR="00E92121">
        <w:rPr>
          <w:rFonts w:ascii="Times New Roman" w:hAnsi="Times New Roman" w:cs="Times New Roman"/>
          <w:sz w:val="24"/>
        </w:rPr>
        <w:t> </w:t>
      </w:r>
      <w:r w:rsidRPr="002558D3" w:rsidR="001753EE">
        <w:rPr>
          <w:rFonts w:ascii="Times New Roman" w:hAnsi="Times New Roman" w:cs="Times New Roman"/>
          <w:sz w:val="24"/>
        </w:rPr>
        <w:t>alikvotnou</w:t>
      </w:r>
      <w:r w:rsidRPr="002558D3" w:rsidR="00E92121">
        <w:rPr>
          <w:rFonts w:ascii="Times New Roman" w:hAnsi="Times New Roman" w:cs="Times New Roman"/>
          <w:sz w:val="24"/>
        </w:rPr>
        <w:t xml:space="preserve"> časťou zo zaplatenej DPH pri odovzdaní úsekov v roku 2011, keďže nemá vplyv na dlh (iba na saldo</w:t>
      </w:r>
      <w:r w:rsidRPr="002558D3" w:rsidR="00D73235">
        <w:rPr>
          <w:rFonts w:ascii="Times New Roman" w:hAnsi="Times New Roman" w:cs="Times New Roman"/>
          <w:sz w:val="24"/>
        </w:rPr>
        <w:t xml:space="preserve"> v jednotlivých rokoch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2"/>
      </w:r>
      <w:r w:rsidRPr="002558D3" w:rsidR="00E92121">
        <w:rPr>
          <w:rFonts w:ascii="Times New Roman" w:hAnsi="Times New Roman" w:cs="Times New Roman"/>
          <w:sz w:val="24"/>
        </w:rPr>
        <w:t>).</w:t>
      </w:r>
    </w:p>
    <w:p w:rsidR="006219F1" w:rsidRPr="002558D3" w:rsidP="00311DE5">
      <w:pPr>
        <w:pStyle w:val="ListParagraph"/>
        <w:bidi w:val="0"/>
        <w:jc w:val="both"/>
        <w:rPr>
          <w:rFonts w:ascii="Times New Roman" w:hAnsi="Times New Roman" w:cs="Times New Roman"/>
          <w:sz w:val="24"/>
        </w:rPr>
      </w:pPr>
    </w:p>
    <w:p w:rsidR="006219F1" w:rsidRPr="002558D3" w:rsidP="002558D3">
      <w:pPr>
        <w:pStyle w:val="ListParagraph"/>
        <w:bidi w:val="0"/>
        <w:ind w:left="0" w:firstLine="708"/>
        <w:jc w:val="both"/>
        <w:rPr>
          <w:rFonts w:ascii="Times New Roman" w:hAnsi="Times New Roman" w:cs="Times New Roman"/>
          <w:sz w:val="24"/>
        </w:rPr>
      </w:pPr>
      <w:r w:rsidRPr="002558D3">
        <w:rPr>
          <w:rFonts w:ascii="Times New Roman" w:hAnsi="Times New Roman" w:cs="Times New Roman"/>
          <w:sz w:val="24"/>
        </w:rPr>
        <w:t>Výhľadovo sa uvažuje aj s dvoma novými projektmi - výstavbou a prevádzkou obchvatu Bratislavy D4 a rýchlostnej cesty R7 a novou Univerzitnou nemocnicou v Bratislave. Oba nové PPP projekty zatiaľ nemajú známe ceny koncesií a pri odhadovaní implicitných záväzkov sa preto vychádzalo z údajov z jednotlivých štúdií uskutočniteľnosti, ktoré posudzujú výhodnosť výstavby formou PPP. Konkrétne parametre sa vyšpecifikujú v priebehu ďalšieho dialógu, a na ich základe rozhod</w:t>
      </w:r>
      <w:r w:rsidR="00B31F15">
        <w:rPr>
          <w:rFonts w:ascii="Times New Roman" w:hAnsi="Times New Roman" w:cs="Times New Roman"/>
          <w:sz w:val="24"/>
        </w:rPr>
        <w:t>ne vláda o spôsobe realizácie tý</w:t>
      </w:r>
      <w:r w:rsidRPr="002558D3">
        <w:rPr>
          <w:rFonts w:ascii="Times New Roman" w:hAnsi="Times New Roman" w:cs="Times New Roman"/>
          <w:sz w:val="24"/>
        </w:rPr>
        <w:t>chto projektov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3"/>
      </w:r>
      <w:r w:rsidRPr="002558D3">
        <w:rPr>
          <w:rFonts w:ascii="Times New Roman" w:hAnsi="Times New Roman" w:cs="Times New Roman"/>
          <w:sz w:val="24"/>
        </w:rPr>
        <w:t>. Z tohto dôvodu nebol vplyv týchto projektov v tejto fáze zohľadnený v celkových implicitných záväzkoch.</w:t>
      </w:r>
    </w:p>
    <w:p w:rsidR="00B6300A" w:rsidRPr="00F73BE1" w:rsidP="008A3805">
      <w:pPr>
        <w:bidi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520"/>
        <w:gridCol w:w="951"/>
        <w:gridCol w:w="88"/>
        <w:gridCol w:w="737"/>
        <w:gridCol w:w="964"/>
        <w:gridCol w:w="812"/>
        <w:gridCol w:w="889"/>
      </w:tblGrid>
      <w:tr>
        <w:tblPrEx>
          <w:tblW w:w="90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sk-SK"/>
              </w:rPr>
              <w:t>Vplyv PPP projektu (v % HDP) 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2015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2041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2049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E93358" w:rsidRPr="002558D3" w:rsidP="00E933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C4ACC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R1*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C4AC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  <w:r w:rsidRPr="002558D3" w:rsidR="0053738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C4ACC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</w:t>
            </w:r>
            <w:r w:rsidRPr="002558D3" w:rsidR="0053738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6B63E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 xml:space="preserve">p.m. PPP projekt – </w:t>
            </w:r>
            <w:r w:rsidRPr="002558D3" w:rsidR="00EC624E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Obchvat</w:t>
            </w:r>
            <w:r w:rsidRPr="002558D3" w:rsidR="009106B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2558D3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D4 a rýchlostna cesta R7</w:t>
            </w: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**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A80D1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2,4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6B63E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</w:pPr>
            <w:r w:rsidRPr="002558D3" w:rsidR="009106B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p.m. PPP projekt –</w:t>
            </w:r>
            <w:r w:rsidRPr="002558D3" w:rsidR="00EC624E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 xml:space="preserve"> Nová u</w:t>
            </w:r>
            <w:r w:rsidRPr="002558D3" w:rsidR="009106B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niverzitná n</w:t>
            </w: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 xml:space="preserve">emocnica </w:t>
            </w:r>
            <w:r w:rsidRPr="002558D3" w:rsidR="00EC624E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v Bratislave</w:t>
            </w: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sk-SK"/>
              </w:rPr>
              <w:t>**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5F4E39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B4505" w:rsidRPr="002558D3" w:rsidP="00B31F1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558D3" w:rsidR="00A80D1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0,2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4ACC" w:rsidRPr="002558D3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* bez započítania DPH za služby</w:t>
            </w:r>
          </w:p>
          <w:p w:rsidR="005F4E39" w:rsidRPr="002558D3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** diskontovaná hodnota k 2015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4ACC" w:rsidRPr="002558D3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C4ACC" w:rsidRPr="002558D3" w:rsidP="00E9335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  <w:t>Zdroj: MF SR, MDDVRR SR, MZ SR </w:t>
            </w:r>
          </w:p>
        </w:tc>
      </w:tr>
      <w:tr>
        <w:tblPrEx>
          <w:tblW w:w="9072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2558D3" w:rsidP="001753EE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2558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Pozn.: kladné hodnoty znamenajú negatívny vplyv na saldo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2558D3" w:rsidP="00E9335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3490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34E5F" w:rsidRPr="002558D3" w:rsidP="00E9335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</w:p>
        </w:tc>
      </w:tr>
    </w:tbl>
    <w:p w:rsidR="004407C0" w:rsidRPr="00F73BE1" w:rsidP="0088390C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56E0" w:rsidRPr="00B31F15" w:rsidP="00B31F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31F15" w:rsidR="00E91C7F">
        <w:rPr>
          <w:rFonts w:ascii="Times New Roman" w:hAnsi="Times New Roman" w:cs="Times New Roman"/>
          <w:sz w:val="24"/>
        </w:rPr>
        <w:t>Ďalším</w:t>
      </w:r>
      <w:r w:rsidRPr="00B31F15" w:rsidR="004A1BB4">
        <w:rPr>
          <w:rFonts w:ascii="Times New Roman" w:hAnsi="Times New Roman" w:cs="Times New Roman"/>
          <w:sz w:val="24"/>
        </w:rPr>
        <w:t xml:space="preserve"> faktorom </w:t>
      </w:r>
      <w:r w:rsidRPr="00B31F15" w:rsidR="00B927A3">
        <w:rPr>
          <w:rFonts w:ascii="Times New Roman" w:hAnsi="Times New Roman" w:cs="Times New Roman"/>
          <w:sz w:val="24"/>
        </w:rPr>
        <w:t xml:space="preserve">ovplyvňujúcim implicitné záväzky </w:t>
      </w:r>
      <w:r w:rsidRPr="00B31F15" w:rsidR="004A1BB4">
        <w:rPr>
          <w:rFonts w:ascii="Times New Roman" w:hAnsi="Times New Roman" w:cs="Times New Roman"/>
          <w:sz w:val="24"/>
        </w:rPr>
        <w:t xml:space="preserve">je systém financovania nákladov spojených s vyraďovaním jadrových zariadení. </w:t>
      </w:r>
      <w:r w:rsidRPr="00B31F15" w:rsidR="00B927A3">
        <w:rPr>
          <w:rFonts w:ascii="Times New Roman" w:hAnsi="Times New Roman" w:cs="Times New Roman"/>
          <w:sz w:val="24"/>
        </w:rPr>
        <w:t>Štát</w:t>
      </w:r>
      <w:r w:rsidRPr="00B31F15">
        <w:rPr>
          <w:rFonts w:ascii="Times New Roman" w:hAnsi="Times New Roman" w:cs="Times New Roman"/>
          <w:sz w:val="24"/>
        </w:rPr>
        <w:t xml:space="preserve"> </w:t>
      </w:r>
      <w:r w:rsidRPr="00B31F15" w:rsidR="00B927A3">
        <w:rPr>
          <w:rFonts w:ascii="Times New Roman" w:hAnsi="Times New Roman" w:cs="Times New Roman"/>
          <w:sz w:val="24"/>
        </w:rPr>
        <w:t>pokrýva</w:t>
      </w:r>
      <w:r w:rsidRPr="00B31F15">
        <w:rPr>
          <w:rFonts w:ascii="Times New Roman" w:hAnsi="Times New Roman" w:cs="Times New Roman"/>
          <w:sz w:val="24"/>
        </w:rPr>
        <w:t xml:space="preserve"> náklady na likvidáciu odstavených jadrových elektrární a vyhore</w:t>
      </w:r>
      <w:r w:rsidRPr="00B31F15" w:rsidR="002C37A1">
        <w:rPr>
          <w:rFonts w:ascii="Times New Roman" w:hAnsi="Times New Roman" w:cs="Times New Roman"/>
          <w:sz w:val="24"/>
        </w:rPr>
        <w:t>n</w:t>
      </w:r>
      <w:r w:rsidRPr="00B31F15">
        <w:rPr>
          <w:rFonts w:ascii="Times New Roman" w:hAnsi="Times New Roman" w:cs="Times New Roman"/>
          <w:sz w:val="24"/>
        </w:rPr>
        <w:t>ého paliva</w:t>
      </w:r>
      <w:r w:rsidRPr="00B31F15" w:rsidR="004A1BB4">
        <w:rPr>
          <w:rFonts w:ascii="Times New Roman" w:hAnsi="Times New Roman" w:cs="Times New Roman"/>
          <w:sz w:val="24"/>
        </w:rPr>
        <w:t>,</w:t>
      </w:r>
      <w:r w:rsidRPr="00B31F15">
        <w:rPr>
          <w:rFonts w:ascii="Times New Roman" w:hAnsi="Times New Roman" w:cs="Times New Roman"/>
          <w:sz w:val="24"/>
        </w:rPr>
        <w:t xml:space="preserve"> ktoré v budúcnosti významne narastú. Podľa aktuálneho plánu financovania schváleného vládou</w:t>
      </w:r>
      <w:r>
        <w:rPr>
          <w:rFonts w:ascii="Times New Roman" w:hAnsi="Times New Roman" w:cs="Times New Roman"/>
          <w:sz w:val="24"/>
          <w:vertAlign w:val="superscript"/>
          <w:rtl w:val="0"/>
        </w:rPr>
        <w:footnoteReference w:id="14"/>
      </w:r>
      <w:r w:rsidRPr="00B31F15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B31F15">
        <w:rPr>
          <w:rFonts w:ascii="Times New Roman" w:hAnsi="Times New Roman" w:cs="Times New Roman"/>
          <w:sz w:val="24"/>
        </w:rPr>
        <w:t xml:space="preserve">by mal systém hospodáriť s </w:t>
      </w:r>
      <w:r w:rsidRPr="00B31F15" w:rsidR="004A1BB4">
        <w:rPr>
          <w:rFonts w:ascii="Times New Roman" w:hAnsi="Times New Roman" w:cs="Times New Roman"/>
          <w:sz w:val="24"/>
        </w:rPr>
        <w:t>vyrovnanou</w:t>
      </w:r>
      <w:r w:rsidRPr="00B31F15">
        <w:rPr>
          <w:rFonts w:ascii="Times New Roman" w:hAnsi="Times New Roman" w:cs="Times New Roman"/>
          <w:sz w:val="24"/>
        </w:rPr>
        <w:t xml:space="preserve"> bilanciu v dlhodobom horizonte. Počas prevádzky jadrového zariadenia by sa malo naakumulovať v Národnom jadrovom fonde (NJF) také množstvo finančných prostriedkov, ktoré bude postačujúce pre jeho budúce vyradenie, vrátane nakladania s rádioaktívnymi odpadmi a vyhore</w:t>
      </w:r>
      <w:r w:rsidRPr="00B31F15" w:rsidR="002C37A1">
        <w:rPr>
          <w:rFonts w:ascii="Times New Roman" w:hAnsi="Times New Roman" w:cs="Times New Roman"/>
          <w:sz w:val="24"/>
        </w:rPr>
        <w:t>n</w:t>
      </w:r>
      <w:r w:rsidRPr="00B31F15">
        <w:rPr>
          <w:rFonts w:ascii="Times New Roman" w:hAnsi="Times New Roman" w:cs="Times New Roman"/>
          <w:sz w:val="24"/>
        </w:rPr>
        <w:t xml:space="preserve">ým palivom. Riziko pre finančnú schému predstavuje značná závislosť nákladov na harmonograme vyraďovania jednotlivých blokov a zvoleného spôsobu likvidácie. </w:t>
      </w:r>
    </w:p>
    <w:p w:rsidR="00E156E0" w:rsidRPr="00B31F15" w:rsidP="00E156E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="00B31F15">
        <w:rPr>
          <w:rFonts w:ascii="Times New Roman" w:hAnsi="Times New Roman" w:cs="Times New Roman"/>
          <w:sz w:val="24"/>
        </w:rPr>
        <w:t xml:space="preserve"> </w:t>
      </w:r>
    </w:p>
    <w:p w:rsidR="00042B41" w:rsidRPr="00B31F15" w:rsidP="00B31F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31F15" w:rsidR="005B6BE1">
        <w:rPr>
          <w:rFonts w:ascii="Times New Roman" w:hAnsi="Times New Roman" w:cs="Times New Roman"/>
          <w:sz w:val="24"/>
        </w:rPr>
        <w:t xml:space="preserve">Model odhadu </w:t>
      </w:r>
      <w:r w:rsidRPr="00B31F15" w:rsidR="00B927A3">
        <w:rPr>
          <w:rFonts w:ascii="Times New Roman" w:hAnsi="Times New Roman" w:cs="Times New Roman"/>
          <w:sz w:val="24"/>
        </w:rPr>
        <w:t>náklad</w:t>
      </w:r>
      <w:r w:rsidRPr="00B31F15" w:rsidR="005B6BE1">
        <w:rPr>
          <w:rFonts w:ascii="Times New Roman" w:hAnsi="Times New Roman" w:cs="Times New Roman"/>
          <w:sz w:val="24"/>
        </w:rPr>
        <w:t>ov</w:t>
      </w:r>
      <w:r w:rsidRPr="00B31F15" w:rsidR="00B927A3">
        <w:rPr>
          <w:rFonts w:ascii="Times New Roman" w:hAnsi="Times New Roman" w:cs="Times New Roman"/>
          <w:sz w:val="24"/>
        </w:rPr>
        <w:t xml:space="preserve"> na likvidáci</w:t>
      </w:r>
      <w:r w:rsidRPr="00B31F15" w:rsidR="00E156E0">
        <w:rPr>
          <w:rFonts w:ascii="Times New Roman" w:hAnsi="Times New Roman" w:cs="Times New Roman"/>
          <w:sz w:val="24"/>
        </w:rPr>
        <w:t>u jadrových zariadení</w:t>
      </w:r>
      <w:r w:rsidRPr="00B31F15" w:rsidR="005B6BE1">
        <w:rPr>
          <w:rFonts w:ascii="Times New Roman" w:hAnsi="Times New Roman" w:cs="Times New Roman"/>
          <w:sz w:val="24"/>
        </w:rPr>
        <w:t xml:space="preserve"> preberá </w:t>
      </w:r>
      <w:r w:rsidR="00B31F15">
        <w:rPr>
          <w:rFonts w:ascii="Times New Roman" w:hAnsi="Times New Roman" w:cs="Times New Roman"/>
          <w:sz w:val="24"/>
        </w:rPr>
        <w:t>MF SR</w:t>
      </w:r>
      <w:r w:rsidRPr="00B31F15" w:rsidR="00E156E0">
        <w:rPr>
          <w:rFonts w:ascii="Times New Roman" w:hAnsi="Times New Roman" w:cs="Times New Roman"/>
          <w:sz w:val="24"/>
        </w:rPr>
        <w:t xml:space="preserve"> od Ministerstva hospodárstva SR.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5"/>
      </w:r>
      <w:r w:rsidRPr="00B31F15" w:rsidR="00F86104">
        <w:rPr>
          <w:rFonts w:ascii="Times New Roman" w:hAnsi="Times New Roman" w:cs="Times New Roman"/>
          <w:sz w:val="24"/>
        </w:rPr>
        <w:t xml:space="preserve"> </w:t>
      </w:r>
      <w:r w:rsidRPr="00B31F15" w:rsidR="00E156E0">
        <w:rPr>
          <w:rFonts w:ascii="Times New Roman" w:hAnsi="Times New Roman" w:cs="Times New Roman"/>
          <w:sz w:val="24"/>
        </w:rPr>
        <w:t xml:space="preserve">Saldá sú následne diskontované rovnakým faktorom ako pri záväzkoch zo starnutia populácie. Podľa aktuálnych odhadov by mal byť systém v prebytku počas prvých desaťročí. Vzhľadom na </w:t>
      </w:r>
      <w:r w:rsidRPr="00B31F15" w:rsidR="00B927A3">
        <w:rPr>
          <w:rFonts w:ascii="Times New Roman" w:hAnsi="Times New Roman" w:cs="Times New Roman"/>
          <w:sz w:val="24"/>
        </w:rPr>
        <w:t>výraznejší vplyv diskontovania</w:t>
      </w:r>
      <w:r w:rsidRPr="00B31F15" w:rsidR="00E156E0">
        <w:rPr>
          <w:rFonts w:ascii="Times New Roman" w:hAnsi="Times New Roman" w:cs="Times New Roman"/>
          <w:sz w:val="24"/>
        </w:rPr>
        <w:t xml:space="preserve"> budúcich deficitov</w:t>
      </w:r>
      <w:r w:rsidRPr="00B31F15" w:rsidR="002C37A1">
        <w:rPr>
          <w:rFonts w:ascii="Times New Roman" w:hAnsi="Times New Roman" w:cs="Times New Roman"/>
          <w:sz w:val="24"/>
        </w:rPr>
        <w:t>,</w:t>
      </w:r>
      <w:r w:rsidRPr="00B31F15" w:rsidR="00E156E0">
        <w:rPr>
          <w:rFonts w:ascii="Times New Roman" w:hAnsi="Times New Roman" w:cs="Times New Roman"/>
          <w:sz w:val="24"/>
        </w:rPr>
        <w:t xml:space="preserve"> ako </w:t>
      </w:r>
      <w:r w:rsidRPr="00B31F15" w:rsidR="00B927A3">
        <w:rPr>
          <w:rFonts w:ascii="Times New Roman" w:hAnsi="Times New Roman" w:cs="Times New Roman"/>
          <w:sz w:val="24"/>
        </w:rPr>
        <w:t xml:space="preserve">je vplyv diskontovania </w:t>
      </w:r>
      <w:r w:rsidRPr="00B31F15" w:rsidR="00E156E0">
        <w:rPr>
          <w:rFonts w:ascii="Times New Roman" w:hAnsi="Times New Roman" w:cs="Times New Roman"/>
          <w:sz w:val="24"/>
        </w:rPr>
        <w:t>prebytkov v najbližšom období</w:t>
      </w:r>
      <w:r w:rsidRPr="00B31F15" w:rsidR="002C37A1">
        <w:rPr>
          <w:rFonts w:ascii="Times New Roman" w:hAnsi="Times New Roman" w:cs="Times New Roman"/>
          <w:sz w:val="24"/>
        </w:rPr>
        <w:t>,</w:t>
      </w:r>
      <w:r w:rsidRPr="00B31F15" w:rsidR="00E156E0">
        <w:rPr>
          <w:rFonts w:ascii="Times New Roman" w:hAnsi="Times New Roman" w:cs="Times New Roman"/>
          <w:sz w:val="24"/>
        </w:rPr>
        <w:t xml:space="preserve"> má NJF celkovo pozitívny vplyv na implicitné záväzky.</w:t>
      </w:r>
    </w:p>
    <w:p w:rsidR="00CE6886" w:rsidRPr="00F73BE1" w:rsidP="00E156E0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0"/>
        <w:gridCol w:w="938"/>
        <w:gridCol w:w="938"/>
        <w:gridCol w:w="939"/>
        <w:gridCol w:w="939"/>
        <w:gridCol w:w="603"/>
        <w:gridCol w:w="336"/>
        <w:gridCol w:w="939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002AC2" w:rsidRPr="00B31F15" w:rsidP="00002AC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Vplyv Národného jadrového fondu (v % HDP) 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Vplyv NJF na saldo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Pr="00B31F15" w:rsidR="00A86A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diskontovaná hodnota k roku 2015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</w:t>
            </w:r>
            <w:r w:rsidRPr="00B31F15" w:rsidR="00A86A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C4ACC" w:rsidRPr="00B31F15" w:rsidP="00BC4AC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1F15" w:rsidR="00C006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B31F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3,</w:t>
            </w:r>
            <w:r w:rsidRPr="00B31F15" w:rsidR="00A86A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7C1220" w:rsidRPr="00B31F15" w:rsidP="007C1220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Projekcie pre účely </w:t>
            </w:r>
            <w:r w:rsidRPr="00B31F15">
              <w:rPr>
                <w:rFonts w:ascii="Times New Roman" w:hAnsi="Times New Roman" w:cs="Times New Roman"/>
                <w:sz w:val="16"/>
                <w:szCs w:val="16"/>
              </w:rPr>
              <w:t>Stratégie záverečnej časti mierového využívania jadrovej energie v SR siahajú po rok 2140.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7C1220" w:rsidRPr="00B31F15" w:rsidP="00002AC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1F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Zdroj: MF SR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34E5F" w:rsidRPr="00B31F15" w:rsidP="001753EE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31F1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Pozn.: záporné hodnoty znamenajú pozitívny vplyv na saldo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34E5F" w:rsidRPr="00B31F15" w:rsidP="00934E5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A1BB4" w:rsidRPr="00F73BE1" w:rsidP="00E156E0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1B6F" w:rsidRPr="00F73BE1" w:rsidP="004C4D57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123E" w:rsidRPr="00F73BE1" w:rsidP="00666951">
      <w:pPr>
        <w:pStyle w:val="ListParagraph"/>
        <w:bidi w:val="0"/>
        <w:jc w:val="both"/>
        <w:rPr>
          <w:rFonts w:ascii="Times New Roman" w:hAnsi="Times New Roman" w:cs="Times New Roman"/>
        </w:rPr>
      </w:pPr>
    </w:p>
    <w:sectPr w:rsidSect="00D3362A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31" w:rsidRPr="00AD2A50">
    <w:pPr>
      <w:pStyle w:val="Footer"/>
      <w:bidi w:val="0"/>
      <w:jc w:val="right"/>
      <w:rPr>
        <w:rFonts w:ascii="Times New Roman" w:hAnsi="Times New Roman" w:cs="Times New Roman"/>
      </w:rPr>
    </w:pPr>
    <w:r w:rsidRPr="00AD2A50">
      <w:rPr>
        <w:rFonts w:ascii="Times New Roman" w:hAnsi="Times New Roman" w:cs="Times New Roman"/>
      </w:rPr>
      <w:fldChar w:fldCharType="begin"/>
    </w:r>
    <w:r w:rsidRPr="00AD2A50">
      <w:rPr>
        <w:rFonts w:ascii="Times New Roman" w:hAnsi="Times New Roman" w:cs="Times New Roman"/>
      </w:rPr>
      <w:instrText xml:space="preserve"> PAGE   \* MERGEFORMAT </w:instrText>
    </w:r>
    <w:r w:rsidRPr="00AD2A50">
      <w:rPr>
        <w:rFonts w:ascii="Times New Roman" w:hAnsi="Times New Roman" w:cs="Times New Roman"/>
      </w:rPr>
      <w:fldChar w:fldCharType="separate"/>
    </w:r>
    <w:r w:rsidR="008D3AD9">
      <w:rPr>
        <w:rFonts w:ascii="Times New Roman" w:hAnsi="Times New Roman" w:cs="Times New Roman"/>
        <w:noProof/>
      </w:rPr>
      <w:t>1</w:t>
    </w:r>
    <w:r w:rsidRPr="00AD2A50">
      <w:rPr>
        <w:rFonts w:ascii="Times New Roman" w:hAnsi="Times New Roman" w:cs="Times New Roman"/>
      </w:rPr>
      <w:fldChar w:fldCharType="end"/>
    </w:r>
  </w:p>
  <w:p w:rsidR="0022763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5EA" w:rsidP="00FA25AD">
      <w:pPr>
        <w:bidi w:val="0"/>
        <w:spacing w:after="0" w:line="240" w:lineRule="auto"/>
      </w:pPr>
      <w:r>
        <w:separator/>
      </w:r>
    </w:p>
  </w:footnote>
  <w:footnote w:type="continuationSeparator" w:id="1">
    <w:p w:rsidR="00C135EA" w:rsidP="00FA25AD">
      <w:pPr>
        <w:bidi w:val="0"/>
        <w:spacing w:after="0" w:line="240" w:lineRule="auto"/>
      </w:pPr>
      <w:r>
        <w:continuationSeparator/>
      </w:r>
    </w:p>
  </w:footnote>
  <w:footnote w:id="2">
    <w:p w:rsidP="00F73BE1">
      <w:pPr>
        <w:pStyle w:val="FootnoteText"/>
        <w:bidi w:val="0"/>
        <w:jc w:val="both"/>
      </w:pPr>
      <w:r w:rsidRPr="00F73BE1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73BE1" w:rsidR="00227631">
        <w:rPr>
          <w:rFonts w:ascii="Times New Roman" w:hAnsi="Times New Roman" w:cs="Times New Roman"/>
          <w:sz w:val="18"/>
          <w:szCs w:val="18"/>
        </w:rPr>
        <w:t xml:space="preserve"> Metodika výpočtu implicitných záväzkov (</w:t>
      </w:r>
      <w:hyperlink r:id="rId1" w:history="1">
        <w:r w:rsidRPr="00F73BE1" w:rsidR="00227631">
          <w:rPr>
            <w:rStyle w:val="Hyperlink"/>
            <w:rFonts w:ascii="Times New Roman" w:hAnsi="Times New Roman"/>
            <w:color w:val="auto"/>
            <w:sz w:val="18"/>
            <w:szCs w:val="18"/>
          </w:rPr>
          <w:t>http://mfsr.sk/Default.aspx?CatID=9696</w:t>
        </w:r>
      </w:hyperlink>
      <w:r w:rsidRPr="00F73BE1" w:rsidR="00227631">
        <w:rPr>
          <w:rFonts w:ascii="Times New Roman" w:hAnsi="Times New Roman" w:cs="Times New Roman"/>
          <w:sz w:val="18"/>
          <w:szCs w:val="18"/>
        </w:rPr>
        <w:t>).</w:t>
      </w:r>
    </w:p>
  </w:footnote>
  <w:footnote w:id="3">
    <w:p w:rsidP="00F73BE1">
      <w:pPr>
        <w:pStyle w:val="FootnoteText"/>
        <w:bidi w:val="0"/>
        <w:spacing w:after="0" w:line="240" w:lineRule="auto"/>
        <w:ind w:left="142" w:hanging="142"/>
        <w:jc w:val="both"/>
      </w:pPr>
      <w:r w:rsidRPr="00F73BE1" w:rsidR="00CC404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73BE1" w:rsidR="00CC404D">
        <w:rPr>
          <w:rFonts w:ascii="Times New Roman" w:hAnsi="Times New Roman" w:cs="Times New Roman"/>
          <w:sz w:val="18"/>
          <w:szCs w:val="18"/>
        </w:rPr>
        <w:t xml:space="preserve"> Ako memorandové položky uvádzame aj odhad za dva nové PPP projekty, ktorých vplyv nie je súčasťou celkových implicitných záväzkov. Jedná sa o výstavbu a prevádzku novej Univerzitnej nemocnice v Bratislave (UNB) a výstavbu a prevádzku obchvatu Bratislavy D4 a rýchlostnej cesty R7. Vzhľadom na to, že výsledné ceny koncesií ešte nie sú známe, záväzky oboch projektov boli vyčíslené na základe údajov z verejne dostupných štúdií uskutočniteľnosti. Skutočne vysúťažené ceny za tieto PPP projekty budú známe až po ukončení tendrov,  preto sa skutočné náklady môžu výrazne líšiť od odhadov v štúdiách uskutočniteľnosti.</w:t>
      </w:r>
    </w:p>
  </w:footnote>
  <w:footnote w:id="4">
    <w:p w:rsidP="00DC7715">
      <w:pPr>
        <w:pStyle w:val="FootnoteText"/>
        <w:bidi w:val="0"/>
        <w:ind w:left="159" w:hanging="159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Ageing working group – pracovná skupina Európskej komisie zaoberajúca sa vplyvom starnutia obyvateľstva na verejné financie v dlhodobom horizonte.</w:t>
      </w:r>
    </w:p>
  </w:footnote>
  <w:footnote w:id="5">
    <w:p w:rsidP="00431A4A">
      <w:pPr>
        <w:pStyle w:val="FootnoteText"/>
        <w:bidi w:val="0"/>
        <w:ind w:left="142" w:hanging="142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Keďže cieľom tejto časti je odhadnúť veľkosť implicitných záväzkov spojených so starnutím populácie, vychádza sa z predpokladu vyrovnanej bilancie príjmov a výdavkov vo východiskovom roku. Znamená to, že implicitné záväzky vznikajú len z odchýlok príjmov a výdavkov spojených so starnutím populácie od hodnôt vo východiskovom roku. </w:t>
      </w:r>
    </w:p>
  </w:footnote>
  <w:footnote w:id="6">
    <w:p w:rsidP="00431A4A">
      <w:pPr>
        <w:pStyle w:val="FootnoteText"/>
        <w:bidi w:val="0"/>
        <w:ind w:left="142" w:hanging="142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 Takýto prístup k projekcii príjmov sa používa aj v rámci pracovnej skupiny AWG.</w:t>
      </w:r>
    </w:p>
  </w:footnote>
  <w:footnote w:id="7">
    <w:p w:rsidP="001C40A3">
      <w:pPr>
        <w:pStyle w:val="FootnoteText"/>
        <w:bidi w:val="0"/>
        <w:ind w:left="142" w:hanging="142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Pri zmenách primárneho salda dochádza aj k zmenám v úrokových nákladoch</w:t>
      </w:r>
      <w:r w:rsidR="002558D3">
        <w:rPr>
          <w:rFonts w:ascii="Times New Roman" w:hAnsi="Times New Roman" w:cs="Times New Roman"/>
          <w:sz w:val="18"/>
          <w:szCs w:val="18"/>
        </w:rPr>
        <w:t>,</w:t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resp. úrokových príjmoch (pokiaľ sa nekumuluje dlh, ale aktíva) verejnej správy. Ak vláda uskutoční opatrenia zlepšujúce primárne saldo, automaticky to povedie aj k poklesu úrokových nákladov</w:t>
      </w:r>
      <w:r w:rsidR="002558D3">
        <w:rPr>
          <w:rFonts w:ascii="Times New Roman" w:hAnsi="Times New Roman" w:cs="Times New Roman"/>
          <w:sz w:val="18"/>
          <w:szCs w:val="18"/>
        </w:rPr>
        <w:t>,</w:t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resp. nárastu úrokových príjmov. </w:t>
      </w:r>
    </w:p>
  </w:footnote>
  <w:footnote w:id="8">
    <w:p w:rsidP="002558D3">
      <w:pPr>
        <w:pStyle w:val="FootnoteText"/>
        <w:bidi w:val="0"/>
        <w:spacing w:after="0" w:line="240" w:lineRule="auto"/>
        <w:ind w:left="113" w:hanging="113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Nová projekcia AWG predpokladá počas horizontu 2020 - 2060 slabší nominálny rast HDP v priemere o 0,2 % HDP. Revízia makroekonomických predpokladov je ovplyvnená aj prechodom na novú metodiku ESA</w:t>
      </w:r>
      <w:r w:rsidR="002558D3">
        <w:rPr>
          <w:rFonts w:ascii="Times New Roman" w:hAnsi="Times New Roman" w:cs="Times New Roman"/>
          <w:sz w:val="18"/>
          <w:szCs w:val="18"/>
        </w:rPr>
        <w:t xml:space="preserve"> </w:t>
      </w:r>
      <w:r w:rsidRPr="002558D3" w:rsidR="00227631">
        <w:rPr>
          <w:rFonts w:ascii="Times New Roman" w:hAnsi="Times New Roman" w:cs="Times New Roman"/>
          <w:sz w:val="18"/>
          <w:szCs w:val="18"/>
        </w:rPr>
        <w:t>2010 a zmenenou demografiou. Predpoklady o diskontnej miere v dlhodobom horizonte zostávajú nezmenené.</w:t>
      </w:r>
    </w:p>
  </w:footnote>
  <w:footnote w:id="9">
    <w:p w:rsidP="002558D3">
      <w:pPr>
        <w:autoSpaceDE w:val="0"/>
        <w:autoSpaceDN w:val="0"/>
        <w:bidi w:val="0"/>
        <w:adjustRightInd w:val="0"/>
        <w:spacing w:after="0" w:line="240" w:lineRule="auto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Celkové zníženie populácie je spôsobené najmä poklesom pôrodnosti a predpokladanou slabšou čistou migráciou.</w:t>
      </w:r>
    </w:p>
  </w:footnote>
  <w:footnote w:id="10">
    <w:p w:rsidP="002558D3">
      <w:pPr>
        <w:pStyle w:val="FootnoteText"/>
        <w:bidi w:val="0"/>
        <w:spacing w:after="0" w:line="240" w:lineRule="auto"/>
        <w:jc w:val="both"/>
      </w:pPr>
      <w:r w:rsidRPr="002558D3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558D3" w:rsidR="00227631">
        <w:rPr>
          <w:rFonts w:ascii="Times New Roman" w:hAnsi="Times New Roman" w:cs="Times New Roman"/>
          <w:sz w:val="18"/>
          <w:szCs w:val="18"/>
        </w:rPr>
        <w:t xml:space="preserve"> Viac v komentári IFP „Rýchlo starnúce Slovensko“(</w:t>
      </w:r>
      <w:hyperlink r:id="rId2" w:history="1">
        <w:r w:rsidRPr="002558D3" w:rsidR="00227631">
          <w:rPr>
            <w:rStyle w:val="Hyperlink"/>
            <w:rFonts w:ascii="Times New Roman" w:hAnsi="Times New Roman"/>
            <w:color w:val="auto"/>
            <w:sz w:val="18"/>
            <w:szCs w:val="18"/>
          </w:rPr>
          <w:t>http://www.finance.gov.sk/Default.aspx?CatID=10181</w:t>
        </w:r>
      </w:hyperlink>
      <w:r w:rsidRPr="002558D3" w:rsidR="00227631">
        <w:rPr>
          <w:rStyle w:val="Hyperlink"/>
          <w:rFonts w:ascii="Times New Roman" w:hAnsi="Times New Roman"/>
          <w:color w:val="auto"/>
          <w:sz w:val="18"/>
          <w:szCs w:val="18"/>
        </w:rPr>
        <w:t>)</w:t>
      </w:r>
      <w:r w:rsidRPr="002558D3" w:rsidR="00227631">
        <w:rPr>
          <w:rStyle w:val="Hyperlink"/>
          <w:rFonts w:ascii="Times New Roman" w:hAnsi="Times New Roman"/>
          <w:color w:val="auto"/>
          <w:sz w:val="18"/>
          <w:szCs w:val="18"/>
          <w:u w:val="none"/>
        </w:rPr>
        <w:t>.</w:t>
      </w:r>
    </w:p>
  </w:footnote>
  <w:footnote w:id="11">
    <w:p w:rsidP="00B31F15">
      <w:pPr>
        <w:pStyle w:val="FootnoteText"/>
        <w:bidi w:val="0"/>
        <w:ind w:left="170" w:hanging="170"/>
        <w:jc w:val="both"/>
      </w:pPr>
      <w:r w:rsidRPr="00B31F15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 Výpočet zahŕňa odhad celkovej výšky záväzkov z daného projektu. Nezohľadňuje sa v ňom skutočnosť, že týmto projektom sa zároveň zvýšili aktíva štátu (rýchlostná cesta), t.</w:t>
      </w:r>
      <w:r w:rsidR="00B31F15">
        <w:rPr>
          <w:rFonts w:ascii="Times New Roman" w:hAnsi="Times New Roman" w:cs="Times New Roman"/>
          <w:sz w:val="18"/>
          <w:szCs w:val="18"/>
        </w:rPr>
        <w:t xml:space="preserve"> </w:t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j. vplyv na čisté bohatstvo štátu by bol v porovnaní so samotným nárastom záväzkov miernejší. </w:t>
      </w:r>
    </w:p>
  </w:footnote>
  <w:footnote w:id="12">
    <w:p w:rsidP="00B31F15">
      <w:pPr>
        <w:pStyle w:val="FootnoteText"/>
        <w:bidi w:val="0"/>
        <w:ind w:left="170" w:hanging="170"/>
        <w:jc w:val="both"/>
      </w:pPr>
      <w:r w:rsidRPr="00B31F15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 V čase odovzdania jednotlivých úsekov rýchlostnej cesty v roku 2011 došlo k odvedeniu DPH zo strany investora v sume 174 mil. eur (po zaplatení zo strany štátu), čo sa prejavilo v daňových príjmoch a pozitívne ovplyvnilo saldo verejnej správy v uvedenej sume. Vzhľadom na to, že uvedený projekt je zaznamenaný mimo bilancie verejnej správy, zaplatená DPH zo strany štátu sa rovnomerne zaznamenáva počas celého obdobia trvania koncesie spolu s platbami štátu za dostupnosť, čo každý rok zhorší saldo o takmer 6 mil. eur. Z pohľadu vplyvu na dlh však ide o neutrálnu operáciu.</w:t>
      </w:r>
    </w:p>
  </w:footnote>
  <w:footnote w:id="13">
    <w:p w:rsidP="00B31F15">
      <w:pPr>
        <w:pStyle w:val="FootnoteText"/>
        <w:bidi w:val="0"/>
        <w:jc w:val="both"/>
      </w:pPr>
      <w:r w:rsidRPr="00B31F15" w:rsidR="006219F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31F15" w:rsidR="006219F1">
        <w:rPr>
          <w:rFonts w:ascii="Times New Roman" w:hAnsi="Times New Roman" w:cs="Times New Roman"/>
          <w:sz w:val="18"/>
          <w:szCs w:val="18"/>
        </w:rPr>
        <w:t xml:space="preserve"> Pri PPP projektoch bude vplyv na implicitné záväzky priebežne aktualizovaný.</w:t>
      </w:r>
    </w:p>
  </w:footnote>
  <w:footnote w:id="14">
    <w:p w:rsidP="00B31F15">
      <w:pPr>
        <w:pStyle w:val="FootnoteText"/>
        <w:bidi w:val="0"/>
        <w:jc w:val="both"/>
      </w:pPr>
      <w:r w:rsidRPr="00B31F15" w:rsidR="0022763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 </w:t>
      </w:r>
      <w:r w:rsidRPr="00B31F15" w:rsidR="00B332E8">
        <w:rPr>
          <w:rFonts w:ascii="Times New Roman" w:hAnsi="Times New Roman" w:cs="Times New Roman"/>
          <w:sz w:val="18"/>
          <w:szCs w:val="18"/>
        </w:rPr>
        <w:t>Aktualizácia s</w:t>
      </w:r>
      <w:r w:rsidRPr="00B31F15" w:rsidR="00227631">
        <w:rPr>
          <w:rFonts w:ascii="Times New Roman" w:hAnsi="Times New Roman" w:cs="Times New Roman"/>
          <w:sz w:val="18"/>
          <w:szCs w:val="18"/>
        </w:rPr>
        <w:t>tratégi</w:t>
      </w:r>
      <w:r w:rsidRPr="00B31F15" w:rsidR="00B332E8">
        <w:rPr>
          <w:rFonts w:ascii="Times New Roman" w:hAnsi="Times New Roman" w:cs="Times New Roman"/>
          <w:sz w:val="18"/>
          <w:szCs w:val="18"/>
        </w:rPr>
        <w:t>e</w:t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 záverečnej časti mierového využívania jadrovej energie v SR schválená uznesením vlády </w:t>
      </w:r>
      <w:r w:rsidR="00B31F15">
        <w:rPr>
          <w:rFonts w:ascii="Times New Roman" w:hAnsi="Times New Roman" w:cs="Times New Roman"/>
          <w:sz w:val="18"/>
          <w:szCs w:val="18"/>
        </w:rPr>
        <w:br/>
        <w:t xml:space="preserve">    </w:t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č. </w:t>
      </w:r>
      <w:r w:rsidRPr="00B31F15" w:rsidR="00A86AC0">
        <w:rPr>
          <w:rFonts w:ascii="Times New Roman" w:hAnsi="Times New Roman" w:cs="Times New Roman"/>
          <w:sz w:val="18"/>
          <w:szCs w:val="18"/>
        </w:rPr>
        <w:t>387</w:t>
      </w:r>
      <w:r w:rsidRPr="00B31F15" w:rsidR="00227631">
        <w:rPr>
          <w:rFonts w:ascii="Times New Roman" w:hAnsi="Times New Roman" w:cs="Times New Roman"/>
          <w:sz w:val="18"/>
          <w:szCs w:val="18"/>
        </w:rPr>
        <w:t>/201</w:t>
      </w:r>
      <w:r w:rsidRPr="00B31F15" w:rsidR="00A86AC0">
        <w:rPr>
          <w:rFonts w:ascii="Times New Roman" w:hAnsi="Times New Roman" w:cs="Times New Roman"/>
          <w:sz w:val="18"/>
          <w:szCs w:val="18"/>
        </w:rPr>
        <w:t>5</w:t>
      </w:r>
      <w:r w:rsidRPr="00B31F15" w:rsidR="00227631">
        <w:rPr>
          <w:rFonts w:ascii="Times New Roman" w:hAnsi="Times New Roman" w:cs="Times New Roman"/>
          <w:sz w:val="18"/>
          <w:szCs w:val="18"/>
        </w:rPr>
        <w:t xml:space="preserve"> z </w:t>
      </w:r>
      <w:r w:rsidRPr="00B31F15" w:rsidR="00B332E8">
        <w:rPr>
          <w:rFonts w:ascii="Times New Roman" w:hAnsi="Times New Roman" w:cs="Times New Roman"/>
          <w:sz w:val="18"/>
          <w:szCs w:val="18"/>
        </w:rPr>
        <w:t>8</w:t>
      </w:r>
      <w:r w:rsidRPr="00B31F15" w:rsidR="00227631">
        <w:rPr>
          <w:rFonts w:ascii="Times New Roman" w:hAnsi="Times New Roman" w:cs="Times New Roman"/>
          <w:sz w:val="18"/>
          <w:szCs w:val="18"/>
        </w:rPr>
        <w:t>. j</w:t>
      </w:r>
      <w:r w:rsidRPr="00B31F15" w:rsidR="00B332E8">
        <w:rPr>
          <w:rFonts w:ascii="Times New Roman" w:hAnsi="Times New Roman" w:cs="Times New Roman"/>
          <w:sz w:val="18"/>
          <w:szCs w:val="18"/>
        </w:rPr>
        <w:t>úla</w:t>
      </w:r>
      <w:r w:rsidRPr="00B31F15" w:rsidR="00A86AC0">
        <w:rPr>
          <w:rFonts w:ascii="Times New Roman" w:hAnsi="Times New Roman" w:cs="Times New Roman"/>
          <w:sz w:val="18"/>
          <w:szCs w:val="18"/>
        </w:rPr>
        <w:t xml:space="preserve"> </w:t>
      </w:r>
      <w:r w:rsidRPr="00B31F15" w:rsidR="00227631">
        <w:rPr>
          <w:rFonts w:ascii="Times New Roman" w:hAnsi="Times New Roman" w:cs="Times New Roman"/>
          <w:sz w:val="18"/>
          <w:szCs w:val="18"/>
        </w:rPr>
        <w:t>20</w:t>
      </w:r>
      <w:r w:rsidRPr="00B31F15" w:rsidR="00B332E8">
        <w:rPr>
          <w:rFonts w:ascii="Times New Roman" w:hAnsi="Times New Roman" w:cs="Times New Roman"/>
          <w:sz w:val="18"/>
          <w:szCs w:val="18"/>
        </w:rPr>
        <w:t>15</w:t>
      </w:r>
      <w:r w:rsidRPr="00B31F15" w:rsidR="00227631">
        <w:rPr>
          <w:rFonts w:ascii="Times New Roman" w:hAnsi="Times New Roman" w:cs="Times New Roman"/>
          <w:sz w:val="18"/>
          <w:szCs w:val="18"/>
        </w:rPr>
        <w:t>.</w:t>
      </w:r>
    </w:p>
  </w:footnote>
  <w:footnote w:id="15">
    <w:p w:rsidP="00B31F15">
      <w:pPr>
        <w:pStyle w:val="FootnoteText"/>
        <w:bidi w:val="0"/>
        <w:jc w:val="both"/>
      </w:pPr>
      <w:r w:rsidRPr="00B31F15" w:rsidR="000E511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31F15" w:rsidR="000E511F">
        <w:rPr>
          <w:rFonts w:ascii="Times New Roman" w:hAnsi="Times New Roman" w:cs="Times New Roman"/>
          <w:sz w:val="18"/>
          <w:szCs w:val="18"/>
        </w:rPr>
        <w:t xml:space="preserve"> </w:t>
      </w:r>
      <w:r w:rsidR="00B31F15">
        <w:rPr>
          <w:rFonts w:ascii="Times New Roman" w:hAnsi="Times New Roman" w:cs="Times New Roman"/>
          <w:sz w:val="18"/>
          <w:szCs w:val="18"/>
        </w:rPr>
        <w:t>MF SR</w:t>
      </w:r>
      <w:r w:rsidRPr="00B31F15" w:rsidR="000E511F">
        <w:rPr>
          <w:rFonts w:ascii="Times New Roman" w:hAnsi="Times New Roman" w:cs="Times New Roman"/>
          <w:sz w:val="18"/>
          <w:szCs w:val="18"/>
        </w:rPr>
        <w:t xml:space="preserve"> modifikuje model o </w:t>
      </w:r>
      <w:r w:rsidRPr="00B31F15" w:rsidR="00FB06CB">
        <w:rPr>
          <w:rFonts w:ascii="Times New Roman" w:hAnsi="Times New Roman" w:cs="Times New Roman"/>
          <w:sz w:val="18"/>
          <w:szCs w:val="18"/>
        </w:rPr>
        <w:t>aktuál</w:t>
      </w:r>
      <w:r w:rsidRPr="00B31F15" w:rsidR="000E511F">
        <w:rPr>
          <w:rFonts w:ascii="Times New Roman" w:hAnsi="Times New Roman" w:cs="Times New Roman"/>
          <w:sz w:val="18"/>
          <w:szCs w:val="18"/>
        </w:rPr>
        <w:t>n</w:t>
      </w:r>
      <w:r w:rsidRPr="00B31F15" w:rsidR="00FB06CB">
        <w:rPr>
          <w:rFonts w:ascii="Times New Roman" w:hAnsi="Times New Roman" w:cs="Times New Roman"/>
          <w:sz w:val="18"/>
          <w:szCs w:val="18"/>
        </w:rPr>
        <w:t>u</w:t>
      </w:r>
      <w:r w:rsidRPr="00B31F15" w:rsidR="000E511F">
        <w:rPr>
          <w:rFonts w:ascii="Times New Roman" w:hAnsi="Times New Roman" w:cs="Times New Roman"/>
          <w:sz w:val="18"/>
          <w:szCs w:val="18"/>
        </w:rPr>
        <w:t xml:space="preserve"> prognózu makroekonomického vývoja</w:t>
      </w:r>
      <w:r w:rsidRPr="00B31F15" w:rsidR="0055664A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AE2"/>
    <w:multiLevelType w:val="hybridMultilevel"/>
    <w:tmpl w:val="FC7E1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2E0C"/>
    <w:multiLevelType w:val="hybridMultilevel"/>
    <w:tmpl w:val="AE822C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9323C5"/>
    <w:multiLevelType w:val="hybridMultilevel"/>
    <w:tmpl w:val="D37CF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056E23"/>
    <w:multiLevelType w:val="hybridMultilevel"/>
    <w:tmpl w:val="0ADAA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5B7D"/>
    <w:multiLevelType w:val="hybridMultilevel"/>
    <w:tmpl w:val="59021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2C2"/>
    <w:multiLevelType w:val="hybridMultilevel"/>
    <w:tmpl w:val="6882DE1A"/>
    <w:lvl w:ilvl="0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6" w:hanging="180"/>
      </w:pPr>
      <w:rPr>
        <w:rFonts w:cs="Times New Roman"/>
        <w:rtl w:val="0"/>
        <w:cs w:val="0"/>
      </w:rPr>
    </w:lvl>
  </w:abstractNum>
  <w:abstractNum w:abstractNumId="6">
    <w:nsid w:val="586C74A6"/>
    <w:multiLevelType w:val="hybridMultilevel"/>
    <w:tmpl w:val="7084ED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7B2223"/>
    <w:multiLevelType w:val="hybridMultilevel"/>
    <w:tmpl w:val="ED486BF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219E0"/>
    <w:multiLevelType w:val="hybridMultilevel"/>
    <w:tmpl w:val="6D7CC4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534236F"/>
    <w:multiLevelType w:val="hybridMultilevel"/>
    <w:tmpl w:val="59021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20E14"/>
    <w:multiLevelType w:val="hybridMultilevel"/>
    <w:tmpl w:val="FB44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14D11"/>
    <w:multiLevelType w:val="hybridMultilevel"/>
    <w:tmpl w:val="9822E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627A2A"/>
    <w:rsid w:val="00002AC2"/>
    <w:rsid w:val="000049C3"/>
    <w:rsid w:val="00005AE7"/>
    <w:rsid w:val="00007A86"/>
    <w:rsid w:val="00007FB3"/>
    <w:rsid w:val="00012A9F"/>
    <w:rsid w:val="000241D8"/>
    <w:rsid w:val="00024F64"/>
    <w:rsid w:val="00026841"/>
    <w:rsid w:val="00027137"/>
    <w:rsid w:val="00035500"/>
    <w:rsid w:val="00042615"/>
    <w:rsid w:val="00042B41"/>
    <w:rsid w:val="00050159"/>
    <w:rsid w:val="0005513F"/>
    <w:rsid w:val="00055AE7"/>
    <w:rsid w:val="000613B8"/>
    <w:rsid w:val="00064C0D"/>
    <w:rsid w:val="00073117"/>
    <w:rsid w:val="000779D6"/>
    <w:rsid w:val="0008369B"/>
    <w:rsid w:val="00085646"/>
    <w:rsid w:val="00090047"/>
    <w:rsid w:val="000945C7"/>
    <w:rsid w:val="000A1148"/>
    <w:rsid w:val="000A5BD0"/>
    <w:rsid w:val="000D08F6"/>
    <w:rsid w:val="000D0FCD"/>
    <w:rsid w:val="000D6D87"/>
    <w:rsid w:val="000E21DF"/>
    <w:rsid w:val="000E3E92"/>
    <w:rsid w:val="000E511F"/>
    <w:rsid w:val="000E7EEF"/>
    <w:rsid w:val="000F00ED"/>
    <w:rsid w:val="000F2F51"/>
    <w:rsid w:val="000F6D6A"/>
    <w:rsid w:val="001051E1"/>
    <w:rsid w:val="001127C2"/>
    <w:rsid w:val="00127CA4"/>
    <w:rsid w:val="00134024"/>
    <w:rsid w:val="001366B1"/>
    <w:rsid w:val="0013749E"/>
    <w:rsid w:val="00137DEF"/>
    <w:rsid w:val="0015041D"/>
    <w:rsid w:val="0015119F"/>
    <w:rsid w:val="00167410"/>
    <w:rsid w:val="001675D0"/>
    <w:rsid w:val="0017284D"/>
    <w:rsid w:val="001753EE"/>
    <w:rsid w:val="00177AA2"/>
    <w:rsid w:val="00182E17"/>
    <w:rsid w:val="001856ED"/>
    <w:rsid w:val="001941E5"/>
    <w:rsid w:val="0019700D"/>
    <w:rsid w:val="001A6B9A"/>
    <w:rsid w:val="001B57C8"/>
    <w:rsid w:val="001B68A6"/>
    <w:rsid w:val="001C210F"/>
    <w:rsid w:val="001C40A3"/>
    <w:rsid w:val="001D3BAF"/>
    <w:rsid w:val="001D661E"/>
    <w:rsid w:val="001E3819"/>
    <w:rsid w:val="001E6853"/>
    <w:rsid w:val="001F7F6E"/>
    <w:rsid w:val="002045D4"/>
    <w:rsid w:val="00204B3E"/>
    <w:rsid w:val="002056A0"/>
    <w:rsid w:val="00210ABF"/>
    <w:rsid w:val="00226CB4"/>
    <w:rsid w:val="00227631"/>
    <w:rsid w:val="00232024"/>
    <w:rsid w:val="00237F5B"/>
    <w:rsid w:val="0024014F"/>
    <w:rsid w:val="00247489"/>
    <w:rsid w:val="00251360"/>
    <w:rsid w:val="00253119"/>
    <w:rsid w:val="002558D3"/>
    <w:rsid w:val="00256A85"/>
    <w:rsid w:val="002630F2"/>
    <w:rsid w:val="002A48DC"/>
    <w:rsid w:val="002A5F25"/>
    <w:rsid w:val="002B3EA6"/>
    <w:rsid w:val="002C008A"/>
    <w:rsid w:val="002C28D8"/>
    <w:rsid w:val="002C37A1"/>
    <w:rsid w:val="002D364B"/>
    <w:rsid w:val="002E3222"/>
    <w:rsid w:val="002F7139"/>
    <w:rsid w:val="00302516"/>
    <w:rsid w:val="00306ACD"/>
    <w:rsid w:val="00310BC7"/>
    <w:rsid w:val="00311DE5"/>
    <w:rsid w:val="00320297"/>
    <w:rsid w:val="00320F75"/>
    <w:rsid w:val="00324CD5"/>
    <w:rsid w:val="003305EA"/>
    <w:rsid w:val="00340D77"/>
    <w:rsid w:val="0034423E"/>
    <w:rsid w:val="00345338"/>
    <w:rsid w:val="00352EF8"/>
    <w:rsid w:val="00353746"/>
    <w:rsid w:val="0036227D"/>
    <w:rsid w:val="00371ABB"/>
    <w:rsid w:val="00373B7C"/>
    <w:rsid w:val="00374999"/>
    <w:rsid w:val="00374AD3"/>
    <w:rsid w:val="00375A0E"/>
    <w:rsid w:val="00384414"/>
    <w:rsid w:val="00390CCE"/>
    <w:rsid w:val="00391B6F"/>
    <w:rsid w:val="003931F1"/>
    <w:rsid w:val="0039762B"/>
    <w:rsid w:val="00397DB2"/>
    <w:rsid w:val="00397E9A"/>
    <w:rsid w:val="003B0544"/>
    <w:rsid w:val="003B5D88"/>
    <w:rsid w:val="003C5779"/>
    <w:rsid w:val="003C67DE"/>
    <w:rsid w:val="003D13AE"/>
    <w:rsid w:val="003D49CE"/>
    <w:rsid w:val="003E4611"/>
    <w:rsid w:val="003E6DE1"/>
    <w:rsid w:val="0040053A"/>
    <w:rsid w:val="00401A00"/>
    <w:rsid w:val="004137E6"/>
    <w:rsid w:val="00431A4A"/>
    <w:rsid w:val="0043364B"/>
    <w:rsid w:val="004347DE"/>
    <w:rsid w:val="0043648A"/>
    <w:rsid w:val="004378DA"/>
    <w:rsid w:val="0044008E"/>
    <w:rsid w:val="004407C0"/>
    <w:rsid w:val="004535C5"/>
    <w:rsid w:val="00454D37"/>
    <w:rsid w:val="00466506"/>
    <w:rsid w:val="00473012"/>
    <w:rsid w:val="004740EA"/>
    <w:rsid w:val="004775B2"/>
    <w:rsid w:val="00483119"/>
    <w:rsid w:val="00484CB3"/>
    <w:rsid w:val="004978C1"/>
    <w:rsid w:val="004A1BB4"/>
    <w:rsid w:val="004A3E24"/>
    <w:rsid w:val="004B3310"/>
    <w:rsid w:val="004C1B5F"/>
    <w:rsid w:val="004C4D57"/>
    <w:rsid w:val="004D3347"/>
    <w:rsid w:val="004D4C5F"/>
    <w:rsid w:val="004D5500"/>
    <w:rsid w:val="004D68B4"/>
    <w:rsid w:val="004E503C"/>
    <w:rsid w:val="004F07EA"/>
    <w:rsid w:val="00507C1E"/>
    <w:rsid w:val="005124E5"/>
    <w:rsid w:val="005133B2"/>
    <w:rsid w:val="005211E9"/>
    <w:rsid w:val="00524A9C"/>
    <w:rsid w:val="0053738B"/>
    <w:rsid w:val="0054624F"/>
    <w:rsid w:val="00553882"/>
    <w:rsid w:val="00553DD2"/>
    <w:rsid w:val="00554B6B"/>
    <w:rsid w:val="0055664A"/>
    <w:rsid w:val="00563367"/>
    <w:rsid w:val="00565053"/>
    <w:rsid w:val="00566233"/>
    <w:rsid w:val="00583D06"/>
    <w:rsid w:val="00585524"/>
    <w:rsid w:val="00587395"/>
    <w:rsid w:val="0059018F"/>
    <w:rsid w:val="00595577"/>
    <w:rsid w:val="0059693F"/>
    <w:rsid w:val="005A1619"/>
    <w:rsid w:val="005B6BE1"/>
    <w:rsid w:val="005C70C9"/>
    <w:rsid w:val="005D02DB"/>
    <w:rsid w:val="005D6E9E"/>
    <w:rsid w:val="005E3607"/>
    <w:rsid w:val="005E6060"/>
    <w:rsid w:val="005F26F8"/>
    <w:rsid w:val="005F3E30"/>
    <w:rsid w:val="005F4E39"/>
    <w:rsid w:val="00601CA4"/>
    <w:rsid w:val="006055A8"/>
    <w:rsid w:val="00614818"/>
    <w:rsid w:val="00614F59"/>
    <w:rsid w:val="00617AF0"/>
    <w:rsid w:val="006219F1"/>
    <w:rsid w:val="00622B79"/>
    <w:rsid w:val="006241FE"/>
    <w:rsid w:val="00627A2A"/>
    <w:rsid w:val="006303A3"/>
    <w:rsid w:val="006314B7"/>
    <w:rsid w:val="006325AE"/>
    <w:rsid w:val="00650B74"/>
    <w:rsid w:val="0065412E"/>
    <w:rsid w:val="00666951"/>
    <w:rsid w:val="00693D75"/>
    <w:rsid w:val="00696199"/>
    <w:rsid w:val="00696808"/>
    <w:rsid w:val="00696D79"/>
    <w:rsid w:val="006A1E54"/>
    <w:rsid w:val="006A4E24"/>
    <w:rsid w:val="006B63E7"/>
    <w:rsid w:val="006C226B"/>
    <w:rsid w:val="006C663A"/>
    <w:rsid w:val="006D7642"/>
    <w:rsid w:val="006D7CB3"/>
    <w:rsid w:val="006E6950"/>
    <w:rsid w:val="006F0A12"/>
    <w:rsid w:val="006F385E"/>
    <w:rsid w:val="006F7E4E"/>
    <w:rsid w:val="007110B3"/>
    <w:rsid w:val="00716865"/>
    <w:rsid w:val="00717E81"/>
    <w:rsid w:val="00722962"/>
    <w:rsid w:val="007243F8"/>
    <w:rsid w:val="00726358"/>
    <w:rsid w:val="007279E6"/>
    <w:rsid w:val="0073745A"/>
    <w:rsid w:val="00746170"/>
    <w:rsid w:val="007715F1"/>
    <w:rsid w:val="00772EE8"/>
    <w:rsid w:val="00777453"/>
    <w:rsid w:val="00792B8A"/>
    <w:rsid w:val="007935DE"/>
    <w:rsid w:val="007A2BD6"/>
    <w:rsid w:val="007A3598"/>
    <w:rsid w:val="007A43D0"/>
    <w:rsid w:val="007B46E1"/>
    <w:rsid w:val="007B4901"/>
    <w:rsid w:val="007B70A2"/>
    <w:rsid w:val="007C1220"/>
    <w:rsid w:val="007F211C"/>
    <w:rsid w:val="007F4A3D"/>
    <w:rsid w:val="007F6022"/>
    <w:rsid w:val="007F7635"/>
    <w:rsid w:val="0080034D"/>
    <w:rsid w:val="008029B6"/>
    <w:rsid w:val="008141F5"/>
    <w:rsid w:val="00824A54"/>
    <w:rsid w:val="0082642E"/>
    <w:rsid w:val="008279EC"/>
    <w:rsid w:val="0083649B"/>
    <w:rsid w:val="00842968"/>
    <w:rsid w:val="00852376"/>
    <w:rsid w:val="00856BD7"/>
    <w:rsid w:val="00867C88"/>
    <w:rsid w:val="00871F29"/>
    <w:rsid w:val="008757C1"/>
    <w:rsid w:val="00875835"/>
    <w:rsid w:val="0088390C"/>
    <w:rsid w:val="008850D1"/>
    <w:rsid w:val="0089092A"/>
    <w:rsid w:val="00894E41"/>
    <w:rsid w:val="008963F0"/>
    <w:rsid w:val="008A3805"/>
    <w:rsid w:val="008A5094"/>
    <w:rsid w:val="008C10D5"/>
    <w:rsid w:val="008C658A"/>
    <w:rsid w:val="008C738B"/>
    <w:rsid w:val="008D2D7D"/>
    <w:rsid w:val="008D3AD9"/>
    <w:rsid w:val="008D4A49"/>
    <w:rsid w:val="008E09B7"/>
    <w:rsid w:val="008E0B32"/>
    <w:rsid w:val="008E19DA"/>
    <w:rsid w:val="008E27BC"/>
    <w:rsid w:val="008E3678"/>
    <w:rsid w:val="008E4952"/>
    <w:rsid w:val="008F0982"/>
    <w:rsid w:val="008F7C3A"/>
    <w:rsid w:val="0090062F"/>
    <w:rsid w:val="00902B2B"/>
    <w:rsid w:val="009106B1"/>
    <w:rsid w:val="009117E0"/>
    <w:rsid w:val="00924645"/>
    <w:rsid w:val="0092626C"/>
    <w:rsid w:val="00926ED7"/>
    <w:rsid w:val="00934778"/>
    <w:rsid w:val="00934E5F"/>
    <w:rsid w:val="00945941"/>
    <w:rsid w:val="0094656C"/>
    <w:rsid w:val="009530C6"/>
    <w:rsid w:val="009605C5"/>
    <w:rsid w:val="00963595"/>
    <w:rsid w:val="00965759"/>
    <w:rsid w:val="00970BD1"/>
    <w:rsid w:val="00983223"/>
    <w:rsid w:val="0098784B"/>
    <w:rsid w:val="009B1E2F"/>
    <w:rsid w:val="009C0A3A"/>
    <w:rsid w:val="009C1243"/>
    <w:rsid w:val="009E5F9D"/>
    <w:rsid w:val="009E6EB2"/>
    <w:rsid w:val="009F6DBF"/>
    <w:rsid w:val="009F6EE1"/>
    <w:rsid w:val="00A01FC8"/>
    <w:rsid w:val="00A02F78"/>
    <w:rsid w:val="00A228FA"/>
    <w:rsid w:val="00A24D1C"/>
    <w:rsid w:val="00A32DA1"/>
    <w:rsid w:val="00A3507B"/>
    <w:rsid w:val="00A50ECB"/>
    <w:rsid w:val="00A52219"/>
    <w:rsid w:val="00A53342"/>
    <w:rsid w:val="00A54BAE"/>
    <w:rsid w:val="00A6498C"/>
    <w:rsid w:val="00A8025E"/>
    <w:rsid w:val="00A80D1A"/>
    <w:rsid w:val="00A83BDC"/>
    <w:rsid w:val="00A84A65"/>
    <w:rsid w:val="00A86AC0"/>
    <w:rsid w:val="00A92872"/>
    <w:rsid w:val="00A9489D"/>
    <w:rsid w:val="00A96113"/>
    <w:rsid w:val="00AA01F1"/>
    <w:rsid w:val="00AA03DB"/>
    <w:rsid w:val="00AA06CE"/>
    <w:rsid w:val="00AA6F75"/>
    <w:rsid w:val="00AA758F"/>
    <w:rsid w:val="00AB157F"/>
    <w:rsid w:val="00AC19E7"/>
    <w:rsid w:val="00AC3F9A"/>
    <w:rsid w:val="00AD2A50"/>
    <w:rsid w:val="00AD5687"/>
    <w:rsid w:val="00AD5D10"/>
    <w:rsid w:val="00AD6879"/>
    <w:rsid w:val="00AE45FC"/>
    <w:rsid w:val="00AE5547"/>
    <w:rsid w:val="00AE6760"/>
    <w:rsid w:val="00AF3A4A"/>
    <w:rsid w:val="00AF7D84"/>
    <w:rsid w:val="00B07057"/>
    <w:rsid w:val="00B30F3C"/>
    <w:rsid w:val="00B31F15"/>
    <w:rsid w:val="00B332E8"/>
    <w:rsid w:val="00B37C85"/>
    <w:rsid w:val="00B6300A"/>
    <w:rsid w:val="00B634FE"/>
    <w:rsid w:val="00B669F1"/>
    <w:rsid w:val="00B839B2"/>
    <w:rsid w:val="00B927A3"/>
    <w:rsid w:val="00BA123E"/>
    <w:rsid w:val="00BA39E3"/>
    <w:rsid w:val="00BA7ED3"/>
    <w:rsid w:val="00BB23E9"/>
    <w:rsid w:val="00BB4385"/>
    <w:rsid w:val="00BB6823"/>
    <w:rsid w:val="00BC2413"/>
    <w:rsid w:val="00BC3950"/>
    <w:rsid w:val="00BC4ACC"/>
    <w:rsid w:val="00BC7E80"/>
    <w:rsid w:val="00BD13E5"/>
    <w:rsid w:val="00BD64C5"/>
    <w:rsid w:val="00BD67B0"/>
    <w:rsid w:val="00BE4E2F"/>
    <w:rsid w:val="00BF1AD2"/>
    <w:rsid w:val="00BF7256"/>
    <w:rsid w:val="00C006E9"/>
    <w:rsid w:val="00C11EB3"/>
    <w:rsid w:val="00C1232F"/>
    <w:rsid w:val="00C135EA"/>
    <w:rsid w:val="00C21229"/>
    <w:rsid w:val="00C22539"/>
    <w:rsid w:val="00C27AC8"/>
    <w:rsid w:val="00C305E8"/>
    <w:rsid w:val="00C3437D"/>
    <w:rsid w:val="00C40D05"/>
    <w:rsid w:val="00C5011D"/>
    <w:rsid w:val="00C53E0E"/>
    <w:rsid w:val="00C56F46"/>
    <w:rsid w:val="00C5744E"/>
    <w:rsid w:val="00C74F67"/>
    <w:rsid w:val="00C956FA"/>
    <w:rsid w:val="00CA5766"/>
    <w:rsid w:val="00CB12EE"/>
    <w:rsid w:val="00CC0F85"/>
    <w:rsid w:val="00CC1448"/>
    <w:rsid w:val="00CC2A7F"/>
    <w:rsid w:val="00CC404D"/>
    <w:rsid w:val="00CD07AE"/>
    <w:rsid w:val="00CE6764"/>
    <w:rsid w:val="00CE6886"/>
    <w:rsid w:val="00D031ED"/>
    <w:rsid w:val="00D033FF"/>
    <w:rsid w:val="00D064A5"/>
    <w:rsid w:val="00D11B80"/>
    <w:rsid w:val="00D1718A"/>
    <w:rsid w:val="00D22ABF"/>
    <w:rsid w:val="00D32B11"/>
    <w:rsid w:val="00D3362A"/>
    <w:rsid w:val="00D5493B"/>
    <w:rsid w:val="00D665B4"/>
    <w:rsid w:val="00D73235"/>
    <w:rsid w:val="00D90E07"/>
    <w:rsid w:val="00D96842"/>
    <w:rsid w:val="00DA3424"/>
    <w:rsid w:val="00DB4505"/>
    <w:rsid w:val="00DB6BE4"/>
    <w:rsid w:val="00DC0573"/>
    <w:rsid w:val="00DC7715"/>
    <w:rsid w:val="00DE07B0"/>
    <w:rsid w:val="00DE0D2A"/>
    <w:rsid w:val="00DE4FCB"/>
    <w:rsid w:val="00E040D9"/>
    <w:rsid w:val="00E04798"/>
    <w:rsid w:val="00E137E9"/>
    <w:rsid w:val="00E156E0"/>
    <w:rsid w:val="00E26D2B"/>
    <w:rsid w:val="00E30C89"/>
    <w:rsid w:val="00E357E4"/>
    <w:rsid w:val="00E412F5"/>
    <w:rsid w:val="00E47C88"/>
    <w:rsid w:val="00E51A0A"/>
    <w:rsid w:val="00E83E86"/>
    <w:rsid w:val="00E91C7F"/>
    <w:rsid w:val="00E92121"/>
    <w:rsid w:val="00E93358"/>
    <w:rsid w:val="00EA1856"/>
    <w:rsid w:val="00EA3DF2"/>
    <w:rsid w:val="00EB5146"/>
    <w:rsid w:val="00EC5BB3"/>
    <w:rsid w:val="00EC624E"/>
    <w:rsid w:val="00ED284C"/>
    <w:rsid w:val="00ED7F59"/>
    <w:rsid w:val="00EE51DE"/>
    <w:rsid w:val="00EE5249"/>
    <w:rsid w:val="00EE7BB0"/>
    <w:rsid w:val="00EF2124"/>
    <w:rsid w:val="00F2259A"/>
    <w:rsid w:val="00F22AD3"/>
    <w:rsid w:val="00F22D04"/>
    <w:rsid w:val="00F23CD4"/>
    <w:rsid w:val="00F2433E"/>
    <w:rsid w:val="00F25CA4"/>
    <w:rsid w:val="00F26535"/>
    <w:rsid w:val="00F300A0"/>
    <w:rsid w:val="00F308DA"/>
    <w:rsid w:val="00F33803"/>
    <w:rsid w:val="00F34603"/>
    <w:rsid w:val="00F4255F"/>
    <w:rsid w:val="00F50A82"/>
    <w:rsid w:val="00F523A0"/>
    <w:rsid w:val="00F53084"/>
    <w:rsid w:val="00F6396A"/>
    <w:rsid w:val="00F66C9E"/>
    <w:rsid w:val="00F73BE1"/>
    <w:rsid w:val="00F85467"/>
    <w:rsid w:val="00F86104"/>
    <w:rsid w:val="00F90C0A"/>
    <w:rsid w:val="00F930D6"/>
    <w:rsid w:val="00F979FA"/>
    <w:rsid w:val="00FA25AD"/>
    <w:rsid w:val="00FA4B21"/>
    <w:rsid w:val="00FB06CB"/>
    <w:rsid w:val="00FB08C9"/>
    <w:rsid w:val="00FB10C5"/>
    <w:rsid w:val="00FB1DC7"/>
    <w:rsid w:val="00FB2A5D"/>
    <w:rsid w:val="00FB4E47"/>
    <w:rsid w:val="00FB544B"/>
    <w:rsid w:val="00FB6FEE"/>
    <w:rsid w:val="00FC2153"/>
    <w:rsid w:val="00FD16C3"/>
    <w:rsid w:val="00FE4684"/>
    <w:rsid w:val="00FF02CB"/>
    <w:rsid w:val="00FF1AB3"/>
    <w:rsid w:val="00FF3A31"/>
    <w:rsid w:val="00FF4C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4D57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24 Char Char,Char24 Char Char Char"/>
    <w:basedOn w:val="Heading1"/>
    <w:next w:val="Normal"/>
    <w:link w:val="Nadpis2Char"/>
    <w:uiPriority w:val="99"/>
    <w:qFormat/>
    <w:rsid w:val="004C4D57"/>
    <w:pPr>
      <w:keepLines w:val="0"/>
      <w:spacing w:before="120" w:after="120" w:line="240" w:lineRule="auto"/>
      <w:jc w:val="both"/>
      <w:outlineLvl w:val="1"/>
    </w:pPr>
    <w:rPr>
      <w:rFonts w:ascii="Arial Narrow" w:eastAsia="Times New Roman" w:hAnsi="Arial Narrow" w:cs="Book Antiqua"/>
      <w:b w:val="0"/>
      <w:bCs w:val="0"/>
      <w:color w:val="auto"/>
      <w:sz w:val="24"/>
      <w:szCs w:val="22"/>
      <w:lang w:eastAsia="sk-SK"/>
    </w:rPr>
  </w:style>
  <w:style w:type="paragraph" w:styleId="Heading3">
    <w:name w:val="heading 3"/>
    <w:aliases w:val="Tab"/>
    <w:basedOn w:val="Normal"/>
    <w:next w:val="Normal"/>
    <w:link w:val="Nadpis3Char"/>
    <w:uiPriority w:val="99"/>
    <w:qFormat/>
    <w:rsid w:val="004C4D57"/>
    <w:pPr>
      <w:keepNext/>
      <w:spacing w:after="0" w:line="240" w:lineRule="auto"/>
      <w:jc w:val="left"/>
      <w:outlineLvl w:val="2"/>
    </w:pPr>
    <w:rPr>
      <w:rFonts w:cs="Arial"/>
      <w:b/>
      <w:bCs/>
      <w:sz w:val="20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Char24 Char Char Char Char,Char24 Char Char Char1"/>
    <w:basedOn w:val="DefaultParagraphFont"/>
    <w:link w:val="Heading2"/>
    <w:uiPriority w:val="99"/>
    <w:locked/>
    <w:rsid w:val="004C4D57"/>
    <w:rPr>
      <w:rFonts w:eastAsia="Times New Roman" w:cs="Book Antiqua"/>
      <w:sz w:val="22"/>
      <w:szCs w:val="22"/>
      <w:rtl w:val="0"/>
      <w:cs w:val="0"/>
      <w:lang w:val="x-none" w:eastAsia="sk-SK"/>
    </w:rPr>
  </w:style>
  <w:style w:type="character" w:customStyle="1" w:styleId="Nadpis3Char">
    <w:name w:val="Nadpis 3 Char"/>
    <w:aliases w:val="Tab Char"/>
    <w:basedOn w:val="DefaultParagraphFont"/>
    <w:link w:val="Heading3"/>
    <w:uiPriority w:val="99"/>
    <w:locked/>
    <w:rsid w:val="004C4D57"/>
    <w:rPr>
      <w:rFonts w:eastAsia="Times New Roman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4C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4D5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4D5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FF3A31"/>
    <w:pPr>
      <w:spacing w:after="0" w:line="240" w:lineRule="auto"/>
      <w:ind w:left="720"/>
      <w:contextualSpacing/>
      <w:jc w:val="left"/>
    </w:pPr>
    <w:rPr>
      <w:rFonts w:cs="Book Antiqua"/>
      <w:szCs w:val="22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25A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25AD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6170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6170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74617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AC3F9A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10AB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10ABF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10ABF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10ABF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10ABF"/>
    <w:rPr>
      <w:b/>
      <w:bCs/>
    </w:rPr>
  </w:style>
  <w:style w:type="paragraph" w:customStyle="1" w:styleId="Default">
    <w:name w:val="Default"/>
    <w:rsid w:val="00E040D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  <w:style w:type="table" w:styleId="TableGrid">
    <w:name w:val="Table Grid"/>
    <w:basedOn w:val="TableNormal"/>
    <w:uiPriority w:val="59"/>
    <w:rsid w:val="00A3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4F59"/>
    <w:rPr>
      <w:rFonts w:cs="Times New Roman"/>
      <w:color w:val="800080" w:themeColor="fol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F73BE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mfsr.sk/Default.aspx?CatID=9696" TargetMode="External" /><Relationship Id="rId2" Type="http://schemas.openxmlformats.org/officeDocument/2006/relationships/hyperlink" Target="http://www.finance.gov.sk/Default.aspx?CatID=10181AWG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0C23-3A8D-4395-A056-DD56D9B4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1913</Words>
  <Characters>10907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Havlat Michal</dc:creator>
  <cp:lastModifiedBy>Vinický, Filip</cp:lastModifiedBy>
  <cp:revision>2</cp:revision>
  <cp:lastPrinted>2014-08-07T15:54:00Z</cp:lastPrinted>
  <dcterms:created xsi:type="dcterms:W3CDTF">2015-10-15T11:27:00Z</dcterms:created>
  <dcterms:modified xsi:type="dcterms:W3CDTF">2015-10-15T11:27:00Z</dcterms:modified>
</cp:coreProperties>
</file>