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00D0" w:rsidRPr="0024687B" w:rsidP="00B32E22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C00D0" w:rsidRPr="0024687B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C00D0" w:rsidRPr="0024687B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C00D0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F47A0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F47A0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F47A0" w:rsidRPr="0024687B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C00D0" w:rsidRPr="0024687B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C00D0" w:rsidRPr="0024687B" w:rsidP="003C00D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C00D0" w:rsidRPr="0024687B" w:rsidP="003C00D0">
      <w:pPr>
        <w:bidi w:val="0"/>
        <w:jc w:val="center"/>
        <w:rPr>
          <w:rFonts w:ascii="Times New Roman" w:hAnsi="Times New Roman"/>
          <w:b/>
          <w:sz w:val="44"/>
          <w:szCs w:val="44"/>
        </w:rPr>
      </w:pPr>
      <w:r w:rsidRPr="0024687B">
        <w:rPr>
          <w:rFonts w:ascii="Times New Roman" w:hAnsi="Times New Roman"/>
          <w:b/>
          <w:sz w:val="44"/>
          <w:szCs w:val="44"/>
        </w:rPr>
        <w:t>Príloha č. 4</w:t>
      </w:r>
    </w:p>
    <w:p w:rsidR="003C00D0" w:rsidRPr="0024687B" w:rsidP="003C00D0">
      <w:pPr>
        <w:bidi w:val="0"/>
        <w:jc w:val="center"/>
        <w:rPr>
          <w:rFonts w:ascii="Times New Roman" w:hAnsi="Times New Roman"/>
          <w:b/>
          <w:sz w:val="44"/>
          <w:szCs w:val="44"/>
        </w:rPr>
      </w:pPr>
    </w:p>
    <w:p w:rsidR="001708DA" w:rsidRPr="0024687B" w:rsidP="003C00D0">
      <w:pPr>
        <w:bidi w:val="0"/>
        <w:jc w:val="center"/>
        <w:rPr>
          <w:rFonts w:ascii="Times New Roman" w:hAnsi="Times New Roman"/>
          <w:b/>
          <w:sz w:val="44"/>
          <w:szCs w:val="44"/>
        </w:rPr>
      </w:pPr>
      <w:r w:rsidR="003F0457">
        <w:rPr>
          <w:rFonts w:ascii="Times New Roman" w:hAnsi="Times New Roman"/>
          <w:b/>
          <w:sz w:val="44"/>
          <w:szCs w:val="44"/>
        </w:rPr>
        <w:t>P</w:t>
      </w:r>
      <w:r w:rsidRPr="0024687B" w:rsidR="003C00D0">
        <w:rPr>
          <w:rFonts w:ascii="Times New Roman" w:hAnsi="Times New Roman"/>
          <w:b/>
          <w:sz w:val="44"/>
          <w:szCs w:val="44"/>
        </w:rPr>
        <w:t>odmienen</w:t>
      </w:r>
      <w:r w:rsidR="003F0457">
        <w:rPr>
          <w:rFonts w:ascii="Times New Roman" w:hAnsi="Times New Roman"/>
          <w:b/>
          <w:sz w:val="44"/>
          <w:szCs w:val="44"/>
        </w:rPr>
        <w:t>é</w:t>
      </w:r>
      <w:r w:rsidRPr="0024687B" w:rsidR="003C00D0">
        <w:rPr>
          <w:rFonts w:ascii="Times New Roman" w:hAnsi="Times New Roman"/>
          <w:b/>
          <w:sz w:val="44"/>
          <w:szCs w:val="44"/>
        </w:rPr>
        <w:t xml:space="preserve"> záväzk</w:t>
      </w:r>
      <w:r w:rsidR="003F0457">
        <w:rPr>
          <w:rFonts w:ascii="Times New Roman" w:hAnsi="Times New Roman"/>
          <w:b/>
          <w:sz w:val="44"/>
          <w:szCs w:val="44"/>
        </w:rPr>
        <w:t>y</w:t>
      </w:r>
      <w:r w:rsidRPr="0024687B" w:rsidR="003C00D0">
        <w:rPr>
          <w:rFonts w:ascii="Times New Roman" w:hAnsi="Times New Roman"/>
          <w:b/>
          <w:sz w:val="44"/>
          <w:szCs w:val="44"/>
        </w:rPr>
        <w:t xml:space="preserve"> </w:t>
      </w:r>
    </w:p>
    <w:p w:rsidR="008069D2" w:rsidRPr="0024687B" w:rsidP="001708DA">
      <w:pPr>
        <w:bidi w:val="0"/>
        <w:rPr>
          <w:rFonts w:ascii="Times New Roman" w:hAnsi="Times New Roman"/>
          <w:b/>
          <w:sz w:val="24"/>
          <w:szCs w:val="24"/>
        </w:rPr>
      </w:pPr>
      <w:r w:rsidRPr="0024687B" w:rsidR="001708DA">
        <w:rPr>
          <w:rFonts w:ascii="Times New Roman" w:hAnsi="Times New Roman"/>
          <w:b/>
          <w:sz w:val="44"/>
          <w:szCs w:val="44"/>
        </w:rPr>
        <w:br w:type="page"/>
      </w:r>
      <w:r w:rsidR="003F0457">
        <w:rPr>
          <w:rFonts w:ascii="Times New Roman" w:hAnsi="Times New Roman"/>
          <w:b/>
          <w:sz w:val="24"/>
          <w:szCs w:val="24"/>
        </w:rPr>
        <w:t>P</w:t>
      </w:r>
      <w:r w:rsidRPr="0024687B">
        <w:rPr>
          <w:rFonts w:ascii="Times New Roman" w:hAnsi="Times New Roman"/>
          <w:b/>
          <w:sz w:val="24"/>
          <w:szCs w:val="24"/>
        </w:rPr>
        <w:t>odmienen</w:t>
      </w:r>
      <w:r w:rsidR="003F0457">
        <w:rPr>
          <w:rFonts w:ascii="Times New Roman" w:hAnsi="Times New Roman"/>
          <w:b/>
          <w:sz w:val="24"/>
          <w:szCs w:val="24"/>
        </w:rPr>
        <w:t>é</w:t>
      </w:r>
      <w:r w:rsidRPr="0024687B">
        <w:rPr>
          <w:rFonts w:ascii="Times New Roman" w:hAnsi="Times New Roman"/>
          <w:b/>
          <w:sz w:val="24"/>
          <w:szCs w:val="24"/>
        </w:rPr>
        <w:t xml:space="preserve"> záväzk</w:t>
      </w:r>
      <w:r w:rsidR="003F0457">
        <w:rPr>
          <w:rFonts w:ascii="Times New Roman" w:hAnsi="Times New Roman"/>
          <w:b/>
          <w:sz w:val="24"/>
          <w:szCs w:val="24"/>
        </w:rPr>
        <w:t>y</w:t>
      </w:r>
      <w:r w:rsidRPr="0024687B">
        <w:rPr>
          <w:rFonts w:ascii="Times New Roman" w:hAnsi="Times New Roman"/>
          <w:b/>
          <w:sz w:val="24"/>
          <w:szCs w:val="24"/>
        </w:rPr>
        <w:t xml:space="preserve"> </w:t>
      </w:r>
    </w:p>
    <w:p w:rsidR="008069D2" w:rsidRPr="0024687B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24687B">
        <w:rPr>
          <w:rFonts w:ascii="Times New Roman" w:hAnsi="Times New Roman" w:cs="Times New Roman"/>
        </w:rPr>
        <w:t>V</w:t>
      </w:r>
      <w:r w:rsidRPr="0024687B" w:rsidR="00E721D6">
        <w:rPr>
          <w:rFonts w:ascii="Times New Roman" w:hAnsi="Times New Roman" w:cs="Times New Roman"/>
        </w:rPr>
        <w:t> </w:t>
      </w:r>
      <w:r w:rsidRPr="0024687B">
        <w:rPr>
          <w:rFonts w:ascii="Times New Roman" w:hAnsi="Times New Roman" w:cs="Times New Roman"/>
        </w:rPr>
        <w:t>zmysle</w:t>
      </w:r>
      <w:r w:rsidRPr="0024687B" w:rsidR="00E721D6">
        <w:rPr>
          <w:rFonts w:ascii="Times New Roman" w:hAnsi="Times New Roman" w:cs="Times New Roman"/>
        </w:rPr>
        <w:t xml:space="preserve"> článku 9 ods. 4</w:t>
      </w:r>
      <w:r w:rsidRPr="0024687B">
        <w:rPr>
          <w:rFonts w:ascii="Times New Roman" w:hAnsi="Times New Roman" w:cs="Times New Roman"/>
        </w:rPr>
        <w:t xml:space="preserve"> ústavného zákona č. 493/2011 Z. z. o rozpočtovej zodpovednosti návrh rozpočtu verejnej správy obsahuje</w:t>
      </w:r>
      <w:r w:rsidR="00022B75">
        <w:rPr>
          <w:rFonts w:ascii="Times New Roman" w:hAnsi="Times New Roman" w:cs="Times New Roman"/>
        </w:rPr>
        <w:t xml:space="preserve"> aj</w:t>
      </w:r>
      <w:r w:rsidRPr="0024687B">
        <w:rPr>
          <w:rFonts w:ascii="Times New Roman" w:hAnsi="Times New Roman" w:cs="Times New Roman"/>
        </w:rPr>
        <w:t xml:space="preserve"> informácie o podmienených záväzkoch.</w:t>
      </w:r>
    </w:p>
    <w:p w:rsidR="008069D2" w:rsidRPr="0024687B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 w:cs="Times New Roman"/>
        </w:rPr>
      </w:pPr>
    </w:p>
    <w:p w:rsidR="008069D2" w:rsidRPr="0024687B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24687B">
        <w:rPr>
          <w:rFonts w:ascii="Times New Roman" w:hAnsi="Times New Roman" w:cs="Times New Roman"/>
        </w:rPr>
        <w:t xml:space="preserve">Podmienené záväzky sú </w:t>
      </w:r>
      <w:r w:rsidRPr="0024687B" w:rsidR="00E721D6">
        <w:rPr>
          <w:rFonts w:ascii="Times New Roman" w:hAnsi="Times New Roman" w:cs="Times New Roman"/>
        </w:rPr>
        <w:t>definované v legislatíve</w:t>
      </w:r>
      <w:r>
        <w:rPr>
          <w:rFonts w:ascii="Times New Roman" w:hAnsi="Times New Roman" w:cs="Times New Roman"/>
          <w:vertAlign w:val="superscript"/>
          <w:rtl w:val="0"/>
        </w:rPr>
        <w:footnoteReference w:id="2"/>
      </w:r>
      <w:r w:rsidRPr="0024687B">
        <w:rPr>
          <w:rFonts w:ascii="Times New Roman" w:hAnsi="Times New Roman" w:cs="Times New Roman"/>
        </w:rPr>
        <w:t xml:space="preserve"> ako iné pasíva účtovnej jednotky, ktorá ich vykazuje v poznámkach ako súčasti individuálnej účtovnej závierky. </w:t>
      </w:r>
      <w:r w:rsidR="00C632F3">
        <w:rPr>
          <w:rFonts w:ascii="Times New Roman" w:hAnsi="Times New Roman" w:cs="Times New Roman"/>
        </w:rPr>
        <w:t>Nejde</w:t>
      </w:r>
      <w:r w:rsidRPr="0024687B">
        <w:rPr>
          <w:rFonts w:ascii="Times New Roman" w:hAnsi="Times New Roman" w:cs="Times New Roman"/>
        </w:rPr>
        <w:t xml:space="preserve"> teda o záväzok, ktorý je vykázaný na súvahových položkách pasív, pretože nie je splnená podmienka na ich zaúčtovanie - výška záväzku sa nedá spoľahlivo oceniť, obdobie, ku ktorému sa povinnosť viaže nie je určené</w:t>
      </w:r>
      <w:r w:rsidR="00C632F3">
        <w:rPr>
          <w:rFonts w:ascii="Times New Roman" w:hAnsi="Times New Roman" w:cs="Times New Roman"/>
        </w:rPr>
        <w:t xml:space="preserve"> a</w:t>
      </w:r>
      <w:r w:rsidRPr="0024687B">
        <w:rPr>
          <w:rFonts w:ascii="Times New Roman" w:hAnsi="Times New Roman" w:cs="Times New Roman"/>
        </w:rPr>
        <w:t xml:space="preserve"> úbytok ekonomických úžitkov v budúcnosti nie je istý.</w:t>
      </w:r>
    </w:p>
    <w:p w:rsidR="008069D2" w:rsidRPr="0024687B" w:rsidP="00FA7F29">
      <w:pPr>
        <w:pStyle w:val="Zarkazkladnhotextu1"/>
        <w:bidi w:val="0"/>
        <w:ind w:left="0" w:firstLine="709"/>
        <w:jc w:val="both"/>
        <w:rPr>
          <w:rFonts w:ascii="Times New Roman" w:hAnsi="Times New Roman" w:cs="Times New Roman"/>
        </w:rPr>
      </w:pPr>
      <w:r w:rsidRPr="0024687B">
        <w:rPr>
          <w:rFonts w:ascii="Times New Roman" w:hAnsi="Times New Roman" w:cs="Times New Roman"/>
        </w:rPr>
        <w:t>Ako iné pasíva sa vykazuje:</w:t>
      </w:r>
    </w:p>
    <w:p w:rsidR="008069D2" w:rsidRPr="0024687B" w:rsidP="008069D2">
      <w:pPr>
        <w:pStyle w:val="Zarkazkladnhotextu1"/>
        <w:numPr>
          <w:numId w:val="4"/>
        </w:numPr>
        <w:bidi w:val="0"/>
        <w:spacing w:after="0"/>
        <w:jc w:val="both"/>
        <w:rPr>
          <w:rFonts w:ascii="Times New Roman" w:hAnsi="Times New Roman" w:cs="Times New Roman"/>
        </w:rPr>
      </w:pPr>
      <w:bookmarkStart w:id="0" w:name="_Ref331681245"/>
      <w:r w:rsidRPr="0024687B">
        <w:rPr>
          <w:rFonts w:ascii="Times New Roman" w:hAnsi="Times New Roman" w:cs="Times New Roman"/>
        </w:rPr>
        <w:t>možná povinnosť, ktorá vznikla ako dôsledok minulej udalosti</w:t>
      </w:r>
      <w:r w:rsidR="00182F73">
        <w:rPr>
          <w:rFonts w:ascii="Times New Roman" w:hAnsi="Times New Roman" w:cs="Times New Roman"/>
        </w:rPr>
        <w:t>,</w:t>
      </w:r>
      <w:r w:rsidRPr="0024687B">
        <w:rPr>
          <w:rFonts w:ascii="Times New Roman" w:hAnsi="Times New Roman" w:cs="Times New Roman"/>
        </w:rPr>
        <w:t xml:space="preserve"> a ktorej existencia závisí od toho, či nastane alebo nenastane jedna alebo viac neistých udalostí v budúcnosti, ktorých vznik nezávisí od účtovnej jednotky,</w:t>
      </w:r>
      <w:bookmarkEnd w:id="0"/>
      <w:r w:rsidRPr="0024687B">
        <w:rPr>
          <w:rFonts w:ascii="Times New Roman" w:hAnsi="Times New Roman" w:cs="Times New Roman"/>
        </w:rPr>
        <w:t xml:space="preserve"> alebo</w:t>
      </w:r>
    </w:p>
    <w:p w:rsidR="008069D2" w:rsidRPr="0024687B" w:rsidP="008069D2">
      <w:pPr>
        <w:pStyle w:val="Zarkazkladnhotextu1"/>
        <w:numPr>
          <w:numId w:val="4"/>
        </w:numPr>
        <w:bidi w:val="0"/>
        <w:spacing w:after="0"/>
        <w:jc w:val="both"/>
        <w:rPr>
          <w:rFonts w:ascii="Times New Roman" w:hAnsi="Times New Roman" w:cs="Times New Roman"/>
        </w:rPr>
      </w:pPr>
      <w:r w:rsidRPr="0024687B">
        <w:rPr>
          <w:rFonts w:ascii="Times New Roman" w:hAnsi="Times New Roman" w:cs="Times New Roman"/>
        </w:rPr>
        <w:t>povinnosť, ktorá vznikla ako dôsledok minulej udalosti, ale ktorá sa nevykazuje v súvahe, pretože nie je pravdepodobné, že na splnenie tejto povinnosti bude potrebný úbytok ekonomických úžitkov, alebo výška tejto povinnosti sa nedá spoľahlivo oceniť.</w:t>
      </w:r>
    </w:p>
    <w:p w:rsidR="008069D2" w:rsidRPr="0024687B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 w:cs="Times New Roman"/>
        </w:rPr>
      </w:pPr>
    </w:p>
    <w:p w:rsidR="00FA7F29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24687B" w:rsidR="008069D2">
        <w:rPr>
          <w:rFonts w:ascii="Times New Roman" w:hAnsi="Times New Roman" w:cs="Times New Roman"/>
        </w:rPr>
        <w:t xml:space="preserve">Vzhľadom na uvedené sa ako podmienené záväzky </w:t>
      </w:r>
      <w:r w:rsidRPr="0024687B" w:rsidR="00B67300">
        <w:rPr>
          <w:rFonts w:ascii="Times New Roman" w:hAnsi="Times New Roman" w:cs="Times New Roman"/>
        </w:rPr>
        <w:t xml:space="preserve">vykazujú </w:t>
      </w:r>
      <w:r w:rsidRPr="0024687B" w:rsidR="008069D2">
        <w:rPr>
          <w:rFonts w:ascii="Times New Roman" w:hAnsi="Times New Roman" w:cs="Times New Roman"/>
        </w:rPr>
        <w:t xml:space="preserve">napríklad poskytnuté záruky, </w:t>
      </w:r>
      <w:r w:rsidR="00C632F3">
        <w:rPr>
          <w:rFonts w:ascii="Times New Roman" w:hAnsi="Times New Roman" w:cs="Times New Roman"/>
        </w:rPr>
        <w:t xml:space="preserve">hroziace záväzky z prebiehajúcich </w:t>
      </w:r>
      <w:r w:rsidRPr="0024687B" w:rsidR="008069D2">
        <w:rPr>
          <w:rFonts w:ascii="Times New Roman" w:hAnsi="Times New Roman" w:cs="Times New Roman"/>
        </w:rPr>
        <w:t>právn</w:t>
      </w:r>
      <w:r w:rsidR="00C632F3">
        <w:rPr>
          <w:rFonts w:ascii="Times New Roman" w:hAnsi="Times New Roman" w:cs="Times New Roman"/>
        </w:rPr>
        <w:t>ych</w:t>
      </w:r>
      <w:r w:rsidRPr="0024687B" w:rsidR="008069D2">
        <w:rPr>
          <w:rFonts w:ascii="Times New Roman" w:hAnsi="Times New Roman" w:cs="Times New Roman"/>
        </w:rPr>
        <w:t xml:space="preserve"> spor</w:t>
      </w:r>
      <w:r w:rsidR="00C632F3">
        <w:rPr>
          <w:rFonts w:ascii="Times New Roman" w:hAnsi="Times New Roman" w:cs="Times New Roman"/>
        </w:rPr>
        <w:t>ov</w:t>
      </w:r>
      <w:r w:rsidRPr="0024687B" w:rsidR="008069D2">
        <w:rPr>
          <w:rFonts w:ascii="Times New Roman" w:hAnsi="Times New Roman" w:cs="Times New Roman"/>
        </w:rPr>
        <w:t xml:space="preserve">, </w:t>
      </w:r>
      <w:r w:rsidR="00C632F3">
        <w:rPr>
          <w:rFonts w:ascii="Times New Roman" w:hAnsi="Times New Roman" w:cs="Times New Roman"/>
        </w:rPr>
        <w:t xml:space="preserve">budúce </w:t>
      </w:r>
      <w:r w:rsidRPr="0024687B" w:rsidR="008069D2">
        <w:rPr>
          <w:rFonts w:ascii="Times New Roman" w:hAnsi="Times New Roman" w:cs="Times New Roman"/>
        </w:rPr>
        <w:t>záväzky zo všeobecne platných právnych predpisov a podobn</w:t>
      </w:r>
      <w:r w:rsidRPr="004720C4" w:rsidR="008069D2">
        <w:rPr>
          <w:rFonts w:ascii="Times New Roman" w:hAnsi="Times New Roman" w:cs="Times New Roman"/>
        </w:rPr>
        <w:t>e.</w:t>
      </w:r>
      <w:r w:rsidRPr="004720C4" w:rsidR="00255FE8">
        <w:rPr>
          <w:rFonts w:ascii="Times New Roman" w:hAnsi="Times New Roman" w:cs="Times New Roman"/>
        </w:rPr>
        <w:t xml:space="preserve"> </w:t>
      </w:r>
      <w:r w:rsidRPr="004720C4" w:rsidR="007C0EBC">
        <w:rPr>
          <w:rFonts w:ascii="Times New Roman" w:hAnsi="Times New Roman" w:cs="Times New Roman"/>
        </w:rPr>
        <w:t xml:space="preserve">Medziročne </w:t>
      </w:r>
      <w:r w:rsidRPr="004720C4" w:rsidR="00255FE8">
        <w:rPr>
          <w:rFonts w:ascii="Times New Roman" w:hAnsi="Times New Roman" w:cs="Times New Roman"/>
        </w:rPr>
        <w:t xml:space="preserve">došlo k zvýšeniu </w:t>
      </w:r>
      <w:r w:rsidRPr="004720C4" w:rsidR="007C0EBC">
        <w:rPr>
          <w:rFonts w:ascii="Times New Roman" w:hAnsi="Times New Roman" w:cs="Times New Roman"/>
        </w:rPr>
        <w:t>podmienených záväzkov</w:t>
      </w:r>
      <w:r w:rsidRPr="004720C4" w:rsidR="00255F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celkovo o 1 350 460 tis. eur. </w:t>
      </w:r>
      <w:r w:rsidR="00B71ECF">
        <w:rPr>
          <w:rFonts w:ascii="Times New Roman" w:hAnsi="Times New Roman" w:cs="Times New Roman"/>
        </w:rPr>
        <w:t>Zvýšenie podmienených záväzkov bolo spôsobené najmä</w:t>
      </w:r>
      <w:r w:rsidR="00EA591C">
        <w:rPr>
          <w:rFonts w:ascii="Times New Roman" w:hAnsi="Times New Roman" w:cs="Times New Roman"/>
        </w:rPr>
        <w:t xml:space="preserve"> zaznamenaním podmienených záväzkov u obchodnej spoločnosti Slovenský plynárenský priemysel, a.s., ktorej akcie boli prevedené z Fondu národného majetku do správy Ministerstva hospodárstva SR a vykazuje sa v rámci podnikov štátnej správy.</w:t>
      </w:r>
    </w:p>
    <w:p w:rsidR="007C0EBC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 w:cs="Times New Roman"/>
        </w:rPr>
      </w:pPr>
      <w:r w:rsidR="00307118">
        <w:rPr>
          <w:rFonts w:ascii="Times New Roman" w:hAnsi="Times New Roman" w:cs="Times New Roman"/>
        </w:rPr>
        <w:t>Na zníženie podmienených záväzkov mal</w:t>
      </w:r>
      <w:r w:rsidR="007E6A14">
        <w:rPr>
          <w:rFonts w:ascii="Times New Roman" w:hAnsi="Times New Roman" w:cs="Times New Roman"/>
        </w:rPr>
        <w:t>o</w:t>
      </w:r>
      <w:r w:rsidR="00307118">
        <w:rPr>
          <w:rFonts w:ascii="Times New Roman" w:hAnsi="Times New Roman" w:cs="Times New Roman"/>
        </w:rPr>
        <w:t xml:space="preserve"> vplyv najmä ukončen</w:t>
      </w:r>
      <w:r w:rsidR="007E6A14">
        <w:rPr>
          <w:rFonts w:ascii="Times New Roman" w:hAnsi="Times New Roman" w:cs="Times New Roman"/>
        </w:rPr>
        <w:t>ie</w:t>
      </w:r>
      <w:r w:rsidR="00307118">
        <w:rPr>
          <w:rFonts w:ascii="Times New Roman" w:hAnsi="Times New Roman" w:cs="Times New Roman"/>
        </w:rPr>
        <w:t xml:space="preserve"> </w:t>
      </w:r>
      <w:r w:rsidR="007E6A14">
        <w:rPr>
          <w:rFonts w:ascii="Times New Roman" w:hAnsi="Times New Roman" w:cs="Times New Roman"/>
        </w:rPr>
        <w:t xml:space="preserve">niektorých </w:t>
      </w:r>
      <w:r w:rsidR="00307118">
        <w:rPr>
          <w:rFonts w:ascii="Times New Roman" w:hAnsi="Times New Roman" w:cs="Times New Roman"/>
        </w:rPr>
        <w:t>medzinárodn</w:t>
      </w:r>
      <w:r w:rsidR="007E6A14">
        <w:rPr>
          <w:rFonts w:ascii="Times New Roman" w:hAnsi="Times New Roman" w:cs="Times New Roman"/>
        </w:rPr>
        <w:t>ých</w:t>
      </w:r>
      <w:r w:rsidR="00307118">
        <w:rPr>
          <w:rFonts w:ascii="Times New Roman" w:hAnsi="Times New Roman" w:cs="Times New Roman"/>
        </w:rPr>
        <w:t xml:space="preserve"> arbitráž</w:t>
      </w:r>
      <w:r w:rsidR="007E6A14">
        <w:rPr>
          <w:rFonts w:ascii="Times New Roman" w:hAnsi="Times New Roman" w:cs="Times New Roman"/>
        </w:rPr>
        <w:t>í</w:t>
      </w:r>
      <w:r w:rsidR="00307118">
        <w:rPr>
          <w:rFonts w:ascii="Times New Roman" w:hAnsi="Times New Roman" w:cs="Times New Roman"/>
        </w:rPr>
        <w:t xml:space="preserve"> a  právn</w:t>
      </w:r>
      <w:r w:rsidR="007E6A14">
        <w:rPr>
          <w:rFonts w:ascii="Times New Roman" w:hAnsi="Times New Roman" w:cs="Times New Roman"/>
        </w:rPr>
        <w:t>ych</w:t>
      </w:r>
      <w:r w:rsidR="00307118">
        <w:rPr>
          <w:rFonts w:ascii="Times New Roman" w:hAnsi="Times New Roman" w:cs="Times New Roman"/>
        </w:rPr>
        <w:t xml:space="preserve"> spor</w:t>
      </w:r>
      <w:r w:rsidR="007E6A14">
        <w:rPr>
          <w:rFonts w:ascii="Times New Roman" w:hAnsi="Times New Roman" w:cs="Times New Roman"/>
        </w:rPr>
        <w:t>ov SR</w:t>
      </w:r>
      <w:r w:rsidRPr="004720C4" w:rsidR="00D63423">
        <w:rPr>
          <w:rFonts w:ascii="Times New Roman" w:hAnsi="Times New Roman" w:cs="Times New Roman"/>
        </w:rPr>
        <w:t>.</w:t>
      </w:r>
      <w:r w:rsidR="00307118">
        <w:rPr>
          <w:rFonts w:ascii="Times New Roman" w:hAnsi="Times New Roman" w:cs="Times New Roman"/>
        </w:rPr>
        <w:t xml:space="preserve"> </w:t>
      </w:r>
      <w:r w:rsidRPr="004720C4" w:rsidR="00D63423">
        <w:rPr>
          <w:rFonts w:ascii="Times New Roman" w:hAnsi="Times New Roman" w:cs="Times New Roman"/>
        </w:rPr>
        <w:t xml:space="preserve"> </w:t>
      </w:r>
    </w:p>
    <w:p w:rsidR="008069D2" w:rsidRPr="0024687B" w:rsidP="008069D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4687B">
        <w:rPr>
          <w:rFonts w:ascii="Times New Roman" w:hAnsi="Times New Roman"/>
          <w:sz w:val="24"/>
          <w:szCs w:val="24"/>
        </w:rPr>
        <w:t>K 31.</w:t>
      </w:r>
      <w:r w:rsidRPr="0024687B" w:rsidR="00E721D6">
        <w:rPr>
          <w:rFonts w:ascii="Times New Roman" w:hAnsi="Times New Roman"/>
          <w:sz w:val="24"/>
          <w:szCs w:val="24"/>
        </w:rPr>
        <w:t xml:space="preserve"> decembru </w:t>
      </w:r>
      <w:r w:rsidRPr="0024687B">
        <w:rPr>
          <w:rFonts w:ascii="Times New Roman" w:hAnsi="Times New Roman"/>
          <w:sz w:val="24"/>
          <w:szCs w:val="24"/>
        </w:rPr>
        <w:t>201</w:t>
      </w:r>
      <w:r w:rsidR="00085E2B">
        <w:rPr>
          <w:rFonts w:ascii="Times New Roman" w:hAnsi="Times New Roman"/>
          <w:sz w:val="24"/>
          <w:szCs w:val="24"/>
        </w:rPr>
        <w:t>4</w:t>
      </w:r>
      <w:r w:rsidRPr="0024687B">
        <w:rPr>
          <w:rFonts w:ascii="Times New Roman" w:hAnsi="Times New Roman"/>
          <w:sz w:val="24"/>
          <w:szCs w:val="24"/>
        </w:rPr>
        <w:t xml:space="preserve"> boli </w:t>
      </w:r>
      <w:r w:rsidRPr="0024687B" w:rsidR="00436449">
        <w:rPr>
          <w:rFonts w:ascii="Times New Roman" w:hAnsi="Times New Roman"/>
          <w:sz w:val="24"/>
          <w:szCs w:val="24"/>
        </w:rPr>
        <w:t xml:space="preserve">vyčíslené podmienené záväzky podľa jednotlivých </w:t>
      </w:r>
      <w:r w:rsidR="00FA7F29">
        <w:rPr>
          <w:rFonts w:ascii="Times New Roman" w:hAnsi="Times New Roman"/>
          <w:sz w:val="24"/>
          <w:szCs w:val="24"/>
        </w:rPr>
        <w:t>subjektov</w:t>
      </w:r>
      <w:r w:rsidRPr="0024687B" w:rsidR="00436449">
        <w:rPr>
          <w:rFonts w:ascii="Times New Roman" w:hAnsi="Times New Roman"/>
          <w:sz w:val="24"/>
          <w:szCs w:val="24"/>
        </w:rPr>
        <w:t xml:space="preserve"> nasledovne: </w:t>
      </w:r>
    </w:p>
    <w:p w:rsidR="009D4A81" w:rsidRPr="00512914" w:rsidP="00512914">
      <w:pPr>
        <w:bidi w:val="0"/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512914" w:rsidR="00863D60">
        <w:rPr>
          <w:rFonts w:ascii="Times New Roman" w:hAnsi="Times New Roman"/>
          <w:sz w:val="16"/>
          <w:szCs w:val="20"/>
        </w:rPr>
        <w:t>Tab. 1</w:t>
      </w:r>
      <w:r w:rsidRPr="00512914" w:rsidR="00D62962">
        <w:rPr>
          <w:rFonts w:ascii="Times New Roman" w:hAnsi="Times New Roman"/>
          <w:sz w:val="16"/>
          <w:szCs w:val="20"/>
        </w:rPr>
        <w:tab/>
        <w:tab/>
        <w:tab/>
        <w:tab/>
        <w:t xml:space="preserve"> </w:t>
        <w:tab/>
      </w:r>
      <w:r w:rsidRPr="00512914">
        <w:rPr>
          <w:rFonts w:ascii="Times New Roman" w:hAnsi="Times New Roman"/>
          <w:sz w:val="16"/>
          <w:szCs w:val="20"/>
        </w:rPr>
        <w:tab/>
        <w:tab/>
      </w:r>
      <w:r w:rsidR="00512914">
        <w:rPr>
          <w:rFonts w:ascii="Times New Roman" w:hAnsi="Times New Roman"/>
          <w:sz w:val="16"/>
          <w:szCs w:val="20"/>
        </w:rPr>
        <w:t xml:space="preserve">     </w:t>
      </w:r>
      <w:r w:rsidRPr="00512914">
        <w:rPr>
          <w:rFonts w:ascii="Times New Roman" w:hAnsi="Times New Roman"/>
          <w:sz w:val="16"/>
          <w:szCs w:val="20"/>
        </w:rPr>
        <w:tab/>
      </w:r>
      <w:r w:rsidR="00512914">
        <w:rPr>
          <w:rFonts w:ascii="Times New Roman" w:hAnsi="Times New Roman"/>
          <w:sz w:val="16"/>
          <w:szCs w:val="20"/>
        </w:rPr>
        <w:t xml:space="preserve">                                                                  </w:t>
      </w:r>
      <w:r w:rsidRPr="00512914">
        <w:rPr>
          <w:rFonts w:ascii="Times New Roman" w:hAnsi="Times New Roman"/>
          <w:sz w:val="16"/>
          <w:szCs w:val="20"/>
        </w:rPr>
        <w:t>(v tis. eur)</w:t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4"/>
        <w:gridCol w:w="2123"/>
        <w:gridCol w:w="2121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5"/>
          <w:jc w:val="center"/>
        </w:trPr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C45FE3" w:rsidRPr="00512914" w:rsidP="002256C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  <w:r w:rsidR="002256C9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S</w:t>
            </w:r>
            <w:r w:rsidR="00B67300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ubjekt</w:t>
            </w:r>
            <w:r w:rsidR="002256C9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y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C45FE3" w:rsidRPr="00512914" w:rsidP="00085E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Hodnota k 31.</w:t>
            </w:r>
            <w:r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 xml:space="preserve"> </w:t>
            </w: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12.</w:t>
            </w:r>
            <w:r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 xml:space="preserve"> 201</w:t>
            </w:r>
            <w:r w:rsidR="00085E2B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4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C45FE3" w:rsidRPr="00512914" w:rsidP="00085E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Hodnota k 31.</w:t>
            </w:r>
            <w:r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 xml:space="preserve"> </w:t>
            </w: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12.</w:t>
            </w:r>
            <w:r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 xml:space="preserve"> </w:t>
            </w: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201</w:t>
            </w:r>
            <w:r w:rsidR="00085E2B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3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85E2B" w:rsidRPr="002B7B99" w:rsidP="0051291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="00B67300">
              <w:rPr>
                <w:rFonts w:ascii="Times New Roman" w:hAnsi="Times New Roman"/>
                <w:sz w:val="16"/>
                <w:szCs w:val="20"/>
                <w:lang w:eastAsia="sk-SK"/>
              </w:rPr>
              <w:t>Ústredná správa a podniky štátnej správy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85E2B" w:rsidRPr="002B7B99" w:rsidP="00675AC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="004A1E26">
              <w:rPr>
                <w:rFonts w:ascii="Times New Roman" w:hAnsi="Times New Roman"/>
                <w:sz w:val="16"/>
                <w:szCs w:val="20"/>
                <w:lang w:eastAsia="sk-SK"/>
              </w:rPr>
              <w:t>13 324 681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85E2B" w:rsidRPr="002B7B99" w:rsidP="0022441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="004A1E26">
              <w:rPr>
                <w:rFonts w:ascii="Times New Roman" w:hAnsi="Times New Roman"/>
                <w:sz w:val="16"/>
                <w:szCs w:val="20"/>
                <w:lang w:eastAsia="sk-SK"/>
              </w:rPr>
              <w:t>12 034 579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85E2B" w:rsidRPr="002B7B99" w:rsidP="00B6730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2B7B99">
              <w:rPr>
                <w:rFonts w:ascii="Times New Roman" w:hAnsi="Times New Roman"/>
                <w:sz w:val="16"/>
                <w:szCs w:val="20"/>
                <w:lang w:eastAsia="sk-SK"/>
              </w:rPr>
              <w:t>Vyššie územné celky</w:t>
            </w:r>
            <w:r w:rsidR="00B67300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 </w:t>
            </w:r>
            <w:r w:rsidRPr="002B7B99">
              <w:rPr>
                <w:rFonts w:ascii="Times New Roman" w:hAnsi="Times New Roman"/>
                <w:sz w:val="16"/>
                <w:szCs w:val="20"/>
                <w:lang w:eastAsia="sk-SK"/>
              </w:rPr>
              <w:t>a ich rozpočtové a príspevkové organizácie</w:t>
            </w:r>
            <w:r w:rsidR="00B67300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 a podniky územnej samosprávy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85E2B" w:rsidRPr="0017178F" w:rsidP="007D291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="004A1E26">
              <w:rPr>
                <w:rFonts w:ascii="Times New Roman" w:hAnsi="Times New Roman"/>
                <w:sz w:val="16"/>
                <w:szCs w:val="20"/>
                <w:lang w:eastAsia="sk-SK"/>
              </w:rPr>
              <w:t>5 832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85E2B" w:rsidRPr="0017178F" w:rsidP="00FC73F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="00FC73F0">
              <w:rPr>
                <w:rFonts w:ascii="Times New Roman" w:hAnsi="Times New Roman"/>
                <w:sz w:val="16"/>
                <w:szCs w:val="20"/>
                <w:lang w:eastAsia="sk-SK"/>
              </w:rPr>
              <w:t>7 578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85E2B" w:rsidRPr="002B7B99" w:rsidP="0051291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2B7B99">
              <w:rPr>
                <w:rFonts w:ascii="Times New Roman" w:hAnsi="Times New Roman"/>
                <w:sz w:val="16"/>
                <w:szCs w:val="20"/>
                <w:lang w:eastAsia="sk-SK"/>
              </w:rPr>
              <w:t>Obce a ich rozpočtové a príspevkové organizácie</w:t>
            </w:r>
            <w:r w:rsidR="00B67300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 a podniky územnej samosprávy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85E2B" w:rsidRPr="0017178F" w:rsidP="002B7B9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="004A1E26">
              <w:rPr>
                <w:rFonts w:ascii="Times New Roman" w:hAnsi="Times New Roman"/>
                <w:sz w:val="16"/>
                <w:szCs w:val="20"/>
                <w:lang w:eastAsia="sk-SK"/>
              </w:rPr>
              <w:t>83 269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85E2B" w:rsidRPr="0017178F" w:rsidP="00FC73F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="00FC73F0">
              <w:rPr>
                <w:rFonts w:ascii="Times New Roman" w:hAnsi="Times New Roman"/>
                <w:sz w:val="16"/>
                <w:szCs w:val="20"/>
                <w:lang w:eastAsia="sk-SK"/>
              </w:rPr>
              <w:t>21 165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24"/>
          <w:jc w:val="center"/>
        </w:trPr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  <w:hideMark/>
          </w:tcPr>
          <w:p w:rsidR="00085E2B" w:rsidRPr="002B7B99" w:rsidP="005129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20"/>
                <w:lang w:eastAsia="sk-SK"/>
              </w:rPr>
            </w:pPr>
            <w:r w:rsidRPr="002B7B99">
              <w:rPr>
                <w:rFonts w:ascii="Times New Roman" w:hAnsi="Times New Roman"/>
                <w:b/>
                <w:bCs/>
                <w:sz w:val="16"/>
                <w:szCs w:val="20"/>
                <w:lang w:eastAsia="sk-SK"/>
              </w:rPr>
              <w:t xml:space="preserve">Spolu 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bottom"/>
          </w:tcPr>
          <w:p w:rsidR="00085E2B" w:rsidRPr="002B7B99" w:rsidP="002B7B9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20"/>
                <w:lang w:eastAsia="sk-SK"/>
              </w:rPr>
            </w:pPr>
            <w:r w:rsidR="00FC73F0">
              <w:rPr>
                <w:rFonts w:ascii="Times New Roman" w:hAnsi="Times New Roman"/>
                <w:b/>
                <w:bCs/>
                <w:sz w:val="16"/>
                <w:szCs w:val="20"/>
                <w:lang w:eastAsia="sk-SK"/>
              </w:rPr>
              <w:t>13 413 782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</w:tcPr>
          <w:p w:rsidR="00085E2B" w:rsidRPr="002B7B99" w:rsidP="00FC73F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20"/>
                <w:lang w:eastAsia="sk-SK"/>
              </w:rPr>
            </w:pPr>
            <w:r w:rsidR="00FC73F0">
              <w:rPr>
                <w:rFonts w:ascii="Times New Roman" w:hAnsi="Times New Roman"/>
                <w:b/>
                <w:bCs/>
                <w:sz w:val="16"/>
                <w:szCs w:val="20"/>
                <w:lang w:eastAsia="sk-SK"/>
              </w:rPr>
              <w:t>12 063 322</w:t>
            </w:r>
          </w:p>
        </w:tc>
      </w:tr>
    </w:tbl>
    <w:p w:rsidR="00863D60" w:rsidRPr="00512914" w:rsidP="00512914">
      <w:pPr>
        <w:bidi w:val="0"/>
        <w:spacing w:after="0"/>
        <w:ind w:left="567" w:hanging="567"/>
        <w:jc w:val="both"/>
        <w:rPr>
          <w:rFonts w:ascii="Times New Roman" w:hAnsi="Times New Roman"/>
          <w:sz w:val="16"/>
          <w:szCs w:val="20"/>
        </w:rPr>
      </w:pPr>
      <w:r w:rsidRPr="00512914" w:rsidR="00DD788A">
        <w:rPr>
          <w:rFonts w:ascii="Times New Roman" w:hAnsi="Times New Roman"/>
          <w:sz w:val="16"/>
          <w:szCs w:val="20"/>
        </w:rPr>
        <w:t>Zdroj: MF</w:t>
      </w:r>
      <w:r w:rsidR="00512914">
        <w:rPr>
          <w:rFonts w:ascii="Times New Roman" w:hAnsi="Times New Roman"/>
          <w:sz w:val="16"/>
          <w:szCs w:val="20"/>
        </w:rPr>
        <w:t xml:space="preserve"> </w:t>
      </w:r>
      <w:r w:rsidRPr="00512914" w:rsidR="00DD788A">
        <w:rPr>
          <w:rFonts w:ascii="Times New Roman" w:hAnsi="Times New Roman"/>
          <w:sz w:val="16"/>
          <w:szCs w:val="20"/>
        </w:rPr>
        <w:t>SR</w:t>
      </w:r>
    </w:p>
    <w:p w:rsidR="00535EBA" w:rsidP="00085E2B">
      <w:pPr>
        <w:bidi w:val="0"/>
        <w:spacing w:after="0"/>
        <w:ind w:left="709" w:hanging="709"/>
        <w:jc w:val="both"/>
        <w:rPr>
          <w:rFonts w:ascii="Times New Roman" w:hAnsi="Times New Roman"/>
          <w:sz w:val="16"/>
          <w:szCs w:val="20"/>
        </w:rPr>
      </w:pPr>
      <w:r w:rsidRPr="00512914" w:rsidR="00273391">
        <w:rPr>
          <w:rFonts w:ascii="Times New Roman" w:hAnsi="Times New Roman"/>
          <w:sz w:val="16"/>
          <w:szCs w:val="20"/>
        </w:rPr>
        <w:t xml:space="preserve">Poznámka: </w:t>
      </w:r>
      <w:r w:rsidR="00906CB1">
        <w:rPr>
          <w:rFonts w:ascii="Times New Roman" w:hAnsi="Times New Roman"/>
          <w:sz w:val="16"/>
          <w:szCs w:val="20"/>
        </w:rPr>
        <w:t>Údaje k 31.12.201</w:t>
      </w:r>
      <w:r w:rsidR="00085E2B">
        <w:rPr>
          <w:rFonts w:ascii="Times New Roman" w:hAnsi="Times New Roman"/>
          <w:sz w:val="16"/>
          <w:szCs w:val="20"/>
        </w:rPr>
        <w:t>3</w:t>
      </w:r>
      <w:r w:rsidR="00906CB1">
        <w:rPr>
          <w:rFonts w:ascii="Times New Roman" w:hAnsi="Times New Roman"/>
          <w:sz w:val="16"/>
          <w:szCs w:val="20"/>
        </w:rPr>
        <w:t xml:space="preserve"> boli revidované na základe </w:t>
      </w:r>
      <w:r w:rsidR="00085E2B">
        <w:rPr>
          <w:rFonts w:ascii="Times New Roman" w:hAnsi="Times New Roman"/>
          <w:sz w:val="16"/>
          <w:szCs w:val="20"/>
        </w:rPr>
        <w:t>údajov z</w:t>
      </w:r>
      <w:r w:rsidR="006D7921">
        <w:rPr>
          <w:rFonts w:ascii="Times New Roman" w:hAnsi="Times New Roman"/>
          <w:sz w:val="16"/>
          <w:szCs w:val="20"/>
        </w:rPr>
        <w:t xml:space="preserve"> poznámok </w:t>
      </w:r>
      <w:r w:rsidR="00085E2B">
        <w:rPr>
          <w:rFonts w:ascii="Times New Roman" w:hAnsi="Times New Roman"/>
          <w:sz w:val="16"/>
          <w:szCs w:val="20"/>
        </w:rPr>
        <w:t xml:space="preserve">účtovných závierok subjektov </w:t>
      </w:r>
      <w:r w:rsidR="00C04914">
        <w:rPr>
          <w:rFonts w:ascii="Times New Roman" w:hAnsi="Times New Roman"/>
          <w:sz w:val="16"/>
          <w:szCs w:val="20"/>
        </w:rPr>
        <w:t>za rok 2014</w:t>
      </w:r>
      <w:r w:rsidR="00983AE3">
        <w:rPr>
          <w:rFonts w:ascii="Times New Roman" w:hAnsi="Times New Roman"/>
          <w:sz w:val="16"/>
          <w:szCs w:val="20"/>
        </w:rPr>
        <w:t>.</w:t>
      </w:r>
    </w:p>
    <w:p w:rsidR="00535EBA" w:rsidP="00085E2B">
      <w:pPr>
        <w:bidi w:val="0"/>
        <w:spacing w:after="0"/>
        <w:ind w:left="709" w:hanging="709"/>
        <w:jc w:val="both"/>
        <w:rPr>
          <w:rFonts w:ascii="Times New Roman" w:hAnsi="Times New Roman"/>
          <w:sz w:val="16"/>
          <w:szCs w:val="20"/>
        </w:rPr>
      </w:pPr>
    </w:p>
    <w:p w:rsidR="00FA7F29" w:rsidP="00FA7F29">
      <w:pPr>
        <w:bidi w:val="0"/>
        <w:spacing w:after="0"/>
        <w:ind w:left="709" w:hanging="709"/>
        <w:jc w:val="both"/>
        <w:rPr>
          <w:rFonts w:ascii="Times New Roman" w:hAnsi="Times New Roman"/>
          <w:sz w:val="16"/>
          <w:szCs w:val="20"/>
        </w:rPr>
      </w:pPr>
      <w:r w:rsidR="00906CB1">
        <w:rPr>
          <w:rFonts w:ascii="Times New Roman" w:hAnsi="Times New Roman"/>
          <w:sz w:val="16"/>
          <w:szCs w:val="20"/>
        </w:rPr>
        <w:t xml:space="preserve"> </w:t>
      </w:r>
    </w:p>
    <w:p w:rsidR="00863D60" w:rsidRPr="00512914" w:rsidP="00FA7F29">
      <w:pPr>
        <w:bidi w:val="0"/>
        <w:spacing w:after="0"/>
        <w:ind w:left="709" w:hanging="709"/>
        <w:jc w:val="both"/>
        <w:rPr>
          <w:rFonts w:ascii="Times New Roman" w:hAnsi="Times New Roman"/>
          <w:sz w:val="16"/>
          <w:szCs w:val="20"/>
        </w:rPr>
      </w:pPr>
      <w:r w:rsidR="00FA7F29">
        <w:rPr>
          <w:rFonts w:ascii="Times New Roman" w:hAnsi="Times New Roman"/>
          <w:sz w:val="16"/>
          <w:szCs w:val="20"/>
        </w:rPr>
        <w:br w:type="page"/>
      </w:r>
      <w:r w:rsidRPr="00512914">
        <w:rPr>
          <w:rFonts w:ascii="Times New Roman" w:hAnsi="Times New Roman"/>
          <w:sz w:val="16"/>
          <w:szCs w:val="20"/>
        </w:rPr>
        <w:t>Tab. 2</w:t>
        <w:tab/>
        <w:tab/>
        <w:tab/>
        <w:tab/>
        <w:tab/>
        <w:tab/>
        <w:tab/>
        <w:tab/>
      </w:r>
      <w:r w:rsidR="00936B7B">
        <w:rPr>
          <w:rFonts w:ascii="Times New Roman" w:hAnsi="Times New Roman"/>
          <w:sz w:val="16"/>
          <w:szCs w:val="20"/>
        </w:rPr>
        <w:t xml:space="preserve">   </w:t>
      </w:r>
      <w:r w:rsidRPr="00512914">
        <w:rPr>
          <w:rFonts w:ascii="Times New Roman" w:hAnsi="Times New Roman"/>
          <w:sz w:val="16"/>
          <w:szCs w:val="20"/>
        </w:rPr>
        <w:tab/>
        <w:tab/>
        <w:tab/>
      </w:r>
      <w:r w:rsidR="00936B7B">
        <w:rPr>
          <w:rFonts w:ascii="Times New Roman" w:hAnsi="Times New Roman"/>
          <w:sz w:val="16"/>
          <w:szCs w:val="20"/>
        </w:rPr>
        <w:t xml:space="preserve">             </w:t>
      </w:r>
      <w:r w:rsidRPr="00512914">
        <w:rPr>
          <w:rFonts w:ascii="Times New Roman" w:hAnsi="Times New Roman"/>
          <w:sz w:val="16"/>
          <w:szCs w:val="20"/>
        </w:rPr>
        <w:t>(v tis. eur)</w:t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3777"/>
        <w:gridCol w:w="1709"/>
        <w:gridCol w:w="1709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84"/>
          <w:jc w:val="center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930522" w:rsidRPr="00512914" w:rsidP="00863D60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Subjekt verejnej správy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930522" w:rsidRPr="00512914" w:rsidP="00863D60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Podmienené záväzky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D2313C" w:rsidP="0093052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  <w:r w:rsidRPr="00512914" w:rsidR="00930522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 xml:space="preserve">Hodnota </w:t>
            </w:r>
          </w:p>
          <w:p w:rsidR="00930522" w:rsidRPr="00512914" w:rsidP="0093052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k 31.</w:t>
            </w:r>
            <w:r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 xml:space="preserve"> </w:t>
            </w: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12.</w:t>
            </w:r>
            <w:r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 xml:space="preserve"> 2014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D2313C" w:rsidP="00863D6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  <w:r w:rsidRPr="00512914" w:rsidR="00930522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 xml:space="preserve">Hodnota </w:t>
            </w:r>
          </w:p>
          <w:p w:rsidR="00930522" w:rsidRPr="00512914" w:rsidP="00863D6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eastAsia="sk-SK"/>
              </w:rPr>
            </w:pP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k 31.</w:t>
            </w:r>
            <w:r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 xml:space="preserve"> </w:t>
            </w:r>
            <w:r w:rsidRPr="00512914"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>12.</w:t>
            </w:r>
            <w:r>
              <w:rPr>
                <w:rFonts w:ascii="Times New Roman" w:hAnsi="Times New Roman"/>
                <w:b/>
                <w:sz w:val="16"/>
                <w:szCs w:val="20"/>
                <w:lang w:eastAsia="sk-SK"/>
              </w:rPr>
              <w:t xml:space="preserve"> 2013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70D9" w:rsidRPr="00675ACB" w:rsidP="00584C3C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</w:p>
          <w:p w:rsidR="00AA70D9" w:rsidRPr="003863AC" w:rsidP="00584C3C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highlight w:val="yellow"/>
                <w:lang w:eastAsia="sk-SK"/>
              </w:rPr>
            </w:pPr>
            <w:r w:rsidRPr="00675ACB">
              <w:rPr>
                <w:rFonts w:ascii="Times New Roman" w:hAnsi="Times New Roman"/>
                <w:sz w:val="16"/>
                <w:szCs w:val="20"/>
                <w:lang w:eastAsia="sk-SK"/>
              </w:rPr>
              <w:t>Ministerstvo financií SR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584C3C" w:rsidP="00593715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584C3C">
              <w:rPr>
                <w:rFonts w:ascii="Times New Roman" w:hAnsi="Times New Roman"/>
                <w:sz w:val="16"/>
                <w:szCs w:val="20"/>
                <w:lang w:eastAsia="sk-SK"/>
              </w:rPr>
              <w:t>Európsky mechanizmus pre stabilitu</w:t>
            </w: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 (EMS)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BF57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5 10</w:t>
            </w:r>
            <w:r w:rsidRPr="0017178F" w:rsidR="00BF573B">
              <w:rPr>
                <w:rFonts w:ascii="Times New Roman" w:hAnsi="Times New Roman"/>
                <w:sz w:val="16"/>
                <w:szCs w:val="20"/>
                <w:lang w:eastAsia="sk-SK"/>
              </w:rPr>
              <w:t>8</w:t>
            </w: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 </w:t>
            </w:r>
            <w:r w:rsidRPr="0017178F" w:rsidR="00BF573B">
              <w:rPr>
                <w:rFonts w:ascii="Times New Roman" w:hAnsi="Times New Roman"/>
                <w:sz w:val="16"/>
                <w:szCs w:val="20"/>
                <w:lang w:eastAsia="sk-SK"/>
              </w:rPr>
              <w:t>8</w:t>
            </w: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00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5 109 000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highlight w:val="yellow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675ACB" w:rsidP="00975658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675ACB">
              <w:rPr>
                <w:rFonts w:ascii="Times New Roman" w:hAnsi="Times New Roman"/>
                <w:sz w:val="16"/>
                <w:szCs w:val="20"/>
                <w:lang w:eastAsia="sk-SK"/>
              </w:rPr>
              <w:t>Európsky nástroj finančnej stability (EFSF)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2 318 329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2 188 070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F573B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highlight w:val="yellow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F573B" w:rsidRPr="00675ACB" w:rsidP="00975658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Arbitráž s akcionármi </w:t>
            </w:r>
            <w:r w:rsidRPr="00BF573B">
              <w:rPr>
                <w:rFonts w:ascii="Times New Roman" w:hAnsi="Times New Roman"/>
                <w:sz w:val="16"/>
                <w:szCs w:val="20"/>
                <w:lang w:eastAsia="sk-SK"/>
              </w:rPr>
              <w:t>EuroGas Inc. a Belmont Resources Inc.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F573B" w:rsidRPr="0017178F" w:rsidP="00BF57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227 000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F573B" w:rsidRPr="0017178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0,0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highlight w:val="yellow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675ACB" w:rsidP="00975658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675ACB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Arbitráž s akcionármi ZP Union 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BF57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2</w:t>
            </w:r>
            <w:r w:rsidRPr="0017178F" w:rsidR="00BF573B">
              <w:rPr>
                <w:rFonts w:ascii="Times New Roman" w:hAnsi="Times New Roman"/>
                <w:sz w:val="16"/>
                <w:szCs w:val="20"/>
                <w:lang w:eastAsia="sk-SK"/>
              </w:rPr>
              <w:t>7</w:t>
            </w: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 </w:t>
            </w:r>
            <w:r w:rsidRPr="0017178F" w:rsidR="00BF573B">
              <w:rPr>
                <w:rFonts w:ascii="Times New Roman" w:hAnsi="Times New Roman"/>
                <w:sz w:val="16"/>
                <w:szCs w:val="20"/>
                <w:lang w:eastAsia="sk-SK"/>
              </w:rPr>
              <w:t>394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26 000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highlight w:val="yellow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675ACB" w:rsidP="00975658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675ACB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Arbitráž s akcionármi bývalej ZP Apollo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0,0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131 400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highlight w:val="yellow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675ACB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675ACB">
              <w:rPr>
                <w:rFonts w:ascii="Times New Roman" w:hAnsi="Times New Roman"/>
                <w:sz w:val="16"/>
                <w:szCs w:val="20"/>
                <w:lang w:eastAsia="sk-SK"/>
              </w:rPr>
              <w:t>Arbitráž s akcionármi U.S. Steel Košice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0,0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257 439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C73F0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highlight w:val="yellow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C73F0" w:rsidRPr="00B436AD" w:rsidP="00FC73F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Členstvo v MBOR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C73F0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385 983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C73F0" w:rsidRPr="0017178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339 803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C73F0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highlight w:val="yellow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C73F0" w:rsidRPr="00B436AD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Členstvo v EIB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C73F0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580 496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C73F0" w:rsidRPr="0017178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573 996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highlight w:val="yellow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B436AD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B436AD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Členstvo v EBOR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101 359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101 359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highlight w:val="yellow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B436AD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B436AD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Členstvo v RB RE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16 854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B436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16 853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highlight w:val="yellow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B436AD" w:rsidP="00B63A0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B436AD">
              <w:rPr>
                <w:rFonts w:ascii="Times New Roman" w:hAnsi="Times New Roman"/>
                <w:sz w:val="16"/>
                <w:szCs w:val="20"/>
                <w:lang w:eastAsia="sk-SK"/>
              </w:rPr>
              <w:t>Členstvo v MBHS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11 526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B436A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11 526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420"/>
          <w:jc w:val="center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P="00675ACB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Členstvo v MIGA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 w:rsidR="0017178F">
              <w:rPr>
                <w:rFonts w:ascii="Times New Roman" w:hAnsi="Times New Roman"/>
                <w:sz w:val="16"/>
                <w:szCs w:val="20"/>
                <w:lang w:eastAsia="sk-SK"/>
              </w:rPr>
              <w:t>2 485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447B5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2 485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420"/>
          <w:jc w:val="center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Členstvo v MIB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 w:rsidR="0017178F">
              <w:rPr>
                <w:rFonts w:ascii="Times New Roman" w:hAnsi="Times New Roman"/>
                <w:sz w:val="16"/>
                <w:szCs w:val="20"/>
                <w:lang w:eastAsia="sk-SK"/>
              </w:rPr>
              <w:t>47 612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447B5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47 612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420"/>
          <w:jc w:val="center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Záruky voči SZRB, a.s.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10 188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9B3B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 w:rsidR="00BF573B">
              <w:rPr>
                <w:rFonts w:ascii="Times New Roman" w:hAnsi="Times New Roman"/>
                <w:sz w:val="16"/>
                <w:szCs w:val="20"/>
                <w:lang w:eastAsia="sk-SK"/>
              </w:rPr>
              <w:t>0,0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420"/>
          <w:jc w:val="center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A70D9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Právne spory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555 878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A70D9" w:rsidRPr="0017178F" w:rsidP="009B3B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823 467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420"/>
          <w:jc w:val="center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30522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Kancelária národnej rady SR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Existujúce a hroziace súdne spory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 w:rsidR="00F573B4">
              <w:rPr>
                <w:rFonts w:ascii="Times New Roman" w:hAnsi="Times New Roman"/>
                <w:sz w:val="16"/>
                <w:szCs w:val="20"/>
                <w:lang w:eastAsia="sk-SK"/>
              </w:rPr>
              <w:t>728 073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17178F" w:rsidP="009B3B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724 735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420"/>
          <w:jc w:val="center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30522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3863AC">
              <w:rPr>
                <w:rFonts w:ascii="Times New Roman" w:hAnsi="Times New Roman"/>
                <w:sz w:val="16"/>
                <w:szCs w:val="20"/>
                <w:lang w:eastAsia="sk-SK"/>
              </w:rPr>
              <w:t>Fond národného majetku SR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3863AC">
              <w:rPr>
                <w:rFonts w:ascii="Times New Roman" w:hAnsi="Times New Roman"/>
                <w:sz w:val="16"/>
                <w:szCs w:val="20"/>
                <w:lang w:eastAsia="sk-SK"/>
              </w:rPr>
              <w:t>Ručenie vyplývajúce z § 15 ods.4 zákona č. 92/1991 Zb.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 w:rsidR="00C70221">
              <w:rPr>
                <w:rFonts w:ascii="Times New Roman" w:hAnsi="Times New Roman"/>
                <w:sz w:val="16"/>
                <w:szCs w:val="20"/>
                <w:lang w:eastAsia="sk-SK"/>
              </w:rPr>
              <w:t>1 013 877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17178F" w:rsidP="0002769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 w:rsidR="00C70221">
              <w:rPr>
                <w:rFonts w:ascii="Times New Roman" w:hAnsi="Times New Roman"/>
                <w:sz w:val="16"/>
                <w:szCs w:val="20"/>
                <w:lang w:eastAsia="sk-SK"/>
              </w:rPr>
              <w:t>1 114 433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30522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3863AC">
              <w:rPr>
                <w:rFonts w:ascii="Times New Roman" w:hAnsi="Times New Roman"/>
                <w:sz w:val="16"/>
                <w:szCs w:val="20"/>
                <w:lang w:eastAsia="sk-SK"/>
              </w:rPr>
              <w:t>Právne spory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 w:rsidR="00C70221">
              <w:rPr>
                <w:rFonts w:ascii="Times New Roman" w:hAnsi="Times New Roman"/>
                <w:sz w:val="16"/>
                <w:szCs w:val="20"/>
                <w:lang w:eastAsia="sk-SK"/>
              </w:rPr>
              <w:t>221 285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17178F" w:rsidP="00C316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208 543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3863AC">
              <w:rPr>
                <w:rFonts w:ascii="Times New Roman" w:hAnsi="Times New Roman"/>
                <w:sz w:val="16"/>
                <w:szCs w:val="20"/>
                <w:lang w:eastAsia="sk-SK"/>
              </w:rPr>
              <w:t>Nevyrovnané reštitučné nároky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 w:rsidR="00C70221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27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17178F" w:rsidP="009B3B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27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3863AC">
              <w:rPr>
                <w:rFonts w:ascii="Times New Roman" w:hAnsi="Times New Roman"/>
                <w:sz w:val="16"/>
                <w:szCs w:val="20"/>
                <w:lang w:eastAsia="sk-SK"/>
              </w:rPr>
              <w:t>Slovenský pozemkový fond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3863AC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Právne spory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 w:rsidR="00DB43AA">
              <w:rPr>
                <w:rFonts w:ascii="Times New Roman" w:hAnsi="Times New Roman"/>
                <w:sz w:val="16"/>
                <w:szCs w:val="20"/>
                <w:lang w:eastAsia="sk-SK"/>
              </w:rPr>
              <w:t>116</w:t>
            </w:r>
            <w:r w:rsidRPr="0017178F" w:rsidR="00FE5A75">
              <w:rPr>
                <w:rFonts w:ascii="Times New Roman" w:hAnsi="Times New Roman"/>
                <w:sz w:val="16"/>
                <w:szCs w:val="20"/>
                <w:lang w:eastAsia="sk-SK"/>
              </w:rPr>
              <w:t> </w:t>
            </w:r>
            <w:r w:rsidRPr="0017178F" w:rsidR="00DB43AA">
              <w:rPr>
                <w:rFonts w:ascii="Times New Roman" w:hAnsi="Times New Roman"/>
                <w:sz w:val="16"/>
                <w:szCs w:val="20"/>
                <w:lang w:eastAsia="sk-SK"/>
              </w:rPr>
              <w:t>842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0522" w:rsidRPr="0017178F" w:rsidP="0002769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116 131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E5A75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EXIM Banka SR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E5A75" w:rsidRPr="003863AC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Záväzky z poskytnutých záruk a ostatné pasíva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E5A75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198</w:t>
            </w:r>
            <w:r w:rsidR="007800D1">
              <w:rPr>
                <w:rFonts w:ascii="Times New Roman" w:hAnsi="Times New Roman"/>
                <w:sz w:val="16"/>
                <w:szCs w:val="20"/>
                <w:lang w:eastAsia="sk-SK"/>
              </w:rPr>
              <w:t> </w:t>
            </w: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396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E5A75" w:rsidRPr="0017178F" w:rsidP="0002769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Pr="0017178F">
              <w:rPr>
                <w:rFonts w:ascii="Times New Roman" w:hAnsi="Times New Roman"/>
                <w:sz w:val="16"/>
                <w:szCs w:val="20"/>
                <w:lang w:eastAsia="sk-SK"/>
              </w:rPr>
              <w:t>232 679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800D1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Slovenský plynárenský priemysel, a.s.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800D1" w:rsidP="00403EEE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="00403EEE">
              <w:rPr>
                <w:rFonts w:ascii="Times New Roman" w:hAnsi="Times New Roman"/>
                <w:sz w:val="16"/>
                <w:szCs w:val="20"/>
                <w:lang w:eastAsia="sk-SK"/>
              </w:rPr>
              <w:t xml:space="preserve">Devízové termínované obchody a finančné deriváty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800D1" w:rsidRPr="0017178F" w:rsidP="00DB43A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 w:rsidR="00962270">
              <w:rPr>
                <w:rFonts w:ascii="Times New Roman" w:hAnsi="Times New Roman"/>
                <w:sz w:val="16"/>
                <w:szCs w:val="20"/>
                <w:lang w:eastAsia="sk-SK"/>
              </w:rPr>
              <w:t>1 072 932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800D1" w:rsidRPr="0017178F" w:rsidP="007800D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20"/>
                <w:lang w:eastAsia="sk-SK"/>
              </w:rPr>
            </w:pPr>
            <w:r>
              <w:rPr>
                <w:rFonts w:ascii="Times New Roman" w:hAnsi="Times New Roman"/>
                <w:sz w:val="16"/>
                <w:szCs w:val="20"/>
                <w:lang w:eastAsia="sk-SK"/>
              </w:rPr>
              <w:t>0,00</w:t>
            </w:r>
          </w:p>
        </w:tc>
      </w:tr>
    </w:tbl>
    <w:p w:rsidR="008069D2" w:rsidRPr="00512914" w:rsidP="00E721D6">
      <w:pPr>
        <w:bidi w:val="0"/>
        <w:spacing w:after="0" w:line="240" w:lineRule="auto"/>
        <w:rPr>
          <w:rFonts w:ascii="Times New Roman" w:hAnsi="Times New Roman"/>
          <w:sz w:val="16"/>
          <w:szCs w:val="20"/>
        </w:rPr>
      </w:pPr>
      <w:r w:rsidRPr="00512914">
        <w:rPr>
          <w:rFonts w:ascii="Times New Roman" w:hAnsi="Times New Roman"/>
          <w:sz w:val="16"/>
          <w:szCs w:val="20"/>
        </w:rPr>
        <w:t>Zdroj: MF SR</w:t>
      </w:r>
      <w:r w:rsidRPr="00512914" w:rsidR="004733CE">
        <w:rPr>
          <w:rFonts w:ascii="Times New Roman" w:hAnsi="Times New Roman"/>
          <w:sz w:val="16"/>
          <w:szCs w:val="20"/>
        </w:rPr>
        <w:t xml:space="preserve">, </w:t>
      </w:r>
      <w:r w:rsidRPr="00512914" w:rsidR="001708DA">
        <w:rPr>
          <w:rFonts w:ascii="Times New Roman" w:hAnsi="Times New Roman"/>
          <w:sz w:val="16"/>
          <w:szCs w:val="20"/>
        </w:rPr>
        <w:t>FNM SR</w:t>
      </w:r>
      <w:r w:rsidRPr="00512914" w:rsidR="00F0336E">
        <w:rPr>
          <w:rFonts w:ascii="Times New Roman" w:hAnsi="Times New Roman"/>
          <w:sz w:val="16"/>
          <w:szCs w:val="20"/>
        </w:rPr>
        <w:t>, SPF</w:t>
      </w:r>
      <w:r w:rsidR="004308F7">
        <w:rPr>
          <w:rFonts w:ascii="Times New Roman" w:hAnsi="Times New Roman"/>
          <w:sz w:val="16"/>
          <w:szCs w:val="20"/>
        </w:rPr>
        <w:t>, NR SR, EXIM Banka</w:t>
      </w:r>
      <w:r w:rsidR="008610C9">
        <w:rPr>
          <w:rFonts w:ascii="Times New Roman" w:hAnsi="Times New Roman"/>
          <w:sz w:val="16"/>
          <w:szCs w:val="20"/>
        </w:rPr>
        <w:t xml:space="preserve"> SR</w:t>
      </w:r>
    </w:p>
    <w:p w:rsidR="00E721D6" w:rsidRPr="0024687B" w:rsidP="00E721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30CB" w:rsidRPr="0017178F" w:rsidP="00776674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178F" w:rsidR="00D26566">
        <w:rPr>
          <w:rFonts w:ascii="Times New Roman" w:hAnsi="Times New Roman"/>
          <w:sz w:val="24"/>
          <w:szCs w:val="24"/>
        </w:rPr>
        <w:t xml:space="preserve">V rámci verejnej správy vykazuje najvyššie podmienené záväzky Ministerstvo financií </w:t>
      </w:r>
      <w:r w:rsidRPr="0017178F" w:rsidR="00711985">
        <w:rPr>
          <w:rFonts w:ascii="Times New Roman" w:hAnsi="Times New Roman"/>
          <w:sz w:val="24"/>
          <w:szCs w:val="24"/>
        </w:rPr>
        <w:t xml:space="preserve">SR </w:t>
      </w:r>
      <w:r w:rsidRPr="0017178F" w:rsidR="00D26566">
        <w:rPr>
          <w:rFonts w:ascii="Times New Roman" w:hAnsi="Times New Roman"/>
          <w:sz w:val="24"/>
          <w:szCs w:val="24"/>
        </w:rPr>
        <w:t>z</w:t>
      </w:r>
      <w:r w:rsidRPr="0017178F" w:rsidR="00DB7B66">
        <w:rPr>
          <w:rFonts w:ascii="Times New Roman" w:hAnsi="Times New Roman"/>
          <w:sz w:val="24"/>
          <w:szCs w:val="24"/>
        </w:rPr>
        <w:t> poskytnutých záruk EFSF a upísan</w:t>
      </w:r>
      <w:r w:rsidRPr="0017178F" w:rsidR="008B07B2">
        <w:rPr>
          <w:rFonts w:ascii="Times New Roman" w:hAnsi="Times New Roman"/>
          <w:sz w:val="24"/>
          <w:szCs w:val="24"/>
        </w:rPr>
        <w:t>ej</w:t>
      </w:r>
      <w:r w:rsidRPr="0017178F" w:rsidR="00DB7B66">
        <w:rPr>
          <w:rFonts w:ascii="Times New Roman" w:hAnsi="Times New Roman"/>
          <w:sz w:val="24"/>
          <w:szCs w:val="24"/>
        </w:rPr>
        <w:t xml:space="preserve"> </w:t>
      </w:r>
      <w:r w:rsidRPr="0017178F" w:rsidR="008B07B2">
        <w:rPr>
          <w:rFonts w:ascii="Times New Roman" w:hAnsi="Times New Roman"/>
          <w:sz w:val="24"/>
          <w:szCs w:val="24"/>
        </w:rPr>
        <w:t>kapitálovej</w:t>
      </w:r>
      <w:r w:rsidRPr="0017178F" w:rsidR="00DB7B66">
        <w:rPr>
          <w:rFonts w:ascii="Times New Roman" w:hAnsi="Times New Roman"/>
          <w:sz w:val="24"/>
          <w:szCs w:val="24"/>
        </w:rPr>
        <w:t xml:space="preserve"> </w:t>
      </w:r>
      <w:r w:rsidRPr="0017178F" w:rsidR="008B07B2">
        <w:rPr>
          <w:rFonts w:ascii="Times New Roman" w:hAnsi="Times New Roman"/>
          <w:sz w:val="24"/>
          <w:szCs w:val="24"/>
        </w:rPr>
        <w:t xml:space="preserve">účasti </w:t>
      </w:r>
      <w:r w:rsidRPr="0017178F" w:rsidR="00DB7B66">
        <w:rPr>
          <w:rFonts w:ascii="Times New Roman" w:hAnsi="Times New Roman"/>
          <w:sz w:val="24"/>
          <w:szCs w:val="24"/>
        </w:rPr>
        <w:t>splatn</w:t>
      </w:r>
      <w:r w:rsidRPr="0017178F" w:rsidR="008B07B2">
        <w:rPr>
          <w:rFonts w:ascii="Times New Roman" w:hAnsi="Times New Roman"/>
          <w:sz w:val="24"/>
          <w:szCs w:val="24"/>
        </w:rPr>
        <w:t>ej</w:t>
      </w:r>
      <w:r w:rsidRPr="0017178F" w:rsidR="00967FCE">
        <w:rPr>
          <w:rFonts w:ascii="Times New Roman" w:hAnsi="Times New Roman"/>
          <w:sz w:val="24"/>
          <w:szCs w:val="24"/>
        </w:rPr>
        <w:t xml:space="preserve"> na vyzvanie v E</w:t>
      </w:r>
      <w:r w:rsidRPr="0017178F" w:rsidR="00DB7B66">
        <w:rPr>
          <w:rFonts w:ascii="Times New Roman" w:hAnsi="Times New Roman"/>
          <w:sz w:val="24"/>
          <w:szCs w:val="24"/>
        </w:rPr>
        <w:t>M</w:t>
      </w:r>
      <w:r w:rsidRPr="0017178F" w:rsidR="00967FCE">
        <w:rPr>
          <w:rFonts w:ascii="Times New Roman" w:hAnsi="Times New Roman"/>
          <w:sz w:val="24"/>
          <w:szCs w:val="24"/>
        </w:rPr>
        <w:t>S</w:t>
      </w:r>
      <w:r w:rsidRPr="0017178F" w:rsidR="00DB7B66">
        <w:rPr>
          <w:rFonts w:ascii="Times New Roman" w:hAnsi="Times New Roman"/>
          <w:sz w:val="24"/>
          <w:szCs w:val="24"/>
        </w:rPr>
        <w:t xml:space="preserve">. Ďalej ide o </w:t>
      </w:r>
      <w:r w:rsidRPr="0017178F" w:rsidR="00D26566">
        <w:rPr>
          <w:rFonts w:ascii="Times New Roman" w:hAnsi="Times New Roman"/>
          <w:sz w:val="24"/>
          <w:szCs w:val="24"/>
        </w:rPr>
        <w:t>medzinárodn</w:t>
      </w:r>
      <w:r w:rsidRPr="0017178F" w:rsidR="00DB7B66">
        <w:rPr>
          <w:rFonts w:ascii="Times New Roman" w:hAnsi="Times New Roman"/>
          <w:sz w:val="24"/>
          <w:szCs w:val="24"/>
        </w:rPr>
        <w:t>é</w:t>
      </w:r>
      <w:r w:rsidRPr="0017178F" w:rsidR="00D26566">
        <w:rPr>
          <w:rFonts w:ascii="Times New Roman" w:hAnsi="Times New Roman"/>
          <w:sz w:val="24"/>
          <w:szCs w:val="24"/>
        </w:rPr>
        <w:t xml:space="preserve"> investičn</w:t>
      </w:r>
      <w:r w:rsidRPr="0017178F" w:rsidR="00DB7B66">
        <w:rPr>
          <w:rFonts w:ascii="Times New Roman" w:hAnsi="Times New Roman"/>
          <w:sz w:val="24"/>
          <w:szCs w:val="24"/>
        </w:rPr>
        <w:t>é</w:t>
      </w:r>
      <w:r w:rsidRPr="0017178F" w:rsidR="00D26566">
        <w:rPr>
          <w:rFonts w:ascii="Times New Roman" w:hAnsi="Times New Roman"/>
          <w:sz w:val="24"/>
          <w:szCs w:val="24"/>
        </w:rPr>
        <w:t xml:space="preserve"> arbitráž</w:t>
      </w:r>
      <w:r w:rsidRPr="0017178F" w:rsidR="00DB7B66">
        <w:rPr>
          <w:rFonts w:ascii="Times New Roman" w:hAnsi="Times New Roman"/>
          <w:sz w:val="24"/>
          <w:szCs w:val="24"/>
        </w:rPr>
        <w:t>e</w:t>
      </w:r>
      <w:r w:rsidRPr="0017178F" w:rsidR="00D26566">
        <w:rPr>
          <w:rFonts w:ascii="Times New Roman" w:hAnsi="Times New Roman"/>
          <w:sz w:val="24"/>
          <w:szCs w:val="24"/>
        </w:rPr>
        <w:t>, ktoré vznikajú domnelým porušením bilaterálnych investičných dohôd uzatváraných medzi suverénnymi štátmi n</w:t>
      </w:r>
      <w:r w:rsidRPr="0017178F">
        <w:rPr>
          <w:rFonts w:ascii="Times New Roman" w:hAnsi="Times New Roman"/>
          <w:sz w:val="24"/>
          <w:szCs w:val="24"/>
        </w:rPr>
        <w:t>a podporu a ochranu investícií.</w:t>
      </w:r>
      <w:r w:rsidRPr="0017178F" w:rsidR="00C632F3">
        <w:rPr>
          <w:rFonts w:ascii="Times New Roman" w:hAnsi="Times New Roman"/>
          <w:sz w:val="24"/>
          <w:szCs w:val="24"/>
        </w:rPr>
        <w:t xml:space="preserve">  </w:t>
      </w:r>
      <w:r w:rsidRPr="0017178F" w:rsidR="006F05AB">
        <w:rPr>
          <w:rFonts w:ascii="Times New Roman" w:hAnsi="Times New Roman"/>
          <w:sz w:val="24"/>
          <w:szCs w:val="24"/>
        </w:rPr>
        <w:t>V</w:t>
      </w:r>
      <w:r w:rsidRPr="0017178F" w:rsidR="00C632F3">
        <w:rPr>
          <w:rFonts w:ascii="Times New Roman" w:hAnsi="Times New Roman"/>
          <w:sz w:val="24"/>
          <w:szCs w:val="24"/>
        </w:rPr>
        <w:t xml:space="preserve"> priebehu roka 2014 </w:t>
      </w:r>
      <w:r w:rsidRPr="0017178F" w:rsidR="006F05AB">
        <w:rPr>
          <w:rFonts w:ascii="Times New Roman" w:hAnsi="Times New Roman"/>
          <w:sz w:val="24"/>
          <w:szCs w:val="24"/>
        </w:rPr>
        <w:t>došlo k ukončeniu týchto arbitráží</w:t>
      </w:r>
      <w:r w:rsidRPr="0017178F" w:rsidR="00C632F3">
        <w:rPr>
          <w:rFonts w:ascii="Times New Roman" w:hAnsi="Times New Roman"/>
          <w:sz w:val="24"/>
          <w:szCs w:val="24"/>
        </w:rPr>
        <w:t xml:space="preserve">: </w:t>
      </w:r>
    </w:p>
    <w:p w:rsidR="00D130CB" w:rsidRPr="0017178F" w:rsidP="002D0172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8F">
        <w:rPr>
          <w:rFonts w:ascii="Times New Roman" w:hAnsi="Times New Roman"/>
          <w:sz w:val="24"/>
          <w:szCs w:val="24"/>
        </w:rPr>
        <w:t>A</w:t>
      </w:r>
      <w:r w:rsidRPr="0017178F" w:rsidR="0044476B">
        <w:rPr>
          <w:rFonts w:ascii="Times New Roman" w:hAnsi="Times New Roman"/>
          <w:sz w:val="24"/>
          <w:szCs w:val="24"/>
        </w:rPr>
        <w:t>rbitráž s akcionármi bývalej zdravotnej poisťovne Apollo</w:t>
      </w:r>
      <w:r w:rsidRPr="0017178F">
        <w:rPr>
          <w:rFonts w:ascii="Times New Roman" w:hAnsi="Times New Roman"/>
          <w:sz w:val="24"/>
          <w:szCs w:val="24"/>
        </w:rPr>
        <w:t xml:space="preserve"> bola ukončená jurisdikčným  rozhodnutím arbitrážneho tribunálu zo 4.6.2014, ktorým bol zamietnutý celý žalovaný nárok z dôvodu nedostatku jurisdikcie tribunálu. </w:t>
      </w:r>
    </w:p>
    <w:p w:rsidR="00D130CB" w:rsidRPr="0017178F" w:rsidP="002D0172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8F">
        <w:rPr>
          <w:rFonts w:ascii="Times New Roman" w:hAnsi="Times New Roman"/>
          <w:sz w:val="24"/>
          <w:szCs w:val="24"/>
        </w:rPr>
        <w:t xml:space="preserve">Arbitráž </w:t>
      </w:r>
      <w:r w:rsidRPr="0017178F" w:rsidR="0044476B">
        <w:rPr>
          <w:rFonts w:ascii="Times New Roman" w:hAnsi="Times New Roman"/>
          <w:sz w:val="24"/>
          <w:szCs w:val="24"/>
        </w:rPr>
        <w:t>s akcionármi U.S. Steel Košice, a.s. bola</w:t>
      </w:r>
      <w:r w:rsidRPr="0017178F">
        <w:rPr>
          <w:rFonts w:ascii="Times New Roman" w:hAnsi="Times New Roman"/>
          <w:sz w:val="24"/>
          <w:szCs w:val="24"/>
        </w:rPr>
        <w:t xml:space="preserve"> ukončená procedurálnym rozhodnutím arbitrážneho tribunálu zo 16.4.2014 na základe stiahnutia žaloby žalobcom. Výsledkom je, že SR nemusí platiť U.S. Steel Košice, a.s. žiadnu náhradu škody</w:t>
      </w:r>
      <w:r w:rsidR="00010733">
        <w:rPr>
          <w:rFonts w:ascii="Times New Roman" w:hAnsi="Times New Roman"/>
          <w:sz w:val="24"/>
          <w:szCs w:val="24"/>
        </w:rPr>
        <w:t>,</w:t>
      </w:r>
      <w:r w:rsidRPr="0017178F">
        <w:rPr>
          <w:rFonts w:ascii="Times New Roman" w:hAnsi="Times New Roman"/>
          <w:sz w:val="24"/>
          <w:szCs w:val="24"/>
        </w:rPr>
        <w:t xml:space="preserve"> a že strany sporu si samy znášajú svoje trovy konania.</w:t>
      </w:r>
    </w:p>
    <w:p w:rsidR="006F05AB" w:rsidRPr="0017178F" w:rsidP="006F05A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0D1" w:rsidP="006F05A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0D1" w:rsidP="006F05A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5AB" w:rsidRPr="0017178F" w:rsidP="006F05A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8F">
        <w:rPr>
          <w:rFonts w:ascii="Times New Roman" w:hAnsi="Times New Roman"/>
          <w:sz w:val="24"/>
          <w:szCs w:val="24"/>
        </w:rPr>
        <w:t>Arbitrážne konania, ktoré neboli ukončené v roku 2014 a pokračujú aj v roku 2015</w:t>
      </w:r>
    </w:p>
    <w:p w:rsidR="00C14D73" w:rsidRPr="0017178F" w:rsidP="00295EF5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8F" w:rsidR="006F05AB">
        <w:rPr>
          <w:rFonts w:ascii="Times New Roman" w:hAnsi="Times New Roman"/>
          <w:sz w:val="24"/>
          <w:szCs w:val="24"/>
        </w:rPr>
        <w:t xml:space="preserve">Arbitráž s EuroGas Inc. a Belmont Resources Inc. z dôvodu </w:t>
      </w:r>
      <w:r w:rsidRPr="0017178F" w:rsidR="00C04914">
        <w:rPr>
          <w:rFonts w:ascii="Times New Roman" w:hAnsi="Times New Roman"/>
          <w:sz w:val="24"/>
          <w:szCs w:val="24"/>
        </w:rPr>
        <w:t>údajného</w:t>
      </w:r>
      <w:r w:rsidRPr="0017178F" w:rsidR="006F05AB">
        <w:rPr>
          <w:rFonts w:ascii="Times New Roman" w:hAnsi="Times New Roman"/>
          <w:sz w:val="24"/>
          <w:szCs w:val="24"/>
        </w:rPr>
        <w:t xml:space="preserve"> protiprávneho odobratia povolenia na ťažbu mastenca. Arbitráž je vedená podľa bilaterálnej investičnej dohody medzi SR a USA a bilaterálnej investičnej dohody medzi SR a Kanadou.</w:t>
      </w:r>
      <w:r w:rsidRPr="0017178F" w:rsidR="00CE0825">
        <w:rPr>
          <w:rFonts w:ascii="Times New Roman" w:hAnsi="Times New Roman"/>
          <w:sz w:val="24"/>
          <w:szCs w:val="24"/>
        </w:rPr>
        <w:t xml:space="preserve"> </w:t>
      </w:r>
    </w:p>
    <w:p w:rsidR="00295EF5" w:rsidRPr="0017178F" w:rsidP="00295EF5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8F">
        <w:rPr>
          <w:rFonts w:ascii="Times New Roman" w:hAnsi="Times New Roman"/>
          <w:sz w:val="24"/>
          <w:szCs w:val="24"/>
        </w:rPr>
        <w:t xml:space="preserve">Arbitráž so spoločnosťou Achmea B.V. z dôvodu zákazu zisku zdravotných poisťovní v roku 2007. V tejto arbitráži, vedenej podľa bilaterálnej investičnej dohody medzi SR a Holandským kráľovstvom, bol v decembri 2012 vydaný rozsudok, ktorým arbitrážny tribunál nariadil SR zaplatiť žalobcovi  odškodnenie vo výške cca 25 mil. </w:t>
      </w:r>
      <w:r w:rsidR="00E258BD">
        <w:rPr>
          <w:rFonts w:ascii="Times New Roman" w:hAnsi="Times New Roman"/>
          <w:sz w:val="24"/>
          <w:szCs w:val="24"/>
        </w:rPr>
        <w:t>eur</w:t>
      </w:r>
      <w:r w:rsidRPr="0017178F">
        <w:rPr>
          <w:rFonts w:ascii="Times New Roman" w:hAnsi="Times New Roman"/>
          <w:sz w:val="24"/>
          <w:szCs w:val="24"/>
        </w:rPr>
        <w:t xml:space="preserve"> plus úroky. V súčasnosti prebiehajú konania o zrušení tohto rozsudku ako aj jurisdikčného rozhodnutia v tomto spore na nemeckých súdoch, pred ktorými SR napadla tieto rozhodnutia.</w:t>
      </w:r>
    </w:p>
    <w:p w:rsidR="00D2313C" w:rsidRPr="0017178F" w:rsidP="00295EF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566" w:rsidRPr="0017178F" w:rsidP="00010733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178F" w:rsidR="00D2313C">
        <w:rPr>
          <w:rFonts w:ascii="Times New Roman" w:hAnsi="Times New Roman"/>
          <w:sz w:val="24"/>
          <w:szCs w:val="24"/>
        </w:rPr>
        <w:t>V júni roku 2015 podali Slovenské elektrárne, a.s. žalobu proti Fondu národného majetku SR a proti Slovenskej republike zastúpenej M</w:t>
      </w:r>
      <w:r w:rsidRPr="0017178F" w:rsidR="00CD55E6">
        <w:rPr>
          <w:rFonts w:ascii="Times New Roman" w:hAnsi="Times New Roman"/>
          <w:sz w:val="24"/>
          <w:szCs w:val="24"/>
        </w:rPr>
        <w:t>inisterstvom hospodárstva</w:t>
      </w:r>
      <w:r w:rsidRPr="0017178F" w:rsidR="00D2313C">
        <w:rPr>
          <w:rFonts w:ascii="Times New Roman" w:hAnsi="Times New Roman"/>
          <w:sz w:val="24"/>
          <w:szCs w:val="24"/>
        </w:rPr>
        <w:t xml:space="preserve"> SR pred Medzinárodné rozhodcovské centrum vo Viedni na základe Zmluvy o odškodnení. V tomto prípade nejde o medzinárodnú investičnú</w:t>
      </w:r>
      <w:r w:rsidRPr="0017178F" w:rsidR="004B5487">
        <w:rPr>
          <w:rFonts w:ascii="Times New Roman" w:hAnsi="Times New Roman"/>
          <w:sz w:val="24"/>
          <w:szCs w:val="24"/>
        </w:rPr>
        <w:t>,</w:t>
      </w:r>
      <w:r w:rsidRPr="0017178F" w:rsidR="00D2313C">
        <w:rPr>
          <w:rFonts w:ascii="Times New Roman" w:hAnsi="Times New Roman"/>
          <w:sz w:val="24"/>
          <w:szCs w:val="24"/>
        </w:rPr>
        <w:t xml:space="preserve"> ale o medzinárodnú komerčnú arbitráž, v ktorej SR zastupuje M</w:t>
      </w:r>
      <w:r w:rsidRPr="0017178F" w:rsidR="004B5487">
        <w:rPr>
          <w:rFonts w:ascii="Times New Roman" w:hAnsi="Times New Roman"/>
          <w:sz w:val="24"/>
          <w:szCs w:val="24"/>
        </w:rPr>
        <w:t>inisterstvo hospodárstva</w:t>
      </w:r>
      <w:r w:rsidRPr="0017178F" w:rsidR="00D2313C">
        <w:rPr>
          <w:rFonts w:ascii="Times New Roman" w:hAnsi="Times New Roman"/>
          <w:sz w:val="24"/>
          <w:szCs w:val="24"/>
        </w:rPr>
        <w:t xml:space="preserve"> SR. Výška žalovanej sumy je 588 217 </w:t>
      </w:r>
      <w:r w:rsidRPr="0017178F" w:rsidR="004B5487">
        <w:rPr>
          <w:rFonts w:ascii="Times New Roman" w:hAnsi="Times New Roman"/>
          <w:sz w:val="24"/>
          <w:szCs w:val="24"/>
        </w:rPr>
        <w:t>tis.</w:t>
      </w:r>
      <w:r w:rsidRPr="0017178F" w:rsidR="00D2313C">
        <w:rPr>
          <w:rFonts w:ascii="Times New Roman" w:hAnsi="Times New Roman"/>
          <w:sz w:val="24"/>
          <w:szCs w:val="24"/>
        </w:rPr>
        <w:t xml:space="preserve"> eur plus úroky 9,05% p.a.   </w:t>
      </w:r>
      <w:r w:rsidR="00010733">
        <w:rPr>
          <w:rFonts w:ascii="Times New Roman" w:hAnsi="Times New Roman"/>
          <w:sz w:val="24"/>
          <w:szCs w:val="24"/>
        </w:rPr>
        <w:t xml:space="preserve"> </w:t>
      </w:r>
    </w:p>
    <w:p w:rsidR="00D2313C" w:rsidRPr="0017178F" w:rsidP="00D2313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6C3" w:rsidRPr="0017178F" w:rsidP="00E721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178F">
        <w:rPr>
          <w:rFonts w:ascii="Times New Roman" w:hAnsi="Times New Roman"/>
          <w:sz w:val="24"/>
          <w:szCs w:val="24"/>
        </w:rPr>
        <w:t xml:space="preserve">Kancelária národnej rady SR eviduje podmienené záväzky z existujúcich alebo hroziacich súdnych sporov, </w:t>
      </w:r>
      <w:r w:rsidRPr="0017178F" w:rsidR="00CE0825">
        <w:rPr>
          <w:rFonts w:ascii="Times New Roman" w:hAnsi="Times New Roman"/>
          <w:sz w:val="24"/>
          <w:szCs w:val="24"/>
        </w:rPr>
        <w:t xml:space="preserve">a to </w:t>
      </w:r>
      <w:r w:rsidRPr="0017178F">
        <w:rPr>
          <w:rFonts w:ascii="Times New Roman" w:hAnsi="Times New Roman"/>
          <w:sz w:val="24"/>
          <w:szCs w:val="24"/>
        </w:rPr>
        <w:t>najmä zo žalôb o náhradu škody spôsobenú legislatívnou činnosťou NR S</w:t>
      </w:r>
      <w:r w:rsidRPr="0017178F" w:rsidR="00F24AE8">
        <w:rPr>
          <w:rFonts w:ascii="Times New Roman" w:hAnsi="Times New Roman"/>
          <w:sz w:val="24"/>
          <w:szCs w:val="24"/>
        </w:rPr>
        <w:t>R</w:t>
      </w:r>
      <w:r w:rsidRPr="0017178F">
        <w:rPr>
          <w:rFonts w:ascii="Times New Roman" w:hAnsi="Times New Roman"/>
          <w:sz w:val="24"/>
          <w:szCs w:val="24"/>
        </w:rPr>
        <w:t xml:space="preserve"> (vrátane 3 súdnych sporov o zákaz zisku)</w:t>
      </w:r>
      <w:r w:rsidRPr="0017178F" w:rsidR="00F573B4">
        <w:rPr>
          <w:rFonts w:ascii="Times New Roman" w:hAnsi="Times New Roman"/>
          <w:sz w:val="24"/>
          <w:szCs w:val="24"/>
        </w:rPr>
        <w:t>,</w:t>
      </w:r>
      <w:r w:rsidRPr="0017178F">
        <w:rPr>
          <w:rFonts w:ascii="Times New Roman" w:hAnsi="Times New Roman"/>
          <w:sz w:val="24"/>
          <w:szCs w:val="24"/>
        </w:rPr>
        <w:t xml:space="preserve"> antidiskriminačných žalôb sudcov</w:t>
      </w:r>
      <w:r w:rsidRPr="0017178F" w:rsidR="00F573B4">
        <w:rPr>
          <w:rFonts w:ascii="Times New Roman" w:hAnsi="Times New Roman"/>
          <w:sz w:val="24"/>
          <w:szCs w:val="24"/>
        </w:rPr>
        <w:t xml:space="preserve"> a ostatné pasíva.</w:t>
      </w:r>
    </w:p>
    <w:p w:rsidR="002D66C3" w:rsidRPr="0017178F" w:rsidP="00E721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178F">
        <w:rPr>
          <w:rFonts w:ascii="Times New Roman" w:hAnsi="Times New Roman"/>
          <w:sz w:val="24"/>
          <w:szCs w:val="24"/>
        </w:rPr>
        <w:t xml:space="preserve"> </w:t>
      </w:r>
    </w:p>
    <w:p w:rsidR="00E721D6" w:rsidRPr="0017178F" w:rsidP="00E721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178F" w:rsidR="008069D2">
        <w:rPr>
          <w:rFonts w:ascii="Times New Roman" w:hAnsi="Times New Roman"/>
          <w:sz w:val="24"/>
          <w:szCs w:val="24"/>
        </w:rPr>
        <w:t xml:space="preserve">Fond národného majetku </w:t>
      </w:r>
      <w:r w:rsidRPr="0017178F" w:rsidR="00AD304A">
        <w:rPr>
          <w:rFonts w:ascii="Times New Roman" w:hAnsi="Times New Roman"/>
          <w:sz w:val="24"/>
          <w:szCs w:val="24"/>
        </w:rPr>
        <w:t xml:space="preserve">SR </w:t>
      </w:r>
      <w:r w:rsidRPr="0017178F" w:rsidR="008069D2">
        <w:rPr>
          <w:rFonts w:ascii="Times New Roman" w:hAnsi="Times New Roman"/>
          <w:sz w:val="24"/>
          <w:szCs w:val="24"/>
        </w:rPr>
        <w:t xml:space="preserve">eviduje najväčší objem podmienených záväzkov z ručenia za splnenie záväzkov </w:t>
      </w:r>
      <w:r w:rsidRPr="0017178F" w:rsidR="00A12F6F">
        <w:rPr>
          <w:rFonts w:ascii="Times New Roman" w:hAnsi="Times New Roman"/>
          <w:sz w:val="24"/>
          <w:szCs w:val="24"/>
        </w:rPr>
        <w:t xml:space="preserve">vyplývajúcich z privatizačných zmlúv. </w:t>
      </w:r>
      <w:r w:rsidRPr="0017178F" w:rsidR="008069D2">
        <w:rPr>
          <w:rFonts w:ascii="Times New Roman" w:hAnsi="Times New Roman"/>
          <w:sz w:val="24"/>
          <w:szCs w:val="24"/>
        </w:rPr>
        <w:t>Ďalej sú to  súdne spory súvisiace s privatizovaným majetkom (žaloba o náhradu škody, exekučné konanie, náhrada škody z odstúpenia od zmluvy a iné).</w:t>
      </w:r>
      <w:r w:rsidRPr="0017178F" w:rsidR="00911147">
        <w:rPr>
          <w:rFonts w:ascii="Times New Roman" w:hAnsi="Times New Roman"/>
          <w:sz w:val="24"/>
          <w:szCs w:val="24"/>
        </w:rPr>
        <w:t xml:space="preserve"> </w:t>
      </w:r>
    </w:p>
    <w:p w:rsidR="008069D2" w:rsidRPr="0017178F" w:rsidP="00E721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178F">
        <w:rPr>
          <w:rFonts w:ascii="Times New Roman" w:hAnsi="Times New Roman"/>
          <w:sz w:val="24"/>
          <w:szCs w:val="24"/>
        </w:rPr>
        <w:t xml:space="preserve">      </w:t>
      </w:r>
    </w:p>
    <w:p w:rsidR="00E721D6" w:rsidP="00E721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178F" w:rsidR="00E470BA">
        <w:rPr>
          <w:rFonts w:ascii="Times New Roman" w:hAnsi="Times New Roman"/>
          <w:sz w:val="24"/>
          <w:szCs w:val="24"/>
        </w:rPr>
        <w:t>Ex</w:t>
      </w:r>
      <w:r w:rsidRPr="0017178F" w:rsidR="005737A4">
        <w:rPr>
          <w:rFonts w:ascii="Times New Roman" w:hAnsi="Times New Roman"/>
          <w:sz w:val="24"/>
          <w:szCs w:val="24"/>
        </w:rPr>
        <w:t>p</w:t>
      </w:r>
      <w:r w:rsidRPr="0017178F" w:rsidR="00E470BA">
        <w:rPr>
          <w:rFonts w:ascii="Times New Roman" w:hAnsi="Times New Roman"/>
          <w:sz w:val="24"/>
          <w:szCs w:val="24"/>
        </w:rPr>
        <w:t>ortno-importná banka Slovenska bola zaraden</w:t>
      </w:r>
      <w:r w:rsidR="00FC73F0">
        <w:rPr>
          <w:rFonts w:ascii="Times New Roman" w:hAnsi="Times New Roman"/>
          <w:sz w:val="24"/>
          <w:szCs w:val="24"/>
        </w:rPr>
        <w:t>á</w:t>
      </w:r>
      <w:r w:rsidRPr="0017178F" w:rsidR="00E470BA">
        <w:rPr>
          <w:rFonts w:ascii="Times New Roman" w:hAnsi="Times New Roman"/>
          <w:sz w:val="24"/>
          <w:szCs w:val="24"/>
        </w:rPr>
        <w:t xml:space="preserve"> do sektora verejnej správy v roku 2014</w:t>
      </w:r>
      <w:r w:rsidR="00FC73F0">
        <w:rPr>
          <w:rFonts w:ascii="Times New Roman" w:hAnsi="Times New Roman"/>
          <w:sz w:val="24"/>
          <w:szCs w:val="24"/>
        </w:rPr>
        <w:t>.</w:t>
      </w:r>
      <w:r w:rsidRPr="0017178F" w:rsidR="00E470BA">
        <w:rPr>
          <w:rFonts w:ascii="Times New Roman" w:hAnsi="Times New Roman"/>
          <w:sz w:val="24"/>
          <w:szCs w:val="24"/>
        </w:rPr>
        <w:t xml:space="preserve"> </w:t>
      </w:r>
      <w:r w:rsidRPr="0017178F" w:rsidR="00E35713">
        <w:rPr>
          <w:rFonts w:ascii="Times New Roman" w:hAnsi="Times New Roman"/>
          <w:sz w:val="24"/>
          <w:szCs w:val="24"/>
        </w:rPr>
        <w:t xml:space="preserve">Podmienené záväzky </w:t>
      </w:r>
      <w:r w:rsidRPr="0017178F" w:rsidR="00E470BA">
        <w:rPr>
          <w:rFonts w:ascii="Times New Roman" w:hAnsi="Times New Roman"/>
          <w:sz w:val="24"/>
          <w:szCs w:val="24"/>
        </w:rPr>
        <w:t>Exportno-importn</w:t>
      </w:r>
      <w:r w:rsidRPr="0017178F" w:rsidR="00E35713">
        <w:rPr>
          <w:rFonts w:ascii="Times New Roman" w:hAnsi="Times New Roman"/>
          <w:sz w:val="24"/>
          <w:szCs w:val="24"/>
        </w:rPr>
        <w:t>ej</w:t>
      </w:r>
      <w:r w:rsidRPr="0017178F" w:rsidR="00E470BA">
        <w:rPr>
          <w:rFonts w:ascii="Times New Roman" w:hAnsi="Times New Roman"/>
          <w:sz w:val="24"/>
          <w:szCs w:val="24"/>
        </w:rPr>
        <w:t xml:space="preserve"> bank</w:t>
      </w:r>
      <w:r w:rsidRPr="0017178F" w:rsidR="00E35713">
        <w:rPr>
          <w:rFonts w:ascii="Times New Roman" w:hAnsi="Times New Roman"/>
          <w:sz w:val="24"/>
          <w:szCs w:val="24"/>
        </w:rPr>
        <w:t>y Slovenska tvoria</w:t>
      </w:r>
      <w:r w:rsidRPr="0017178F" w:rsidR="00E470BA">
        <w:rPr>
          <w:rFonts w:ascii="Times New Roman" w:hAnsi="Times New Roman"/>
          <w:sz w:val="24"/>
          <w:szCs w:val="24"/>
        </w:rPr>
        <w:t xml:space="preserve"> najmä poskytnut</w:t>
      </w:r>
      <w:r w:rsidRPr="0017178F" w:rsidR="00E35713">
        <w:rPr>
          <w:rFonts w:ascii="Times New Roman" w:hAnsi="Times New Roman"/>
          <w:sz w:val="24"/>
          <w:szCs w:val="24"/>
        </w:rPr>
        <w:t>é</w:t>
      </w:r>
      <w:r w:rsidRPr="0017178F" w:rsidR="00E470BA">
        <w:rPr>
          <w:rFonts w:ascii="Times New Roman" w:hAnsi="Times New Roman"/>
          <w:sz w:val="24"/>
          <w:szCs w:val="24"/>
        </w:rPr>
        <w:t xml:space="preserve"> záruk</w:t>
      </w:r>
      <w:r w:rsidRPr="0017178F" w:rsidR="00E35713">
        <w:rPr>
          <w:rFonts w:ascii="Times New Roman" w:hAnsi="Times New Roman"/>
          <w:sz w:val="24"/>
          <w:szCs w:val="24"/>
        </w:rPr>
        <w:t>y</w:t>
      </w:r>
      <w:r w:rsidRPr="0017178F" w:rsidR="00E470BA">
        <w:rPr>
          <w:rFonts w:ascii="Times New Roman" w:hAnsi="Times New Roman"/>
          <w:sz w:val="24"/>
          <w:szCs w:val="24"/>
        </w:rPr>
        <w:t xml:space="preserve"> v hodnote 174 806 tis. eur.</w:t>
      </w:r>
      <w:r w:rsidR="00E470BA">
        <w:rPr>
          <w:rFonts w:ascii="Times New Roman" w:hAnsi="Times New Roman"/>
          <w:sz w:val="24"/>
          <w:szCs w:val="24"/>
        </w:rPr>
        <w:t xml:space="preserve">   </w:t>
      </w:r>
    </w:p>
    <w:p w:rsidR="007800D1" w:rsidP="00E721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00D1" w:rsidRPr="0024687B" w:rsidP="00E721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podnikov štátu vykazuje významnú sumu Slovenský plynárenský priemysel, a.s. z dôvodu obchodov s plynom a zabezpečovacími derivátmi. Akcie Slovenského plynárenského priemyslu, a.s. prešli v roku 2014 z FNM na Ministerstvo hospodárstva SR.  </w:t>
      </w:r>
    </w:p>
    <w:sectPr w:rsidSect="001708DA">
      <w:footerReference w:type="default" r:id="rId6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C1" w:rsidRPr="00880AC1">
    <w:pPr>
      <w:pStyle w:val="Footer"/>
      <w:bidi w:val="0"/>
      <w:jc w:val="center"/>
      <w:rPr>
        <w:rFonts w:ascii="Times New Roman" w:hAnsi="Times New Roman"/>
        <w:sz w:val="24"/>
      </w:rPr>
    </w:pPr>
    <w:r w:rsidRPr="00880AC1">
      <w:rPr>
        <w:rFonts w:ascii="Times New Roman" w:hAnsi="Times New Roman"/>
        <w:sz w:val="24"/>
      </w:rPr>
      <w:fldChar w:fldCharType="begin"/>
    </w:r>
    <w:r w:rsidRPr="00880AC1">
      <w:rPr>
        <w:rFonts w:ascii="Times New Roman" w:hAnsi="Times New Roman"/>
        <w:sz w:val="24"/>
      </w:rPr>
      <w:instrText>PAGE   \* MERGEFORMAT</w:instrText>
    </w:r>
    <w:r w:rsidRPr="00880AC1">
      <w:rPr>
        <w:rFonts w:ascii="Times New Roman" w:hAnsi="Times New Roman"/>
        <w:sz w:val="24"/>
      </w:rPr>
      <w:fldChar w:fldCharType="separate"/>
    </w:r>
    <w:r w:rsidR="009961D5">
      <w:rPr>
        <w:rFonts w:ascii="Times New Roman" w:hAnsi="Times New Roman"/>
        <w:noProof/>
        <w:sz w:val="24"/>
      </w:rPr>
      <w:t>2</w:t>
    </w:r>
    <w:r w:rsidRPr="00880AC1">
      <w:rPr>
        <w:rFonts w:ascii="Times New Roman" w:hAnsi="Times New Roman"/>
        <w:sz w:val="24"/>
      </w:rPr>
      <w:fldChar w:fldCharType="end"/>
    </w:r>
  </w:p>
  <w:p w:rsidR="00880AC1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EA8" w:rsidP="00391DED">
      <w:pPr>
        <w:bidi w:val="0"/>
        <w:spacing w:after="0" w:line="240" w:lineRule="auto"/>
      </w:pPr>
      <w:r>
        <w:separator/>
      </w:r>
    </w:p>
  </w:footnote>
  <w:footnote w:type="continuationSeparator" w:id="1">
    <w:p w:rsidR="00E70EA8" w:rsidP="00391DED">
      <w:pPr>
        <w:bidi w:val="0"/>
        <w:spacing w:after="0" w:line="240" w:lineRule="auto"/>
      </w:pPr>
      <w:r>
        <w:continuationSeparator/>
      </w:r>
    </w:p>
  </w:footnote>
  <w:footnote w:id="2">
    <w:p w:rsidP="008069D2">
      <w:pPr>
        <w:pStyle w:val="FootnoteText"/>
        <w:bidi w:val="0"/>
        <w:jc w:val="both"/>
      </w:pPr>
      <w:r w:rsidRPr="00E721D6" w:rsidR="008069D2">
        <w:rPr>
          <w:rStyle w:val="FootnoteReference"/>
          <w:rFonts w:ascii="Times New Roman" w:hAnsi="Times New Roman"/>
          <w:sz w:val="18"/>
        </w:rPr>
        <w:footnoteRef/>
      </w:r>
      <w:r w:rsidRPr="00E721D6" w:rsidR="008069D2">
        <w:rPr>
          <w:rFonts w:ascii="Times New Roman" w:hAnsi="Times New Roman"/>
          <w:sz w:val="18"/>
        </w:rPr>
        <w:t xml:space="preserve"> Zákon č. 431/2002 Z.</w:t>
      </w:r>
      <w:r w:rsidRPr="00E721D6" w:rsidR="00E721D6">
        <w:rPr>
          <w:rFonts w:ascii="Times New Roman" w:hAnsi="Times New Roman"/>
          <w:sz w:val="18"/>
        </w:rPr>
        <w:t xml:space="preserve"> </w:t>
      </w:r>
      <w:r w:rsidRPr="00E721D6" w:rsidR="008069D2">
        <w:rPr>
          <w:rFonts w:ascii="Times New Roman" w:hAnsi="Times New Roman"/>
          <w:sz w:val="18"/>
        </w:rPr>
        <w:t xml:space="preserve">z. o účtovníctve v znení neskorších predpisov.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F4749"/>
    <w:multiLevelType w:val="hybridMultilevel"/>
    <w:tmpl w:val="633EC3D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C8745A"/>
    <w:multiLevelType w:val="hybridMultilevel"/>
    <w:tmpl w:val="C242192E"/>
    <w:lvl w:ilvl="0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5A855740"/>
    <w:multiLevelType w:val="hybridMultilevel"/>
    <w:tmpl w:val="56AC5B2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6D8A0709"/>
    <w:multiLevelType w:val="hybridMultilevel"/>
    <w:tmpl w:val="06A690D0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4">
    <w:nsid w:val="7F6F17C4"/>
    <w:multiLevelType w:val="hybridMultilevel"/>
    <w:tmpl w:val="A656DFC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1E1139"/>
    <w:rsid w:val="00002AD5"/>
    <w:rsid w:val="00010733"/>
    <w:rsid w:val="00022B75"/>
    <w:rsid w:val="00027694"/>
    <w:rsid w:val="00027C9A"/>
    <w:rsid w:val="000309B2"/>
    <w:rsid w:val="000436B6"/>
    <w:rsid w:val="00043703"/>
    <w:rsid w:val="0005625D"/>
    <w:rsid w:val="000575ED"/>
    <w:rsid w:val="00063064"/>
    <w:rsid w:val="00071F13"/>
    <w:rsid w:val="000732A6"/>
    <w:rsid w:val="00077C09"/>
    <w:rsid w:val="00085A32"/>
    <w:rsid w:val="00085E2B"/>
    <w:rsid w:val="000A69A1"/>
    <w:rsid w:val="000B142E"/>
    <w:rsid w:val="000C7F47"/>
    <w:rsid w:val="000F0FBD"/>
    <w:rsid w:val="0011036F"/>
    <w:rsid w:val="001224BC"/>
    <w:rsid w:val="001267CD"/>
    <w:rsid w:val="00140DE3"/>
    <w:rsid w:val="00157638"/>
    <w:rsid w:val="00162C57"/>
    <w:rsid w:val="00163AC3"/>
    <w:rsid w:val="001708DA"/>
    <w:rsid w:val="0017178F"/>
    <w:rsid w:val="00171C5C"/>
    <w:rsid w:val="00172A5F"/>
    <w:rsid w:val="00182F73"/>
    <w:rsid w:val="00184B00"/>
    <w:rsid w:val="00187702"/>
    <w:rsid w:val="001A7534"/>
    <w:rsid w:val="001C6405"/>
    <w:rsid w:val="001E1139"/>
    <w:rsid w:val="002019CC"/>
    <w:rsid w:val="002126E0"/>
    <w:rsid w:val="0022368E"/>
    <w:rsid w:val="0022441E"/>
    <w:rsid w:val="002256C9"/>
    <w:rsid w:val="00241BD1"/>
    <w:rsid w:val="002450CB"/>
    <w:rsid w:val="0024687B"/>
    <w:rsid w:val="002541B8"/>
    <w:rsid w:val="0025541B"/>
    <w:rsid w:val="00255AB6"/>
    <w:rsid w:val="00255FE8"/>
    <w:rsid w:val="00273391"/>
    <w:rsid w:val="00295EF5"/>
    <w:rsid w:val="00296B34"/>
    <w:rsid w:val="002A5CE9"/>
    <w:rsid w:val="002B086B"/>
    <w:rsid w:val="002B2A69"/>
    <w:rsid w:val="002B7B99"/>
    <w:rsid w:val="002C4DA2"/>
    <w:rsid w:val="002C5746"/>
    <w:rsid w:val="002C68E7"/>
    <w:rsid w:val="002D0172"/>
    <w:rsid w:val="002D04D1"/>
    <w:rsid w:val="002D46EA"/>
    <w:rsid w:val="002D66C3"/>
    <w:rsid w:val="002D6F94"/>
    <w:rsid w:val="0030294D"/>
    <w:rsid w:val="003044C2"/>
    <w:rsid w:val="00307118"/>
    <w:rsid w:val="00315347"/>
    <w:rsid w:val="003220EA"/>
    <w:rsid w:val="00323E9F"/>
    <w:rsid w:val="003266D8"/>
    <w:rsid w:val="003267E1"/>
    <w:rsid w:val="003331A8"/>
    <w:rsid w:val="00335690"/>
    <w:rsid w:val="00351D47"/>
    <w:rsid w:val="00357403"/>
    <w:rsid w:val="003863AC"/>
    <w:rsid w:val="00391DED"/>
    <w:rsid w:val="003A5F88"/>
    <w:rsid w:val="003A6D63"/>
    <w:rsid w:val="003C00D0"/>
    <w:rsid w:val="003E031B"/>
    <w:rsid w:val="003E61A0"/>
    <w:rsid w:val="003F0457"/>
    <w:rsid w:val="003F5038"/>
    <w:rsid w:val="00403EEE"/>
    <w:rsid w:val="0040407B"/>
    <w:rsid w:val="00406285"/>
    <w:rsid w:val="004162C5"/>
    <w:rsid w:val="00420176"/>
    <w:rsid w:val="004308F7"/>
    <w:rsid w:val="00436449"/>
    <w:rsid w:val="00440D50"/>
    <w:rsid w:val="0044476B"/>
    <w:rsid w:val="00447B52"/>
    <w:rsid w:val="00463061"/>
    <w:rsid w:val="004720C4"/>
    <w:rsid w:val="004733CE"/>
    <w:rsid w:val="00476102"/>
    <w:rsid w:val="0048764B"/>
    <w:rsid w:val="004A1E26"/>
    <w:rsid w:val="004A1FF5"/>
    <w:rsid w:val="004A4B46"/>
    <w:rsid w:val="004B1C8E"/>
    <w:rsid w:val="004B1FD8"/>
    <w:rsid w:val="004B372C"/>
    <w:rsid w:val="004B5487"/>
    <w:rsid w:val="004C46FC"/>
    <w:rsid w:val="004C6B0E"/>
    <w:rsid w:val="004D2AFD"/>
    <w:rsid w:val="004E61DC"/>
    <w:rsid w:val="004F1924"/>
    <w:rsid w:val="00511B8C"/>
    <w:rsid w:val="00512914"/>
    <w:rsid w:val="00525C68"/>
    <w:rsid w:val="00535EBA"/>
    <w:rsid w:val="00540981"/>
    <w:rsid w:val="005434F7"/>
    <w:rsid w:val="00557413"/>
    <w:rsid w:val="0056234A"/>
    <w:rsid w:val="005737A4"/>
    <w:rsid w:val="00584C3C"/>
    <w:rsid w:val="0058719F"/>
    <w:rsid w:val="00593715"/>
    <w:rsid w:val="005D62CA"/>
    <w:rsid w:val="005E4DD1"/>
    <w:rsid w:val="005F47A0"/>
    <w:rsid w:val="005F64DE"/>
    <w:rsid w:val="00605477"/>
    <w:rsid w:val="00617CAA"/>
    <w:rsid w:val="006409FC"/>
    <w:rsid w:val="006641C0"/>
    <w:rsid w:val="00675ACB"/>
    <w:rsid w:val="006B00D5"/>
    <w:rsid w:val="006B59C4"/>
    <w:rsid w:val="006C6AA6"/>
    <w:rsid w:val="006D02BF"/>
    <w:rsid w:val="006D7921"/>
    <w:rsid w:val="006E7710"/>
    <w:rsid w:val="006F05AB"/>
    <w:rsid w:val="00703998"/>
    <w:rsid w:val="00711985"/>
    <w:rsid w:val="007208EB"/>
    <w:rsid w:val="00733F2B"/>
    <w:rsid w:val="0074611D"/>
    <w:rsid w:val="00753544"/>
    <w:rsid w:val="00761CE5"/>
    <w:rsid w:val="00770653"/>
    <w:rsid w:val="0077179B"/>
    <w:rsid w:val="00773289"/>
    <w:rsid w:val="00773E03"/>
    <w:rsid w:val="00776674"/>
    <w:rsid w:val="007800D1"/>
    <w:rsid w:val="00785021"/>
    <w:rsid w:val="00794F6B"/>
    <w:rsid w:val="007960CF"/>
    <w:rsid w:val="007A0905"/>
    <w:rsid w:val="007A49E8"/>
    <w:rsid w:val="007B36C2"/>
    <w:rsid w:val="007C0EBC"/>
    <w:rsid w:val="007C300D"/>
    <w:rsid w:val="007C6D35"/>
    <w:rsid w:val="007C7AA0"/>
    <w:rsid w:val="007D2918"/>
    <w:rsid w:val="007E6A14"/>
    <w:rsid w:val="007F1D36"/>
    <w:rsid w:val="008069D2"/>
    <w:rsid w:val="008108CA"/>
    <w:rsid w:val="008120E1"/>
    <w:rsid w:val="00814ADF"/>
    <w:rsid w:val="0082070C"/>
    <w:rsid w:val="00834ED5"/>
    <w:rsid w:val="00835A9F"/>
    <w:rsid w:val="008610C9"/>
    <w:rsid w:val="008632ED"/>
    <w:rsid w:val="00863D60"/>
    <w:rsid w:val="00873F18"/>
    <w:rsid w:val="00875880"/>
    <w:rsid w:val="008777A8"/>
    <w:rsid w:val="00880AC1"/>
    <w:rsid w:val="00891922"/>
    <w:rsid w:val="00895AEB"/>
    <w:rsid w:val="00896F9C"/>
    <w:rsid w:val="008A1B8F"/>
    <w:rsid w:val="008B07B2"/>
    <w:rsid w:val="008C09C3"/>
    <w:rsid w:val="008E33A5"/>
    <w:rsid w:val="008E4045"/>
    <w:rsid w:val="009056FB"/>
    <w:rsid w:val="00906CB1"/>
    <w:rsid w:val="00911147"/>
    <w:rsid w:val="00914778"/>
    <w:rsid w:val="009176E5"/>
    <w:rsid w:val="00923A0E"/>
    <w:rsid w:val="00925449"/>
    <w:rsid w:val="00930522"/>
    <w:rsid w:val="00933994"/>
    <w:rsid w:val="00936B7B"/>
    <w:rsid w:val="009403D8"/>
    <w:rsid w:val="00942C88"/>
    <w:rsid w:val="00943C61"/>
    <w:rsid w:val="00962270"/>
    <w:rsid w:val="00966730"/>
    <w:rsid w:val="0096689A"/>
    <w:rsid w:val="00967FCE"/>
    <w:rsid w:val="0097288C"/>
    <w:rsid w:val="00975658"/>
    <w:rsid w:val="00983AE3"/>
    <w:rsid w:val="00984E0A"/>
    <w:rsid w:val="009961D5"/>
    <w:rsid w:val="009B3B25"/>
    <w:rsid w:val="009C1E11"/>
    <w:rsid w:val="009C2705"/>
    <w:rsid w:val="009C4F4C"/>
    <w:rsid w:val="009D13E3"/>
    <w:rsid w:val="009D4A81"/>
    <w:rsid w:val="009F1944"/>
    <w:rsid w:val="009F7812"/>
    <w:rsid w:val="00A12F6F"/>
    <w:rsid w:val="00A13462"/>
    <w:rsid w:val="00A15E74"/>
    <w:rsid w:val="00A341DA"/>
    <w:rsid w:val="00A442BA"/>
    <w:rsid w:val="00A457C1"/>
    <w:rsid w:val="00A8025E"/>
    <w:rsid w:val="00A908AA"/>
    <w:rsid w:val="00AA19FF"/>
    <w:rsid w:val="00AA373B"/>
    <w:rsid w:val="00AA70D9"/>
    <w:rsid w:val="00AD304A"/>
    <w:rsid w:val="00AE673B"/>
    <w:rsid w:val="00AE682E"/>
    <w:rsid w:val="00AF0FCD"/>
    <w:rsid w:val="00AF12A2"/>
    <w:rsid w:val="00B038FE"/>
    <w:rsid w:val="00B20219"/>
    <w:rsid w:val="00B32E22"/>
    <w:rsid w:val="00B35BAF"/>
    <w:rsid w:val="00B436AD"/>
    <w:rsid w:val="00B52E31"/>
    <w:rsid w:val="00B63A00"/>
    <w:rsid w:val="00B6477B"/>
    <w:rsid w:val="00B67300"/>
    <w:rsid w:val="00B71ECF"/>
    <w:rsid w:val="00B826CB"/>
    <w:rsid w:val="00B90B01"/>
    <w:rsid w:val="00B9590F"/>
    <w:rsid w:val="00BB21CF"/>
    <w:rsid w:val="00BB4A12"/>
    <w:rsid w:val="00BE0E03"/>
    <w:rsid w:val="00BE14C1"/>
    <w:rsid w:val="00BF28DC"/>
    <w:rsid w:val="00BF573B"/>
    <w:rsid w:val="00C03544"/>
    <w:rsid w:val="00C04914"/>
    <w:rsid w:val="00C14D73"/>
    <w:rsid w:val="00C215F6"/>
    <w:rsid w:val="00C2423D"/>
    <w:rsid w:val="00C316A0"/>
    <w:rsid w:val="00C402EA"/>
    <w:rsid w:val="00C45FE3"/>
    <w:rsid w:val="00C632F3"/>
    <w:rsid w:val="00C70221"/>
    <w:rsid w:val="00CD55E6"/>
    <w:rsid w:val="00CD5773"/>
    <w:rsid w:val="00CE0825"/>
    <w:rsid w:val="00CF00B0"/>
    <w:rsid w:val="00D027BD"/>
    <w:rsid w:val="00D12112"/>
    <w:rsid w:val="00D130CB"/>
    <w:rsid w:val="00D2313C"/>
    <w:rsid w:val="00D26566"/>
    <w:rsid w:val="00D3362A"/>
    <w:rsid w:val="00D44240"/>
    <w:rsid w:val="00D62962"/>
    <w:rsid w:val="00D63423"/>
    <w:rsid w:val="00D658B1"/>
    <w:rsid w:val="00D74A93"/>
    <w:rsid w:val="00D8522D"/>
    <w:rsid w:val="00DA0B8B"/>
    <w:rsid w:val="00DB3A7A"/>
    <w:rsid w:val="00DB43AA"/>
    <w:rsid w:val="00DB7B66"/>
    <w:rsid w:val="00DC4A1A"/>
    <w:rsid w:val="00DD788A"/>
    <w:rsid w:val="00DE1E29"/>
    <w:rsid w:val="00DE56F4"/>
    <w:rsid w:val="00E01FFB"/>
    <w:rsid w:val="00E12EC9"/>
    <w:rsid w:val="00E141AC"/>
    <w:rsid w:val="00E258BD"/>
    <w:rsid w:val="00E35713"/>
    <w:rsid w:val="00E42134"/>
    <w:rsid w:val="00E470BA"/>
    <w:rsid w:val="00E65429"/>
    <w:rsid w:val="00E70EA8"/>
    <w:rsid w:val="00E721D6"/>
    <w:rsid w:val="00E72FC7"/>
    <w:rsid w:val="00E77CB4"/>
    <w:rsid w:val="00E81CFA"/>
    <w:rsid w:val="00E82BB6"/>
    <w:rsid w:val="00E851EC"/>
    <w:rsid w:val="00E85D4F"/>
    <w:rsid w:val="00EA183F"/>
    <w:rsid w:val="00EA2DD9"/>
    <w:rsid w:val="00EA591C"/>
    <w:rsid w:val="00EB3FA5"/>
    <w:rsid w:val="00EE2D15"/>
    <w:rsid w:val="00EE62F0"/>
    <w:rsid w:val="00EF71B3"/>
    <w:rsid w:val="00F0336E"/>
    <w:rsid w:val="00F05549"/>
    <w:rsid w:val="00F05B59"/>
    <w:rsid w:val="00F22E30"/>
    <w:rsid w:val="00F24AE8"/>
    <w:rsid w:val="00F45E63"/>
    <w:rsid w:val="00F573B4"/>
    <w:rsid w:val="00F73493"/>
    <w:rsid w:val="00F75382"/>
    <w:rsid w:val="00F8162A"/>
    <w:rsid w:val="00F81E1F"/>
    <w:rsid w:val="00F855B8"/>
    <w:rsid w:val="00F906D2"/>
    <w:rsid w:val="00F92370"/>
    <w:rsid w:val="00FA7F29"/>
    <w:rsid w:val="00FB7C56"/>
    <w:rsid w:val="00FC473D"/>
    <w:rsid w:val="00FC565B"/>
    <w:rsid w:val="00FC73F0"/>
    <w:rsid w:val="00FE5A75"/>
    <w:rsid w:val="00FF42D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5E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391DED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91DED"/>
    <w:rPr>
      <w:rFonts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1DED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F7812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9F7812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9F7812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F781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F7812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781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7812"/>
    <w:rPr>
      <w:rFonts w:ascii="Tahoma" w:hAnsi="Tahoma" w:cs="Times New Roman"/>
      <w:sz w:val="16"/>
      <w:rtl w:val="0"/>
      <w:cs w:val="0"/>
      <w:lang w:val="x-none" w:eastAsia="en-US"/>
    </w:rPr>
  </w:style>
  <w:style w:type="paragraph" w:customStyle="1" w:styleId="Zarkazkladnhotextu1">
    <w:name w:val="Zarážka základného textu1"/>
    <w:basedOn w:val="Normal"/>
    <w:link w:val="BodyTextIndentChar"/>
    <w:rsid w:val="00B32E22"/>
    <w:pPr>
      <w:spacing w:after="120" w:line="240" w:lineRule="auto"/>
      <w:ind w:left="283"/>
      <w:jc w:val="left"/>
    </w:pPr>
    <w:rPr>
      <w:rFonts w:ascii="Courier" w:hAnsi="Courier" w:cs="Courier"/>
      <w:sz w:val="24"/>
      <w:szCs w:val="24"/>
      <w:lang w:eastAsia="cs-CZ"/>
    </w:rPr>
  </w:style>
  <w:style w:type="character" w:customStyle="1" w:styleId="BodyTextIndentChar">
    <w:name w:val="Body Text Indent Char"/>
    <w:link w:val="Zarkazkladnhotextu1"/>
    <w:locked/>
    <w:rsid w:val="00B32E22"/>
    <w:rPr>
      <w:rFonts w:ascii="Courier" w:hAnsi="Courier" w:cs="Courier"/>
      <w:sz w:val="24"/>
      <w:lang w:val="x-none" w:eastAsia="cs-CZ"/>
    </w:rPr>
  </w:style>
  <w:style w:type="paragraph" w:styleId="Header">
    <w:name w:val="header"/>
    <w:basedOn w:val="Normal"/>
    <w:link w:val="HlavikaChar"/>
    <w:uiPriority w:val="99"/>
    <w:unhideWhenUsed/>
    <w:rsid w:val="00880AC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80AC1"/>
    <w:rPr>
      <w:rFonts w:cs="Times New Roman"/>
      <w:sz w:val="36"/>
      <w:szCs w:val="36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880AC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80AC1"/>
    <w:rPr>
      <w:rFonts w:cs="Times New Roman"/>
      <w:sz w:val="36"/>
      <w:szCs w:val="3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14C2-C688-47B7-A0ED-A4190DCB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1065</Words>
  <Characters>6071</Characters>
  <Application>Microsoft Office Word</Application>
  <DocSecurity>0</DocSecurity>
  <Lines>0</Lines>
  <Paragraphs>0</Paragraphs>
  <ScaleCrop>false</ScaleCrop>
  <Company>mfsr</Company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pivanek</dc:creator>
  <cp:lastModifiedBy>Vinický, Filip</cp:lastModifiedBy>
  <cp:revision>2</cp:revision>
  <cp:lastPrinted>2014-10-08T13:04:00Z</cp:lastPrinted>
  <dcterms:created xsi:type="dcterms:W3CDTF">2015-10-15T11:26:00Z</dcterms:created>
  <dcterms:modified xsi:type="dcterms:W3CDTF">2015-10-15T11:26:00Z</dcterms:modified>
</cp:coreProperties>
</file>